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9.xml" ContentType="application/vnd.openxmlformats-officedocument.wordprocessingml.footer+xml"/>
  <Override PartName="/word/footer10.xml" ContentType="application/vnd.openxmlformats-officedocument.wordprocessingml.footer+xml"/>
  <Override PartName="/word/footer14.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1.xml" ContentType="application/vnd.openxmlformats-officedocument.wordprocessingml.footer+xml"/>
  <Override PartName="/word/footer16.xml" ContentType="application/vnd.openxmlformats-officedocument.wordprocessingml.footer+xml"/>
  <Override PartName="/word/header1.xml" ContentType="application/vnd.openxmlformats-officedocument.wordprocessingml.header+xml"/>
  <Override PartName="/word/header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footer17.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charts/chart71.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73.xml" ContentType="application/vnd.openxmlformats-officedocument.drawingml.chart+xml"/>
  <Override PartName="/word/charts/chart64.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67.xml" ContentType="application/vnd.openxmlformats-officedocument.drawingml.chart+xml"/>
  <Override PartName="/word/charts/chart72.xml" ContentType="application/vnd.openxmlformats-officedocument.drawingml.chart+xml"/>
  <Override PartName="/word/charts/chart74.xml" ContentType="application/vnd.openxmlformats-officedocument.drawingml.chart+xml"/>
  <Override PartName="/word/charts/chart48.xml" ContentType="application/vnd.openxmlformats-officedocument.drawingml.chart+xml"/>
  <Override PartName="/word/charts/chart47.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46.xml" ContentType="application/vnd.openxmlformats-officedocument.drawingml.chart+xml"/>
  <Override PartName="/word/charts/chart45.xml" ContentType="application/vnd.openxmlformats-officedocument.drawingml.chart+xml"/>
  <Override PartName="/word/charts/chart41.xml" ContentType="application/vnd.openxmlformats-officedocument.drawingml.chart+xml"/>
  <Override PartName="/word/charts/chart40.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9.xml" ContentType="application/vnd.openxmlformats-officedocument.drawingml.chart+xml"/>
  <Override PartName="/word/charts/chart58.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57.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63.xml" ContentType="application/vnd.openxmlformats-officedocument.drawingml.chart+xml"/>
  <Override PartName="/word/charts/chart39.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theme/theme1.xml" ContentType="application/vnd.openxmlformats-officedocument.theme+xml"/>
  <Override PartName="/word/charts/chart75.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2.xml" ContentType="application/vnd.openxmlformats-officedocument.drawingml.chart+xml"/>
  <Override PartName="/word/charts/chart1.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4.xml" ContentType="application/vnd.openxmlformats-officedocument.drawingml.chart+xml"/>
  <Override PartName="/word/charts/chart33.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17.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theme/themeOverride23.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831872592"/>
        <w:docPartObj>
          <w:docPartGallery w:val="Cover Pages"/>
          <w:docPartUnique/>
        </w:docPartObj>
      </w:sdtPr>
      <w:sdtEndPr>
        <w:rPr>
          <w:b/>
          <w:sz w:val="28"/>
          <w:szCs w:val="28"/>
          <w:lang w:val="es-AR"/>
        </w:rPr>
      </w:sdtEndPr>
      <w:sdtContent>
        <w:tbl>
          <w:tblPr>
            <w:tblpPr w:leftFromText="187" w:rightFromText="187" w:horzAnchor="margin" w:tblpXSpec="center" w:tblpYSpec="bottom"/>
            <w:tblW w:w="5000" w:type="pct"/>
            <w:tblLook w:val="04A0" w:firstRow="1" w:lastRow="0" w:firstColumn="1" w:lastColumn="0" w:noHBand="0" w:noVBand="1"/>
          </w:tblPr>
          <w:tblGrid>
            <w:gridCol w:w="9571"/>
          </w:tblGrid>
          <w:tr w:rsidR="0067798E" w:rsidRPr="007226D7">
            <w:tc>
              <w:tcPr>
                <w:tcW w:w="0" w:type="auto"/>
              </w:tcPr>
              <w:p w:rsidR="0067798E" w:rsidRPr="007226D7" w:rsidRDefault="0067798E" w:rsidP="00364A7D">
                <w:pPr>
                  <w:rPr>
                    <w:color w:val="808080" w:themeColor="background1" w:themeShade="80"/>
                  </w:rPr>
                </w:pPr>
              </w:p>
            </w:tc>
          </w:tr>
        </w:tbl>
        <w:p w:rsidR="00B119DB" w:rsidRPr="007226D7" w:rsidRDefault="008C61F3">
          <w:pPr>
            <w:spacing w:after="0"/>
            <w:jc w:val="left"/>
            <w:rPr>
              <w:b/>
              <w:sz w:val="28"/>
              <w:szCs w:val="28"/>
              <w:lang w:val="es-AR"/>
            </w:rPr>
          </w:pPr>
          <w:r>
            <w:rPr>
              <w:b/>
              <w:noProof/>
              <w:sz w:val="28"/>
              <w:szCs w:val="28"/>
              <w:lang w:val="en-US" w:eastAsia="en-US"/>
            </w:rPr>
            <mc:AlternateContent>
              <mc:Choice Requires="wps">
                <w:drawing>
                  <wp:anchor distT="0" distB="0" distL="114300" distR="114300" simplePos="0" relativeHeight="251809792" behindDoc="0" locked="0" layoutInCell="1" allowOverlap="1">
                    <wp:simplePos x="0" y="0"/>
                    <wp:positionH relativeFrom="column">
                      <wp:posOffset>-157480</wp:posOffset>
                    </wp:positionH>
                    <wp:positionV relativeFrom="paragraph">
                      <wp:posOffset>-469900</wp:posOffset>
                    </wp:positionV>
                    <wp:extent cx="6232525" cy="609600"/>
                    <wp:effectExtent l="0" t="0" r="15875" b="0"/>
                    <wp:wrapNone/>
                    <wp:docPr id="68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252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61978" w:rsidRDefault="00724CCF" w:rsidP="00D61978">
                                <w:pPr>
                                  <w:rPr>
                                    <w:b/>
                                    <w:sz w:val="24"/>
                                    <w:szCs w:val="24"/>
                                    <w:lang w:val="es-ES"/>
                                  </w:rPr>
                                </w:pPr>
                                <w:r w:rsidRPr="00D61978">
                                  <w:rPr>
                                    <w:rFonts w:cs="Arial"/>
                                    <w:b/>
                                    <w:color w:val="000000"/>
                                    <w:sz w:val="24"/>
                                    <w:szCs w:val="24"/>
                                    <w:lang w:val="es-PE"/>
                                  </w:rPr>
                                  <w:t>Estudio de Preinversión a Nivel de Factibilidad del Proyecto: “Construcción de la Línea 2  y Ramal Av. Faucett-Gambeta  de la Red Básica del Metro de Lima y Callao”, Provincias de Lima y Callao, Región Lima.</w:t>
                                </w:r>
                              </w:p>
                              <w:p w:rsidR="00724CCF" w:rsidRPr="00262DA3" w:rsidRDefault="00724CCF" w:rsidP="00CB734F">
                                <w:pPr>
                                  <w:rPr>
                                    <w:sz w:val="28"/>
                                    <w:szCs w:val="28"/>
                                    <w:lang w:val="es-ES"/>
                                  </w:rPr>
                                </w:pPr>
                                <w:r w:rsidRPr="00262DA3">
                                  <w:rPr>
                                    <w:rFonts w:cs="Arial"/>
                                    <w:color w:val="000000"/>
                                    <w:sz w:val="28"/>
                                    <w:szCs w:val="28"/>
                                    <w:lang w:val="es-ES"/>
                                  </w:rPr>
                                  <w:t>.</w:t>
                                </w:r>
                              </w:p>
                              <w:p w:rsidR="00724CCF" w:rsidRDefault="00724CC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 o:spid="_x0000_s1026" type="#_x0000_t202" style="position:absolute;margin-left:-12.4pt;margin-top:-37pt;width:490.75pt;height:4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bsQIAAK0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" filled="f" stroked="f">
                    <v:textbox inset="0,0,0,0">
                      <w:txbxContent>
                        <w:p w:rsidR="00724CCF" w:rsidRPr="00D61978" w:rsidRDefault="00724CCF" w:rsidP="00D61978">
                          <w:pPr>
                            <w:rPr>
                              <w:b/>
                              <w:sz w:val="24"/>
                              <w:szCs w:val="24"/>
                              <w:lang w:val="es-ES"/>
                            </w:rPr>
                          </w:pPr>
                          <w:r w:rsidRPr="00D61978">
                            <w:rPr>
                              <w:rFonts w:cs="Arial"/>
                              <w:b/>
                              <w:color w:val="000000"/>
                              <w:sz w:val="24"/>
                              <w:szCs w:val="24"/>
                              <w:lang w:val="es-PE"/>
                            </w:rPr>
                            <w:t>Estudio de Preinversión a Nivel de Factibilidad del Proyecto: “Construcción de la Línea 2  y Ramal Av. Faucett-Gambeta  de la Red Básica del Metro de Lima y Callao”, Provincias de Lima y Callao, Región Lima.</w:t>
                          </w:r>
                        </w:p>
                        <w:p w:rsidR="00724CCF" w:rsidRPr="00262DA3" w:rsidRDefault="00724CCF" w:rsidP="00CB734F">
                          <w:pPr>
                            <w:rPr>
                              <w:sz w:val="28"/>
                              <w:szCs w:val="28"/>
                              <w:lang w:val="es-ES"/>
                            </w:rPr>
                          </w:pPr>
                          <w:r w:rsidRPr="00262DA3">
                            <w:rPr>
                              <w:rFonts w:cs="Arial"/>
                              <w:color w:val="000000"/>
                              <w:sz w:val="28"/>
                              <w:szCs w:val="28"/>
                              <w:lang w:val="es-ES"/>
                            </w:rPr>
                            <w:t>.</w:t>
                          </w:r>
                        </w:p>
                        <w:p w:rsidR="00724CCF" w:rsidRDefault="00724CCF"/>
                      </w:txbxContent>
                    </v:textbox>
                  </v:shape>
                </w:pict>
              </mc:Fallback>
            </mc:AlternateContent>
          </w:r>
        </w:p>
        <w:p w:rsidR="0067798E" w:rsidRPr="007226D7" w:rsidRDefault="008C61F3">
          <w:pPr>
            <w:spacing w:after="0"/>
            <w:jc w:val="left"/>
            <w:rPr>
              <w:b/>
              <w:sz w:val="28"/>
              <w:szCs w:val="28"/>
              <w:lang w:val="es-AR"/>
            </w:rPr>
          </w:pPr>
          <w:r>
            <w:rPr>
              <w:noProof/>
              <w:lang w:val="en-US" w:eastAsia="en-US"/>
            </w:rPr>
            <mc:AlternateContent>
              <mc:Choice Requires="wps">
                <w:drawing>
                  <wp:anchor distT="0" distB="0" distL="114300" distR="114300" simplePos="0" relativeHeight="251663360" behindDoc="0" locked="0" layoutInCell="1" allowOverlap="1">
                    <wp:simplePos x="0" y="0"/>
                    <wp:positionH relativeFrom="column">
                      <wp:posOffset>-96520</wp:posOffset>
                    </wp:positionH>
                    <wp:positionV relativeFrom="paragraph">
                      <wp:posOffset>2265680</wp:posOffset>
                    </wp:positionV>
                    <wp:extent cx="6398895" cy="1685290"/>
                    <wp:effectExtent l="0" t="0" r="1905" b="0"/>
                    <wp:wrapNone/>
                    <wp:docPr id="688" name="Cuadro de texto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895" cy="168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4CCF" w:rsidRDefault="00724CCF" w:rsidP="005A16EE">
                                <w:pPr>
                                  <w:spacing w:line="360" w:lineRule="auto"/>
                                  <w:jc w:val="right"/>
                                  <w:rPr>
                                    <w:sz w:val="36"/>
                                    <w:szCs w:val="36"/>
                                    <w:lang w:val="es-PE"/>
                                  </w:rPr>
                                </w:pPr>
                                <w:r w:rsidRPr="008B499A">
                                  <w:rPr>
                                    <w:sz w:val="36"/>
                                    <w:szCs w:val="36"/>
                                    <w:lang w:val="es-PE"/>
                                  </w:rPr>
                                  <w:t xml:space="preserve">INFORME </w:t>
                                </w:r>
                                <w:r>
                                  <w:rPr>
                                    <w:sz w:val="36"/>
                                    <w:szCs w:val="36"/>
                                    <w:lang w:val="es-PE"/>
                                  </w:rPr>
                                  <w:t>3</w:t>
                                </w:r>
                                <w:r w:rsidRPr="008B499A">
                                  <w:rPr>
                                    <w:sz w:val="36"/>
                                    <w:szCs w:val="36"/>
                                    <w:lang w:val="es-PE"/>
                                  </w:rPr>
                                  <w:t xml:space="preserve"> – </w:t>
                                </w:r>
                                <w:r w:rsidRPr="009021A6">
                                  <w:rPr>
                                    <w:sz w:val="36"/>
                                    <w:szCs w:val="36"/>
                                    <w:lang w:val="es-PE"/>
                                  </w:rPr>
                                  <w:t>ESTUDIO</w:t>
                                </w:r>
                                <w:bookmarkStart w:id="0" w:name="_GoBack"/>
                                <w:bookmarkEnd w:id="0"/>
                                <w:r w:rsidRPr="009021A6">
                                  <w:rPr>
                                    <w:sz w:val="36"/>
                                    <w:szCs w:val="36"/>
                                    <w:lang w:val="es-PE"/>
                                  </w:rPr>
                                  <w:t xml:space="preserve"> DE PREINVERSIÓN A NIVEL DE FACTIBILIDAD DE LA LÍNEA 2 Y  TRAMO DE LA LÍNEA 4 DEL METRO DE LIMA</w:t>
                                </w:r>
                              </w:p>
                              <w:p w:rsidR="00724CCF" w:rsidRDefault="00724CCF" w:rsidP="005A16EE">
                                <w:pPr>
                                  <w:spacing w:line="360" w:lineRule="auto"/>
                                  <w:jc w:val="right"/>
                                  <w:rPr>
                                    <w:sz w:val="36"/>
                                    <w:szCs w:val="36"/>
                                    <w:lang w:val="es-PE"/>
                                  </w:rPr>
                                </w:pPr>
                                <w:r w:rsidRPr="007226D7">
                                  <w:rPr>
                                    <w:sz w:val="36"/>
                                    <w:szCs w:val="36"/>
                                    <w:lang w:val="es-PE"/>
                                  </w:rPr>
                                  <w:t>VOLUMEN II, Parte 1</w:t>
                                </w:r>
                              </w:p>
                              <w:p w:rsidR="00724CCF" w:rsidRDefault="00724CCF" w:rsidP="005A16EE">
                                <w:pPr>
                                  <w:spacing w:line="360" w:lineRule="auto"/>
                                  <w:jc w:val="right"/>
                                  <w:rPr>
                                    <w:sz w:val="36"/>
                                    <w:szCs w:val="36"/>
                                    <w:lang w:val="es-PE"/>
                                  </w:rPr>
                                </w:pPr>
                              </w:p>
                              <w:p w:rsidR="00724CCF" w:rsidRPr="008B499A" w:rsidRDefault="00724CCF" w:rsidP="005A16EE">
                                <w:pPr>
                                  <w:spacing w:line="360" w:lineRule="auto"/>
                                  <w:jc w:val="right"/>
                                  <w:rPr>
                                    <w:sz w:val="36"/>
                                    <w:szCs w:val="36"/>
                                    <w:lang w:val="es-PE"/>
                                  </w:rPr>
                                </w:pPr>
                              </w:p>
                              <w:p w:rsidR="00724CCF" w:rsidRPr="00DB24B3" w:rsidRDefault="00724CCF" w:rsidP="005A16EE">
                                <w:pPr>
                                  <w:rPr>
                                    <w:lang w:val="es-P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79" o:spid="_x0000_s1027" type="#_x0000_t202" style="position:absolute;margin-left:-7.6pt;margin-top:178.4pt;width:503.85pt;height:13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" stroked="f">
                    <v:textbox>
                      <w:txbxContent>
                        <w:p w:rsidR="00724CCF" w:rsidRDefault="00724CCF" w:rsidP="005A16EE">
                          <w:pPr>
                            <w:spacing w:line="360" w:lineRule="auto"/>
                            <w:jc w:val="right"/>
                            <w:rPr>
                              <w:sz w:val="36"/>
                              <w:szCs w:val="36"/>
                              <w:lang w:val="es-PE"/>
                            </w:rPr>
                          </w:pPr>
                          <w:r w:rsidRPr="008B499A">
                            <w:rPr>
                              <w:sz w:val="36"/>
                              <w:szCs w:val="36"/>
                              <w:lang w:val="es-PE"/>
                            </w:rPr>
                            <w:t xml:space="preserve">INFORME </w:t>
                          </w:r>
                          <w:r>
                            <w:rPr>
                              <w:sz w:val="36"/>
                              <w:szCs w:val="36"/>
                              <w:lang w:val="es-PE"/>
                            </w:rPr>
                            <w:t>3</w:t>
                          </w:r>
                          <w:r w:rsidRPr="008B499A">
                            <w:rPr>
                              <w:sz w:val="36"/>
                              <w:szCs w:val="36"/>
                              <w:lang w:val="es-PE"/>
                            </w:rPr>
                            <w:t xml:space="preserve"> – </w:t>
                          </w:r>
                          <w:r w:rsidRPr="009021A6">
                            <w:rPr>
                              <w:sz w:val="36"/>
                              <w:szCs w:val="36"/>
                              <w:lang w:val="es-PE"/>
                            </w:rPr>
                            <w:t>ESTUDIO DE PREINVERSIÓN A NIVEL DE FACTIBILIDAD DE LA LÍNEA 2 Y  TRAMO DE LA LÍNEA 4 DEL METRO DE LIMA</w:t>
                          </w:r>
                        </w:p>
                        <w:p w:rsidR="00724CCF" w:rsidRDefault="00724CCF" w:rsidP="005A16EE">
                          <w:pPr>
                            <w:spacing w:line="360" w:lineRule="auto"/>
                            <w:jc w:val="right"/>
                            <w:rPr>
                              <w:sz w:val="36"/>
                              <w:szCs w:val="36"/>
                              <w:lang w:val="es-PE"/>
                            </w:rPr>
                          </w:pPr>
                          <w:r w:rsidRPr="007226D7">
                            <w:rPr>
                              <w:sz w:val="36"/>
                              <w:szCs w:val="36"/>
                              <w:lang w:val="es-PE"/>
                            </w:rPr>
                            <w:t>VOLUMEN II, Parte 1</w:t>
                          </w:r>
                        </w:p>
                        <w:p w:rsidR="00724CCF" w:rsidRDefault="00724CCF" w:rsidP="005A16EE">
                          <w:pPr>
                            <w:spacing w:line="360" w:lineRule="auto"/>
                            <w:jc w:val="right"/>
                            <w:rPr>
                              <w:sz w:val="36"/>
                              <w:szCs w:val="36"/>
                              <w:lang w:val="es-PE"/>
                            </w:rPr>
                          </w:pPr>
                        </w:p>
                        <w:p w:rsidR="00724CCF" w:rsidRPr="008B499A" w:rsidRDefault="00724CCF" w:rsidP="005A16EE">
                          <w:pPr>
                            <w:spacing w:line="360" w:lineRule="auto"/>
                            <w:jc w:val="right"/>
                            <w:rPr>
                              <w:sz w:val="36"/>
                              <w:szCs w:val="36"/>
                              <w:lang w:val="es-PE"/>
                            </w:rPr>
                          </w:pPr>
                        </w:p>
                        <w:p w:rsidR="00724CCF" w:rsidRPr="00DB24B3" w:rsidRDefault="00724CCF" w:rsidP="005A16EE">
                          <w:pPr>
                            <w:rPr>
                              <w:lang w:val="es-PE"/>
                            </w:rPr>
                          </w:pPr>
                        </w:p>
                      </w:txbxContent>
                    </v:textbox>
                  </v:shape>
                </w:pict>
              </mc:Fallback>
            </mc:AlternateContent>
          </w:r>
          <w:r w:rsidR="00CB734F" w:rsidRPr="007226D7">
            <w:rPr>
              <w:noProof/>
              <w:lang w:val="en-US" w:eastAsia="en-US"/>
            </w:rPr>
            <w:drawing>
              <wp:anchor distT="0" distB="0" distL="114300" distR="114300" simplePos="0" relativeHeight="251627008" behindDoc="1" locked="0" layoutInCell="1" allowOverlap="1">
                <wp:simplePos x="0" y="0"/>
                <wp:positionH relativeFrom="column">
                  <wp:posOffset>-887095</wp:posOffset>
                </wp:positionH>
                <wp:positionV relativeFrom="paragraph">
                  <wp:posOffset>5715</wp:posOffset>
                </wp:positionV>
                <wp:extent cx="7519670" cy="8952865"/>
                <wp:effectExtent l="19050" t="0" r="5080" b="0"/>
                <wp:wrapNone/>
                <wp:docPr id="78" name="Picture 0" descr="Descripción: Copertina finale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ción: Copertina finale OK.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6081"/>
                        <a:stretch/>
                      </pic:blipFill>
                      <pic:spPr bwMode="auto">
                        <a:xfrm>
                          <a:off x="0" y="0"/>
                          <a:ext cx="7519670" cy="8952865"/>
                        </a:xfrm>
                        <a:prstGeom prst="rect">
                          <a:avLst/>
                        </a:prstGeom>
                        <a:noFill/>
                        <a:ln>
                          <a:noFill/>
                        </a:ln>
                        <a:extLst>
                          <a:ext uri="{53640926-AAD7-44D8-BBD7-CCE9431645EC}">
                            <a14:shadowObscured xmlns:a14="http://schemas.microsoft.com/office/drawing/2010/main"/>
                          </a:ext>
                        </a:extLst>
                      </pic:spPr>
                    </pic:pic>
                  </a:graphicData>
                </a:graphic>
              </wp:anchor>
            </w:drawing>
          </w:r>
          <w:r w:rsidR="00DF6A75" w:rsidRPr="007226D7">
            <w:rPr>
              <w:noProof/>
              <w:lang w:val="en-US" w:eastAsia="en-US"/>
            </w:rPr>
            <w:drawing>
              <wp:anchor distT="0" distB="0" distL="114300" distR="114300" simplePos="0" relativeHeight="251696640" behindDoc="0" locked="0" layoutInCell="1" allowOverlap="1">
                <wp:simplePos x="0" y="0"/>
                <wp:positionH relativeFrom="column">
                  <wp:posOffset>-158367</wp:posOffset>
                </wp:positionH>
                <wp:positionV relativeFrom="paragraph">
                  <wp:posOffset>8318426</wp:posOffset>
                </wp:positionV>
                <wp:extent cx="2022402" cy="467833"/>
                <wp:effectExtent l="19050" t="0" r="0" b="0"/>
                <wp:wrapNone/>
                <wp:docPr id="7" name="Picture 3" descr="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0xx\3065\JOB-AREA\INFRA\ETR\Proinversion.jpg"/>
                        <pic:cNvPicPr>
                          <a:picLocks noChangeAspect="1" noChangeArrowheads="1"/>
                        </pic:cNvPicPr>
                      </pic:nvPicPr>
                      <pic:blipFill>
                        <a:blip r:embed="rId10" cstate="print"/>
                        <a:srcRect/>
                        <a:stretch>
                          <a:fillRect/>
                        </a:stretch>
                      </pic:blipFill>
                      <pic:spPr bwMode="auto">
                        <a:xfrm>
                          <a:off x="0" y="0"/>
                          <a:ext cx="2022402" cy="467833"/>
                        </a:xfrm>
                        <a:prstGeom prst="rect">
                          <a:avLst/>
                        </a:prstGeom>
                        <a:noFill/>
                        <a:ln w="9525">
                          <a:noFill/>
                          <a:miter lim="800000"/>
                          <a:headEnd/>
                          <a:tailEnd/>
                        </a:ln>
                      </pic:spPr>
                    </pic:pic>
                  </a:graphicData>
                </a:graphic>
              </wp:anchor>
            </w:drawing>
          </w: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3843655</wp:posOffset>
                    </wp:positionH>
                    <wp:positionV relativeFrom="paragraph">
                      <wp:posOffset>1154430</wp:posOffset>
                    </wp:positionV>
                    <wp:extent cx="2371090" cy="368935"/>
                    <wp:effectExtent l="0" t="0" r="5080" b="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368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4CCF" w:rsidRPr="005A16EE" w:rsidRDefault="00724CCF" w:rsidP="005A16EE">
                                <w:pPr>
                                  <w:rPr>
                                    <w:szCs w:val="24"/>
                                  </w:rPr>
                                </w:pPr>
                                <w:r w:rsidRPr="00D8217B">
                                  <w:rPr>
                                    <w:sz w:val="24"/>
                                    <w:szCs w:val="24"/>
                                  </w:rPr>
                                  <w:t xml:space="preserve">Lima, </w:t>
                                </w:r>
                                <w:proofErr w:type="gramStart"/>
                                <w:r w:rsidR="003142BB">
                                  <w:rPr>
                                    <w:sz w:val="24"/>
                                    <w:szCs w:val="24"/>
                                  </w:rPr>
                                  <w:t>22</w:t>
                                </w:r>
                                <w:proofErr w:type="gramEnd"/>
                                <w:r w:rsidRPr="00D8217B">
                                  <w:rPr>
                                    <w:sz w:val="24"/>
                                    <w:szCs w:val="24"/>
                                  </w:rPr>
                                  <w:t xml:space="preserve"> de </w:t>
                                </w:r>
                                <w:r>
                                  <w:rPr>
                                    <w:sz w:val="24"/>
                                    <w:szCs w:val="24"/>
                                  </w:rPr>
                                  <w:t>Enero</w:t>
                                </w:r>
                                <w:r w:rsidRPr="00D8217B">
                                  <w:rPr>
                                    <w:sz w:val="24"/>
                                    <w:szCs w:val="24"/>
                                  </w:rPr>
                                  <w:t xml:space="preserve"> de 201</w:t>
                                </w:r>
                                <w:r>
                                  <w:rPr>
                                    <w:sz w:val="24"/>
                                    <w:szCs w:val="24"/>
                                  </w:rPr>
                                  <w:t>3</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Cuadro de texto 80" o:spid="_x0000_s1028" type="#_x0000_t202" style="position:absolute;margin-left:302.65pt;margin-top:90.9pt;width:186.7pt;height:29.0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" stroked="f">
                    <v:textbox style="mso-fit-shape-to-text:t">
                      <w:txbxContent>
                        <w:p w:rsidR="00724CCF" w:rsidRPr="005A16EE" w:rsidRDefault="00724CCF" w:rsidP="005A16EE">
                          <w:pPr>
                            <w:rPr>
                              <w:szCs w:val="24"/>
                            </w:rPr>
                          </w:pPr>
                          <w:r w:rsidRPr="00D8217B">
                            <w:rPr>
                              <w:sz w:val="24"/>
                              <w:szCs w:val="24"/>
                            </w:rPr>
                            <w:t xml:space="preserve">Lima, </w:t>
                          </w:r>
                          <w:r w:rsidR="003142BB">
                            <w:rPr>
                              <w:sz w:val="24"/>
                              <w:szCs w:val="24"/>
                            </w:rPr>
                            <w:t>22</w:t>
                          </w:r>
                          <w:r w:rsidRPr="00D8217B">
                            <w:rPr>
                              <w:sz w:val="24"/>
                              <w:szCs w:val="24"/>
                            </w:rPr>
                            <w:t xml:space="preserve"> de </w:t>
                          </w:r>
                          <w:r>
                            <w:rPr>
                              <w:sz w:val="24"/>
                              <w:szCs w:val="24"/>
                            </w:rPr>
                            <w:t>Enero</w:t>
                          </w:r>
                          <w:r w:rsidRPr="00D8217B">
                            <w:rPr>
                              <w:sz w:val="24"/>
                              <w:szCs w:val="24"/>
                            </w:rPr>
                            <w:t xml:space="preserve"> de 201</w:t>
                          </w:r>
                          <w:r>
                            <w:rPr>
                              <w:sz w:val="24"/>
                              <w:szCs w:val="24"/>
                            </w:rPr>
                            <w:t>3</w:t>
                          </w:r>
                        </w:p>
                      </w:txbxContent>
                    </v:textbox>
                  </v:shape>
                </w:pict>
              </mc:Fallback>
            </mc:AlternateContent>
          </w:r>
          <w:r w:rsidR="0067798E" w:rsidRPr="007226D7">
            <w:rPr>
              <w:b/>
              <w:sz w:val="28"/>
              <w:szCs w:val="28"/>
              <w:lang w:val="es-AR"/>
            </w:rPr>
            <w:br w:type="page"/>
          </w:r>
        </w:p>
      </w:sdtContent>
    </w:sdt>
    <w:p w:rsidR="008A68CA" w:rsidRPr="007226D7" w:rsidRDefault="008A68CA">
      <w:pPr>
        <w:spacing w:after="0"/>
        <w:jc w:val="left"/>
        <w:rPr>
          <w:b/>
          <w:sz w:val="28"/>
          <w:szCs w:val="28"/>
          <w:lang w:val="es-AR"/>
        </w:rPr>
        <w:sectPr w:rsidR="008A68CA" w:rsidRPr="007226D7" w:rsidSect="00616C7B">
          <w:headerReference w:type="default" r:id="rId11"/>
          <w:footerReference w:type="default" r:id="rId12"/>
          <w:footerReference w:type="first" r:id="rId13"/>
          <w:type w:val="continuous"/>
          <w:pgSz w:w="11907" w:h="16840" w:code="9"/>
          <w:pgMar w:top="1985" w:right="1134" w:bottom="1701" w:left="1418" w:header="720" w:footer="833" w:gutter="0"/>
          <w:paperSrc w:first="15" w:other="15"/>
          <w:pgNumType w:start="0"/>
          <w:cols w:space="720"/>
          <w:titlePg/>
          <w:docGrid w:linePitch="299"/>
        </w:sectPr>
      </w:pPr>
    </w:p>
    <w:p w:rsidR="00CB734F" w:rsidRPr="007226D7" w:rsidRDefault="00CB734F" w:rsidP="00CB734F">
      <w:pPr>
        <w:spacing w:after="0"/>
        <w:jc w:val="left"/>
        <w:rPr>
          <w:b/>
          <w:sz w:val="28"/>
          <w:szCs w:val="28"/>
          <w:lang w:val="es-AR"/>
        </w:rPr>
      </w:pPr>
    </w:p>
    <w:p w:rsidR="00F04F43" w:rsidRPr="007226D7" w:rsidRDefault="00F04F43" w:rsidP="006140B0">
      <w:pPr>
        <w:pStyle w:val="Primapagina"/>
        <w:spacing w:before="1200" w:after="0"/>
        <w:jc w:val="center"/>
        <w:rPr>
          <w:b/>
          <w:sz w:val="28"/>
          <w:szCs w:val="28"/>
          <w:lang w:val="es-AR"/>
        </w:rPr>
      </w:pPr>
      <w:r w:rsidRPr="007226D7">
        <w:rPr>
          <w:b/>
          <w:sz w:val="28"/>
          <w:szCs w:val="28"/>
          <w:lang w:val="es-AR"/>
        </w:rPr>
        <w:t>CONCURSO PÚBLICO  N° 004-2012</w:t>
      </w:r>
    </w:p>
    <w:p w:rsidR="00F04F43" w:rsidRPr="007226D7" w:rsidRDefault="00F04F43" w:rsidP="00F04F43">
      <w:pPr>
        <w:pStyle w:val="Primapagina"/>
        <w:spacing w:before="1200" w:after="0"/>
        <w:jc w:val="center"/>
        <w:rPr>
          <w:b/>
          <w:sz w:val="28"/>
          <w:szCs w:val="28"/>
          <w:lang w:val="es-AR"/>
        </w:rPr>
      </w:pPr>
      <w:r w:rsidRPr="007226D7">
        <w:rPr>
          <w:b/>
          <w:sz w:val="28"/>
          <w:szCs w:val="28"/>
          <w:lang w:val="es-AR"/>
        </w:rPr>
        <w:t>SERVICIO DE CONSULTORIA:</w:t>
      </w:r>
    </w:p>
    <w:p w:rsidR="00F04F43" w:rsidRPr="007226D7" w:rsidRDefault="00F04F43" w:rsidP="00F04F43">
      <w:pPr>
        <w:jc w:val="center"/>
        <w:rPr>
          <w:rFonts w:cs="Arial"/>
          <w:b/>
          <w:bCs/>
          <w:sz w:val="28"/>
          <w:szCs w:val="28"/>
          <w:lang w:val="es-PE"/>
        </w:rPr>
      </w:pPr>
      <w:r w:rsidRPr="007226D7">
        <w:rPr>
          <w:rFonts w:cs="Arial"/>
          <w:b/>
          <w:bCs/>
          <w:sz w:val="28"/>
          <w:szCs w:val="28"/>
          <w:lang w:val="es-PE"/>
        </w:rPr>
        <w:t>“CONTRATACION DE UN CONSULTOR INTEGRAL PARA EL CONCURSO DE PROYECTOS INTEGRALES PARA LA CONCESIÓN DE LA LÍNEA 2 DE LA RED BÁSICA DEL METRO DE LIMA – PROYECTO ESPECIAL SISTEMA ELÉCTRICO DE TRANSPORTE MASIVO DE LIMA Y CALLAO”.</w:t>
      </w:r>
    </w:p>
    <w:p w:rsidR="009021A6" w:rsidRPr="007226D7" w:rsidRDefault="009021A6" w:rsidP="009021A6">
      <w:pPr>
        <w:pStyle w:val="Primapagina"/>
        <w:spacing w:before="400" w:after="0"/>
        <w:jc w:val="center"/>
        <w:rPr>
          <w:rFonts w:cs="Arial"/>
          <w:b/>
          <w:bCs/>
          <w:sz w:val="28"/>
          <w:szCs w:val="28"/>
          <w:lang w:val="es-PE"/>
        </w:rPr>
      </w:pPr>
    </w:p>
    <w:tbl>
      <w:tblPr>
        <w:tblW w:w="0" w:type="auto"/>
        <w:tblInd w:w="97" w:type="dxa"/>
        <w:tblLook w:val="01E0" w:firstRow="1" w:lastRow="1" w:firstColumn="1" w:lastColumn="1" w:noHBand="0" w:noVBand="0"/>
      </w:tblPr>
      <w:tblGrid>
        <w:gridCol w:w="5"/>
        <w:gridCol w:w="3365"/>
        <w:gridCol w:w="4726"/>
        <w:gridCol w:w="1269"/>
        <w:gridCol w:w="38"/>
      </w:tblGrid>
      <w:tr w:rsidR="00CB734F" w:rsidRPr="007226D7" w:rsidTr="00B760E6">
        <w:trPr>
          <w:gridAfter w:val="1"/>
          <w:wAfter w:w="38" w:type="dxa"/>
          <w:trHeight w:val="438"/>
        </w:trPr>
        <w:tc>
          <w:tcPr>
            <w:tcW w:w="9360" w:type="dxa"/>
            <w:gridSpan w:val="4"/>
            <w:shd w:val="clear" w:color="auto" w:fill="auto"/>
            <w:vAlign w:val="center"/>
          </w:tcPr>
          <w:p w:rsidR="00CB734F" w:rsidRPr="007226D7" w:rsidRDefault="00CB734F" w:rsidP="009021A6">
            <w:pPr>
              <w:pStyle w:val="Primapagina"/>
              <w:spacing w:after="0"/>
              <w:jc w:val="center"/>
              <w:rPr>
                <w:b/>
                <w:sz w:val="28"/>
                <w:szCs w:val="28"/>
                <w:lang w:val="es-AR"/>
              </w:rPr>
            </w:pPr>
            <w:r w:rsidRPr="007226D7">
              <w:rPr>
                <w:b/>
                <w:sz w:val="28"/>
                <w:szCs w:val="28"/>
                <w:lang w:val="es-AR"/>
              </w:rPr>
              <w:t xml:space="preserve">INFORME </w:t>
            </w:r>
            <w:r w:rsidR="009021A6" w:rsidRPr="007226D7">
              <w:rPr>
                <w:b/>
                <w:sz w:val="28"/>
                <w:szCs w:val="28"/>
                <w:lang w:val="es-AR"/>
              </w:rPr>
              <w:t>3</w:t>
            </w:r>
            <w:r w:rsidRPr="007226D7">
              <w:rPr>
                <w:b/>
                <w:sz w:val="28"/>
                <w:szCs w:val="28"/>
                <w:lang w:val="es-AR"/>
              </w:rPr>
              <w:t xml:space="preserve"> </w:t>
            </w:r>
          </w:p>
        </w:tc>
      </w:tr>
      <w:tr w:rsidR="00CB734F" w:rsidRPr="0013314C" w:rsidTr="00B760E6">
        <w:trPr>
          <w:gridAfter w:val="1"/>
          <w:wAfter w:w="38" w:type="dxa"/>
          <w:trHeight w:val="438"/>
        </w:trPr>
        <w:tc>
          <w:tcPr>
            <w:tcW w:w="9360" w:type="dxa"/>
            <w:gridSpan w:val="4"/>
            <w:shd w:val="clear" w:color="auto" w:fill="auto"/>
            <w:vAlign w:val="center"/>
          </w:tcPr>
          <w:p w:rsidR="00CB734F" w:rsidRPr="007226D7" w:rsidRDefault="009021A6" w:rsidP="00B760E6">
            <w:pPr>
              <w:pStyle w:val="Primapagina"/>
              <w:spacing w:after="0"/>
              <w:jc w:val="center"/>
              <w:rPr>
                <w:sz w:val="28"/>
                <w:szCs w:val="28"/>
                <w:lang w:val="es-AR"/>
              </w:rPr>
            </w:pPr>
            <w:r w:rsidRPr="007226D7">
              <w:rPr>
                <w:sz w:val="28"/>
                <w:szCs w:val="28"/>
                <w:lang w:val="es-AR"/>
              </w:rPr>
              <w:t>ESTUDIO DE PREINVERSIÓN A NIVEL DE FACTIBILIDAD – VOLUMEN II, Parte 1</w:t>
            </w:r>
          </w:p>
        </w:tc>
      </w:tr>
      <w:tr w:rsidR="00CB734F" w:rsidRPr="0013314C" w:rsidTr="00B760E6">
        <w:trPr>
          <w:gridAfter w:val="1"/>
          <w:wAfter w:w="38" w:type="dxa"/>
          <w:trHeight w:val="439"/>
        </w:trPr>
        <w:tc>
          <w:tcPr>
            <w:tcW w:w="9360" w:type="dxa"/>
            <w:gridSpan w:val="4"/>
            <w:shd w:val="clear" w:color="auto" w:fill="auto"/>
            <w:vAlign w:val="center"/>
          </w:tcPr>
          <w:p w:rsidR="00CB734F" w:rsidRPr="007226D7" w:rsidRDefault="00CB734F" w:rsidP="00B760E6">
            <w:pPr>
              <w:pStyle w:val="Primapagina"/>
              <w:spacing w:after="0"/>
              <w:jc w:val="center"/>
              <w:rPr>
                <w:sz w:val="28"/>
                <w:szCs w:val="28"/>
                <w:lang w:val="es-AR"/>
              </w:rPr>
            </w:pPr>
          </w:p>
          <w:p w:rsidR="00CB734F" w:rsidRPr="007226D7" w:rsidRDefault="00CB734F" w:rsidP="00B760E6">
            <w:pPr>
              <w:pStyle w:val="Primapagina"/>
              <w:spacing w:after="0"/>
              <w:jc w:val="center"/>
              <w:rPr>
                <w:sz w:val="28"/>
                <w:szCs w:val="28"/>
                <w:lang w:val="es-AR"/>
              </w:rPr>
            </w:pPr>
          </w:p>
          <w:p w:rsidR="00CB734F" w:rsidRPr="007226D7" w:rsidRDefault="00CB734F" w:rsidP="00B760E6">
            <w:pPr>
              <w:pStyle w:val="Primapagina"/>
              <w:spacing w:after="0"/>
              <w:jc w:val="center"/>
              <w:rPr>
                <w:sz w:val="28"/>
                <w:szCs w:val="28"/>
                <w:lang w:val="es-AR"/>
              </w:rPr>
            </w:pPr>
          </w:p>
        </w:tc>
      </w:tr>
      <w:tr w:rsidR="00CB734F" w:rsidRPr="007226D7" w:rsidTr="00B760E6">
        <w:tblPrEx>
          <w:tblCellMar>
            <w:left w:w="70" w:type="dxa"/>
            <w:right w:w="70" w:type="dxa"/>
          </w:tblCellMar>
          <w:tblLook w:val="0000" w:firstRow="0" w:lastRow="0" w:firstColumn="0" w:lastColumn="0" w:noHBand="0" w:noVBand="0"/>
        </w:tblPrEx>
        <w:trPr>
          <w:gridBefore w:val="1"/>
          <w:trHeight w:val="300"/>
        </w:trPr>
        <w:tc>
          <w:tcPr>
            <w:tcW w:w="3365" w:type="dxa"/>
            <w:tcBorders>
              <w:top w:val="single" w:sz="12" w:space="0" w:color="auto"/>
              <w:left w:val="single" w:sz="12" w:space="0" w:color="auto"/>
              <w:bottom w:val="single" w:sz="2" w:space="0" w:color="auto"/>
              <w:right w:val="single" w:sz="2"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Fecha</w:t>
            </w:r>
          </w:p>
        </w:tc>
        <w:tc>
          <w:tcPr>
            <w:tcW w:w="4726" w:type="dxa"/>
            <w:tcBorders>
              <w:top w:val="single" w:sz="12" w:space="0" w:color="auto"/>
              <w:left w:val="single" w:sz="2" w:space="0" w:color="auto"/>
              <w:bottom w:val="single" w:sz="2" w:space="0" w:color="auto"/>
              <w:right w:val="single" w:sz="2" w:space="0" w:color="auto"/>
            </w:tcBorders>
            <w:shd w:val="clear" w:color="auto" w:fill="auto"/>
            <w:vAlign w:val="center"/>
          </w:tcPr>
          <w:p w:rsidR="00CB734F" w:rsidRPr="007226D7" w:rsidRDefault="00CB734F" w:rsidP="00B760E6">
            <w:pPr>
              <w:spacing w:after="0"/>
              <w:jc w:val="center"/>
              <w:rPr>
                <w:rFonts w:cs="Arial"/>
                <w:b/>
                <w:lang w:val="es-AR"/>
              </w:rPr>
            </w:pPr>
            <w:r w:rsidRPr="007226D7">
              <w:rPr>
                <w:rFonts w:eastAsia="SimSun" w:cs="Arial"/>
                <w:b/>
                <w:sz w:val="18"/>
                <w:szCs w:val="18"/>
                <w:lang w:val="es-AR" w:eastAsia="zh-CN"/>
              </w:rPr>
              <w:t>Código de identificación</w:t>
            </w:r>
          </w:p>
        </w:tc>
        <w:tc>
          <w:tcPr>
            <w:tcW w:w="1276" w:type="dxa"/>
            <w:gridSpan w:val="2"/>
            <w:tcBorders>
              <w:top w:val="single" w:sz="12" w:space="0" w:color="auto"/>
              <w:left w:val="single" w:sz="2" w:space="0" w:color="auto"/>
              <w:bottom w:val="single" w:sz="2" w:space="0" w:color="auto"/>
              <w:right w:val="single" w:sz="12" w:space="0" w:color="auto"/>
            </w:tcBorders>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Revisión</w:t>
            </w:r>
          </w:p>
        </w:tc>
      </w:tr>
      <w:tr w:rsidR="00CB734F" w:rsidRPr="007226D7" w:rsidTr="00B760E6">
        <w:tblPrEx>
          <w:tblCellMar>
            <w:left w:w="70" w:type="dxa"/>
            <w:right w:w="70" w:type="dxa"/>
          </w:tblCellMar>
          <w:tblLook w:val="0000" w:firstRow="0" w:lastRow="0" w:firstColumn="0" w:lastColumn="0" w:noHBand="0" w:noVBand="0"/>
        </w:tblPrEx>
        <w:trPr>
          <w:gridBefore w:val="1"/>
          <w:trHeight w:val="300"/>
        </w:trPr>
        <w:tc>
          <w:tcPr>
            <w:tcW w:w="3365" w:type="dxa"/>
            <w:tcBorders>
              <w:top w:val="single" w:sz="2" w:space="0" w:color="auto"/>
              <w:left w:val="single" w:sz="12" w:space="0" w:color="auto"/>
              <w:bottom w:val="single" w:sz="12" w:space="0" w:color="auto"/>
              <w:right w:val="single" w:sz="2" w:space="0" w:color="auto"/>
            </w:tcBorders>
            <w:shd w:val="clear" w:color="auto" w:fill="auto"/>
            <w:vAlign w:val="center"/>
          </w:tcPr>
          <w:p w:rsidR="00CB734F" w:rsidRPr="007226D7" w:rsidRDefault="00C5022D" w:rsidP="003142BB">
            <w:pPr>
              <w:spacing w:after="0"/>
              <w:jc w:val="center"/>
              <w:rPr>
                <w:rFonts w:eastAsia="SimSun" w:cs="Arial"/>
                <w:sz w:val="20"/>
                <w:lang w:val="es-AR" w:eastAsia="zh-CN"/>
              </w:rPr>
            </w:pPr>
            <w:r>
              <w:rPr>
                <w:rFonts w:eastAsia="SimSun" w:cs="Arial"/>
                <w:sz w:val="20"/>
                <w:lang w:val="es-AR" w:eastAsia="zh-CN"/>
              </w:rPr>
              <w:t>2</w:t>
            </w:r>
            <w:r w:rsidR="003142BB">
              <w:rPr>
                <w:rFonts w:eastAsia="SimSun" w:cs="Arial"/>
                <w:sz w:val="20"/>
                <w:lang w:val="es-AR" w:eastAsia="zh-CN"/>
              </w:rPr>
              <w:t>2</w:t>
            </w:r>
            <w:r>
              <w:rPr>
                <w:rFonts w:eastAsia="SimSun" w:cs="Arial"/>
                <w:sz w:val="20"/>
                <w:lang w:val="es-AR" w:eastAsia="zh-CN"/>
              </w:rPr>
              <w:t>/01</w:t>
            </w:r>
            <w:r w:rsidR="009021A6" w:rsidRPr="007226D7">
              <w:rPr>
                <w:rFonts w:eastAsia="SimSun" w:cs="Arial"/>
                <w:sz w:val="20"/>
                <w:lang w:val="es-AR" w:eastAsia="zh-CN"/>
              </w:rPr>
              <w:t>/201</w:t>
            </w:r>
            <w:r>
              <w:rPr>
                <w:rFonts w:eastAsia="SimSun" w:cs="Arial"/>
                <w:sz w:val="20"/>
                <w:lang w:val="es-AR" w:eastAsia="zh-CN"/>
              </w:rPr>
              <w:t>3</w:t>
            </w:r>
          </w:p>
        </w:tc>
        <w:tc>
          <w:tcPr>
            <w:tcW w:w="4726" w:type="dxa"/>
            <w:tcBorders>
              <w:top w:val="single" w:sz="2" w:space="0" w:color="auto"/>
              <w:left w:val="single" w:sz="2" w:space="0" w:color="auto"/>
              <w:bottom w:val="single" w:sz="12" w:space="0" w:color="auto"/>
              <w:right w:val="single" w:sz="2" w:space="0" w:color="auto"/>
            </w:tcBorders>
            <w:shd w:val="clear" w:color="auto" w:fill="auto"/>
            <w:vAlign w:val="center"/>
          </w:tcPr>
          <w:p w:rsidR="00CB734F" w:rsidRPr="007226D7" w:rsidRDefault="009021A6" w:rsidP="00B760E6">
            <w:pPr>
              <w:spacing w:after="0"/>
              <w:jc w:val="center"/>
              <w:rPr>
                <w:rFonts w:cs="Arial"/>
                <w:sz w:val="20"/>
              </w:rPr>
            </w:pPr>
            <w:proofErr w:type="gramStart"/>
            <w:r w:rsidRPr="007226D7">
              <w:rPr>
                <w:rFonts w:cs="Arial"/>
                <w:sz w:val="20"/>
              </w:rPr>
              <w:t>I03-GEN-R-001</w:t>
            </w:r>
            <w:proofErr w:type="gramEnd"/>
          </w:p>
        </w:tc>
        <w:tc>
          <w:tcPr>
            <w:tcW w:w="1276" w:type="dxa"/>
            <w:gridSpan w:val="2"/>
            <w:tcBorders>
              <w:top w:val="single" w:sz="2" w:space="0" w:color="auto"/>
              <w:left w:val="single" w:sz="2" w:space="0" w:color="auto"/>
              <w:bottom w:val="single" w:sz="12" w:space="0" w:color="auto"/>
              <w:right w:val="single" w:sz="12" w:space="0" w:color="auto"/>
            </w:tcBorders>
            <w:vAlign w:val="center"/>
          </w:tcPr>
          <w:p w:rsidR="00CB734F" w:rsidRPr="007226D7" w:rsidRDefault="00C5022D" w:rsidP="00B760E6">
            <w:pPr>
              <w:spacing w:after="0"/>
              <w:jc w:val="center"/>
              <w:rPr>
                <w:rFonts w:eastAsia="SimSun" w:cs="Arial"/>
                <w:sz w:val="20"/>
                <w:lang w:val="es-AR" w:eastAsia="zh-CN"/>
              </w:rPr>
            </w:pPr>
            <w:r>
              <w:rPr>
                <w:rFonts w:eastAsia="SimSun" w:cs="Arial"/>
                <w:sz w:val="20"/>
                <w:lang w:val="es-AR" w:eastAsia="zh-CN"/>
              </w:rPr>
              <w:t>1</w:t>
            </w:r>
          </w:p>
        </w:tc>
      </w:tr>
    </w:tbl>
    <w:p w:rsidR="00CB734F" w:rsidRPr="007226D7" w:rsidRDefault="00CB734F" w:rsidP="00CB734F">
      <w:pPr>
        <w:pStyle w:val="Primapagina"/>
        <w:spacing w:after="0"/>
        <w:jc w:val="center"/>
        <w:rPr>
          <w:sz w:val="16"/>
          <w:szCs w:val="16"/>
          <w:lang w:val="es-AR"/>
        </w:rPr>
      </w:pPr>
    </w:p>
    <w:tbl>
      <w:tblPr>
        <w:tblW w:w="9371"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8"/>
        <w:gridCol w:w="1143"/>
        <w:gridCol w:w="7650"/>
      </w:tblGrid>
      <w:tr w:rsidR="00CB734F" w:rsidRPr="007226D7" w:rsidTr="00B760E6">
        <w:trPr>
          <w:trHeight w:val="300"/>
        </w:trPr>
        <w:tc>
          <w:tcPr>
            <w:tcW w:w="578" w:type="dxa"/>
            <w:tcBorders>
              <w:top w:val="single" w:sz="12" w:space="0" w:color="auto"/>
              <w:left w:val="single" w:sz="12"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REV</w:t>
            </w:r>
          </w:p>
        </w:tc>
        <w:tc>
          <w:tcPr>
            <w:tcW w:w="1143" w:type="dxa"/>
            <w:tcBorders>
              <w:top w:val="single" w:sz="12"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Fecha</w:t>
            </w:r>
          </w:p>
        </w:tc>
        <w:tc>
          <w:tcPr>
            <w:tcW w:w="7650" w:type="dxa"/>
            <w:tcBorders>
              <w:top w:val="single" w:sz="12" w:space="0" w:color="auto"/>
              <w:right w:val="single" w:sz="12"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Descripción</w:t>
            </w:r>
          </w:p>
        </w:tc>
      </w:tr>
      <w:tr w:rsidR="00CB734F" w:rsidRPr="007226D7" w:rsidTr="00B760E6">
        <w:trPr>
          <w:trHeight w:val="300"/>
        </w:trPr>
        <w:tc>
          <w:tcPr>
            <w:tcW w:w="578" w:type="dxa"/>
            <w:tcBorders>
              <w:left w:val="single" w:sz="12" w:space="0" w:color="auto"/>
            </w:tcBorders>
            <w:shd w:val="clear" w:color="auto" w:fill="auto"/>
            <w:vAlign w:val="center"/>
          </w:tcPr>
          <w:p w:rsidR="00CB734F" w:rsidRPr="007226D7" w:rsidRDefault="00CB734F" w:rsidP="00B760E6">
            <w:pPr>
              <w:spacing w:after="0"/>
              <w:jc w:val="center"/>
              <w:rPr>
                <w:rFonts w:eastAsia="SimSun" w:cs="Arial"/>
                <w:sz w:val="20"/>
                <w:lang w:val="es-AR" w:eastAsia="zh-CN"/>
              </w:rPr>
            </w:pPr>
          </w:p>
        </w:tc>
        <w:tc>
          <w:tcPr>
            <w:tcW w:w="1143" w:type="dxa"/>
            <w:shd w:val="clear" w:color="auto" w:fill="auto"/>
            <w:vAlign w:val="center"/>
          </w:tcPr>
          <w:p w:rsidR="00CB734F" w:rsidRPr="007226D7" w:rsidRDefault="00CB734F" w:rsidP="00B760E6">
            <w:pPr>
              <w:spacing w:after="0"/>
              <w:jc w:val="center"/>
              <w:rPr>
                <w:rFonts w:eastAsia="SimSun" w:cs="Arial"/>
                <w:sz w:val="20"/>
                <w:lang w:val="es-AR" w:eastAsia="zh-CN"/>
              </w:rPr>
            </w:pPr>
          </w:p>
        </w:tc>
        <w:tc>
          <w:tcPr>
            <w:tcW w:w="7650" w:type="dxa"/>
            <w:tcBorders>
              <w:right w:val="single" w:sz="12" w:space="0" w:color="auto"/>
            </w:tcBorders>
            <w:shd w:val="clear" w:color="auto" w:fill="auto"/>
            <w:vAlign w:val="center"/>
          </w:tcPr>
          <w:p w:rsidR="00CB734F" w:rsidRPr="007226D7" w:rsidRDefault="00CB734F" w:rsidP="00B760E6">
            <w:pPr>
              <w:spacing w:after="0"/>
              <w:jc w:val="center"/>
              <w:rPr>
                <w:rFonts w:eastAsia="SimSun" w:cs="Arial"/>
                <w:sz w:val="20"/>
                <w:lang w:val="es-AR" w:eastAsia="zh-CN"/>
              </w:rPr>
            </w:pPr>
          </w:p>
        </w:tc>
      </w:tr>
      <w:tr w:rsidR="00C5022D" w:rsidRPr="0013314C" w:rsidTr="00B760E6">
        <w:trPr>
          <w:trHeight w:val="300"/>
        </w:trPr>
        <w:tc>
          <w:tcPr>
            <w:tcW w:w="578" w:type="dxa"/>
            <w:tcBorders>
              <w:left w:val="single" w:sz="12" w:space="0" w:color="auto"/>
            </w:tcBorders>
            <w:shd w:val="clear" w:color="auto" w:fill="auto"/>
            <w:vAlign w:val="center"/>
          </w:tcPr>
          <w:p w:rsidR="00C5022D" w:rsidRPr="007226D7" w:rsidRDefault="00C5022D" w:rsidP="00724CCF">
            <w:pPr>
              <w:spacing w:after="0"/>
              <w:jc w:val="center"/>
              <w:rPr>
                <w:rFonts w:eastAsia="SimSun" w:cs="Arial"/>
                <w:sz w:val="20"/>
                <w:lang w:val="es-AR" w:eastAsia="zh-CN"/>
              </w:rPr>
            </w:pPr>
            <w:r>
              <w:rPr>
                <w:rFonts w:eastAsia="SimSun" w:cs="Arial"/>
                <w:sz w:val="20"/>
                <w:lang w:val="es-AR" w:eastAsia="zh-CN"/>
              </w:rPr>
              <w:t>1</w:t>
            </w:r>
          </w:p>
        </w:tc>
        <w:tc>
          <w:tcPr>
            <w:tcW w:w="1143" w:type="dxa"/>
            <w:shd w:val="clear" w:color="auto" w:fill="auto"/>
            <w:vAlign w:val="center"/>
          </w:tcPr>
          <w:p w:rsidR="00C5022D" w:rsidRPr="007226D7" w:rsidRDefault="00C5022D" w:rsidP="00FB4F8E">
            <w:pPr>
              <w:spacing w:after="0"/>
              <w:jc w:val="center"/>
              <w:rPr>
                <w:rFonts w:eastAsia="SimSun" w:cs="Arial"/>
                <w:sz w:val="20"/>
                <w:lang w:val="es-AR" w:eastAsia="zh-CN"/>
              </w:rPr>
            </w:pPr>
            <w:r>
              <w:rPr>
                <w:rFonts w:eastAsia="SimSun" w:cs="Arial"/>
                <w:sz w:val="20"/>
                <w:lang w:val="es-AR" w:eastAsia="zh-CN"/>
              </w:rPr>
              <w:t>2</w:t>
            </w:r>
            <w:r w:rsidR="00FB4F8E">
              <w:rPr>
                <w:rFonts w:eastAsia="SimSun" w:cs="Arial"/>
                <w:sz w:val="20"/>
                <w:lang w:val="es-AR" w:eastAsia="zh-CN"/>
              </w:rPr>
              <w:t>2</w:t>
            </w:r>
            <w:r w:rsidRPr="007226D7">
              <w:rPr>
                <w:rFonts w:eastAsia="SimSun" w:cs="Arial"/>
                <w:sz w:val="20"/>
                <w:lang w:val="es-AR" w:eastAsia="zh-CN"/>
              </w:rPr>
              <w:t>/</w:t>
            </w:r>
            <w:r>
              <w:rPr>
                <w:rFonts w:eastAsia="SimSun" w:cs="Arial"/>
                <w:sz w:val="20"/>
                <w:lang w:val="es-AR" w:eastAsia="zh-CN"/>
              </w:rPr>
              <w:t>01</w:t>
            </w:r>
            <w:r w:rsidRPr="007226D7">
              <w:rPr>
                <w:rFonts w:eastAsia="SimSun" w:cs="Arial"/>
                <w:sz w:val="20"/>
                <w:lang w:val="es-AR" w:eastAsia="zh-CN"/>
              </w:rPr>
              <w:t>/201</w:t>
            </w:r>
            <w:r>
              <w:rPr>
                <w:rFonts w:eastAsia="SimSun" w:cs="Arial"/>
                <w:sz w:val="20"/>
                <w:lang w:val="es-AR" w:eastAsia="zh-CN"/>
              </w:rPr>
              <w:t>3</w:t>
            </w:r>
          </w:p>
        </w:tc>
        <w:tc>
          <w:tcPr>
            <w:tcW w:w="7650" w:type="dxa"/>
            <w:tcBorders>
              <w:right w:val="single" w:sz="12" w:space="0" w:color="auto"/>
            </w:tcBorders>
            <w:shd w:val="clear" w:color="auto" w:fill="auto"/>
            <w:vAlign w:val="center"/>
          </w:tcPr>
          <w:p w:rsidR="00C5022D" w:rsidRPr="007226D7" w:rsidRDefault="003142BB" w:rsidP="00724CCF">
            <w:pPr>
              <w:spacing w:after="0"/>
              <w:jc w:val="center"/>
              <w:rPr>
                <w:rFonts w:eastAsia="SimSun" w:cs="Arial"/>
                <w:sz w:val="20"/>
                <w:lang w:val="es-AR" w:eastAsia="zh-CN"/>
              </w:rPr>
            </w:pPr>
            <w:r>
              <w:rPr>
                <w:rFonts w:eastAsia="SimSun" w:cs="Arial"/>
                <w:sz w:val="20"/>
                <w:lang w:val="es-AR" w:eastAsia="zh-CN"/>
              </w:rPr>
              <w:t xml:space="preserve">Revision según Oficio N° 033-2013-MTC/09 </w:t>
            </w:r>
          </w:p>
        </w:tc>
      </w:tr>
      <w:tr w:rsidR="00CB734F" w:rsidRPr="007226D7" w:rsidTr="00B760E6">
        <w:trPr>
          <w:trHeight w:val="315"/>
        </w:trPr>
        <w:tc>
          <w:tcPr>
            <w:tcW w:w="578" w:type="dxa"/>
            <w:tcBorders>
              <w:left w:val="single" w:sz="12" w:space="0" w:color="auto"/>
              <w:bottom w:val="single" w:sz="12" w:space="0" w:color="auto"/>
            </w:tcBorders>
            <w:shd w:val="clear" w:color="auto" w:fill="auto"/>
            <w:vAlign w:val="center"/>
          </w:tcPr>
          <w:p w:rsidR="00CB734F" w:rsidRPr="007226D7" w:rsidRDefault="00CB734F" w:rsidP="00B760E6">
            <w:pPr>
              <w:spacing w:after="0"/>
              <w:jc w:val="center"/>
              <w:rPr>
                <w:rFonts w:eastAsia="SimSun" w:cs="Arial"/>
                <w:sz w:val="20"/>
                <w:lang w:val="es-AR" w:eastAsia="zh-CN"/>
              </w:rPr>
            </w:pPr>
            <w:r w:rsidRPr="007226D7">
              <w:rPr>
                <w:rFonts w:eastAsia="SimSun" w:cs="Arial"/>
                <w:sz w:val="20"/>
                <w:lang w:val="es-AR" w:eastAsia="zh-CN"/>
              </w:rPr>
              <w:t>0</w:t>
            </w:r>
          </w:p>
        </w:tc>
        <w:tc>
          <w:tcPr>
            <w:tcW w:w="1143" w:type="dxa"/>
            <w:tcBorders>
              <w:bottom w:val="single" w:sz="12" w:space="0" w:color="auto"/>
            </w:tcBorders>
            <w:shd w:val="clear" w:color="auto" w:fill="auto"/>
            <w:vAlign w:val="center"/>
          </w:tcPr>
          <w:p w:rsidR="00CB734F" w:rsidRPr="007226D7" w:rsidRDefault="00F04F43" w:rsidP="00947A5E">
            <w:pPr>
              <w:spacing w:after="0"/>
              <w:jc w:val="center"/>
              <w:rPr>
                <w:rFonts w:eastAsia="SimSun" w:cs="Arial"/>
                <w:sz w:val="20"/>
                <w:lang w:val="es-AR" w:eastAsia="zh-CN"/>
              </w:rPr>
            </w:pPr>
            <w:r w:rsidRPr="007226D7">
              <w:rPr>
                <w:rFonts w:eastAsia="SimSun" w:cs="Arial"/>
                <w:sz w:val="20"/>
                <w:lang w:val="es-AR" w:eastAsia="zh-CN"/>
              </w:rPr>
              <w:t>1</w:t>
            </w:r>
            <w:r w:rsidR="00947A5E" w:rsidRPr="007226D7">
              <w:rPr>
                <w:rFonts w:eastAsia="SimSun" w:cs="Arial"/>
                <w:sz w:val="20"/>
                <w:lang w:val="es-AR" w:eastAsia="zh-CN"/>
              </w:rPr>
              <w:t>3</w:t>
            </w:r>
            <w:r w:rsidRPr="007226D7">
              <w:rPr>
                <w:rFonts w:eastAsia="SimSun" w:cs="Arial"/>
                <w:sz w:val="20"/>
                <w:lang w:val="es-AR" w:eastAsia="zh-CN"/>
              </w:rPr>
              <w:t>/12</w:t>
            </w:r>
            <w:r w:rsidR="009021A6" w:rsidRPr="007226D7">
              <w:rPr>
                <w:rFonts w:eastAsia="SimSun" w:cs="Arial"/>
                <w:sz w:val="20"/>
                <w:lang w:val="es-AR" w:eastAsia="zh-CN"/>
              </w:rPr>
              <w:t>/2012</w:t>
            </w:r>
          </w:p>
        </w:tc>
        <w:tc>
          <w:tcPr>
            <w:tcW w:w="7650" w:type="dxa"/>
            <w:tcBorders>
              <w:bottom w:val="single" w:sz="12" w:space="0" w:color="auto"/>
              <w:right w:val="single" w:sz="12" w:space="0" w:color="auto"/>
            </w:tcBorders>
            <w:shd w:val="clear" w:color="auto" w:fill="auto"/>
            <w:vAlign w:val="center"/>
          </w:tcPr>
          <w:p w:rsidR="00CB734F" w:rsidRPr="007226D7" w:rsidRDefault="00CB734F" w:rsidP="00B760E6">
            <w:pPr>
              <w:spacing w:after="0"/>
              <w:jc w:val="center"/>
              <w:rPr>
                <w:rFonts w:eastAsia="SimSun" w:cs="Arial"/>
                <w:sz w:val="20"/>
                <w:lang w:val="es-AR" w:eastAsia="zh-CN"/>
              </w:rPr>
            </w:pPr>
            <w:r w:rsidRPr="007226D7">
              <w:rPr>
                <w:rFonts w:eastAsia="SimSun" w:cs="Arial"/>
                <w:sz w:val="20"/>
                <w:lang w:val="es-AR" w:eastAsia="zh-CN"/>
              </w:rPr>
              <w:t>Emisión</w:t>
            </w:r>
          </w:p>
        </w:tc>
      </w:tr>
    </w:tbl>
    <w:p w:rsidR="00CB734F" w:rsidRPr="007226D7" w:rsidRDefault="00CB734F" w:rsidP="00CB734F">
      <w:pPr>
        <w:pStyle w:val="Primapagina"/>
        <w:spacing w:after="0"/>
        <w:jc w:val="center"/>
        <w:rPr>
          <w:sz w:val="16"/>
          <w:szCs w:val="16"/>
          <w:lang w:val="es-AR"/>
        </w:rPr>
      </w:pP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90"/>
        <w:gridCol w:w="3190"/>
        <w:gridCol w:w="3047"/>
      </w:tblGrid>
      <w:tr w:rsidR="00CB734F" w:rsidRPr="007226D7" w:rsidTr="009021A6">
        <w:trPr>
          <w:trHeight w:val="300"/>
        </w:trPr>
        <w:tc>
          <w:tcPr>
            <w:tcW w:w="1692" w:type="pct"/>
            <w:tcBorders>
              <w:top w:val="single" w:sz="12" w:space="0" w:color="auto"/>
              <w:left w:val="single" w:sz="12" w:space="0" w:color="auto"/>
              <w:bottom w:val="single" w:sz="4"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Ejecutado por CONSORCIO</w:t>
            </w:r>
          </w:p>
        </w:tc>
        <w:tc>
          <w:tcPr>
            <w:tcW w:w="1692" w:type="pct"/>
            <w:tcBorders>
              <w:top w:val="single" w:sz="12" w:space="0" w:color="auto"/>
              <w:bottom w:val="single" w:sz="4" w:space="0" w:color="auto"/>
            </w:tcBorders>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Verificado por PROINVERSION</w:t>
            </w:r>
          </w:p>
        </w:tc>
        <w:tc>
          <w:tcPr>
            <w:tcW w:w="1616" w:type="pct"/>
            <w:tcBorders>
              <w:top w:val="single" w:sz="12" w:space="0" w:color="auto"/>
              <w:bottom w:val="single" w:sz="4" w:space="0" w:color="auto"/>
              <w:right w:val="single" w:sz="12" w:space="0" w:color="auto"/>
            </w:tcBorders>
            <w:shd w:val="clear" w:color="auto" w:fill="auto"/>
            <w:vAlign w:val="center"/>
          </w:tcPr>
          <w:p w:rsidR="00CB734F" w:rsidRPr="007226D7" w:rsidRDefault="00CB734F" w:rsidP="00B760E6">
            <w:pPr>
              <w:spacing w:after="0"/>
              <w:jc w:val="center"/>
              <w:rPr>
                <w:rFonts w:eastAsia="SimSun" w:cs="Arial"/>
                <w:b/>
                <w:sz w:val="18"/>
                <w:szCs w:val="18"/>
                <w:lang w:val="es-AR" w:eastAsia="zh-CN"/>
              </w:rPr>
            </w:pPr>
            <w:r w:rsidRPr="007226D7">
              <w:rPr>
                <w:rFonts w:eastAsia="SimSun" w:cs="Arial"/>
                <w:b/>
                <w:sz w:val="18"/>
                <w:szCs w:val="18"/>
                <w:lang w:val="es-AR" w:eastAsia="zh-CN"/>
              </w:rPr>
              <w:t>Aprobado por ATTE- MTC</w:t>
            </w:r>
          </w:p>
        </w:tc>
      </w:tr>
      <w:tr w:rsidR="009021A6" w:rsidRPr="007226D7" w:rsidTr="009021A6">
        <w:trPr>
          <w:trHeight w:val="301"/>
        </w:trPr>
        <w:tc>
          <w:tcPr>
            <w:tcW w:w="1692" w:type="pct"/>
            <w:tcBorders>
              <w:left w:val="single" w:sz="12" w:space="0" w:color="auto"/>
              <w:bottom w:val="nil"/>
            </w:tcBorders>
            <w:shd w:val="clear" w:color="auto" w:fill="auto"/>
            <w:vAlign w:val="center"/>
          </w:tcPr>
          <w:p w:rsidR="009021A6" w:rsidRPr="007226D7" w:rsidRDefault="009021A6" w:rsidP="005E244E">
            <w:pPr>
              <w:spacing w:after="0"/>
              <w:jc w:val="left"/>
              <w:rPr>
                <w:rFonts w:eastAsia="SimSun" w:cs="Arial"/>
                <w:sz w:val="20"/>
                <w:lang w:val="es-AR" w:eastAsia="zh-CN"/>
              </w:rPr>
            </w:pPr>
            <w:r w:rsidRPr="007226D7">
              <w:rPr>
                <w:rFonts w:eastAsia="SimSun" w:cs="Arial"/>
                <w:sz w:val="20"/>
                <w:lang w:val="es-AR" w:eastAsia="zh-CN"/>
              </w:rPr>
              <w:t xml:space="preserve">EJECUTÓ: </w:t>
            </w:r>
            <w:r w:rsidR="00F04F43" w:rsidRPr="007226D7">
              <w:rPr>
                <w:rFonts w:eastAsia="SimSun" w:cs="Arial"/>
                <w:sz w:val="20"/>
                <w:lang w:val="es-AR" w:eastAsia="zh-CN"/>
              </w:rPr>
              <w:t>Claudio Minelli</w:t>
            </w:r>
          </w:p>
        </w:tc>
        <w:tc>
          <w:tcPr>
            <w:tcW w:w="1692" w:type="pct"/>
            <w:tcBorders>
              <w:bottom w:val="nil"/>
            </w:tcBorders>
            <w:vAlign w:val="center"/>
          </w:tcPr>
          <w:p w:rsidR="009021A6" w:rsidRPr="007226D7" w:rsidRDefault="009021A6" w:rsidP="00B760E6">
            <w:pPr>
              <w:spacing w:after="0"/>
              <w:jc w:val="center"/>
              <w:rPr>
                <w:rFonts w:eastAsia="SimSun" w:cs="Arial"/>
                <w:sz w:val="20"/>
                <w:lang w:val="es-AR" w:eastAsia="zh-CN"/>
              </w:rPr>
            </w:pPr>
          </w:p>
        </w:tc>
        <w:tc>
          <w:tcPr>
            <w:tcW w:w="1616" w:type="pct"/>
            <w:tcBorders>
              <w:bottom w:val="nil"/>
              <w:right w:val="single" w:sz="12" w:space="0" w:color="auto"/>
            </w:tcBorders>
            <w:shd w:val="clear" w:color="auto" w:fill="auto"/>
            <w:vAlign w:val="center"/>
          </w:tcPr>
          <w:p w:rsidR="009021A6" w:rsidRPr="007226D7" w:rsidRDefault="009021A6" w:rsidP="00B760E6">
            <w:pPr>
              <w:spacing w:after="0"/>
              <w:jc w:val="center"/>
              <w:rPr>
                <w:rFonts w:eastAsia="SimSun" w:cs="Arial"/>
                <w:sz w:val="20"/>
                <w:lang w:val="es-AR" w:eastAsia="zh-CN"/>
              </w:rPr>
            </w:pPr>
          </w:p>
        </w:tc>
      </w:tr>
      <w:tr w:rsidR="009021A6" w:rsidRPr="007226D7" w:rsidTr="009021A6">
        <w:trPr>
          <w:trHeight w:val="300"/>
        </w:trPr>
        <w:tc>
          <w:tcPr>
            <w:tcW w:w="1692" w:type="pct"/>
            <w:tcBorders>
              <w:top w:val="nil"/>
              <w:left w:val="single" w:sz="12" w:space="0" w:color="auto"/>
              <w:bottom w:val="nil"/>
            </w:tcBorders>
            <w:shd w:val="clear" w:color="auto" w:fill="auto"/>
            <w:vAlign w:val="center"/>
          </w:tcPr>
          <w:p w:rsidR="009021A6" w:rsidRPr="007226D7" w:rsidRDefault="009021A6" w:rsidP="005E244E">
            <w:pPr>
              <w:spacing w:after="0"/>
              <w:jc w:val="left"/>
              <w:rPr>
                <w:rFonts w:eastAsia="SimSun" w:cs="Arial"/>
                <w:sz w:val="20"/>
                <w:lang w:val="es-AR" w:eastAsia="zh-CN"/>
              </w:rPr>
            </w:pPr>
            <w:r w:rsidRPr="007226D7">
              <w:rPr>
                <w:rFonts w:eastAsia="SimSun" w:cs="Arial"/>
                <w:sz w:val="20"/>
                <w:lang w:val="es-AR" w:eastAsia="zh-CN"/>
              </w:rPr>
              <w:t xml:space="preserve">REVISÓ: </w:t>
            </w:r>
            <w:r w:rsidR="00F04F43" w:rsidRPr="007226D7">
              <w:rPr>
                <w:rFonts w:eastAsia="SimSun" w:cs="Arial"/>
                <w:sz w:val="20"/>
                <w:lang w:val="es-AR" w:eastAsia="zh-CN"/>
              </w:rPr>
              <w:t>Davide Boazzi</w:t>
            </w:r>
          </w:p>
        </w:tc>
        <w:tc>
          <w:tcPr>
            <w:tcW w:w="1692" w:type="pct"/>
            <w:tcBorders>
              <w:top w:val="nil"/>
              <w:bottom w:val="nil"/>
            </w:tcBorders>
            <w:vAlign w:val="center"/>
          </w:tcPr>
          <w:p w:rsidR="009021A6" w:rsidRPr="007226D7" w:rsidRDefault="009021A6" w:rsidP="00B760E6">
            <w:pPr>
              <w:spacing w:after="0"/>
              <w:jc w:val="center"/>
              <w:rPr>
                <w:rFonts w:eastAsia="SimSun" w:cs="Arial"/>
                <w:sz w:val="20"/>
                <w:lang w:val="es-AR" w:eastAsia="zh-CN"/>
              </w:rPr>
            </w:pPr>
          </w:p>
        </w:tc>
        <w:tc>
          <w:tcPr>
            <w:tcW w:w="1616" w:type="pct"/>
            <w:tcBorders>
              <w:top w:val="nil"/>
              <w:bottom w:val="nil"/>
              <w:right w:val="single" w:sz="12" w:space="0" w:color="auto"/>
            </w:tcBorders>
            <w:shd w:val="clear" w:color="auto" w:fill="auto"/>
            <w:vAlign w:val="center"/>
          </w:tcPr>
          <w:p w:rsidR="009021A6" w:rsidRPr="007226D7" w:rsidRDefault="009021A6" w:rsidP="00B760E6">
            <w:pPr>
              <w:spacing w:after="0"/>
              <w:jc w:val="center"/>
              <w:rPr>
                <w:rFonts w:eastAsia="SimSun" w:cs="Arial"/>
                <w:sz w:val="20"/>
                <w:lang w:val="es-AR" w:eastAsia="zh-CN"/>
              </w:rPr>
            </w:pPr>
          </w:p>
        </w:tc>
      </w:tr>
      <w:tr w:rsidR="009021A6" w:rsidRPr="007226D7" w:rsidTr="009021A6">
        <w:trPr>
          <w:trHeight w:val="301"/>
        </w:trPr>
        <w:tc>
          <w:tcPr>
            <w:tcW w:w="1692" w:type="pct"/>
            <w:tcBorders>
              <w:top w:val="nil"/>
              <w:left w:val="single" w:sz="12" w:space="0" w:color="auto"/>
              <w:bottom w:val="single" w:sz="12" w:space="0" w:color="auto"/>
            </w:tcBorders>
            <w:shd w:val="clear" w:color="auto" w:fill="auto"/>
            <w:vAlign w:val="center"/>
          </w:tcPr>
          <w:p w:rsidR="009021A6" w:rsidRPr="007226D7" w:rsidRDefault="009021A6" w:rsidP="005E244E">
            <w:pPr>
              <w:jc w:val="left"/>
            </w:pPr>
            <w:r w:rsidRPr="007226D7">
              <w:rPr>
                <w:rFonts w:eastAsia="SimSun" w:cs="Arial"/>
                <w:sz w:val="20"/>
                <w:lang w:val="es-AR" w:eastAsia="zh-CN"/>
              </w:rPr>
              <w:t xml:space="preserve">APROBÓ: </w:t>
            </w:r>
            <w:r w:rsidR="00F04F43" w:rsidRPr="007226D7">
              <w:rPr>
                <w:rFonts w:eastAsia="SimSun" w:cs="Arial"/>
                <w:sz w:val="20"/>
                <w:lang w:val="es-AR" w:eastAsia="zh-CN"/>
              </w:rPr>
              <w:t>Nikos Kazilis</w:t>
            </w:r>
          </w:p>
        </w:tc>
        <w:tc>
          <w:tcPr>
            <w:tcW w:w="1692" w:type="pct"/>
            <w:tcBorders>
              <w:top w:val="nil"/>
              <w:bottom w:val="single" w:sz="12" w:space="0" w:color="auto"/>
            </w:tcBorders>
            <w:vAlign w:val="center"/>
          </w:tcPr>
          <w:p w:rsidR="009021A6" w:rsidRPr="007226D7" w:rsidRDefault="009021A6" w:rsidP="00B760E6">
            <w:pPr>
              <w:spacing w:after="0"/>
              <w:jc w:val="center"/>
              <w:rPr>
                <w:rFonts w:eastAsia="SimSun" w:cs="Arial"/>
                <w:sz w:val="18"/>
                <w:szCs w:val="18"/>
                <w:lang w:val="es-AR" w:eastAsia="zh-CN"/>
              </w:rPr>
            </w:pPr>
          </w:p>
        </w:tc>
        <w:tc>
          <w:tcPr>
            <w:tcW w:w="1616" w:type="pct"/>
            <w:tcBorders>
              <w:top w:val="nil"/>
              <w:bottom w:val="single" w:sz="12" w:space="0" w:color="auto"/>
              <w:right w:val="single" w:sz="12" w:space="0" w:color="auto"/>
            </w:tcBorders>
            <w:shd w:val="clear" w:color="auto" w:fill="auto"/>
            <w:vAlign w:val="center"/>
          </w:tcPr>
          <w:p w:rsidR="009021A6" w:rsidRPr="007226D7" w:rsidRDefault="009021A6" w:rsidP="00B760E6">
            <w:pPr>
              <w:spacing w:after="0"/>
              <w:jc w:val="center"/>
              <w:rPr>
                <w:rFonts w:eastAsia="SimSun" w:cs="Arial"/>
                <w:sz w:val="18"/>
                <w:szCs w:val="18"/>
                <w:lang w:val="es-AR" w:eastAsia="zh-CN"/>
              </w:rPr>
            </w:pPr>
          </w:p>
        </w:tc>
      </w:tr>
    </w:tbl>
    <w:p w:rsidR="008B4AD4" w:rsidRPr="007226D7" w:rsidRDefault="008B4AD4" w:rsidP="00670EC2">
      <w:pPr>
        <w:jc w:val="center"/>
      </w:pPr>
    </w:p>
    <w:p w:rsidR="006140B0" w:rsidRPr="007226D7" w:rsidRDefault="006140B0" w:rsidP="00670EC2">
      <w:pPr>
        <w:jc w:val="center"/>
      </w:pPr>
    </w:p>
    <w:p w:rsidR="006140B0" w:rsidRPr="007226D7" w:rsidRDefault="006140B0" w:rsidP="00670EC2">
      <w:pPr>
        <w:jc w:val="center"/>
        <w:sectPr w:rsidR="006140B0" w:rsidRPr="007226D7" w:rsidSect="00FB02F6">
          <w:headerReference w:type="default" r:id="rId14"/>
          <w:footerReference w:type="default" r:id="rId15"/>
          <w:headerReference w:type="first" r:id="rId16"/>
          <w:footerReference w:type="first" r:id="rId17"/>
          <w:pgSz w:w="11907" w:h="16840" w:code="9"/>
          <w:pgMar w:top="1985" w:right="1134" w:bottom="1701" w:left="1418" w:header="720" w:footer="833" w:gutter="0"/>
          <w:paperSrc w:first="15" w:other="15"/>
          <w:pgNumType w:start="2"/>
          <w:cols w:space="720"/>
          <w:titlePg/>
          <w:docGrid w:linePitch="299"/>
        </w:sectPr>
      </w:pPr>
    </w:p>
    <w:p w:rsidR="000A68E3" w:rsidRPr="007226D7" w:rsidRDefault="005B5FEF" w:rsidP="005B5FEF">
      <w:pPr>
        <w:jc w:val="center"/>
        <w:rPr>
          <w:b/>
          <w:sz w:val="28"/>
          <w:szCs w:val="28"/>
          <w:lang w:val="es-PE"/>
        </w:rPr>
      </w:pPr>
      <w:r w:rsidRPr="007226D7">
        <w:rPr>
          <w:b/>
          <w:sz w:val="28"/>
          <w:szCs w:val="28"/>
          <w:lang w:val="es-PE"/>
        </w:rPr>
        <w:lastRenderedPageBreak/>
        <w:t>INDICE</w:t>
      </w:r>
    </w:p>
    <w:p w:rsidR="005B5FEF" w:rsidRPr="007226D7" w:rsidRDefault="005B5FEF">
      <w:pPr>
        <w:rPr>
          <w:lang w:val="es-PE"/>
        </w:rPr>
      </w:pPr>
    </w:p>
    <w:sdt>
      <w:sdtPr>
        <w:rPr>
          <w:b w:val="0"/>
          <w:bCs w:val="0"/>
          <w:caps w:val="0"/>
          <w:sz w:val="22"/>
          <w:szCs w:val="20"/>
        </w:rPr>
        <w:id w:val="203104632"/>
        <w:docPartObj>
          <w:docPartGallery w:val="Table of Contents"/>
          <w:docPartUnique/>
        </w:docPartObj>
      </w:sdtPr>
      <w:sdtEndPr>
        <w:rPr>
          <w:lang w:val="es-PE"/>
        </w:rPr>
      </w:sdtEndPr>
      <w:sdtContent>
        <w:p w:rsidR="0023304D" w:rsidRDefault="00B16923">
          <w:pPr>
            <w:pStyle w:val="TOC1"/>
            <w:tabs>
              <w:tab w:val="left" w:pos="480"/>
              <w:tab w:val="right" w:leader="dot" w:pos="9345"/>
            </w:tabs>
            <w:rPr>
              <w:rFonts w:asciiTheme="minorHAnsi" w:eastAsiaTheme="minorEastAsia" w:hAnsiTheme="minorHAnsi" w:cstheme="minorBidi"/>
              <w:b w:val="0"/>
              <w:bCs w:val="0"/>
              <w:caps w:val="0"/>
              <w:noProof/>
              <w:sz w:val="22"/>
              <w:szCs w:val="22"/>
            </w:rPr>
          </w:pPr>
          <w:r w:rsidRPr="007226D7">
            <w:rPr>
              <w:b w:val="0"/>
              <w:bCs w:val="0"/>
              <w:caps w:val="0"/>
              <w:lang w:val="es-PE"/>
            </w:rPr>
            <w:fldChar w:fldCharType="begin"/>
          </w:r>
          <w:r w:rsidR="005B5FEF" w:rsidRPr="007226D7">
            <w:rPr>
              <w:b w:val="0"/>
              <w:bCs w:val="0"/>
              <w:caps w:val="0"/>
              <w:lang w:val="es-PE"/>
            </w:rPr>
            <w:instrText xml:space="preserve"> TOC \o "1-3" \h \z \u </w:instrText>
          </w:r>
          <w:r w:rsidRPr="007226D7">
            <w:rPr>
              <w:b w:val="0"/>
              <w:bCs w:val="0"/>
              <w:caps w:val="0"/>
              <w:lang w:val="es-PE"/>
            </w:rPr>
            <w:fldChar w:fldCharType="separate"/>
          </w:r>
          <w:hyperlink w:anchor="_Toc346541891" w:history="1">
            <w:r w:rsidR="0023304D" w:rsidRPr="00E328B0">
              <w:rPr>
                <w:rStyle w:val="Hyperlink"/>
                <w:noProof/>
                <w:lang w:val="es-PE"/>
              </w:rPr>
              <w:t>1</w:t>
            </w:r>
            <w:r w:rsidR="0023304D">
              <w:rPr>
                <w:rFonts w:asciiTheme="minorHAnsi" w:eastAsiaTheme="minorEastAsia" w:hAnsiTheme="minorHAnsi" w:cstheme="minorBidi"/>
                <w:b w:val="0"/>
                <w:bCs w:val="0"/>
                <w:caps w:val="0"/>
                <w:noProof/>
                <w:sz w:val="22"/>
                <w:szCs w:val="22"/>
              </w:rPr>
              <w:tab/>
            </w:r>
            <w:r w:rsidR="0023304D" w:rsidRPr="00E328B0">
              <w:rPr>
                <w:rStyle w:val="Hyperlink"/>
                <w:noProof/>
                <w:lang w:val="es-PE"/>
              </w:rPr>
              <w:t>RESUMEN EJECUTIVO</w:t>
            </w:r>
            <w:r w:rsidR="0023304D">
              <w:rPr>
                <w:noProof/>
                <w:webHidden/>
              </w:rPr>
              <w:tab/>
            </w:r>
            <w:r>
              <w:rPr>
                <w:noProof/>
                <w:webHidden/>
              </w:rPr>
              <w:fldChar w:fldCharType="begin"/>
            </w:r>
            <w:r w:rsidR="0023304D">
              <w:rPr>
                <w:noProof/>
                <w:webHidden/>
              </w:rPr>
              <w:instrText xml:space="preserve"> PAGEREF _Toc346541891 \h </w:instrText>
            </w:r>
            <w:r>
              <w:rPr>
                <w:noProof/>
                <w:webHidden/>
              </w:rPr>
            </w:r>
            <w:r>
              <w:rPr>
                <w:noProof/>
                <w:webHidden/>
              </w:rPr>
              <w:fldChar w:fldCharType="separate"/>
            </w:r>
            <w:r w:rsidR="003142BB">
              <w:rPr>
                <w:noProof/>
                <w:webHidden/>
              </w:rPr>
              <w:t>5</w:t>
            </w:r>
            <w:r>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2" w:history="1">
            <w:r w:rsidR="0023304D" w:rsidRPr="00E328B0">
              <w:rPr>
                <w:rStyle w:val="Hyperlink"/>
                <w:noProof/>
                <w:lang w:val="es-PE"/>
              </w:rPr>
              <w:t>1.1</w:t>
            </w:r>
            <w:r w:rsidR="0023304D">
              <w:rPr>
                <w:rFonts w:asciiTheme="minorHAnsi" w:eastAsiaTheme="minorEastAsia" w:hAnsiTheme="minorHAnsi" w:cstheme="minorBidi"/>
                <w:b w:val="0"/>
                <w:bCs w:val="0"/>
                <w:noProof/>
                <w:sz w:val="22"/>
                <w:szCs w:val="22"/>
              </w:rPr>
              <w:tab/>
            </w:r>
            <w:r w:rsidR="0023304D" w:rsidRPr="00E328B0">
              <w:rPr>
                <w:rStyle w:val="Hyperlink"/>
                <w:noProof/>
                <w:lang w:val="es-PE"/>
              </w:rPr>
              <w:t>Nombre del Proyecto</w:t>
            </w:r>
            <w:r w:rsidR="0023304D">
              <w:rPr>
                <w:noProof/>
                <w:webHidden/>
              </w:rPr>
              <w:tab/>
            </w:r>
            <w:r w:rsidR="00B16923">
              <w:rPr>
                <w:noProof/>
                <w:webHidden/>
              </w:rPr>
              <w:fldChar w:fldCharType="begin"/>
            </w:r>
            <w:r w:rsidR="0023304D">
              <w:rPr>
                <w:noProof/>
                <w:webHidden/>
              </w:rPr>
              <w:instrText xml:space="preserve"> PAGEREF _Toc346541892 \h </w:instrText>
            </w:r>
            <w:r w:rsidR="00B16923">
              <w:rPr>
                <w:noProof/>
                <w:webHidden/>
              </w:rPr>
            </w:r>
            <w:r w:rsidR="00B16923">
              <w:rPr>
                <w:noProof/>
                <w:webHidden/>
              </w:rPr>
              <w:fldChar w:fldCharType="separate"/>
            </w:r>
            <w:r w:rsidR="003142BB">
              <w:rPr>
                <w:noProof/>
                <w:webHidden/>
              </w:rPr>
              <w:t>5</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3" w:history="1">
            <w:r w:rsidR="0023304D" w:rsidRPr="00E328B0">
              <w:rPr>
                <w:rStyle w:val="Hyperlink"/>
                <w:noProof/>
                <w:lang w:val="es-PE"/>
              </w:rPr>
              <w:t>1.2</w:t>
            </w:r>
            <w:r w:rsidR="0023304D">
              <w:rPr>
                <w:rFonts w:asciiTheme="minorHAnsi" w:eastAsiaTheme="minorEastAsia" w:hAnsiTheme="minorHAnsi" w:cstheme="minorBidi"/>
                <w:b w:val="0"/>
                <w:bCs w:val="0"/>
                <w:noProof/>
                <w:sz w:val="22"/>
                <w:szCs w:val="22"/>
              </w:rPr>
              <w:tab/>
            </w:r>
            <w:r w:rsidR="0023304D" w:rsidRPr="00E328B0">
              <w:rPr>
                <w:rStyle w:val="Hyperlink"/>
                <w:noProof/>
                <w:lang w:val="es-PE"/>
              </w:rPr>
              <w:t>Objetivo del proyecto</w:t>
            </w:r>
            <w:r w:rsidR="0023304D">
              <w:rPr>
                <w:noProof/>
                <w:webHidden/>
              </w:rPr>
              <w:tab/>
            </w:r>
            <w:r w:rsidR="00B16923">
              <w:rPr>
                <w:noProof/>
                <w:webHidden/>
              </w:rPr>
              <w:fldChar w:fldCharType="begin"/>
            </w:r>
            <w:r w:rsidR="0023304D">
              <w:rPr>
                <w:noProof/>
                <w:webHidden/>
              </w:rPr>
              <w:instrText xml:space="preserve"> PAGEREF _Toc346541893 \h </w:instrText>
            </w:r>
            <w:r w:rsidR="00B16923">
              <w:rPr>
                <w:noProof/>
                <w:webHidden/>
              </w:rPr>
            </w:r>
            <w:r w:rsidR="00B16923">
              <w:rPr>
                <w:noProof/>
                <w:webHidden/>
              </w:rPr>
              <w:fldChar w:fldCharType="separate"/>
            </w:r>
            <w:r w:rsidR="003142BB">
              <w:rPr>
                <w:noProof/>
                <w:webHidden/>
              </w:rPr>
              <w:t>5</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894" w:history="1">
            <w:r w:rsidR="0023304D" w:rsidRPr="00E328B0">
              <w:rPr>
                <w:rStyle w:val="Hyperlink"/>
                <w:rFonts w:cs="Arial"/>
                <w:noProof/>
                <w:snapToGrid w:val="0"/>
                <w:w w:val="0"/>
                <w:lang w:val="es-PE"/>
              </w:rPr>
              <w:t>1.2.1</w:t>
            </w:r>
            <w:r w:rsidR="0023304D">
              <w:rPr>
                <w:rFonts w:asciiTheme="minorHAnsi" w:eastAsiaTheme="minorEastAsia" w:hAnsiTheme="minorHAnsi" w:cstheme="minorBidi"/>
                <w:noProof/>
                <w:sz w:val="22"/>
                <w:szCs w:val="22"/>
              </w:rPr>
              <w:tab/>
            </w:r>
            <w:r w:rsidR="0023304D" w:rsidRPr="00E328B0">
              <w:rPr>
                <w:rStyle w:val="Hyperlink"/>
                <w:noProof/>
                <w:lang w:val="es-PE"/>
              </w:rPr>
              <w:t>Objetivos específicos</w:t>
            </w:r>
            <w:r w:rsidR="0023304D">
              <w:rPr>
                <w:noProof/>
                <w:webHidden/>
              </w:rPr>
              <w:tab/>
            </w:r>
            <w:r w:rsidR="00B16923">
              <w:rPr>
                <w:noProof/>
                <w:webHidden/>
              </w:rPr>
              <w:fldChar w:fldCharType="begin"/>
            </w:r>
            <w:r w:rsidR="0023304D">
              <w:rPr>
                <w:noProof/>
                <w:webHidden/>
              </w:rPr>
              <w:instrText xml:space="preserve"> PAGEREF _Toc346541894 \h </w:instrText>
            </w:r>
            <w:r w:rsidR="00B16923">
              <w:rPr>
                <w:noProof/>
                <w:webHidden/>
              </w:rPr>
            </w:r>
            <w:r w:rsidR="00B16923">
              <w:rPr>
                <w:noProof/>
                <w:webHidden/>
              </w:rPr>
              <w:fldChar w:fldCharType="separate"/>
            </w:r>
            <w:r w:rsidR="003142BB">
              <w:rPr>
                <w:noProof/>
                <w:webHidden/>
              </w:rPr>
              <w:t>5</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5" w:history="1">
            <w:r w:rsidR="0023304D" w:rsidRPr="00E328B0">
              <w:rPr>
                <w:rStyle w:val="Hyperlink"/>
                <w:noProof/>
                <w:lang w:val="es-PE"/>
              </w:rPr>
              <w:t>1.3</w:t>
            </w:r>
            <w:r w:rsidR="0023304D">
              <w:rPr>
                <w:rFonts w:asciiTheme="minorHAnsi" w:eastAsiaTheme="minorEastAsia" w:hAnsiTheme="minorHAnsi" w:cstheme="minorBidi"/>
                <w:b w:val="0"/>
                <w:bCs w:val="0"/>
                <w:noProof/>
                <w:sz w:val="22"/>
                <w:szCs w:val="22"/>
              </w:rPr>
              <w:tab/>
            </w:r>
            <w:r w:rsidR="0023304D" w:rsidRPr="00E328B0">
              <w:rPr>
                <w:rStyle w:val="Hyperlink"/>
                <w:noProof/>
                <w:lang w:val="es-PE"/>
              </w:rPr>
              <w:t>Balance oferta y demanda de los bienes o servicios del proyecto</w:t>
            </w:r>
            <w:r w:rsidR="0023304D">
              <w:rPr>
                <w:noProof/>
                <w:webHidden/>
              </w:rPr>
              <w:tab/>
            </w:r>
            <w:r w:rsidR="00B16923">
              <w:rPr>
                <w:noProof/>
                <w:webHidden/>
              </w:rPr>
              <w:fldChar w:fldCharType="begin"/>
            </w:r>
            <w:r w:rsidR="0023304D">
              <w:rPr>
                <w:noProof/>
                <w:webHidden/>
              </w:rPr>
              <w:instrText xml:space="preserve"> PAGEREF _Toc346541895 \h </w:instrText>
            </w:r>
            <w:r w:rsidR="00B16923">
              <w:rPr>
                <w:noProof/>
                <w:webHidden/>
              </w:rPr>
            </w:r>
            <w:r w:rsidR="00B16923">
              <w:rPr>
                <w:noProof/>
                <w:webHidden/>
              </w:rPr>
              <w:fldChar w:fldCharType="separate"/>
            </w:r>
            <w:r w:rsidR="003142BB">
              <w:rPr>
                <w:noProof/>
                <w:webHidden/>
              </w:rPr>
              <w:t>5</w:t>
            </w:r>
            <w:r w:rsidR="00B16923">
              <w:rPr>
                <w:noProof/>
                <w:webHidden/>
              </w:rPr>
              <w:fldChar w:fldCharType="end"/>
            </w:r>
          </w:hyperlink>
        </w:p>
        <w:p w:rsidR="0023304D" w:rsidRDefault="00B45290">
          <w:pPr>
            <w:pStyle w:val="TOC1"/>
            <w:tabs>
              <w:tab w:val="left" w:pos="480"/>
              <w:tab w:val="right" w:leader="dot" w:pos="9345"/>
            </w:tabs>
            <w:rPr>
              <w:rFonts w:asciiTheme="minorHAnsi" w:eastAsiaTheme="minorEastAsia" w:hAnsiTheme="minorHAnsi" w:cstheme="minorBidi"/>
              <w:b w:val="0"/>
              <w:bCs w:val="0"/>
              <w:caps w:val="0"/>
              <w:noProof/>
              <w:sz w:val="22"/>
              <w:szCs w:val="22"/>
            </w:rPr>
          </w:pPr>
          <w:hyperlink w:anchor="_Toc346541896" w:history="1">
            <w:r w:rsidR="0023304D" w:rsidRPr="00E328B0">
              <w:rPr>
                <w:rStyle w:val="Hyperlink"/>
                <w:noProof/>
                <w:lang w:val="es-ES"/>
              </w:rPr>
              <w:t>2</w:t>
            </w:r>
            <w:r w:rsidR="0023304D">
              <w:rPr>
                <w:rFonts w:asciiTheme="minorHAnsi" w:eastAsiaTheme="minorEastAsia" w:hAnsiTheme="minorHAnsi" w:cstheme="minorBidi"/>
                <w:b w:val="0"/>
                <w:bCs w:val="0"/>
                <w:caps w:val="0"/>
                <w:noProof/>
                <w:sz w:val="22"/>
                <w:szCs w:val="22"/>
              </w:rPr>
              <w:tab/>
            </w:r>
            <w:r w:rsidR="0023304D" w:rsidRPr="00E328B0">
              <w:rPr>
                <w:rStyle w:val="Hyperlink"/>
                <w:noProof/>
                <w:lang w:val="es-ES"/>
              </w:rPr>
              <w:t>ASPECTOS GENERALES</w:t>
            </w:r>
            <w:r w:rsidR="0023304D">
              <w:rPr>
                <w:noProof/>
                <w:webHidden/>
              </w:rPr>
              <w:tab/>
            </w:r>
            <w:r w:rsidR="00B16923">
              <w:rPr>
                <w:noProof/>
                <w:webHidden/>
              </w:rPr>
              <w:fldChar w:fldCharType="begin"/>
            </w:r>
            <w:r w:rsidR="0023304D">
              <w:rPr>
                <w:noProof/>
                <w:webHidden/>
              </w:rPr>
              <w:instrText xml:space="preserve"> PAGEREF _Toc346541896 \h </w:instrText>
            </w:r>
            <w:r w:rsidR="00B16923">
              <w:rPr>
                <w:noProof/>
                <w:webHidden/>
              </w:rPr>
            </w:r>
            <w:r w:rsidR="00B16923">
              <w:rPr>
                <w:noProof/>
                <w:webHidden/>
              </w:rPr>
              <w:fldChar w:fldCharType="separate"/>
            </w:r>
            <w:r w:rsidR="003142BB">
              <w:rPr>
                <w:noProof/>
                <w:webHidden/>
              </w:rPr>
              <w:t>11</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7" w:history="1">
            <w:r w:rsidR="0023304D" w:rsidRPr="00E328B0">
              <w:rPr>
                <w:rStyle w:val="Hyperlink"/>
                <w:noProof/>
                <w:lang w:val="es-ES"/>
              </w:rPr>
              <w:t>2.1</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Nombre del Proyecto</w:t>
            </w:r>
            <w:r w:rsidR="0023304D">
              <w:rPr>
                <w:noProof/>
                <w:webHidden/>
              </w:rPr>
              <w:tab/>
            </w:r>
            <w:r w:rsidR="00B16923">
              <w:rPr>
                <w:noProof/>
                <w:webHidden/>
              </w:rPr>
              <w:fldChar w:fldCharType="begin"/>
            </w:r>
            <w:r w:rsidR="0023304D">
              <w:rPr>
                <w:noProof/>
                <w:webHidden/>
              </w:rPr>
              <w:instrText xml:space="preserve"> PAGEREF _Toc346541897 \h </w:instrText>
            </w:r>
            <w:r w:rsidR="00B16923">
              <w:rPr>
                <w:noProof/>
                <w:webHidden/>
              </w:rPr>
            </w:r>
            <w:r w:rsidR="00B16923">
              <w:rPr>
                <w:noProof/>
                <w:webHidden/>
              </w:rPr>
              <w:fldChar w:fldCharType="separate"/>
            </w:r>
            <w:r w:rsidR="003142BB">
              <w:rPr>
                <w:noProof/>
                <w:webHidden/>
              </w:rPr>
              <w:t>11</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8" w:history="1">
            <w:r w:rsidR="0023304D" w:rsidRPr="00E328B0">
              <w:rPr>
                <w:rStyle w:val="Hyperlink"/>
                <w:noProof/>
                <w:lang w:val="es-ES"/>
              </w:rPr>
              <w:t>2.2</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Localización</w:t>
            </w:r>
            <w:r w:rsidR="0023304D">
              <w:rPr>
                <w:noProof/>
                <w:webHidden/>
              </w:rPr>
              <w:tab/>
            </w:r>
            <w:r w:rsidR="00B16923">
              <w:rPr>
                <w:noProof/>
                <w:webHidden/>
              </w:rPr>
              <w:fldChar w:fldCharType="begin"/>
            </w:r>
            <w:r w:rsidR="0023304D">
              <w:rPr>
                <w:noProof/>
                <w:webHidden/>
              </w:rPr>
              <w:instrText xml:space="preserve"> PAGEREF _Toc346541898 \h </w:instrText>
            </w:r>
            <w:r w:rsidR="00B16923">
              <w:rPr>
                <w:noProof/>
                <w:webHidden/>
              </w:rPr>
            </w:r>
            <w:r w:rsidR="00B16923">
              <w:rPr>
                <w:noProof/>
                <w:webHidden/>
              </w:rPr>
              <w:fldChar w:fldCharType="separate"/>
            </w:r>
            <w:r w:rsidR="003142BB">
              <w:rPr>
                <w:noProof/>
                <w:webHidden/>
              </w:rPr>
              <w:t>11</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899" w:history="1">
            <w:r w:rsidR="0023304D" w:rsidRPr="00E328B0">
              <w:rPr>
                <w:rStyle w:val="Hyperlink"/>
                <w:noProof/>
                <w:lang w:val="es-ES"/>
              </w:rPr>
              <w:t>2.3</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Unidad Formuladora y Unidad Ejecutora</w:t>
            </w:r>
            <w:r w:rsidR="0023304D">
              <w:rPr>
                <w:noProof/>
                <w:webHidden/>
              </w:rPr>
              <w:tab/>
            </w:r>
            <w:r w:rsidR="00B16923">
              <w:rPr>
                <w:noProof/>
                <w:webHidden/>
              </w:rPr>
              <w:fldChar w:fldCharType="begin"/>
            </w:r>
            <w:r w:rsidR="0023304D">
              <w:rPr>
                <w:noProof/>
                <w:webHidden/>
              </w:rPr>
              <w:instrText xml:space="preserve"> PAGEREF _Toc346541899 \h </w:instrText>
            </w:r>
            <w:r w:rsidR="00B16923">
              <w:rPr>
                <w:noProof/>
                <w:webHidden/>
              </w:rPr>
            </w:r>
            <w:r w:rsidR="00B16923">
              <w:rPr>
                <w:noProof/>
                <w:webHidden/>
              </w:rPr>
              <w:fldChar w:fldCharType="separate"/>
            </w:r>
            <w:r w:rsidR="003142BB">
              <w:rPr>
                <w:noProof/>
                <w:webHidden/>
              </w:rPr>
              <w:t>12</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0" w:history="1">
            <w:r w:rsidR="0023304D" w:rsidRPr="00E328B0">
              <w:rPr>
                <w:rStyle w:val="Hyperlink"/>
                <w:rFonts w:cs="Arial"/>
                <w:noProof/>
                <w:snapToGrid w:val="0"/>
                <w:w w:val="0"/>
                <w:lang w:val="es-ES"/>
              </w:rPr>
              <w:t>2.3.1</w:t>
            </w:r>
            <w:r w:rsidR="0023304D">
              <w:rPr>
                <w:rFonts w:asciiTheme="minorHAnsi" w:eastAsiaTheme="minorEastAsia" w:hAnsiTheme="minorHAnsi" w:cstheme="minorBidi"/>
                <w:noProof/>
                <w:sz w:val="22"/>
                <w:szCs w:val="22"/>
              </w:rPr>
              <w:tab/>
            </w:r>
            <w:r w:rsidR="0023304D" w:rsidRPr="00E328B0">
              <w:rPr>
                <w:rStyle w:val="Hyperlink"/>
                <w:noProof/>
                <w:lang w:val="es-ES"/>
              </w:rPr>
              <w:t>Unidad Formuladora</w:t>
            </w:r>
            <w:r w:rsidR="0023304D">
              <w:rPr>
                <w:noProof/>
                <w:webHidden/>
              </w:rPr>
              <w:tab/>
            </w:r>
            <w:r w:rsidR="00B16923">
              <w:rPr>
                <w:noProof/>
                <w:webHidden/>
              </w:rPr>
              <w:fldChar w:fldCharType="begin"/>
            </w:r>
            <w:r w:rsidR="0023304D">
              <w:rPr>
                <w:noProof/>
                <w:webHidden/>
              </w:rPr>
              <w:instrText xml:space="preserve"> PAGEREF _Toc346541900 \h </w:instrText>
            </w:r>
            <w:r w:rsidR="00B16923">
              <w:rPr>
                <w:noProof/>
                <w:webHidden/>
              </w:rPr>
            </w:r>
            <w:r w:rsidR="00B16923">
              <w:rPr>
                <w:noProof/>
                <w:webHidden/>
              </w:rPr>
              <w:fldChar w:fldCharType="separate"/>
            </w:r>
            <w:r w:rsidR="003142BB">
              <w:rPr>
                <w:noProof/>
                <w:webHidden/>
              </w:rPr>
              <w:t>12</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1" w:history="1">
            <w:r w:rsidR="0023304D" w:rsidRPr="00E328B0">
              <w:rPr>
                <w:rStyle w:val="Hyperlink"/>
                <w:rFonts w:cs="Arial"/>
                <w:noProof/>
                <w:snapToGrid w:val="0"/>
                <w:w w:val="0"/>
                <w:lang w:val="es-ES"/>
              </w:rPr>
              <w:t>2.3.2</w:t>
            </w:r>
            <w:r w:rsidR="0023304D">
              <w:rPr>
                <w:rFonts w:asciiTheme="minorHAnsi" w:eastAsiaTheme="minorEastAsia" w:hAnsiTheme="minorHAnsi" w:cstheme="minorBidi"/>
                <w:noProof/>
                <w:sz w:val="22"/>
                <w:szCs w:val="22"/>
              </w:rPr>
              <w:tab/>
            </w:r>
            <w:r w:rsidR="0023304D" w:rsidRPr="00E328B0">
              <w:rPr>
                <w:rStyle w:val="Hyperlink"/>
                <w:noProof/>
                <w:lang w:val="es-ES"/>
              </w:rPr>
              <w:t>Unidad Ejecutora</w:t>
            </w:r>
            <w:r w:rsidR="0023304D">
              <w:rPr>
                <w:noProof/>
                <w:webHidden/>
              </w:rPr>
              <w:tab/>
            </w:r>
            <w:r w:rsidR="00B16923">
              <w:rPr>
                <w:noProof/>
                <w:webHidden/>
              </w:rPr>
              <w:fldChar w:fldCharType="begin"/>
            </w:r>
            <w:r w:rsidR="0023304D">
              <w:rPr>
                <w:noProof/>
                <w:webHidden/>
              </w:rPr>
              <w:instrText xml:space="preserve"> PAGEREF _Toc346541901 \h </w:instrText>
            </w:r>
            <w:r w:rsidR="00B16923">
              <w:rPr>
                <w:noProof/>
                <w:webHidden/>
              </w:rPr>
            </w:r>
            <w:r w:rsidR="00B16923">
              <w:rPr>
                <w:noProof/>
                <w:webHidden/>
              </w:rPr>
              <w:fldChar w:fldCharType="separate"/>
            </w:r>
            <w:r w:rsidR="003142BB">
              <w:rPr>
                <w:noProof/>
                <w:webHidden/>
              </w:rPr>
              <w:t>12</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02" w:history="1">
            <w:r w:rsidR="0023304D" w:rsidRPr="00E328B0">
              <w:rPr>
                <w:rStyle w:val="Hyperlink"/>
                <w:noProof/>
                <w:lang w:val="es-ES"/>
              </w:rPr>
              <w:t>2.4</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Participación de los involucrados</w:t>
            </w:r>
            <w:r w:rsidR="0023304D">
              <w:rPr>
                <w:noProof/>
                <w:webHidden/>
              </w:rPr>
              <w:tab/>
            </w:r>
            <w:r w:rsidR="00B16923">
              <w:rPr>
                <w:noProof/>
                <w:webHidden/>
              </w:rPr>
              <w:fldChar w:fldCharType="begin"/>
            </w:r>
            <w:r w:rsidR="0023304D">
              <w:rPr>
                <w:noProof/>
                <w:webHidden/>
              </w:rPr>
              <w:instrText xml:space="preserve"> PAGEREF _Toc346541902 \h </w:instrText>
            </w:r>
            <w:r w:rsidR="00B16923">
              <w:rPr>
                <w:noProof/>
                <w:webHidden/>
              </w:rPr>
            </w:r>
            <w:r w:rsidR="00B16923">
              <w:rPr>
                <w:noProof/>
                <w:webHidden/>
              </w:rPr>
              <w:fldChar w:fldCharType="separate"/>
            </w:r>
            <w:r w:rsidR="003142BB">
              <w:rPr>
                <w:noProof/>
                <w:webHidden/>
              </w:rPr>
              <w:t>13</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3" w:history="1">
            <w:r w:rsidR="0023304D" w:rsidRPr="00E328B0">
              <w:rPr>
                <w:rStyle w:val="Hyperlink"/>
                <w:rFonts w:cs="Arial"/>
                <w:noProof/>
                <w:snapToGrid w:val="0"/>
                <w:w w:val="0"/>
                <w:lang w:val="es-ES"/>
              </w:rPr>
              <w:t>2.4.1</w:t>
            </w:r>
            <w:r w:rsidR="0023304D">
              <w:rPr>
                <w:rFonts w:asciiTheme="minorHAnsi" w:eastAsiaTheme="minorEastAsia" w:hAnsiTheme="minorHAnsi" w:cstheme="minorBidi"/>
                <w:noProof/>
                <w:sz w:val="22"/>
                <w:szCs w:val="22"/>
              </w:rPr>
              <w:tab/>
            </w:r>
            <w:r w:rsidR="0023304D" w:rsidRPr="00E328B0">
              <w:rPr>
                <w:rStyle w:val="Hyperlink"/>
                <w:noProof/>
                <w:lang w:val="es-ES"/>
              </w:rPr>
              <w:t>Instituciones involucradas en el Proyecto y su participación</w:t>
            </w:r>
            <w:r w:rsidR="0023304D">
              <w:rPr>
                <w:noProof/>
                <w:webHidden/>
              </w:rPr>
              <w:tab/>
            </w:r>
            <w:r w:rsidR="00B16923">
              <w:rPr>
                <w:noProof/>
                <w:webHidden/>
              </w:rPr>
              <w:fldChar w:fldCharType="begin"/>
            </w:r>
            <w:r w:rsidR="0023304D">
              <w:rPr>
                <w:noProof/>
                <w:webHidden/>
              </w:rPr>
              <w:instrText xml:space="preserve"> PAGEREF _Toc346541903 \h </w:instrText>
            </w:r>
            <w:r w:rsidR="00B16923">
              <w:rPr>
                <w:noProof/>
                <w:webHidden/>
              </w:rPr>
            </w:r>
            <w:r w:rsidR="00B16923">
              <w:rPr>
                <w:noProof/>
                <w:webHidden/>
              </w:rPr>
              <w:fldChar w:fldCharType="separate"/>
            </w:r>
            <w:r w:rsidR="003142BB">
              <w:rPr>
                <w:noProof/>
                <w:webHidden/>
              </w:rPr>
              <w:t>13</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4" w:history="1">
            <w:r w:rsidR="0023304D" w:rsidRPr="00E328B0">
              <w:rPr>
                <w:rStyle w:val="Hyperlink"/>
                <w:rFonts w:cs="Arial"/>
                <w:noProof/>
                <w:snapToGrid w:val="0"/>
                <w:w w:val="0"/>
                <w:lang w:val="es-ES"/>
              </w:rPr>
              <w:t>2.4.2</w:t>
            </w:r>
            <w:r w:rsidR="0023304D">
              <w:rPr>
                <w:rFonts w:asciiTheme="minorHAnsi" w:eastAsiaTheme="minorEastAsia" w:hAnsiTheme="minorHAnsi" w:cstheme="minorBidi"/>
                <w:noProof/>
                <w:sz w:val="22"/>
                <w:szCs w:val="22"/>
              </w:rPr>
              <w:tab/>
            </w:r>
            <w:r w:rsidR="0023304D" w:rsidRPr="00E328B0">
              <w:rPr>
                <w:rStyle w:val="Hyperlink"/>
                <w:noProof/>
                <w:lang w:val="es-ES"/>
              </w:rPr>
              <w:t>Población beneficiaria</w:t>
            </w:r>
            <w:r w:rsidR="0023304D">
              <w:rPr>
                <w:noProof/>
                <w:webHidden/>
              </w:rPr>
              <w:tab/>
            </w:r>
            <w:r w:rsidR="00B16923">
              <w:rPr>
                <w:noProof/>
                <w:webHidden/>
              </w:rPr>
              <w:fldChar w:fldCharType="begin"/>
            </w:r>
            <w:r w:rsidR="0023304D">
              <w:rPr>
                <w:noProof/>
                <w:webHidden/>
              </w:rPr>
              <w:instrText xml:space="preserve"> PAGEREF _Toc346541904 \h </w:instrText>
            </w:r>
            <w:r w:rsidR="00B16923">
              <w:rPr>
                <w:noProof/>
                <w:webHidden/>
              </w:rPr>
            </w:r>
            <w:r w:rsidR="00B16923">
              <w:rPr>
                <w:noProof/>
                <w:webHidden/>
              </w:rPr>
              <w:fldChar w:fldCharType="separate"/>
            </w:r>
            <w:r w:rsidR="003142BB">
              <w:rPr>
                <w:noProof/>
                <w:webHidden/>
              </w:rPr>
              <w:t>15</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05" w:history="1">
            <w:r w:rsidR="0023304D" w:rsidRPr="00E328B0">
              <w:rPr>
                <w:rStyle w:val="Hyperlink"/>
                <w:noProof/>
                <w:lang w:val="es-ES"/>
              </w:rPr>
              <w:t>2.5</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Marco de Referencia</w:t>
            </w:r>
            <w:r w:rsidR="0023304D">
              <w:rPr>
                <w:noProof/>
                <w:webHidden/>
              </w:rPr>
              <w:tab/>
            </w:r>
            <w:r w:rsidR="00B16923">
              <w:rPr>
                <w:noProof/>
                <w:webHidden/>
              </w:rPr>
              <w:fldChar w:fldCharType="begin"/>
            </w:r>
            <w:r w:rsidR="0023304D">
              <w:rPr>
                <w:noProof/>
                <w:webHidden/>
              </w:rPr>
              <w:instrText xml:space="preserve"> PAGEREF _Toc346541905 \h </w:instrText>
            </w:r>
            <w:r w:rsidR="00B16923">
              <w:rPr>
                <w:noProof/>
                <w:webHidden/>
              </w:rPr>
            </w:r>
            <w:r w:rsidR="00B16923">
              <w:rPr>
                <w:noProof/>
                <w:webHidden/>
              </w:rPr>
              <w:fldChar w:fldCharType="separate"/>
            </w:r>
            <w:r w:rsidR="003142BB">
              <w:rPr>
                <w:noProof/>
                <w:webHidden/>
              </w:rPr>
              <w:t>18</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6" w:history="1">
            <w:r w:rsidR="0023304D" w:rsidRPr="00E328B0">
              <w:rPr>
                <w:rStyle w:val="Hyperlink"/>
                <w:rFonts w:cs="Arial"/>
                <w:noProof/>
                <w:snapToGrid w:val="0"/>
                <w:w w:val="0"/>
                <w:lang w:val="es-ES"/>
              </w:rPr>
              <w:t>2.5.1</w:t>
            </w:r>
            <w:r w:rsidR="0023304D">
              <w:rPr>
                <w:rFonts w:asciiTheme="minorHAnsi" w:eastAsiaTheme="minorEastAsia" w:hAnsiTheme="minorHAnsi" w:cstheme="minorBidi"/>
                <w:noProof/>
                <w:sz w:val="22"/>
                <w:szCs w:val="22"/>
              </w:rPr>
              <w:tab/>
            </w:r>
            <w:r w:rsidR="0023304D" w:rsidRPr="00E328B0">
              <w:rPr>
                <w:rStyle w:val="Hyperlink"/>
                <w:noProof/>
                <w:lang w:val="es-ES"/>
              </w:rPr>
              <w:t>Aspectos Normativos</w:t>
            </w:r>
            <w:r w:rsidR="0023304D">
              <w:rPr>
                <w:noProof/>
                <w:webHidden/>
              </w:rPr>
              <w:tab/>
            </w:r>
            <w:r w:rsidR="00B16923">
              <w:rPr>
                <w:noProof/>
                <w:webHidden/>
              </w:rPr>
              <w:fldChar w:fldCharType="begin"/>
            </w:r>
            <w:r w:rsidR="0023304D">
              <w:rPr>
                <w:noProof/>
                <w:webHidden/>
              </w:rPr>
              <w:instrText xml:space="preserve"> PAGEREF _Toc346541906 \h </w:instrText>
            </w:r>
            <w:r w:rsidR="00B16923">
              <w:rPr>
                <w:noProof/>
                <w:webHidden/>
              </w:rPr>
            </w:r>
            <w:r w:rsidR="00B16923">
              <w:rPr>
                <w:noProof/>
                <w:webHidden/>
              </w:rPr>
              <w:fldChar w:fldCharType="separate"/>
            </w:r>
            <w:r w:rsidR="003142BB">
              <w:rPr>
                <w:noProof/>
                <w:webHidden/>
              </w:rPr>
              <w:t>18</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7" w:history="1">
            <w:r w:rsidR="0023304D" w:rsidRPr="00E328B0">
              <w:rPr>
                <w:rStyle w:val="Hyperlink"/>
                <w:rFonts w:cs="Arial"/>
                <w:noProof/>
                <w:snapToGrid w:val="0"/>
                <w:w w:val="0"/>
                <w:lang w:val="es-ES"/>
              </w:rPr>
              <w:t>2.5.2</w:t>
            </w:r>
            <w:r w:rsidR="0023304D">
              <w:rPr>
                <w:rFonts w:asciiTheme="minorHAnsi" w:eastAsiaTheme="minorEastAsia" w:hAnsiTheme="minorHAnsi" w:cstheme="minorBidi"/>
                <w:noProof/>
                <w:sz w:val="22"/>
                <w:szCs w:val="22"/>
              </w:rPr>
              <w:tab/>
            </w:r>
            <w:r w:rsidR="0023304D" w:rsidRPr="00E328B0">
              <w:rPr>
                <w:rStyle w:val="Hyperlink"/>
                <w:noProof/>
                <w:lang w:val="es-ES"/>
              </w:rPr>
              <w:t>Antecedentes del Proyecto</w:t>
            </w:r>
            <w:r w:rsidR="0023304D">
              <w:rPr>
                <w:noProof/>
                <w:webHidden/>
              </w:rPr>
              <w:tab/>
            </w:r>
            <w:r w:rsidR="00B16923">
              <w:rPr>
                <w:noProof/>
                <w:webHidden/>
              </w:rPr>
              <w:fldChar w:fldCharType="begin"/>
            </w:r>
            <w:r w:rsidR="0023304D">
              <w:rPr>
                <w:noProof/>
                <w:webHidden/>
              </w:rPr>
              <w:instrText xml:space="preserve"> PAGEREF _Toc346541907 \h </w:instrText>
            </w:r>
            <w:r w:rsidR="00B16923">
              <w:rPr>
                <w:noProof/>
                <w:webHidden/>
              </w:rPr>
            </w:r>
            <w:r w:rsidR="00B16923">
              <w:rPr>
                <w:noProof/>
                <w:webHidden/>
              </w:rPr>
              <w:fldChar w:fldCharType="separate"/>
            </w:r>
            <w:r w:rsidR="003142BB">
              <w:rPr>
                <w:noProof/>
                <w:webHidden/>
              </w:rPr>
              <w:t>20</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08" w:history="1">
            <w:r w:rsidR="0023304D" w:rsidRPr="00E328B0">
              <w:rPr>
                <w:rStyle w:val="Hyperlink"/>
                <w:rFonts w:cs="Arial"/>
                <w:noProof/>
                <w:snapToGrid w:val="0"/>
                <w:w w:val="0"/>
                <w:lang w:val="es-ES"/>
              </w:rPr>
              <w:t>2.5.3</w:t>
            </w:r>
            <w:r w:rsidR="0023304D">
              <w:rPr>
                <w:rFonts w:asciiTheme="minorHAnsi" w:eastAsiaTheme="minorEastAsia" w:hAnsiTheme="minorHAnsi" w:cstheme="minorBidi"/>
                <w:noProof/>
                <w:sz w:val="22"/>
                <w:szCs w:val="22"/>
              </w:rPr>
              <w:tab/>
            </w:r>
            <w:r w:rsidR="0023304D" w:rsidRPr="00E328B0">
              <w:rPr>
                <w:rStyle w:val="Hyperlink"/>
                <w:noProof/>
                <w:lang w:val="es-ES"/>
              </w:rPr>
              <w:t>Antecedentes de trazado del Proyecto Línea 2 del Metro</w:t>
            </w:r>
            <w:r w:rsidR="0023304D">
              <w:rPr>
                <w:noProof/>
                <w:webHidden/>
              </w:rPr>
              <w:tab/>
            </w:r>
            <w:r w:rsidR="00B16923">
              <w:rPr>
                <w:noProof/>
                <w:webHidden/>
              </w:rPr>
              <w:fldChar w:fldCharType="begin"/>
            </w:r>
            <w:r w:rsidR="0023304D">
              <w:rPr>
                <w:noProof/>
                <w:webHidden/>
              </w:rPr>
              <w:instrText xml:space="preserve"> PAGEREF _Toc346541908 \h </w:instrText>
            </w:r>
            <w:r w:rsidR="00B16923">
              <w:rPr>
                <w:noProof/>
                <w:webHidden/>
              </w:rPr>
            </w:r>
            <w:r w:rsidR="00B16923">
              <w:rPr>
                <w:noProof/>
                <w:webHidden/>
              </w:rPr>
              <w:fldChar w:fldCharType="separate"/>
            </w:r>
            <w:r w:rsidR="003142BB">
              <w:rPr>
                <w:noProof/>
                <w:webHidden/>
              </w:rPr>
              <w:t>25</w:t>
            </w:r>
            <w:r w:rsidR="00B16923">
              <w:rPr>
                <w:noProof/>
                <w:webHidden/>
              </w:rPr>
              <w:fldChar w:fldCharType="end"/>
            </w:r>
          </w:hyperlink>
        </w:p>
        <w:p w:rsidR="0023304D" w:rsidRDefault="00B45290">
          <w:pPr>
            <w:pStyle w:val="TOC1"/>
            <w:tabs>
              <w:tab w:val="left" w:pos="480"/>
              <w:tab w:val="right" w:leader="dot" w:pos="9345"/>
            </w:tabs>
            <w:rPr>
              <w:rFonts w:asciiTheme="minorHAnsi" w:eastAsiaTheme="minorEastAsia" w:hAnsiTheme="minorHAnsi" w:cstheme="minorBidi"/>
              <w:b w:val="0"/>
              <w:bCs w:val="0"/>
              <w:caps w:val="0"/>
              <w:noProof/>
              <w:sz w:val="22"/>
              <w:szCs w:val="22"/>
            </w:rPr>
          </w:pPr>
          <w:hyperlink w:anchor="_Toc346541909" w:history="1">
            <w:r w:rsidR="0023304D" w:rsidRPr="00E328B0">
              <w:rPr>
                <w:rStyle w:val="Hyperlink"/>
                <w:noProof/>
                <w:lang w:val="es-ES"/>
              </w:rPr>
              <w:t>3</w:t>
            </w:r>
            <w:r w:rsidR="0023304D">
              <w:rPr>
                <w:rFonts w:asciiTheme="minorHAnsi" w:eastAsiaTheme="minorEastAsia" w:hAnsiTheme="minorHAnsi" w:cstheme="minorBidi"/>
                <w:b w:val="0"/>
                <w:bCs w:val="0"/>
                <w:caps w:val="0"/>
                <w:noProof/>
                <w:sz w:val="22"/>
                <w:szCs w:val="22"/>
              </w:rPr>
              <w:tab/>
            </w:r>
            <w:r w:rsidR="0023304D" w:rsidRPr="00E328B0">
              <w:rPr>
                <w:rStyle w:val="Hyperlink"/>
                <w:noProof/>
                <w:lang w:val="es-ES"/>
              </w:rPr>
              <w:t>IDENTIFICACIÓN</w:t>
            </w:r>
            <w:r w:rsidR="0023304D">
              <w:rPr>
                <w:noProof/>
                <w:webHidden/>
              </w:rPr>
              <w:tab/>
            </w:r>
            <w:r w:rsidR="00B16923">
              <w:rPr>
                <w:noProof/>
                <w:webHidden/>
              </w:rPr>
              <w:fldChar w:fldCharType="begin"/>
            </w:r>
            <w:r w:rsidR="0023304D">
              <w:rPr>
                <w:noProof/>
                <w:webHidden/>
              </w:rPr>
              <w:instrText xml:space="preserve"> PAGEREF _Toc346541909 \h </w:instrText>
            </w:r>
            <w:r w:rsidR="00B16923">
              <w:rPr>
                <w:noProof/>
                <w:webHidden/>
              </w:rPr>
            </w:r>
            <w:r w:rsidR="00B16923">
              <w:rPr>
                <w:noProof/>
                <w:webHidden/>
              </w:rPr>
              <w:fldChar w:fldCharType="separate"/>
            </w:r>
            <w:r w:rsidR="003142BB">
              <w:rPr>
                <w:noProof/>
                <w:webHidden/>
              </w:rPr>
              <w:t>29</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10" w:history="1">
            <w:r w:rsidR="0023304D" w:rsidRPr="00E328B0">
              <w:rPr>
                <w:rStyle w:val="Hyperlink"/>
                <w:noProof/>
                <w:lang w:val="es-ES"/>
              </w:rPr>
              <w:t>3.1</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Diagnóstico de la situación actual</w:t>
            </w:r>
            <w:r w:rsidR="0023304D">
              <w:rPr>
                <w:noProof/>
                <w:webHidden/>
              </w:rPr>
              <w:tab/>
            </w:r>
            <w:r w:rsidR="00B16923">
              <w:rPr>
                <w:noProof/>
                <w:webHidden/>
              </w:rPr>
              <w:fldChar w:fldCharType="begin"/>
            </w:r>
            <w:r w:rsidR="0023304D">
              <w:rPr>
                <w:noProof/>
                <w:webHidden/>
              </w:rPr>
              <w:instrText xml:space="preserve"> PAGEREF _Toc346541910 \h </w:instrText>
            </w:r>
            <w:r w:rsidR="00B16923">
              <w:rPr>
                <w:noProof/>
                <w:webHidden/>
              </w:rPr>
            </w:r>
            <w:r w:rsidR="00B16923">
              <w:rPr>
                <w:noProof/>
                <w:webHidden/>
              </w:rPr>
              <w:fldChar w:fldCharType="separate"/>
            </w:r>
            <w:r w:rsidR="003142BB">
              <w:rPr>
                <w:noProof/>
                <w:webHidden/>
              </w:rPr>
              <w:t>29</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1" w:history="1">
            <w:r w:rsidR="0023304D" w:rsidRPr="00E328B0">
              <w:rPr>
                <w:rStyle w:val="Hyperlink"/>
                <w:rFonts w:cs="Arial"/>
                <w:noProof/>
                <w:snapToGrid w:val="0"/>
                <w:w w:val="0"/>
                <w:lang w:val="es-ES"/>
              </w:rPr>
              <w:t>3.1.1</w:t>
            </w:r>
            <w:r w:rsidR="0023304D">
              <w:rPr>
                <w:rFonts w:asciiTheme="minorHAnsi" w:eastAsiaTheme="minorEastAsia" w:hAnsiTheme="minorHAnsi" w:cstheme="minorBidi"/>
                <w:noProof/>
                <w:sz w:val="22"/>
                <w:szCs w:val="22"/>
              </w:rPr>
              <w:tab/>
            </w:r>
            <w:r w:rsidR="0023304D" w:rsidRPr="00E328B0">
              <w:rPr>
                <w:rStyle w:val="Hyperlink"/>
                <w:noProof/>
                <w:lang w:val="es-ES"/>
              </w:rPr>
              <w:t>Área de influencia del proyecto y población afectada</w:t>
            </w:r>
            <w:r w:rsidR="0023304D">
              <w:rPr>
                <w:noProof/>
                <w:webHidden/>
              </w:rPr>
              <w:tab/>
            </w:r>
            <w:r w:rsidR="00B16923">
              <w:rPr>
                <w:noProof/>
                <w:webHidden/>
              </w:rPr>
              <w:fldChar w:fldCharType="begin"/>
            </w:r>
            <w:r w:rsidR="0023304D">
              <w:rPr>
                <w:noProof/>
                <w:webHidden/>
              </w:rPr>
              <w:instrText xml:space="preserve"> PAGEREF _Toc346541911 \h </w:instrText>
            </w:r>
            <w:r w:rsidR="00B16923">
              <w:rPr>
                <w:noProof/>
                <w:webHidden/>
              </w:rPr>
            </w:r>
            <w:r w:rsidR="00B16923">
              <w:rPr>
                <w:noProof/>
                <w:webHidden/>
              </w:rPr>
              <w:fldChar w:fldCharType="separate"/>
            </w:r>
            <w:r w:rsidR="003142BB">
              <w:rPr>
                <w:noProof/>
                <w:webHidden/>
              </w:rPr>
              <w:t>29</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2" w:history="1">
            <w:r w:rsidR="0023304D" w:rsidRPr="00E328B0">
              <w:rPr>
                <w:rStyle w:val="Hyperlink"/>
                <w:rFonts w:cs="Arial"/>
                <w:noProof/>
                <w:snapToGrid w:val="0"/>
                <w:w w:val="0"/>
                <w:lang w:val="es-ES"/>
              </w:rPr>
              <w:t>3.1.2</w:t>
            </w:r>
            <w:r w:rsidR="0023304D">
              <w:rPr>
                <w:rFonts w:asciiTheme="minorHAnsi" w:eastAsiaTheme="minorEastAsia" w:hAnsiTheme="minorHAnsi" w:cstheme="minorBidi"/>
                <w:noProof/>
                <w:sz w:val="22"/>
                <w:szCs w:val="22"/>
              </w:rPr>
              <w:tab/>
            </w:r>
            <w:r w:rsidR="0023304D" w:rsidRPr="00E328B0">
              <w:rPr>
                <w:rStyle w:val="Hyperlink"/>
                <w:noProof/>
                <w:lang w:val="es-ES"/>
              </w:rPr>
              <w:t>Los servicios que intervendrá el Proyecto</w:t>
            </w:r>
            <w:r w:rsidR="0023304D">
              <w:rPr>
                <w:noProof/>
                <w:webHidden/>
              </w:rPr>
              <w:tab/>
            </w:r>
            <w:r w:rsidR="00B16923">
              <w:rPr>
                <w:noProof/>
                <w:webHidden/>
              </w:rPr>
              <w:fldChar w:fldCharType="begin"/>
            </w:r>
            <w:r w:rsidR="0023304D">
              <w:rPr>
                <w:noProof/>
                <w:webHidden/>
              </w:rPr>
              <w:instrText xml:space="preserve"> PAGEREF _Toc346541912 \h </w:instrText>
            </w:r>
            <w:r w:rsidR="00B16923">
              <w:rPr>
                <w:noProof/>
                <w:webHidden/>
              </w:rPr>
            </w:r>
            <w:r w:rsidR="00B16923">
              <w:rPr>
                <w:noProof/>
                <w:webHidden/>
              </w:rPr>
              <w:fldChar w:fldCharType="separate"/>
            </w:r>
            <w:r w:rsidR="003142BB">
              <w:rPr>
                <w:noProof/>
                <w:webHidden/>
              </w:rPr>
              <w:t>78</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3" w:history="1">
            <w:r w:rsidR="0023304D" w:rsidRPr="00E328B0">
              <w:rPr>
                <w:rStyle w:val="Hyperlink"/>
                <w:rFonts w:cs="Arial"/>
                <w:noProof/>
                <w:snapToGrid w:val="0"/>
                <w:w w:val="0"/>
                <w:lang w:val="es-ES"/>
              </w:rPr>
              <w:t>3.1.3</w:t>
            </w:r>
            <w:r w:rsidR="0023304D">
              <w:rPr>
                <w:rFonts w:asciiTheme="minorHAnsi" w:eastAsiaTheme="minorEastAsia" w:hAnsiTheme="minorHAnsi" w:cstheme="minorBidi"/>
                <w:noProof/>
                <w:sz w:val="22"/>
                <w:szCs w:val="22"/>
              </w:rPr>
              <w:tab/>
            </w:r>
            <w:r w:rsidR="0023304D" w:rsidRPr="00E328B0">
              <w:rPr>
                <w:rStyle w:val="Hyperlink"/>
                <w:noProof/>
                <w:lang w:val="es-ES"/>
              </w:rPr>
              <w:t>Análisis de vulnerabilidad (exposición, fragilidad y resiliencia)</w:t>
            </w:r>
            <w:r w:rsidR="0023304D">
              <w:rPr>
                <w:noProof/>
                <w:webHidden/>
              </w:rPr>
              <w:tab/>
            </w:r>
            <w:r w:rsidR="00B16923">
              <w:rPr>
                <w:noProof/>
                <w:webHidden/>
              </w:rPr>
              <w:fldChar w:fldCharType="begin"/>
            </w:r>
            <w:r w:rsidR="0023304D">
              <w:rPr>
                <w:noProof/>
                <w:webHidden/>
              </w:rPr>
              <w:instrText xml:space="preserve"> PAGEREF _Toc346541913 \h </w:instrText>
            </w:r>
            <w:r w:rsidR="00B16923">
              <w:rPr>
                <w:noProof/>
                <w:webHidden/>
              </w:rPr>
            </w:r>
            <w:r w:rsidR="00B16923">
              <w:rPr>
                <w:noProof/>
                <w:webHidden/>
              </w:rPr>
              <w:fldChar w:fldCharType="separate"/>
            </w:r>
            <w:r w:rsidR="003142BB">
              <w:rPr>
                <w:noProof/>
                <w:webHidden/>
              </w:rPr>
              <w:t>165</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4" w:history="1">
            <w:r w:rsidR="0023304D" w:rsidRPr="00E328B0">
              <w:rPr>
                <w:rStyle w:val="Hyperlink"/>
                <w:rFonts w:cs="Arial"/>
                <w:noProof/>
                <w:snapToGrid w:val="0"/>
                <w:w w:val="0"/>
                <w:lang w:val="es-ES"/>
              </w:rPr>
              <w:t>3.1.4</w:t>
            </w:r>
            <w:r w:rsidR="0023304D">
              <w:rPr>
                <w:rFonts w:asciiTheme="minorHAnsi" w:eastAsiaTheme="minorEastAsia" w:hAnsiTheme="minorHAnsi" w:cstheme="minorBidi"/>
                <w:noProof/>
                <w:sz w:val="22"/>
                <w:szCs w:val="22"/>
              </w:rPr>
              <w:tab/>
            </w:r>
            <w:r w:rsidR="0023304D" w:rsidRPr="00E328B0">
              <w:rPr>
                <w:rStyle w:val="Hyperlink"/>
                <w:noProof/>
                <w:lang w:val="es-ES"/>
              </w:rPr>
              <w:t>Los involucrados en el proyecto</w:t>
            </w:r>
            <w:r w:rsidR="0023304D">
              <w:rPr>
                <w:noProof/>
                <w:webHidden/>
              </w:rPr>
              <w:tab/>
            </w:r>
            <w:r w:rsidR="00B16923">
              <w:rPr>
                <w:noProof/>
                <w:webHidden/>
              </w:rPr>
              <w:fldChar w:fldCharType="begin"/>
            </w:r>
            <w:r w:rsidR="0023304D">
              <w:rPr>
                <w:noProof/>
                <w:webHidden/>
              </w:rPr>
              <w:instrText xml:space="preserve"> PAGEREF _Toc346541914 \h </w:instrText>
            </w:r>
            <w:r w:rsidR="00B16923">
              <w:rPr>
                <w:noProof/>
                <w:webHidden/>
              </w:rPr>
            </w:r>
            <w:r w:rsidR="00B16923">
              <w:rPr>
                <w:noProof/>
                <w:webHidden/>
              </w:rPr>
              <w:fldChar w:fldCharType="separate"/>
            </w:r>
            <w:r w:rsidR="003142BB">
              <w:rPr>
                <w:noProof/>
                <w:webHidden/>
              </w:rPr>
              <w:t>168</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15" w:history="1">
            <w:r w:rsidR="0023304D" w:rsidRPr="00E328B0">
              <w:rPr>
                <w:rStyle w:val="Hyperlink"/>
                <w:noProof/>
              </w:rPr>
              <w:t>3.2</w:t>
            </w:r>
            <w:r w:rsidR="0023304D">
              <w:rPr>
                <w:rFonts w:asciiTheme="minorHAnsi" w:eastAsiaTheme="minorEastAsia" w:hAnsiTheme="minorHAnsi" w:cstheme="minorBidi"/>
                <w:b w:val="0"/>
                <w:bCs w:val="0"/>
                <w:noProof/>
                <w:sz w:val="22"/>
                <w:szCs w:val="22"/>
              </w:rPr>
              <w:tab/>
            </w:r>
            <w:r w:rsidR="0023304D" w:rsidRPr="00E328B0">
              <w:rPr>
                <w:rStyle w:val="Hyperlink"/>
                <w:noProof/>
              </w:rPr>
              <w:t>Objetivo del Proyecto</w:t>
            </w:r>
            <w:r w:rsidR="0023304D">
              <w:rPr>
                <w:noProof/>
                <w:webHidden/>
              </w:rPr>
              <w:tab/>
            </w:r>
            <w:r w:rsidR="00B16923">
              <w:rPr>
                <w:noProof/>
                <w:webHidden/>
              </w:rPr>
              <w:fldChar w:fldCharType="begin"/>
            </w:r>
            <w:r w:rsidR="0023304D">
              <w:rPr>
                <w:noProof/>
                <w:webHidden/>
              </w:rPr>
              <w:instrText xml:space="preserve"> PAGEREF _Toc346541915 \h </w:instrText>
            </w:r>
            <w:r w:rsidR="00B16923">
              <w:rPr>
                <w:noProof/>
                <w:webHidden/>
              </w:rPr>
            </w:r>
            <w:r w:rsidR="00B16923">
              <w:rPr>
                <w:noProof/>
                <w:webHidden/>
              </w:rPr>
              <w:fldChar w:fldCharType="separate"/>
            </w:r>
            <w:r w:rsidR="003142BB">
              <w:rPr>
                <w:noProof/>
                <w:webHidden/>
              </w:rPr>
              <w:t>173</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6" w:history="1">
            <w:r w:rsidR="0023304D" w:rsidRPr="00E328B0">
              <w:rPr>
                <w:rStyle w:val="Hyperlink"/>
                <w:rFonts w:cs="Arial"/>
                <w:noProof/>
                <w:snapToGrid w:val="0"/>
                <w:w w:val="0"/>
              </w:rPr>
              <w:t>3.2.1</w:t>
            </w:r>
            <w:r w:rsidR="0023304D">
              <w:rPr>
                <w:rFonts w:asciiTheme="minorHAnsi" w:eastAsiaTheme="minorEastAsia" w:hAnsiTheme="minorHAnsi" w:cstheme="minorBidi"/>
                <w:noProof/>
                <w:sz w:val="22"/>
                <w:szCs w:val="22"/>
              </w:rPr>
              <w:tab/>
            </w:r>
            <w:r w:rsidR="0023304D" w:rsidRPr="00E328B0">
              <w:rPr>
                <w:rStyle w:val="Hyperlink"/>
                <w:noProof/>
              </w:rPr>
              <w:t>Objetivo central</w:t>
            </w:r>
            <w:r w:rsidR="0023304D">
              <w:rPr>
                <w:noProof/>
                <w:webHidden/>
              </w:rPr>
              <w:tab/>
            </w:r>
            <w:r w:rsidR="00B16923">
              <w:rPr>
                <w:noProof/>
                <w:webHidden/>
              </w:rPr>
              <w:fldChar w:fldCharType="begin"/>
            </w:r>
            <w:r w:rsidR="0023304D">
              <w:rPr>
                <w:noProof/>
                <w:webHidden/>
              </w:rPr>
              <w:instrText xml:space="preserve"> PAGEREF _Toc346541916 \h </w:instrText>
            </w:r>
            <w:r w:rsidR="00B16923">
              <w:rPr>
                <w:noProof/>
                <w:webHidden/>
              </w:rPr>
            </w:r>
            <w:r w:rsidR="00B16923">
              <w:rPr>
                <w:noProof/>
                <w:webHidden/>
              </w:rPr>
              <w:fldChar w:fldCharType="separate"/>
            </w:r>
            <w:r w:rsidR="003142BB">
              <w:rPr>
                <w:noProof/>
                <w:webHidden/>
              </w:rPr>
              <w:t>173</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17" w:history="1">
            <w:r w:rsidR="0023304D" w:rsidRPr="00E328B0">
              <w:rPr>
                <w:rStyle w:val="Hyperlink"/>
                <w:rFonts w:cs="Arial"/>
                <w:noProof/>
                <w:snapToGrid w:val="0"/>
                <w:w w:val="0"/>
              </w:rPr>
              <w:t>3.2.2</w:t>
            </w:r>
            <w:r w:rsidR="0023304D">
              <w:rPr>
                <w:rFonts w:asciiTheme="minorHAnsi" w:eastAsiaTheme="minorEastAsia" w:hAnsiTheme="minorHAnsi" w:cstheme="minorBidi"/>
                <w:noProof/>
                <w:sz w:val="22"/>
                <w:szCs w:val="22"/>
              </w:rPr>
              <w:tab/>
            </w:r>
            <w:r w:rsidR="0023304D" w:rsidRPr="00E328B0">
              <w:rPr>
                <w:rStyle w:val="Hyperlink"/>
                <w:noProof/>
              </w:rPr>
              <w:t>Objetivos específicos</w:t>
            </w:r>
            <w:r w:rsidR="0023304D">
              <w:rPr>
                <w:noProof/>
                <w:webHidden/>
              </w:rPr>
              <w:tab/>
            </w:r>
            <w:r w:rsidR="00B16923">
              <w:rPr>
                <w:noProof/>
                <w:webHidden/>
              </w:rPr>
              <w:fldChar w:fldCharType="begin"/>
            </w:r>
            <w:r w:rsidR="0023304D">
              <w:rPr>
                <w:noProof/>
                <w:webHidden/>
              </w:rPr>
              <w:instrText xml:space="preserve"> PAGEREF _Toc346541917 \h </w:instrText>
            </w:r>
            <w:r w:rsidR="00B16923">
              <w:rPr>
                <w:noProof/>
                <w:webHidden/>
              </w:rPr>
            </w:r>
            <w:r w:rsidR="00B16923">
              <w:rPr>
                <w:noProof/>
                <w:webHidden/>
              </w:rPr>
              <w:fldChar w:fldCharType="separate"/>
            </w:r>
            <w:r w:rsidR="003142BB">
              <w:rPr>
                <w:noProof/>
                <w:webHidden/>
              </w:rPr>
              <w:t>173</w:t>
            </w:r>
            <w:r w:rsidR="00B16923">
              <w:rPr>
                <w:noProof/>
                <w:webHidden/>
              </w:rPr>
              <w:fldChar w:fldCharType="end"/>
            </w:r>
          </w:hyperlink>
        </w:p>
        <w:p w:rsidR="0023304D" w:rsidRDefault="00B45290">
          <w:pPr>
            <w:pStyle w:val="TOC1"/>
            <w:tabs>
              <w:tab w:val="left" w:pos="480"/>
              <w:tab w:val="right" w:leader="dot" w:pos="9345"/>
            </w:tabs>
            <w:rPr>
              <w:rFonts w:asciiTheme="minorHAnsi" w:eastAsiaTheme="minorEastAsia" w:hAnsiTheme="minorHAnsi" w:cstheme="minorBidi"/>
              <w:b w:val="0"/>
              <w:bCs w:val="0"/>
              <w:caps w:val="0"/>
              <w:noProof/>
              <w:sz w:val="22"/>
              <w:szCs w:val="22"/>
            </w:rPr>
          </w:pPr>
          <w:hyperlink w:anchor="_Toc346541918" w:history="1">
            <w:r w:rsidR="0023304D" w:rsidRPr="00E328B0">
              <w:rPr>
                <w:rStyle w:val="Hyperlink"/>
                <w:noProof/>
              </w:rPr>
              <w:t>4</w:t>
            </w:r>
            <w:r w:rsidR="0023304D">
              <w:rPr>
                <w:rFonts w:asciiTheme="minorHAnsi" w:eastAsiaTheme="minorEastAsia" w:hAnsiTheme="minorHAnsi" w:cstheme="minorBidi"/>
                <w:b w:val="0"/>
                <w:bCs w:val="0"/>
                <w:caps w:val="0"/>
                <w:noProof/>
                <w:sz w:val="22"/>
                <w:szCs w:val="22"/>
              </w:rPr>
              <w:tab/>
            </w:r>
            <w:r w:rsidR="0023304D" w:rsidRPr="00E328B0">
              <w:rPr>
                <w:rStyle w:val="Hyperlink"/>
                <w:noProof/>
              </w:rPr>
              <w:t>FORMULACIÓN</w:t>
            </w:r>
            <w:r w:rsidR="0023304D">
              <w:rPr>
                <w:noProof/>
                <w:webHidden/>
              </w:rPr>
              <w:tab/>
            </w:r>
            <w:r w:rsidR="00B16923">
              <w:rPr>
                <w:noProof/>
                <w:webHidden/>
              </w:rPr>
              <w:fldChar w:fldCharType="begin"/>
            </w:r>
            <w:r w:rsidR="0023304D">
              <w:rPr>
                <w:noProof/>
                <w:webHidden/>
              </w:rPr>
              <w:instrText xml:space="preserve"> PAGEREF _Toc346541918 \h </w:instrText>
            </w:r>
            <w:r w:rsidR="00B16923">
              <w:rPr>
                <w:noProof/>
                <w:webHidden/>
              </w:rPr>
            </w:r>
            <w:r w:rsidR="00B16923">
              <w:rPr>
                <w:noProof/>
                <w:webHidden/>
              </w:rPr>
              <w:fldChar w:fldCharType="separate"/>
            </w:r>
            <w:r w:rsidR="003142BB">
              <w:rPr>
                <w:noProof/>
                <w:webHidden/>
              </w:rPr>
              <w:t>174</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19" w:history="1">
            <w:r w:rsidR="0023304D" w:rsidRPr="00E328B0">
              <w:rPr>
                <w:rStyle w:val="Hyperlink"/>
                <w:noProof/>
                <w:lang w:val="es-ES"/>
              </w:rPr>
              <w:t>4.1</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Definición del horizonte de evaluación del proyecto</w:t>
            </w:r>
            <w:r w:rsidR="0023304D">
              <w:rPr>
                <w:noProof/>
                <w:webHidden/>
              </w:rPr>
              <w:tab/>
            </w:r>
            <w:r w:rsidR="00B16923">
              <w:rPr>
                <w:noProof/>
                <w:webHidden/>
              </w:rPr>
              <w:fldChar w:fldCharType="begin"/>
            </w:r>
            <w:r w:rsidR="0023304D">
              <w:rPr>
                <w:noProof/>
                <w:webHidden/>
              </w:rPr>
              <w:instrText xml:space="preserve"> PAGEREF _Toc346541919 \h </w:instrText>
            </w:r>
            <w:r w:rsidR="00B16923">
              <w:rPr>
                <w:noProof/>
                <w:webHidden/>
              </w:rPr>
            </w:r>
            <w:r w:rsidR="00B16923">
              <w:rPr>
                <w:noProof/>
                <w:webHidden/>
              </w:rPr>
              <w:fldChar w:fldCharType="separate"/>
            </w:r>
            <w:r w:rsidR="003142BB">
              <w:rPr>
                <w:noProof/>
                <w:webHidden/>
              </w:rPr>
              <w:t>174</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20" w:history="1">
            <w:r w:rsidR="0023304D" w:rsidRPr="00E328B0">
              <w:rPr>
                <w:rStyle w:val="Hyperlink"/>
                <w:noProof/>
              </w:rPr>
              <w:t>4.2</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Mod</w:t>
            </w:r>
            <w:r w:rsidR="0023304D" w:rsidRPr="00E328B0">
              <w:rPr>
                <w:rStyle w:val="Hyperlink"/>
                <w:noProof/>
              </w:rPr>
              <w:t>elo de transporte</w:t>
            </w:r>
            <w:r w:rsidR="0023304D">
              <w:rPr>
                <w:noProof/>
                <w:webHidden/>
              </w:rPr>
              <w:tab/>
            </w:r>
            <w:r w:rsidR="00B16923">
              <w:rPr>
                <w:noProof/>
                <w:webHidden/>
              </w:rPr>
              <w:fldChar w:fldCharType="begin"/>
            </w:r>
            <w:r w:rsidR="0023304D">
              <w:rPr>
                <w:noProof/>
                <w:webHidden/>
              </w:rPr>
              <w:instrText xml:space="preserve"> PAGEREF _Toc346541920 \h </w:instrText>
            </w:r>
            <w:r w:rsidR="00B16923">
              <w:rPr>
                <w:noProof/>
                <w:webHidden/>
              </w:rPr>
            </w:r>
            <w:r w:rsidR="00B16923">
              <w:rPr>
                <w:noProof/>
                <w:webHidden/>
              </w:rPr>
              <w:fldChar w:fldCharType="separate"/>
            </w:r>
            <w:r w:rsidR="003142BB">
              <w:rPr>
                <w:noProof/>
                <w:webHidden/>
              </w:rPr>
              <w:t>175</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1" w:history="1">
            <w:r w:rsidR="0023304D" w:rsidRPr="00E328B0">
              <w:rPr>
                <w:rStyle w:val="Hyperlink"/>
                <w:rFonts w:cs="Arial"/>
                <w:noProof/>
                <w:snapToGrid w:val="0"/>
                <w:w w:val="0"/>
                <w:lang w:val="es-ES"/>
              </w:rPr>
              <w:t>4.2.1</w:t>
            </w:r>
            <w:r w:rsidR="0023304D">
              <w:rPr>
                <w:rFonts w:asciiTheme="minorHAnsi" w:eastAsiaTheme="minorEastAsia" w:hAnsiTheme="minorHAnsi" w:cstheme="minorBidi"/>
                <w:noProof/>
                <w:sz w:val="22"/>
                <w:szCs w:val="22"/>
              </w:rPr>
              <w:tab/>
            </w:r>
            <w:r w:rsidR="0023304D" w:rsidRPr="00E328B0">
              <w:rPr>
                <w:rStyle w:val="Hyperlink"/>
                <w:noProof/>
              </w:rPr>
              <w:t>Área</w:t>
            </w:r>
            <w:r w:rsidR="0023304D" w:rsidRPr="00E328B0">
              <w:rPr>
                <w:rStyle w:val="Hyperlink"/>
                <w:noProof/>
                <w:lang w:val="es-ES"/>
              </w:rPr>
              <w:t xml:space="preserve"> de estudio</w:t>
            </w:r>
            <w:r w:rsidR="0023304D">
              <w:rPr>
                <w:noProof/>
                <w:webHidden/>
              </w:rPr>
              <w:tab/>
            </w:r>
            <w:r w:rsidR="00B16923">
              <w:rPr>
                <w:noProof/>
                <w:webHidden/>
              </w:rPr>
              <w:fldChar w:fldCharType="begin"/>
            </w:r>
            <w:r w:rsidR="0023304D">
              <w:rPr>
                <w:noProof/>
                <w:webHidden/>
              </w:rPr>
              <w:instrText xml:space="preserve"> PAGEREF _Toc346541921 \h </w:instrText>
            </w:r>
            <w:r w:rsidR="00B16923">
              <w:rPr>
                <w:noProof/>
                <w:webHidden/>
              </w:rPr>
            </w:r>
            <w:r w:rsidR="00B16923">
              <w:rPr>
                <w:noProof/>
                <w:webHidden/>
              </w:rPr>
              <w:fldChar w:fldCharType="separate"/>
            </w:r>
            <w:r w:rsidR="003142BB">
              <w:rPr>
                <w:noProof/>
                <w:webHidden/>
              </w:rPr>
              <w:t>175</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2" w:history="1">
            <w:r w:rsidR="0023304D" w:rsidRPr="00E328B0">
              <w:rPr>
                <w:rStyle w:val="Hyperlink"/>
                <w:rFonts w:cs="Arial"/>
                <w:noProof/>
                <w:snapToGrid w:val="0"/>
                <w:w w:val="0"/>
                <w:lang w:val="es-ES"/>
              </w:rPr>
              <w:t>4.2.2</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Red </w:t>
            </w:r>
            <w:r w:rsidR="0023304D" w:rsidRPr="00E328B0">
              <w:rPr>
                <w:rStyle w:val="Hyperlink"/>
                <w:noProof/>
              </w:rPr>
              <w:t>Viaria</w:t>
            </w:r>
            <w:r w:rsidR="0023304D">
              <w:rPr>
                <w:noProof/>
                <w:webHidden/>
              </w:rPr>
              <w:tab/>
            </w:r>
            <w:r w:rsidR="00B16923">
              <w:rPr>
                <w:noProof/>
                <w:webHidden/>
              </w:rPr>
              <w:fldChar w:fldCharType="begin"/>
            </w:r>
            <w:r w:rsidR="0023304D">
              <w:rPr>
                <w:noProof/>
                <w:webHidden/>
              </w:rPr>
              <w:instrText xml:space="preserve"> PAGEREF _Toc346541922 \h </w:instrText>
            </w:r>
            <w:r w:rsidR="00B16923">
              <w:rPr>
                <w:noProof/>
                <w:webHidden/>
              </w:rPr>
            </w:r>
            <w:r w:rsidR="00B16923">
              <w:rPr>
                <w:noProof/>
                <w:webHidden/>
              </w:rPr>
              <w:fldChar w:fldCharType="separate"/>
            </w:r>
            <w:r w:rsidR="003142BB">
              <w:rPr>
                <w:noProof/>
                <w:webHidden/>
              </w:rPr>
              <w:t>177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3" w:history="1">
            <w:r w:rsidR="0023304D" w:rsidRPr="00E328B0">
              <w:rPr>
                <w:rStyle w:val="Hyperlink"/>
                <w:rFonts w:cs="Arial"/>
                <w:noProof/>
                <w:snapToGrid w:val="0"/>
                <w:w w:val="0"/>
                <w:lang w:val="es-ES"/>
              </w:rPr>
              <w:t>4.2.3</w:t>
            </w:r>
            <w:r w:rsidR="0023304D">
              <w:rPr>
                <w:rFonts w:asciiTheme="minorHAnsi" w:eastAsiaTheme="minorEastAsia" w:hAnsiTheme="minorHAnsi" w:cstheme="minorBidi"/>
                <w:noProof/>
                <w:sz w:val="22"/>
                <w:szCs w:val="22"/>
              </w:rPr>
              <w:tab/>
            </w:r>
            <w:r w:rsidR="0023304D" w:rsidRPr="00E328B0">
              <w:rPr>
                <w:rStyle w:val="Hyperlink"/>
                <w:noProof/>
              </w:rPr>
              <w:t>Líneas</w:t>
            </w:r>
            <w:r w:rsidR="0023304D" w:rsidRPr="00E328B0">
              <w:rPr>
                <w:rStyle w:val="Hyperlink"/>
                <w:noProof/>
                <w:lang w:val="es-ES"/>
              </w:rPr>
              <w:t xml:space="preserve"> de transporte público</w:t>
            </w:r>
            <w:r w:rsidR="0023304D">
              <w:rPr>
                <w:noProof/>
                <w:webHidden/>
              </w:rPr>
              <w:tab/>
            </w:r>
            <w:r w:rsidR="00B16923">
              <w:rPr>
                <w:noProof/>
                <w:webHidden/>
              </w:rPr>
              <w:fldChar w:fldCharType="begin"/>
            </w:r>
            <w:r w:rsidR="0023304D">
              <w:rPr>
                <w:noProof/>
                <w:webHidden/>
              </w:rPr>
              <w:instrText xml:space="preserve"> PAGEREF _Toc346541923 \h </w:instrText>
            </w:r>
            <w:r w:rsidR="00B16923">
              <w:rPr>
                <w:noProof/>
                <w:webHidden/>
              </w:rPr>
            </w:r>
            <w:r w:rsidR="00B16923">
              <w:rPr>
                <w:noProof/>
                <w:webHidden/>
              </w:rPr>
              <w:fldChar w:fldCharType="separate"/>
            </w:r>
            <w:r w:rsidR="003142BB">
              <w:rPr>
                <w:noProof/>
                <w:webHidden/>
              </w:rPr>
              <w:t>179</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4" w:history="1">
            <w:r w:rsidR="0023304D" w:rsidRPr="00E328B0">
              <w:rPr>
                <w:rStyle w:val="Hyperlink"/>
                <w:rFonts w:cs="Arial"/>
                <w:noProof/>
                <w:snapToGrid w:val="0"/>
                <w:w w:val="0"/>
                <w:lang w:val="es-ES"/>
              </w:rPr>
              <w:t>4.2.4</w:t>
            </w:r>
            <w:r w:rsidR="0023304D">
              <w:rPr>
                <w:rFonts w:asciiTheme="minorHAnsi" w:eastAsiaTheme="minorEastAsia" w:hAnsiTheme="minorHAnsi" w:cstheme="minorBidi"/>
                <w:noProof/>
                <w:sz w:val="22"/>
                <w:szCs w:val="22"/>
              </w:rPr>
              <w:tab/>
            </w:r>
            <w:r w:rsidR="0023304D" w:rsidRPr="00E328B0">
              <w:rPr>
                <w:rStyle w:val="Hyperlink"/>
                <w:noProof/>
                <w:lang w:val="es-ES"/>
              </w:rPr>
              <w:t>Matrices de viajes</w:t>
            </w:r>
            <w:r w:rsidR="0023304D">
              <w:rPr>
                <w:noProof/>
                <w:webHidden/>
              </w:rPr>
              <w:tab/>
            </w:r>
            <w:r w:rsidR="00B16923">
              <w:rPr>
                <w:noProof/>
                <w:webHidden/>
              </w:rPr>
              <w:fldChar w:fldCharType="begin"/>
            </w:r>
            <w:r w:rsidR="0023304D">
              <w:rPr>
                <w:noProof/>
                <w:webHidden/>
              </w:rPr>
              <w:instrText xml:space="preserve"> PAGEREF _Toc346541924 \h </w:instrText>
            </w:r>
            <w:r w:rsidR="00B16923">
              <w:rPr>
                <w:noProof/>
                <w:webHidden/>
              </w:rPr>
            </w:r>
            <w:r w:rsidR="00B16923">
              <w:rPr>
                <w:noProof/>
                <w:webHidden/>
              </w:rPr>
              <w:fldChar w:fldCharType="separate"/>
            </w:r>
            <w:r w:rsidR="003142BB">
              <w:rPr>
                <w:noProof/>
                <w:webHidden/>
              </w:rPr>
              <w:t>181</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5" w:history="1">
            <w:r w:rsidR="0023304D" w:rsidRPr="00E328B0">
              <w:rPr>
                <w:rStyle w:val="Hyperlink"/>
                <w:rFonts w:cs="Arial"/>
                <w:noProof/>
                <w:snapToGrid w:val="0"/>
                <w:w w:val="0"/>
                <w:lang w:val="es-ES"/>
              </w:rPr>
              <w:t>4.2.5</w:t>
            </w:r>
            <w:r w:rsidR="0023304D">
              <w:rPr>
                <w:rFonts w:asciiTheme="minorHAnsi" w:eastAsiaTheme="minorEastAsia" w:hAnsiTheme="minorHAnsi" w:cstheme="minorBidi"/>
                <w:noProof/>
                <w:sz w:val="22"/>
                <w:szCs w:val="22"/>
              </w:rPr>
              <w:tab/>
            </w:r>
            <w:r w:rsidR="0023304D" w:rsidRPr="00E328B0">
              <w:rPr>
                <w:rStyle w:val="Hyperlink"/>
                <w:noProof/>
                <w:lang w:val="es-ES"/>
              </w:rPr>
              <w:t>Procedimiento de asignación</w:t>
            </w:r>
            <w:r w:rsidR="0023304D">
              <w:rPr>
                <w:noProof/>
                <w:webHidden/>
              </w:rPr>
              <w:tab/>
            </w:r>
            <w:r w:rsidR="00B16923">
              <w:rPr>
                <w:noProof/>
                <w:webHidden/>
              </w:rPr>
              <w:fldChar w:fldCharType="begin"/>
            </w:r>
            <w:r w:rsidR="0023304D">
              <w:rPr>
                <w:noProof/>
                <w:webHidden/>
              </w:rPr>
              <w:instrText xml:space="preserve"> PAGEREF _Toc346541925 \h </w:instrText>
            </w:r>
            <w:r w:rsidR="00B16923">
              <w:rPr>
                <w:noProof/>
                <w:webHidden/>
              </w:rPr>
            </w:r>
            <w:r w:rsidR="00B16923">
              <w:rPr>
                <w:noProof/>
                <w:webHidden/>
              </w:rPr>
              <w:fldChar w:fldCharType="separate"/>
            </w:r>
            <w:r w:rsidR="003142BB">
              <w:rPr>
                <w:noProof/>
                <w:webHidden/>
              </w:rPr>
              <w:t>181</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6" w:history="1">
            <w:r w:rsidR="0023304D" w:rsidRPr="00E328B0">
              <w:rPr>
                <w:rStyle w:val="Hyperlink"/>
                <w:rFonts w:cs="Arial"/>
                <w:noProof/>
                <w:snapToGrid w:val="0"/>
                <w:w w:val="0"/>
              </w:rPr>
              <w:t>4.2.6</w:t>
            </w:r>
            <w:r w:rsidR="0023304D">
              <w:rPr>
                <w:rFonts w:asciiTheme="minorHAnsi" w:eastAsiaTheme="minorEastAsia" w:hAnsiTheme="minorHAnsi" w:cstheme="minorBidi"/>
                <w:noProof/>
                <w:sz w:val="22"/>
                <w:szCs w:val="22"/>
              </w:rPr>
              <w:tab/>
            </w:r>
            <w:r w:rsidR="0023304D" w:rsidRPr="00E328B0">
              <w:rPr>
                <w:rStyle w:val="Hyperlink"/>
                <w:noProof/>
              </w:rPr>
              <w:t>Calibración del Modelo</w:t>
            </w:r>
            <w:r w:rsidR="0023304D">
              <w:rPr>
                <w:noProof/>
                <w:webHidden/>
              </w:rPr>
              <w:tab/>
            </w:r>
            <w:r w:rsidR="00B16923">
              <w:rPr>
                <w:noProof/>
                <w:webHidden/>
              </w:rPr>
              <w:fldChar w:fldCharType="begin"/>
            </w:r>
            <w:r w:rsidR="0023304D">
              <w:rPr>
                <w:noProof/>
                <w:webHidden/>
              </w:rPr>
              <w:instrText xml:space="preserve"> PAGEREF _Toc346541926 \h </w:instrText>
            </w:r>
            <w:r w:rsidR="00B16923">
              <w:rPr>
                <w:noProof/>
                <w:webHidden/>
              </w:rPr>
            </w:r>
            <w:r w:rsidR="00B16923">
              <w:rPr>
                <w:noProof/>
                <w:webHidden/>
              </w:rPr>
              <w:fldChar w:fldCharType="separate"/>
            </w:r>
            <w:r w:rsidR="003142BB">
              <w:rPr>
                <w:noProof/>
                <w:webHidden/>
              </w:rPr>
              <w:t>183</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27" w:history="1">
            <w:r w:rsidR="0023304D" w:rsidRPr="00E328B0">
              <w:rPr>
                <w:rStyle w:val="Hyperlink"/>
                <w:noProof/>
              </w:rPr>
              <w:t>4.3</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Escenarios</w:t>
            </w:r>
            <w:r w:rsidR="0023304D" w:rsidRPr="00E328B0">
              <w:rPr>
                <w:rStyle w:val="Hyperlink"/>
                <w:noProof/>
              </w:rPr>
              <w:t xml:space="preserve"> de Modelación</w:t>
            </w:r>
            <w:r w:rsidR="0023304D">
              <w:rPr>
                <w:noProof/>
                <w:webHidden/>
              </w:rPr>
              <w:tab/>
            </w:r>
            <w:r w:rsidR="00B16923">
              <w:rPr>
                <w:noProof/>
                <w:webHidden/>
              </w:rPr>
              <w:fldChar w:fldCharType="begin"/>
            </w:r>
            <w:r w:rsidR="0023304D">
              <w:rPr>
                <w:noProof/>
                <w:webHidden/>
              </w:rPr>
              <w:instrText xml:space="preserve"> PAGEREF _Toc346541927 \h </w:instrText>
            </w:r>
            <w:r w:rsidR="00B16923">
              <w:rPr>
                <w:noProof/>
                <w:webHidden/>
              </w:rPr>
            </w:r>
            <w:r w:rsidR="00B16923">
              <w:rPr>
                <w:noProof/>
                <w:webHidden/>
              </w:rPr>
              <w:fldChar w:fldCharType="separate"/>
            </w:r>
            <w:r w:rsidR="003142BB">
              <w:rPr>
                <w:noProof/>
                <w:webHidden/>
              </w:rPr>
              <w:t>199</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28" w:history="1">
            <w:r w:rsidR="0023304D" w:rsidRPr="00E328B0">
              <w:rPr>
                <w:rStyle w:val="Hyperlink"/>
                <w:noProof/>
                <w:lang w:val="es-ES"/>
              </w:rPr>
              <w:t>4.4</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Relaciones con instrumentos de planificación</w:t>
            </w:r>
            <w:r w:rsidR="0023304D">
              <w:rPr>
                <w:noProof/>
                <w:webHidden/>
              </w:rPr>
              <w:tab/>
            </w:r>
            <w:r w:rsidR="00B16923">
              <w:rPr>
                <w:noProof/>
                <w:webHidden/>
              </w:rPr>
              <w:fldChar w:fldCharType="begin"/>
            </w:r>
            <w:r w:rsidR="0023304D">
              <w:rPr>
                <w:noProof/>
                <w:webHidden/>
              </w:rPr>
              <w:instrText xml:space="preserve"> PAGEREF _Toc346541928 \h </w:instrText>
            </w:r>
            <w:r w:rsidR="00B16923">
              <w:rPr>
                <w:noProof/>
                <w:webHidden/>
              </w:rPr>
            </w:r>
            <w:r w:rsidR="00B16923">
              <w:rPr>
                <w:noProof/>
                <w:webHidden/>
              </w:rPr>
              <w:fldChar w:fldCharType="separate"/>
            </w:r>
            <w:r w:rsidR="003142BB">
              <w:rPr>
                <w:noProof/>
                <w:webHidden/>
              </w:rPr>
              <w:t>200</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29" w:history="1">
            <w:r w:rsidR="0023304D" w:rsidRPr="00E328B0">
              <w:rPr>
                <w:rStyle w:val="Hyperlink"/>
                <w:rFonts w:cs="Arial"/>
                <w:noProof/>
                <w:snapToGrid w:val="0"/>
                <w:w w:val="0"/>
                <w:lang w:val="es-ES"/>
              </w:rPr>
              <w:t>4.4.1</w:t>
            </w:r>
            <w:r w:rsidR="0023304D">
              <w:rPr>
                <w:rFonts w:asciiTheme="minorHAnsi" w:eastAsiaTheme="minorEastAsia" w:hAnsiTheme="minorHAnsi" w:cstheme="minorBidi"/>
                <w:noProof/>
                <w:sz w:val="22"/>
                <w:szCs w:val="22"/>
              </w:rPr>
              <w:tab/>
            </w:r>
            <w:r w:rsidR="0023304D" w:rsidRPr="00E328B0">
              <w:rPr>
                <w:rStyle w:val="Hyperlink"/>
                <w:noProof/>
                <w:lang w:val="es-ES"/>
              </w:rPr>
              <w:t>Red de Transporte Privado</w:t>
            </w:r>
            <w:r w:rsidR="0023304D">
              <w:rPr>
                <w:noProof/>
                <w:webHidden/>
              </w:rPr>
              <w:tab/>
            </w:r>
            <w:r w:rsidR="00B16923">
              <w:rPr>
                <w:noProof/>
                <w:webHidden/>
              </w:rPr>
              <w:fldChar w:fldCharType="begin"/>
            </w:r>
            <w:r w:rsidR="0023304D">
              <w:rPr>
                <w:noProof/>
                <w:webHidden/>
              </w:rPr>
              <w:instrText xml:space="preserve"> PAGEREF _Toc346541929 \h </w:instrText>
            </w:r>
            <w:r w:rsidR="00B16923">
              <w:rPr>
                <w:noProof/>
                <w:webHidden/>
              </w:rPr>
            </w:r>
            <w:r w:rsidR="00B16923">
              <w:rPr>
                <w:noProof/>
                <w:webHidden/>
              </w:rPr>
              <w:fldChar w:fldCharType="separate"/>
            </w:r>
            <w:r w:rsidR="003142BB">
              <w:rPr>
                <w:noProof/>
                <w:webHidden/>
              </w:rPr>
              <w:t>200</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0" w:history="1">
            <w:r w:rsidR="0023304D" w:rsidRPr="00E328B0">
              <w:rPr>
                <w:rStyle w:val="Hyperlink"/>
                <w:rFonts w:cs="Arial"/>
                <w:noProof/>
                <w:snapToGrid w:val="0"/>
                <w:w w:val="0"/>
                <w:lang w:val="es-ES"/>
              </w:rPr>
              <w:t>4.4.2</w:t>
            </w:r>
            <w:r w:rsidR="0023304D">
              <w:rPr>
                <w:rFonts w:asciiTheme="minorHAnsi" w:eastAsiaTheme="minorEastAsia" w:hAnsiTheme="minorHAnsi" w:cstheme="minorBidi"/>
                <w:noProof/>
                <w:sz w:val="22"/>
                <w:szCs w:val="22"/>
              </w:rPr>
              <w:tab/>
            </w:r>
            <w:r w:rsidR="0023304D" w:rsidRPr="00E328B0">
              <w:rPr>
                <w:rStyle w:val="Hyperlink"/>
                <w:noProof/>
                <w:lang w:val="es-ES"/>
              </w:rPr>
              <w:t>Red de Transporte Público</w:t>
            </w:r>
            <w:r w:rsidR="0023304D">
              <w:rPr>
                <w:noProof/>
                <w:webHidden/>
              </w:rPr>
              <w:tab/>
            </w:r>
            <w:r w:rsidR="00B16923">
              <w:rPr>
                <w:noProof/>
                <w:webHidden/>
              </w:rPr>
              <w:fldChar w:fldCharType="begin"/>
            </w:r>
            <w:r w:rsidR="0023304D">
              <w:rPr>
                <w:noProof/>
                <w:webHidden/>
              </w:rPr>
              <w:instrText xml:space="preserve"> PAGEREF _Toc346541930 \h </w:instrText>
            </w:r>
            <w:r w:rsidR="00B16923">
              <w:rPr>
                <w:noProof/>
                <w:webHidden/>
              </w:rPr>
            </w:r>
            <w:r w:rsidR="00B16923">
              <w:rPr>
                <w:noProof/>
                <w:webHidden/>
              </w:rPr>
              <w:fldChar w:fldCharType="separate"/>
            </w:r>
            <w:r w:rsidR="003142BB">
              <w:rPr>
                <w:noProof/>
                <w:webHidden/>
              </w:rPr>
              <w:t>201</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1" w:history="1">
            <w:r w:rsidR="0023304D" w:rsidRPr="00E328B0">
              <w:rPr>
                <w:rStyle w:val="Hyperlink"/>
                <w:rFonts w:cs="Arial"/>
                <w:noProof/>
                <w:snapToGrid w:val="0"/>
                <w:w w:val="0"/>
                <w:lang w:val="es-ES"/>
              </w:rPr>
              <w:t>4.4.3</w:t>
            </w:r>
            <w:r w:rsidR="0023304D">
              <w:rPr>
                <w:rFonts w:asciiTheme="minorHAnsi" w:eastAsiaTheme="minorEastAsia" w:hAnsiTheme="minorHAnsi" w:cstheme="minorBidi"/>
                <w:noProof/>
                <w:sz w:val="22"/>
                <w:szCs w:val="22"/>
              </w:rPr>
              <w:tab/>
            </w:r>
            <w:r w:rsidR="0023304D" w:rsidRPr="00E328B0">
              <w:rPr>
                <w:rStyle w:val="Hyperlink"/>
                <w:noProof/>
                <w:lang w:val="es-ES"/>
              </w:rPr>
              <w:t>El proyecto</w:t>
            </w:r>
            <w:r w:rsidR="0023304D">
              <w:rPr>
                <w:noProof/>
                <w:webHidden/>
              </w:rPr>
              <w:tab/>
            </w:r>
            <w:r w:rsidR="00B16923">
              <w:rPr>
                <w:noProof/>
                <w:webHidden/>
              </w:rPr>
              <w:fldChar w:fldCharType="begin"/>
            </w:r>
            <w:r w:rsidR="0023304D">
              <w:rPr>
                <w:noProof/>
                <w:webHidden/>
              </w:rPr>
              <w:instrText xml:space="preserve"> PAGEREF _Toc346541931 \h </w:instrText>
            </w:r>
            <w:r w:rsidR="00B16923">
              <w:rPr>
                <w:noProof/>
                <w:webHidden/>
              </w:rPr>
            </w:r>
            <w:r w:rsidR="00B16923">
              <w:rPr>
                <w:noProof/>
                <w:webHidden/>
              </w:rPr>
              <w:fldChar w:fldCharType="separate"/>
            </w:r>
            <w:r w:rsidR="003142BB">
              <w:rPr>
                <w:noProof/>
                <w:webHidden/>
              </w:rPr>
              <w:t>203</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32" w:history="1">
            <w:r w:rsidR="0023304D" w:rsidRPr="00E328B0">
              <w:rPr>
                <w:rStyle w:val="Hyperlink"/>
                <w:noProof/>
              </w:rPr>
              <w:t>4.5</w:t>
            </w:r>
            <w:r w:rsidR="0023304D">
              <w:rPr>
                <w:rFonts w:asciiTheme="minorHAnsi" w:eastAsiaTheme="minorEastAsia" w:hAnsiTheme="minorHAnsi" w:cstheme="minorBidi"/>
                <w:b w:val="0"/>
                <w:bCs w:val="0"/>
                <w:noProof/>
                <w:sz w:val="22"/>
                <w:szCs w:val="22"/>
              </w:rPr>
              <w:tab/>
            </w:r>
            <w:r w:rsidR="0023304D" w:rsidRPr="00E328B0">
              <w:rPr>
                <w:rStyle w:val="Hyperlink"/>
                <w:noProof/>
              </w:rPr>
              <w:t>Análisis de la Demanda</w:t>
            </w:r>
            <w:r w:rsidR="0023304D">
              <w:rPr>
                <w:noProof/>
                <w:webHidden/>
              </w:rPr>
              <w:tab/>
            </w:r>
            <w:r w:rsidR="00B16923">
              <w:rPr>
                <w:noProof/>
                <w:webHidden/>
              </w:rPr>
              <w:fldChar w:fldCharType="begin"/>
            </w:r>
            <w:r w:rsidR="0023304D">
              <w:rPr>
                <w:noProof/>
                <w:webHidden/>
              </w:rPr>
              <w:instrText xml:space="preserve"> PAGEREF _Toc346541932 \h </w:instrText>
            </w:r>
            <w:r w:rsidR="00B16923">
              <w:rPr>
                <w:noProof/>
                <w:webHidden/>
              </w:rPr>
            </w:r>
            <w:r w:rsidR="00B16923">
              <w:rPr>
                <w:noProof/>
                <w:webHidden/>
              </w:rPr>
              <w:fldChar w:fldCharType="separate"/>
            </w:r>
            <w:r w:rsidR="003142BB">
              <w:rPr>
                <w:noProof/>
                <w:webHidden/>
              </w:rPr>
              <w:t>207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3" w:history="1">
            <w:r w:rsidR="0023304D" w:rsidRPr="00E328B0">
              <w:rPr>
                <w:rStyle w:val="Hyperlink"/>
                <w:rFonts w:cs="Arial"/>
                <w:noProof/>
                <w:snapToGrid w:val="0"/>
                <w:w w:val="0"/>
                <w:lang w:val="es-ES"/>
              </w:rPr>
              <w:t>4.5.1</w:t>
            </w:r>
            <w:r w:rsidR="0023304D">
              <w:rPr>
                <w:rFonts w:asciiTheme="minorHAnsi" w:eastAsiaTheme="minorEastAsia" w:hAnsiTheme="minorHAnsi" w:cstheme="minorBidi"/>
                <w:noProof/>
                <w:sz w:val="22"/>
                <w:szCs w:val="22"/>
              </w:rPr>
              <w:tab/>
            </w:r>
            <w:r w:rsidR="0023304D" w:rsidRPr="00E328B0">
              <w:rPr>
                <w:rStyle w:val="Hyperlink"/>
                <w:noProof/>
                <w:lang w:val="es-ES"/>
              </w:rPr>
              <w:t>Determinación de la demanda Actual 2012 “Situación Sin Proyecto” .</w:t>
            </w:r>
            <w:r w:rsidR="0023304D">
              <w:rPr>
                <w:noProof/>
                <w:webHidden/>
              </w:rPr>
              <w:tab/>
            </w:r>
            <w:r w:rsidR="00B16923">
              <w:rPr>
                <w:noProof/>
                <w:webHidden/>
              </w:rPr>
              <w:fldChar w:fldCharType="begin"/>
            </w:r>
            <w:r w:rsidR="0023304D">
              <w:rPr>
                <w:noProof/>
                <w:webHidden/>
              </w:rPr>
              <w:instrText xml:space="preserve"> PAGEREF _Toc346541933 \h </w:instrText>
            </w:r>
            <w:r w:rsidR="00B16923">
              <w:rPr>
                <w:noProof/>
                <w:webHidden/>
              </w:rPr>
            </w:r>
            <w:r w:rsidR="00B16923">
              <w:rPr>
                <w:noProof/>
                <w:webHidden/>
              </w:rPr>
              <w:fldChar w:fldCharType="separate"/>
            </w:r>
            <w:r w:rsidR="003142BB">
              <w:rPr>
                <w:noProof/>
                <w:webHidden/>
              </w:rPr>
              <w:t>207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4" w:history="1">
            <w:r w:rsidR="0023304D" w:rsidRPr="00E328B0">
              <w:rPr>
                <w:rStyle w:val="Hyperlink"/>
                <w:rFonts w:cs="Arial"/>
                <w:noProof/>
                <w:snapToGrid w:val="0"/>
                <w:w w:val="0"/>
                <w:lang w:val="es-ES"/>
              </w:rPr>
              <w:t>4.5.2</w:t>
            </w:r>
            <w:r w:rsidR="0023304D">
              <w:rPr>
                <w:rFonts w:asciiTheme="minorHAnsi" w:eastAsiaTheme="minorEastAsia" w:hAnsiTheme="minorHAnsi" w:cstheme="minorBidi"/>
                <w:noProof/>
                <w:sz w:val="22"/>
                <w:szCs w:val="22"/>
              </w:rPr>
              <w:tab/>
            </w:r>
            <w:r w:rsidR="0023304D" w:rsidRPr="00E328B0">
              <w:rPr>
                <w:rStyle w:val="Hyperlink"/>
                <w:noProof/>
                <w:lang w:val="es-ES"/>
              </w:rPr>
              <w:t>Demanda proyectada a los años horizonte</w:t>
            </w:r>
            <w:r w:rsidR="0023304D">
              <w:rPr>
                <w:noProof/>
                <w:webHidden/>
              </w:rPr>
              <w:tab/>
            </w:r>
            <w:r w:rsidR="00B16923">
              <w:rPr>
                <w:noProof/>
                <w:webHidden/>
              </w:rPr>
              <w:fldChar w:fldCharType="begin"/>
            </w:r>
            <w:r w:rsidR="0023304D">
              <w:rPr>
                <w:noProof/>
                <w:webHidden/>
              </w:rPr>
              <w:instrText xml:space="preserve"> PAGEREF _Toc346541934 \h </w:instrText>
            </w:r>
            <w:r w:rsidR="00B16923">
              <w:rPr>
                <w:noProof/>
                <w:webHidden/>
              </w:rPr>
            </w:r>
            <w:r w:rsidR="00B16923">
              <w:rPr>
                <w:noProof/>
                <w:webHidden/>
              </w:rPr>
              <w:fldChar w:fldCharType="separate"/>
            </w:r>
            <w:r w:rsidR="003142BB">
              <w:rPr>
                <w:noProof/>
                <w:webHidden/>
              </w:rPr>
              <w:t>208</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35" w:history="1">
            <w:r w:rsidR="0023304D" w:rsidRPr="00E328B0">
              <w:rPr>
                <w:rStyle w:val="Hyperlink"/>
                <w:noProof/>
                <w:lang w:val="es-ES"/>
              </w:rPr>
              <w:t>4.6</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Los indicadores de performance del modelo de transporte</w:t>
            </w:r>
            <w:r w:rsidR="0023304D">
              <w:rPr>
                <w:noProof/>
                <w:webHidden/>
              </w:rPr>
              <w:tab/>
            </w:r>
            <w:r w:rsidR="00B16923">
              <w:rPr>
                <w:noProof/>
                <w:webHidden/>
              </w:rPr>
              <w:fldChar w:fldCharType="begin"/>
            </w:r>
            <w:r w:rsidR="0023304D">
              <w:rPr>
                <w:noProof/>
                <w:webHidden/>
              </w:rPr>
              <w:instrText xml:space="preserve"> PAGEREF _Toc346541935 \h </w:instrText>
            </w:r>
            <w:r w:rsidR="00B16923">
              <w:rPr>
                <w:noProof/>
                <w:webHidden/>
              </w:rPr>
            </w:r>
            <w:r w:rsidR="00B16923">
              <w:rPr>
                <w:noProof/>
                <w:webHidden/>
              </w:rPr>
              <w:fldChar w:fldCharType="separate"/>
            </w:r>
            <w:r w:rsidR="003142BB">
              <w:rPr>
                <w:noProof/>
                <w:webHidden/>
              </w:rPr>
              <w:t>217</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36" w:history="1">
            <w:r w:rsidR="0023304D" w:rsidRPr="00E328B0">
              <w:rPr>
                <w:rStyle w:val="Hyperlink"/>
                <w:noProof/>
                <w:lang w:val="es-ES"/>
              </w:rPr>
              <w:t>4.7</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Análisis de modelo de transporte</w:t>
            </w:r>
            <w:r w:rsidR="0023304D">
              <w:rPr>
                <w:noProof/>
                <w:webHidden/>
              </w:rPr>
              <w:tab/>
            </w:r>
            <w:r w:rsidR="00B16923">
              <w:rPr>
                <w:noProof/>
                <w:webHidden/>
              </w:rPr>
              <w:fldChar w:fldCharType="begin"/>
            </w:r>
            <w:r w:rsidR="0023304D">
              <w:rPr>
                <w:noProof/>
                <w:webHidden/>
              </w:rPr>
              <w:instrText xml:space="preserve"> PAGEREF _Toc346541936 \h </w:instrText>
            </w:r>
            <w:r w:rsidR="00B16923">
              <w:rPr>
                <w:noProof/>
                <w:webHidden/>
              </w:rPr>
            </w:r>
            <w:r w:rsidR="00B16923">
              <w:rPr>
                <w:noProof/>
                <w:webHidden/>
              </w:rPr>
              <w:fldChar w:fldCharType="separate"/>
            </w:r>
            <w:r w:rsidR="003142BB">
              <w:rPr>
                <w:noProof/>
                <w:webHidden/>
              </w:rPr>
              <w:t>217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7" w:history="1">
            <w:r w:rsidR="0023304D" w:rsidRPr="00E328B0">
              <w:rPr>
                <w:rStyle w:val="Hyperlink"/>
                <w:rFonts w:cs="Arial"/>
                <w:noProof/>
                <w:snapToGrid w:val="0"/>
                <w:w w:val="0"/>
                <w:lang w:val="es-ES"/>
              </w:rPr>
              <w:t>4.7.1</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1.1 - </w:t>
            </w:r>
            <w:r w:rsidR="0023304D" w:rsidRPr="00E328B0">
              <w:rPr>
                <w:rStyle w:val="Hyperlink"/>
                <w:i/>
                <w:noProof/>
                <w:lang w:val="es-ES"/>
              </w:rPr>
              <w:t>NO INTERVENCIÓN 2018</w:t>
            </w:r>
            <w:r w:rsidR="0023304D">
              <w:rPr>
                <w:noProof/>
                <w:webHidden/>
              </w:rPr>
              <w:tab/>
            </w:r>
            <w:r w:rsidR="00B16923">
              <w:rPr>
                <w:noProof/>
                <w:webHidden/>
              </w:rPr>
              <w:fldChar w:fldCharType="begin"/>
            </w:r>
            <w:r w:rsidR="0023304D">
              <w:rPr>
                <w:noProof/>
                <w:webHidden/>
              </w:rPr>
              <w:instrText xml:space="preserve"> PAGEREF _Toc346541937 \h </w:instrText>
            </w:r>
            <w:r w:rsidR="00B16923">
              <w:rPr>
                <w:noProof/>
                <w:webHidden/>
              </w:rPr>
            </w:r>
            <w:r w:rsidR="00B16923">
              <w:rPr>
                <w:noProof/>
                <w:webHidden/>
              </w:rPr>
              <w:fldChar w:fldCharType="separate"/>
            </w:r>
            <w:r w:rsidR="003142BB">
              <w:rPr>
                <w:noProof/>
                <w:webHidden/>
              </w:rPr>
              <w:t>218</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8" w:history="1">
            <w:r w:rsidR="0023304D" w:rsidRPr="00E328B0">
              <w:rPr>
                <w:rStyle w:val="Hyperlink"/>
                <w:rFonts w:cs="Arial"/>
                <w:noProof/>
                <w:snapToGrid w:val="0"/>
                <w:w w:val="0"/>
                <w:lang w:val="es-ES"/>
              </w:rPr>
              <w:t>4.7.2</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1.2 - </w:t>
            </w:r>
            <w:r w:rsidR="0023304D" w:rsidRPr="00E328B0">
              <w:rPr>
                <w:rStyle w:val="Hyperlink"/>
                <w:i/>
                <w:noProof/>
                <w:lang w:val="es-ES"/>
              </w:rPr>
              <w:t>SITUACIÓN OPTIMIZADA 2018</w:t>
            </w:r>
            <w:r w:rsidR="0023304D">
              <w:rPr>
                <w:noProof/>
                <w:webHidden/>
              </w:rPr>
              <w:tab/>
            </w:r>
            <w:r w:rsidR="00B16923">
              <w:rPr>
                <w:noProof/>
                <w:webHidden/>
              </w:rPr>
              <w:fldChar w:fldCharType="begin"/>
            </w:r>
            <w:r w:rsidR="0023304D">
              <w:rPr>
                <w:noProof/>
                <w:webHidden/>
              </w:rPr>
              <w:instrText xml:space="preserve"> PAGEREF _Toc346541938 \h </w:instrText>
            </w:r>
            <w:r w:rsidR="00B16923">
              <w:rPr>
                <w:noProof/>
                <w:webHidden/>
              </w:rPr>
            </w:r>
            <w:r w:rsidR="00B16923">
              <w:rPr>
                <w:noProof/>
                <w:webHidden/>
              </w:rPr>
              <w:fldChar w:fldCharType="separate"/>
            </w:r>
            <w:r w:rsidR="003142BB">
              <w:rPr>
                <w:noProof/>
                <w:webHidden/>
              </w:rPr>
              <w:t>221</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39" w:history="1">
            <w:r w:rsidR="0023304D" w:rsidRPr="00E328B0">
              <w:rPr>
                <w:rStyle w:val="Hyperlink"/>
                <w:rFonts w:cs="Arial"/>
                <w:noProof/>
                <w:snapToGrid w:val="0"/>
                <w:w w:val="0"/>
                <w:lang w:val="es-ES"/>
              </w:rPr>
              <w:t>4.7.3</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1.3 - </w:t>
            </w:r>
            <w:r w:rsidR="0023304D" w:rsidRPr="00E328B0">
              <w:rPr>
                <w:rStyle w:val="Hyperlink"/>
                <w:i/>
                <w:noProof/>
                <w:lang w:val="es-ES"/>
              </w:rPr>
              <w:t>SITUACIÓN CON PROYECTO 2018</w:t>
            </w:r>
            <w:r w:rsidR="0023304D">
              <w:rPr>
                <w:noProof/>
                <w:webHidden/>
              </w:rPr>
              <w:tab/>
            </w:r>
            <w:r w:rsidR="00B16923">
              <w:rPr>
                <w:noProof/>
                <w:webHidden/>
              </w:rPr>
              <w:fldChar w:fldCharType="begin"/>
            </w:r>
            <w:r w:rsidR="0023304D">
              <w:rPr>
                <w:noProof/>
                <w:webHidden/>
              </w:rPr>
              <w:instrText xml:space="preserve"> PAGEREF _Toc346541939 \h </w:instrText>
            </w:r>
            <w:r w:rsidR="00B16923">
              <w:rPr>
                <w:noProof/>
                <w:webHidden/>
              </w:rPr>
            </w:r>
            <w:r w:rsidR="00B16923">
              <w:rPr>
                <w:noProof/>
                <w:webHidden/>
              </w:rPr>
              <w:fldChar w:fldCharType="separate"/>
            </w:r>
            <w:r w:rsidR="003142BB">
              <w:rPr>
                <w:noProof/>
                <w:webHidden/>
              </w:rPr>
              <w:t>224</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0" w:history="1">
            <w:r w:rsidR="0023304D" w:rsidRPr="00E328B0">
              <w:rPr>
                <w:rStyle w:val="Hyperlink"/>
                <w:rFonts w:cs="Arial"/>
                <w:noProof/>
                <w:snapToGrid w:val="0"/>
                <w:w w:val="0"/>
                <w:lang w:val="es-ES"/>
              </w:rPr>
              <w:t>4.7.4</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2.1 - </w:t>
            </w:r>
            <w:r w:rsidR="0023304D" w:rsidRPr="00E328B0">
              <w:rPr>
                <w:rStyle w:val="Hyperlink"/>
                <w:i/>
                <w:noProof/>
                <w:lang w:val="es-ES"/>
              </w:rPr>
              <w:t>NO INTERVENCIÓN 2020</w:t>
            </w:r>
            <w:r w:rsidR="0023304D">
              <w:rPr>
                <w:noProof/>
                <w:webHidden/>
              </w:rPr>
              <w:tab/>
            </w:r>
            <w:r w:rsidR="00B16923">
              <w:rPr>
                <w:noProof/>
                <w:webHidden/>
              </w:rPr>
              <w:fldChar w:fldCharType="begin"/>
            </w:r>
            <w:r w:rsidR="0023304D">
              <w:rPr>
                <w:noProof/>
                <w:webHidden/>
              </w:rPr>
              <w:instrText xml:space="preserve"> PAGEREF _Toc346541940 \h </w:instrText>
            </w:r>
            <w:r w:rsidR="00B16923">
              <w:rPr>
                <w:noProof/>
                <w:webHidden/>
              </w:rPr>
            </w:r>
            <w:r w:rsidR="00B16923">
              <w:rPr>
                <w:noProof/>
                <w:webHidden/>
              </w:rPr>
              <w:fldChar w:fldCharType="separate"/>
            </w:r>
            <w:r w:rsidR="003142BB">
              <w:rPr>
                <w:noProof/>
                <w:webHidden/>
              </w:rPr>
              <w:t>236</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1" w:history="1">
            <w:r w:rsidR="0023304D" w:rsidRPr="00E328B0">
              <w:rPr>
                <w:rStyle w:val="Hyperlink"/>
                <w:rFonts w:cs="Arial"/>
                <w:noProof/>
                <w:snapToGrid w:val="0"/>
                <w:w w:val="0"/>
                <w:lang w:val="es-ES"/>
              </w:rPr>
              <w:t>4.7.5</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2.2 - </w:t>
            </w:r>
            <w:r w:rsidR="0023304D" w:rsidRPr="00E328B0">
              <w:rPr>
                <w:rStyle w:val="Hyperlink"/>
                <w:i/>
                <w:noProof/>
                <w:lang w:val="es-ES"/>
              </w:rPr>
              <w:t>SITUACIÓN OPTIMIZADA 2020</w:t>
            </w:r>
            <w:r w:rsidR="0023304D">
              <w:rPr>
                <w:noProof/>
                <w:webHidden/>
              </w:rPr>
              <w:tab/>
            </w:r>
            <w:r w:rsidR="00B16923">
              <w:rPr>
                <w:noProof/>
                <w:webHidden/>
              </w:rPr>
              <w:fldChar w:fldCharType="begin"/>
            </w:r>
            <w:r w:rsidR="0023304D">
              <w:rPr>
                <w:noProof/>
                <w:webHidden/>
              </w:rPr>
              <w:instrText xml:space="preserve"> PAGEREF _Toc346541941 \h </w:instrText>
            </w:r>
            <w:r w:rsidR="00B16923">
              <w:rPr>
                <w:noProof/>
                <w:webHidden/>
              </w:rPr>
            </w:r>
            <w:r w:rsidR="00B16923">
              <w:rPr>
                <w:noProof/>
                <w:webHidden/>
              </w:rPr>
              <w:fldChar w:fldCharType="separate"/>
            </w:r>
            <w:r w:rsidR="003142BB">
              <w:rPr>
                <w:noProof/>
                <w:webHidden/>
              </w:rPr>
              <w:t>239</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2" w:history="1">
            <w:r w:rsidR="0023304D" w:rsidRPr="00E328B0">
              <w:rPr>
                <w:rStyle w:val="Hyperlink"/>
                <w:rFonts w:cs="Arial"/>
                <w:noProof/>
                <w:snapToGrid w:val="0"/>
                <w:w w:val="0"/>
                <w:lang w:val="es-ES"/>
              </w:rPr>
              <w:t>4.7.6</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2.3 - </w:t>
            </w:r>
            <w:r w:rsidR="0023304D" w:rsidRPr="00E328B0">
              <w:rPr>
                <w:rStyle w:val="Hyperlink"/>
                <w:i/>
                <w:noProof/>
                <w:lang w:val="es-ES"/>
              </w:rPr>
              <w:t>SITUACIÓN CON PROYECTO 2020</w:t>
            </w:r>
            <w:r w:rsidR="0023304D">
              <w:rPr>
                <w:noProof/>
                <w:webHidden/>
              </w:rPr>
              <w:tab/>
            </w:r>
            <w:r w:rsidR="00B16923">
              <w:rPr>
                <w:noProof/>
                <w:webHidden/>
              </w:rPr>
              <w:fldChar w:fldCharType="begin"/>
            </w:r>
            <w:r w:rsidR="0023304D">
              <w:rPr>
                <w:noProof/>
                <w:webHidden/>
              </w:rPr>
              <w:instrText xml:space="preserve"> PAGEREF _Toc346541942 \h </w:instrText>
            </w:r>
            <w:r w:rsidR="00B16923">
              <w:rPr>
                <w:noProof/>
                <w:webHidden/>
              </w:rPr>
            </w:r>
            <w:r w:rsidR="00B16923">
              <w:rPr>
                <w:noProof/>
                <w:webHidden/>
              </w:rPr>
              <w:fldChar w:fldCharType="separate"/>
            </w:r>
            <w:r w:rsidR="003142BB">
              <w:rPr>
                <w:noProof/>
                <w:webHidden/>
              </w:rPr>
              <w:t>242</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3" w:history="1">
            <w:r w:rsidR="0023304D" w:rsidRPr="00E328B0">
              <w:rPr>
                <w:rStyle w:val="Hyperlink"/>
                <w:rFonts w:cs="Arial"/>
                <w:noProof/>
                <w:snapToGrid w:val="0"/>
                <w:w w:val="0"/>
                <w:lang w:val="es-ES"/>
              </w:rPr>
              <w:t>4.7.7</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3.1 - </w:t>
            </w:r>
            <w:r w:rsidR="0023304D" w:rsidRPr="00E328B0">
              <w:rPr>
                <w:rStyle w:val="Hyperlink"/>
                <w:i/>
                <w:noProof/>
                <w:lang w:val="es-ES"/>
              </w:rPr>
              <w:t>NO INTERVENCIÓN 2030</w:t>
            </w:r>
            <w:r w:rsidR="0023304D">
              <w:rPr>
                <w:noProof/>
                <w:webHidden/>
              </w:rPr>
              <w:tab/>
            </w:r>
            <w:r w:rsidR="00B16923">
              <w:rPr>
                <w:noProof/>
                <w:webHidden/>
              </w:rPr>
              <w:fldChar w:fldCharType="begin"/>
            </w:r>
            <w:r w:rsidR="0023304D">
              <w:rPr>
                <w:noProof/>
                <w:webHidden/>
              </w:rPr>
              <w:instrText xml:space="preserve"> PAGEREF _Toc346541943 \h </w:instrText>
            </w:r>
            <w:r w:rsidR="00B16923">
              <w:rPr>
                <w:noProof/>
                <w:webHidden/>
              </w:rPr>
            </w:r>
            <w:r w:rsidR="00B16923">
              <w:rPr>
                <w:noProof/>
                <w:webHidden/>
              </w:rPr>
              <w:fldChar w:fldCharType="separate"/>
            </w:r>
            <w:r w:rsidR="003142BB">
              <w:rPr>
                <w:noProof/>
                <w:webHidden/>
              </w:rPr>
              <w:t>254</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4" w:history="1">
            <w:r w:rsidR="0023304D" w:rsidRPr="00E328B0">
              <w:rPr>
                <w:rStyle w:val="Hyperlink"/>
                <w:rFonts w:cs="Arial"/>
                <w:noProof/>
                <w:snapToGrid w:val="0"/>
                <w:w w:val="0"/>
                <w:lang w:val="es-ES"/>
              </w:rPr>
              <w:t>4.7.8</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3.2 - </w:t>
            </w:r>
            <w:r w:rsidR="0023304D" w:rsidRPr="00E328B0">
              <w:rPr>
                <w:rStyle w:val="Hyperlink"/>
                <w:i/>
                <w:noProof/>
                <w:lang w:val="es-ES"/>
              </w:rPr>
              <w:t>SITUACIÓN OPTIMIZADA 2020</w:t>
            </w:r>
            <w:r w:rsidR="0023304D">
              <w:rPr>
                <w:noProof/>
                <w:webHidden/>
              </w:rPr>
              <w:tab/>
            </w:r>
            <w:r w:rsidR="00B16923">
              <w:rPr>
                <w:noProof/>
                <w:webHidden/>
              </w:rPr>
              <w:fldChar w:fldCharType="begin"/>
            </w:r>
            <w:r w:rsidR="0023304D">
              <w:rPr>
                <w:noProof/>
                <w:webHidden/>
              </w:rPr>
              <w:instrText xml:space="preserve"> PAGEREF _Toc346541944 \h </w:instrText>
            </w:r>
            <w:r w:rsidR="00B16923">
              <w:rPr>
                <w:noProof/>
                <w:webHidden/>
              </w:rPr>
            </w:r>
            <w:r w:rsidR="00B16923">
              <w:rPr>
                <w:noProof/>
                <w:webHidden/>
              </w:rPr>
              <w:fldChar w:fldCharType="separate"/>
            </w:r>
            <w:r w:rsidR="003142BB">
              <w:rPr>
                <w:noProof/>
                <w:webHidden/>
              </w:rPr>
              <w:t>257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5" w:history="1">
            <w:r w:rsidR="0023304D" w:rsidRPr="00E328B0">
              <w:rPr>
                <w:rStyle w:val="Hyperlink"/>
                <w:rFonts w:cs="Arial"/>
                <w:noProof/>
                <w:snapToGrid w:val="0"/>
                <w:w w:val="0"/>
                <w:lang w:val="es-ES"/>
              </w:rPr>
              <w:t>4.7.9</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3.3 - </w:t>
            </w:r>
            <w:r w:rsidR="0023304D" w:rsidRPr="00E328B0">
              <w:rPr>
                <w:rStyle w:val="Hyperlink"/>
                <w:i/>
                <w:noProof/>
                <w:lang w:val="es-ES"/>
              </w:rPr>
              <w:t>SITUACIÓN CON PROYECTO 2030</w:t>
            </w:r>
            <w:r w:rsidR="0023304D">
              <w:rPr>
                <w:noProof/>
                <w:webHidden/>
              </w:rPr>
              <w:tab/>
            </w:r>
            <w:r w:rsidR="00B16923">
              <w:rPr>
                <w:noProof/>
                <w:webHidden/>
              </w:rPr>
              <w:fldChar w:fldCharType="begin"/>
            </w:r>
            <w:r w:rsidR="0023304D">
              <w:rPr>
                <w:noProof/>
                <w:webHidden/>
              </w:rPr>
              <w:instrText xml:space="preserve"> PAGEREF _Toc346541945 \h </w:instrText>
            </w:r>
            <w:r w:rsidR="00B16923">
              <w:rPr>
                <w:noProof/>
                <w:webHidden/>
              </w:rPr>
            </w:r>
            <w:r w:rsidR="00B16923">
              <w:rPr>
                <w:noProof/>
                <w:webHidden/>
              </w:rPr>
              <w:fldChar w:fldCharType="separate"/>
            </w:r>
            <w:r w:rsidR="003142BB">
              <w:rPr>
                <w:noProof/>
                <w:webHidden/>
              </w:rPr>
              <w:t>260</w:t>
            </w:r>
            <w:r w:rsidR="00B16923">
              <w:rPr>
                <w:noProof/>
                <w:webHidden/>
              </w:rPr>
              <w:fldChar w:fldCharType="end"/>
            </w:r>
          </w:hyperlink>
        </w:p>
        <w:p w:rsidR="0023304D" w:rsidRDefault="00B45290">
          <w:pPr>
            <w:pStyle w:val="TOC3"/>
            <w:tabs>
              <w:tab w:val="left" w:pos="1200"/>
              <w:tab w:val="right" w:leader="dot" w:pos="9345"/>
            </w:tabs>
            <w:rPr>
              <w:rFonts w:asciiTheme="minorHAnsi" w:eastAsiaTheme="minorEastAsia" w:hAnsiTheme="minorHAnsi" w:cstheme="minorBidi"/>
              <w:noProof/>
              <w:sz w:val="22"/>
              <w:szCs w:val="22"/>
            </w:rPr>
          </w:pPr>
          <w:hyperlink w:anchor="_Toc346541946" w:history="1">
            <w:r w:rsidR="0023304D" w:rsidRPr="00E328B0">
              <w:rPr>
                <w:rStyle w:val="Hyperlink"/>
                <w:rFonts w:cs="Arial"/>
                <w:noProof/>
                <w:snapToGrid w:val="0"/>
                <w:w w:val="0"/>
                <w:lang w:val="es-ES"/>
              </w:rPr>
              <w:t>4.7.10</w:t>
            </w:r>
            <w:r w:rsidR="0023304D">
              <w:rPr>
                <w:rFonts w:asciiTheme="minorHAnsi" w:eastAsiaTheme="minorEastAsia" w:hAnsiTheme="minorHAnsi" w:cstheme="minorBidi"/>
                <w:noProof/>
                <w:sz w:val="22"/>
                <w:szCs w:val="22"/>
              </w:rPr>
              <w:tab/>
            </w:r>
            <w:r w:rsidR="0023304D" w:rsidRPr="00E328B0">
              <w:rPr>
                <w:rStyle w:val="Hyperlink"/>
                <w:noProof/>
                <w:lang w:val="es-ES"/>
              </w:rPr>
              <w:t xml:space="preserve">Escenario 3.4 - </w:t>
            </w:r>
            <w:r w:rsidR="0023304D" w:rsidRPr="00E328B0">
              <w:rPr>
                <w:rStyle w:val="Hyperlink"/>
                <w:i/>
                <w:noProof/>
                <w:lang w:val="es-ES"/>
              </w:rPr>
              <w:t>PROYECTO 2030 + LÍNEAS 3 Y 4 DEL TREN ELECTRICO</w:t>
            </w:r>
            <w:r w:rsidR="0023304D">
              <w:rPr>
                <w:noProof/>
                <w:webHidden/>
              </w:rPr>
              <w:tab/>
            </w:r>
            <w:r w:rsidR="00B16923">
              <w:rPr>
                <w:noProof/>
                <w:webHidden/>
              </w:rPr>
              <w:fldChar w:fldCharType="begin"/>
            </w:r>
            <w:r w:rsidR="0023304D">
              <w:rPr>
                <w:noProof/>
                <w:webHidden/>
              </w:rPr>
              <w:instrText xml:space="preserve"> PAGEREF _Toc346541946 \h </w:instrText>
            </w:r>
            <w:r w:rsidR="00B16923">
              <w:rPr>
                <w:noProof/>
                <w:webHidden/>
              </w:rPr>
            </w:r>
            <w:r w:rsidR="00B16923">
              <w:rPr>
                <w:noProof/>
                <w:webHidden/>
              </w:rPr>
              <w:fldChar w:fldCharType="separate"/>
            </w:r>
            <w:r w:rsidR="003142BB">
              <w:rPr>
                <w:noProof/>
                <w:webHidden/>
              </w:rPr>
              <w:t>272</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47" w:history="1">
            <w:r w:rsidR="0023304D" w:rsidRPr="00E328B0">
              <w:rPr>
                <w:rStyle w:val="Hyperlink"/>
                <w:noProof/>
                <w:lang w:val="es-ES"/>
              </w:rPr>
              <w:t>4.8</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Modelación de los escenarios “PESIMISTA”</w:t>
            </w:r>
            <w:r w:rsidR="0023304D">
              <w:rPr>
                <w:noProof/>
                <w:webHidden/>
              </w:rPr>
              <w:tab/>
            </w:r>
            <w:r w:rsidR="00B16923">
              <w:rPr>
                <w:noProof/>
                <w:webHidden/>
              </w:rPr>
              <w:fldChar w:fldCharType="begin"/>
            </w:r>
            <w:r w:rsidR="0023304D">
              <w:rPr>
                <w:noProof/>
                <w:webHidden/>
              </w:rPr>
              <w:instrText xml:space="preserve"> PAGEREF _Toc346541947 \h </w:instrText>
            </w:r>
            <w:r w:rsidR="00B16923">
              <w:rPr>
                <w:noProof/>
                <w:webHidden/>
              </w:rPr>
            </w:r>
            <w:r w:rsidR="00B16923">
              <w:rPr>
                <w:noProof/>
                <w:webHidden/>
              </w:rPr>
              <w:fldChar w:fldCharType="separate"/>
            </w:r>
            <w:r w:rsidR="003142BB">
              <w:rPr>
                <w:noProof/>
                <w:webHidden/>
              </w:rPr>
              <w:t>284</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8" w:history="1">
            <w:r w:rsidR="0023304D" w:rsidRPr="00E328B0">
              <w:rPr>
                <w:rStyle w:val="Hyperlink"/>
                <w:rFonts w:cs="Arial"/>
                <w:noProof/>
                <w:snapToGrid w:val="0"/>
                <w:w w:val="0"/>
                <w:lang w:val="es-ES"/>
              </w:rPr>
              <w:t>4.8.1</w:t>
            </w:r>
            <w:r w:rsidR="0023304D">
              <w:rPr>
                <w:rFonts w:asciiTheme="minorHAnsi" w:eastAsiaTheme="minorEastAsia" w:hAnsiTheme="minorHAnsi" w:cstheme="minorBidi"/>
                <w:noProof/>
                <w:sz w:val="22"/>
                <w:szCs w:val="22"/>
              </w:rPr>
              <w:tab/>
            </w:r>
            <w:r w:rsidR="0023304D" w:rsidRPr="00E328B0">
              <w:rPr>
                <w:rStyle w:val="Hyperlink"/>
                <w:noProof/>
                <w:lang w:val="es-ES"/>
              </w:rPr>
              <w:t>Red infraestructural escenario “PESIMISTA” – (2018)</w:t>
            </w:r>
            <w:r w:rsidR="0023304D">
              <w:rPr>
                <w:noProof/>
                <w:webHidden/>
              </w:rPr>
              <w:tab/>
            </w:r>
            <w:r w:rsidR="00B16923">
              <w:rPr>
                <w:noProof/>
                <w:webHidden/>
              </w:rPr>
              <w:fldChar w:fldCharType="begin"/>
            </w:r>
            <w:r w:rsidR="0023304D">
              <w:rPr>
                <w:noProof/>
                <w:webHidden/>
              </w:rPr>
              <w:instrText xml:space="preserve"> PAGEREF _Toc346541948 \h </w:instrText>
            </w:r>
            <w:r w:rsidR="00B16923">
              <w:rPr>
                <w:noProof/>
                <w:webHidden/>
              </w:rPr>
            </w:r>
            <w:r w:rsidR="00B16923">
              <w:rPr>
                <w:noProof/>
                <w:webHidden/>
              </w:rPr>
              <w:fldChar w:fldCharType="separate"/>
            </w:r>
            <w:r w:rsidR="003142BB">
              <w:rPr>
                <w:noProof/>
                <w:webHidden/>
              </w:rPr>
              <w:t>284</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49" w:history="1">
            <w:r w:rsidR="0023304D" w:rsidRPr="00E328B0">
              <w:rPr>
                <w:rStyle w:val="Hyperlink"/>
                <w:rFonts w:cs="Arial"/>
                <w:noProof/>
                <w:snapToGrid w:val="0"/>
                <w:w w:val="0"/>
                <w:lang w:val="es-ES"/>
              </w:rPr>
              <w:t>4.8.2</w:t>
            </w:r>
            <w:r w:rsidR="0023304D">
              <w:rPr>
                <w:rFonts w:asciiTheme="minorHAnsi" w:eastAsiaTheme="minorEastAsia" w:hAnsiTheme="minorHAnsi" w:cstheme="minorBidi"/>
                <w:noProof/>
                <w:sz w:val="22"/>
                <w:szCs w:val="22"/>
              </w:rPr>
              <w:tab/>
            </w:r>
            <w:r w:rsidR="0023304D" w:rsidRPr="00E328B0">
              <w:rPr>
                <w:rStyle w:val="Hyperlink"/>
                <w:noProof/>
                <w:lang w:val="es-ES"/>
              </w:rPr>
              <w:t>Red infraestructural escenario de “PESIMISTA” – (2020)</w:t>
            </w:r>
            <w:r w:rsidR="0023304D">
              <w:rPr>
                <w:noProof/>
                <w:webHidden/>
              </w:rPr>
              <w:tab/>
            </w:r>
            <w:r w:rsidR="00B16923">
              <w:rPr>
                <w:noProof/>
                <w:webHidden/>
              </w:rPr>
              <w:fldChar w:fldCharType="begin"/>
            </w:r>
            <w:r w:rsidR="0023304D">
              <w:rPr>
                <w:noProof/>
                <w:webHidden/>
              </w:rPr>
              <w:instrText xml:space="preserve"> PAGEREF _Toc346541949 \h </w:instrText>
            </w:r>
            <w:r w:rsidR="00B16923">
              <w:rPr>
                <w:noProof/>
                <w:webHidden/>
              </w:rPr>
            </w:r>
            <w:r w:rsidR="00B16923">
              <w:rPr>
                <w:noProof/>
                <w:webHidden/>
              </w:rPr>
              <w:fldChar w:fldCharType="separate"/>
            </w:r>
            <w:r w:rsidR="003142BB">
              <w:rPr>
                <w:noProof/>
                <w:webHidden/>
              </w:rPr>
              <w:t>285</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50" w:history="1">
            <w:r w:rsidR="0023304D" w:rsidRPr="00E328B0">
              <w:rPr>
                <w:rStyle w:val="Hyperlink"/>
                <w:rFonts w:cs="Arial"/>
                <w:noProof/>
                <w:snapToGrid w:val="0"/>
                <w:w w:val="0"/>
                <w:lang w:val="es-ES"/>
              </w:rPr>
              <w:t>4.8.3</w:t>
            </w:r>
            <w:r w:rsidR="0023304D">
              <w:rPr>
                <w:rFonts w:asciiTheme="minorHAnsi" w:eastAsiaTheme="minorEastAsia" w:hAnsiTheme="minorHAnsi" w:cstheme="minorBidi"/>
                <w:noProof/>
                <w:sz w:val="22"/>
                <w:szCs w:val="22"/>
              </w:rPr>
              <w:tab/>
            </w:r>
            <w:r w:rsidR="0023304D" w:rsidRPr="00E328B0">
              <w:rPr>
                <w:rStyle w:val="Hyperlink"/>
                <w:noProof/>
                <w:lang w:val="es-ES"/>
              </w:rPr>
              <w:t>Red infraestructural escenario de “PESIMISTA” – (2030)</w:t>
            </w:r>
            <w:r w:rsidR="0023304D">
              <w:rPr>
                <w:noProof/>
                <w:webHidden/>
              </w:rPr>
              <w:tab/>
            </w:r>
            <w:r w:rsidR="00B16923">
              <w:rPr>
                <w:noProof/>
                <w:webHidden/>
              </w:rPr>
              <w:fldChar w:fldCharType="begin"/>
            </w:r>
            <w:r w:rsidR="0023304D">
              <w:rPr>
                <w:noProof/>
                <w:webHidden/>
              </w:rPr>
              <w:instrText xml:space="preserve"> PAGEREF _Toc346541950 \h </w:instrText>
            </w:r>
            <w:r w:rsidR="00B16923">
              <w:rPr>
                <w:noProof/>
                <w:webHidden/>
              </w:rPr>
            </w:r>
            <w:r w:rsidR="00B16923">
              <w:rPr>
                <w:noProof/>
                <w:webHidden/>
              </w:rPr>
              <w:fldChar w:fldCharType="separate"/>
            </w:r>
            <w:r w:rsidR="003142BB">
              <w:rPr>
                <w:noProof/>
                <w:webHidden/>
              </w:rPr>
              <w:t>286</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51" w:history="1">
            <w:r w:rsidR="0023304D" w:rsidRPr="00E328B0">
              <w:rPr>
                <w:rStyle w:val="Hyperlink"/>
                <w:rFonts w:cs="Arial"/>
                <w:noProof/>
                <w:snapToGrid w:val="0"/>
                <w:w w:val="0"/>
                <w:lang w:val="es-ES"/>
              </w:rPr>
              <w:t>4.8.4</w:t>
            </w:r>
            <w:r w:rsidR="0023304D">
              <w:rPr>
                <w:rFonts w:asciiTheme="minorHAnsi" w:eastAsiaTheme="minorEastAsia" w:hAnsiTheme="minorHAnsi" w:cstheme="minorBidi"/>
                <w:noProof/>
                <w:sz w:val="22"/>
                <w:szCs w:val="22"/>
              </w:rPr>
              <w:tab/>
            </w:r>
            <w:r w:rsidR="0023304D" w:rsidRPr="00E328B0">
              <w:rPr>
                <w:rStyle w:val="Hyperlink"/>
                <w:noProof/>
                <w:lang w:val="es-ES"/>
              </w:rPr>
              <w:t>Escenario 1.3_P – ESCENARIO PESIMISTA 2018</w:t>
            </w:r>
            <w:r w:rsidR="0023304D">
              <w:rPr>
                <w:noProof/>
                <w:webHidden/>
              </w:rPr>
              <w:tab/>
            </w:r>
            <w:r w:rsidR="00B16923">
              <w:rPr>
                <w:noProof/>
                <w:webHidden/>
              </w:rPr>
              <w:fldChar w:fldCharType="begin"/>
            </w:r>
            <w:r w:rsidR="0023304D">
              <w:rPr>
                <w:noProof/>
                <w:webHidden/>
              </w:rPr>
              <w:instrText xml:space="preserve"> PAGEREF _Toc346541951 \h </w:instrText>
            </w:r>
            <w:r w:rsidR="00B16923">
              <w:rPr>
                <w:noProof/>
                <w:webHidden/>
              </w:rPr>
            </w:r>
            <w:r w:rsidR="00B16923">
              <w:rPr>
                <w:noProof/>
                <w:webHidden/>
              </w:rPr>
              <w:fldChar w:fldCharType="separate"/>
            </w:r>
            <w:r w:rsidR="003142BB">
              <w:rPr>
                <w:noProof/>
                <w:webHidden/>
              </w:rPr>
              <w:t>287</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52" w:history="1">
            <w:r w:rsidR="0023304D" w:rsidRPr="00E328B0">
              <w:rPr>
                <w:rStyle w:val="Hyperlink"/>
                <w:rFonts w:cs="Arial"/>
                <w:noProof/>
                <w:snapToGrid w:val="0"/>
                <w:w w:val="0"/>
                <w:lang w:val="es-ES"/>
              </w:rPr>
              <w:t>4.8.5</w:t>
            </w:r>
            <w:r w:rsidR="0023304D">
              <w:rPr>
                <w:rFonts w:asciiTheme="minorHAnsi" w:eastAsiaTheme="minorEastAsia" w:hAnsiTheme="minorHAnsi" w:cstheme="minorBidi"/>
                <w:noProof/>
                <w:sz w:val="22"/>
                <w:szCs w:val="22"/>
              </w:rPr>
              <w:tab/>
            </w:r>
            <w:r w:rsidR="0023304D" w:rsidRPr="00E328B0">
              <w:rPr>
                <w:rStyle w:val="Hyperlink"/>
                <w:noProof/>
                <w:lang w:val="es-ES"/>
              </w:rPr>
              <w:t>Escenario 2.3_P – ESCENARIO PESIMISTA 2020</w:t>
            </w:r>
            <w:r w:rsidR="0023304D">
              <w:rPr>
                <w:noProof/>
                <w:webHidden/>
              </w:rPr>
              <w:tab/>
            </w:r>
            <w:r w:rsidR="00B16923">
              <w:rPr>
                <w:noProof/>
                <w:webHidden/>
              </w:rPr>
              <w:fldChar w:fldCharType="begin"/>
            </w:r>
            <w:r w:rsidR="0023304D">
              <w:rPr>
                <w:noProof/>
                <w:webHidden/>
              </w:rPr>
              <w:instrText xml:space="preserve"> PAGEREF _Toc346541952 \h </w:instrText>
            </w:r>
            <w:r w:rsidR="00B16923">
              <w:rPr>
                <w:noProof/>
                <w:webHidden/>
              </w:rPr>
            </w:r>
            <w:r w:rsidR="00B16923">
              <w:rPr>
                <w:noProof/>
                <w:webHidden/>
              </w:rPr>
              <w:fldChar w:fldCharType="separate"/>
            </w:r>
            <w:r w:rsidR="003142BB">
              <w:rPr>
                <w:noProof/>
                <w:webHidden/>
              </w:rPr>
              <w:t>299</w:t>
            </w:r>
            <w:r w:rsidR="00B16923">
              <w:rPr>
                <w:noProof/>
                <w:webHidden/>
              </w:rPr>
              <w:fldChar w:fldCharType="end"/>
            </w:r>
          </w:hyperlink>
        </w:p>
        <w:p w:rsidR="0023304D" w:rsidRDefault="00B45290">
          <w:pPr>
            <w:pStyle w:val="TOC3"/>
            <w:tabs>
              <w:tab w:val="left" w:pos="960"/>
              <w:tab w:val="right" w:leader="dot" w:pos="9345"/>
            </w:tabs>
            <w:rPr>
              <w:rFonts w:asciiTheme="minorHAnsi" w:eastAsiaTheme="minorEastAsia" w:hAnsiTheme="minorHAnsi" w:cstheme="minorBidi"/>
              <w:noProof/>
              <w:sz w:val="22"/>
              <w:szCs w:val="22"/>
            </w:rPr>
          </w:pPr>
          <w:hyperlink w:anchor="_Toc346541953" w:history="1">
            <w:r w:rsidR="0023304D" w:rsidRPr="00E328B0">
              <w:rPr>
                <w:rStyle w:val="Hyperlink"/>
                <w:rFonts w:cs="Arial"/>
                <w:noProof/>
                <w:snapToGrid w:val="0"/>
                <w:w w:val="0"/>
                <w:lang w:val="es-ES"/>
              </w:rPr>
              <w:t>4.8.6</w:t>
            </w:r>
            <w:r w:rsidR="0023304D">
              <w:rPr>
                <w:rFonts w:asciiTheme="minorHAnsi" w:eastAsiaTheme="minorEastAsia" w:hAnsiTheme="minorHAnsi" w:cstheme="minorBidi"/>
                <w:noProof/>
                <w:sz w:val="22"/>
                <w:szCs w:val="22"/>
              </w:rPr>
              <w:tab/>
            </w:r>
            <w:r w:rsidR="0023304D" w:rsidRPr="00E328B0">
              <w:rPr>
                <w:rStyle w:val="Hyperlink"/>
                <w:noProof/>
              </w:rPr>
              <w:t>Escenario</w:t>
            </w:r>
            <w:r w:rsidR="0023304D" w:rsidRPr="00E328B0">
              <w:rPr>
                <w:rStyle w:val="Hyperlink"/>
                <w:noProof/>
                <w:lang w:val="es-ES"/>
              </w:rPr>
              <w:t xml:space="preserve"> 3.3_P – ESCENARIO PESIMISTA 2030</w:t>
            </w:r>
            <w:r w:rsidR="0023304D">
              <w:rPr>
                <w:noProof/>
                <w:webHidden/>
              </w:rPr>
              <w:tab/>
            </w:r>
            <w:r w:rsidR="00B16923">
              <w:rPr>
                <w:noProof/>
                <w:webHidden/>
              </w:rPr>
              <w:fldChar w:fldCharType="begin"/>
            </w:r>
            <w:r w:rsidR="0023304D">
              <w:rPr>
                <w:noProof/>
                <w:webHidden/>
              </w:rPr>
              <w:instrText xml:space="preserve"> PAGEREF _Toc346541953 \h </w:instrText>
            </w:r>
            <w:r w:rsidR="00B16923">
              <w:rPr>
                <w:noProof/>
                <w:webHidden/>
              </w:rPr>
            </w:r>
            <w:r w:rsidR="00B16923">
              <w:rPr>
                <w:noProof/>
                <w:webHidden/>
              </w:rPr>
              <w:fldChar w:fldCharType="separate"/>
            </w:r>
            <w:r w:rsidR="003142BB">
              <w:rPr>
                <w:noProof/>
                <w:webHidden/>
              </w:rPr>
              <w:t>311</w:t>
            </w:r>
            <w:r w:rsidR="00B16923">
              <w:rPr>
                <w:noProof/>
                <w:webHidden/>
              </w:rPr>
              <w:fldChar w:fldCharType="end"/>
            </w:r>
          </w:hyperlink>
        </w:p>
        <w:p w:rsidR="0023304D" w:rsidRDefault="00B45290">
          <w:pPr>
            <w:pStyle w:val="TOC2"/>
            <w:tabs>
              <w:tab w:val="left" w:pos="720"/>
              <w:tab w:val="right" w:leader="dot" w:pos="9345"/>
            </w:tabs>
            <w:rPr>
              <w:rFonts w:asciiTheme="minorHAnsi" w:eastAsiaTheme="minorEastAsia" w:hAnsiTheme="minorHAnsi" w:cstheme="minorBidi"/>
              <w:b w:val="0"/>
              <w:bCs w:val="0"/>
              <w:noProof/>
              <w:sz w:val="22"/>
              <w:szCs w:val="22"/>
            </w:rPr>
          </w:pPr>
          <w:hyperlink w:anchor="_Toc346541954" w:history="1">
            <w:r w:rsidR="0023304D" w:rsidRPr="00E328B0">
              <w:rPr>
                <w:rStyle w:val="Hyperlink"/>
                <w:noProof/>
                <w:lang w:val="es-ES"/>
              </w:rPr>
              <w:t>4.9</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Los resultados de simulaciones</w:t>
            </w:r>
            <w:r w:rsidR="0023304D">
              <w:rPr>
                <w:noProof/>
                <w:webHidden/>
              </w:rPr>
              <w:tab/>
            </w:r>
            <w:r w:rsidR="00B16923">
              <w:rPr>
                <w:noProof/>
                <w:webHidden/>
              </w:rPr>
              <w:fldChar w:fldCharType="begin"/>
            </w:r>
            <w:r w:rsidR="0023304D">
              <w:rPr>
                <w:noProof/>
                <w:webHidden/>
              </w:rPr>
              <w:instrText xml:space="preserve"> PAGEREF _Toc346541954 \h </w:instrText>
            </w:r>
            <w:r w:rsidR="00B16923">
              <w:rPr>
                <w:noProof/>
                <w:webHidden/>
              </w:rPr>
            </w:r>
            <w:r w:rsidR="00B16923">
              <w:rPr>
                <w:noProof/>
                <w:webHidden/>
              </w:rPr>
              <w:fldChar w:fldCharType="separate"/>
            </w:r>
            <w:r w:rsidR="003142BB">
              <w:rPr>
                <w:noProof/>
                <w:webHidden/>
              </w:rPr>
              <w:t>323</w:t>
            </w:r>
            <w:r w:rsidR="00B16923">
              <w:rPr>
                <w:noProof/>
                <w:webHidden/>
              </w:rPr>
              <w:fldChar w:fldCharType="end"/>
            </w:r>
          </w:hyperlink>
        </w:p>
        <w:p w:rsidR="0023304D" w:rsidRDefault="00B45290">
          <w:pPr>
            <w:pStyle w:val="TOC2"/>
            <w:tabs>
              <w:tab w:val="left" w:pos="960"/>
              <w:tab w:val="right" w:leader="dot" w:pos="9345"/>
            </w:tabs>
            <w:rPr>
              <w:rFonts w:asciiTheme="minorHAnsi" w:eastAsiaTheme="minorEastAsia" w:hAnsiTheme="minorHAnsi" w:cstheme="minorBidi"/>
              <w:b w:val="0"/>
              <w:bCs w:val="0"/>
              <w:noProof/>
              <w:sz w:val="22"/>
              <w:szCs w:val="22"/>
            </w:rPr>
          </w:pPr>
          <w:hyperlink w:anchor="_Toc346541955" w:history="1">
            <w:r w:rsidR="0023304D" w:rsidRPr="00E328B0">
              <w:rPr>
                <w:rStyle w:val="Hyperlink"/>
                <w:noProof/>
                <w:lang w:val="es-ES"/>
              </w:rPr>
              <w:t>4.10</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Analisi de los impactos sobre el resto del sistema</w:t>
            </w:r>
            <w:r w:rsidR="0023304D">
              <w:rPr>
                <w:noProof/>
                <w:webHidden/>
              </w:rPr>
              <w:tab/>
            </w:r>
            <w:r w:rsidR="00B16923">
              <w:rPr>
                <w:noProof/>
                <w:webHidden/>
              </w:rPr>
              <w:fldChar w:fldCharType="begin"/>
            </w:r>
            <w:r w:rsidR="0023304D">
              <w:rPr>
                <w:noProof/>
                <w:webHidden/>
              </w:rPr>
              <w:instrText xml:space="preserve"> PAGEREF _Toc346541955 \h </w:instrText>
            </w:r>
            <w:r w:rsidR="00B16923">
              <w:rPr>
                <w:noProof/>
                <w:webHidden/>
              </w:rPr>
            </w:r>
            <w:r w:rsidR="00B16923">
              <w:rPr>
                <w:noProof/>
                <w:webHidden/>
              </w:rPr>
              <w:fldChar w:fldCharType="separate"/>
            </w:r>
            <w:r w:rsidR="003142BB">
              <w:rPr>
                <w:noProof/>
                <w:webHidden/>
              </w:rPr>
              <w:t>327</w:t>
            </w:r>
            <w:r w:rsidR="00B16923">
              <w:rPr>
                <w:noProof/>
                <w:webHidden/>
              </w:rPr>
              <w:fldChar w:fldCharType="end"/>
            </w:r>
          </w:hyperlink>
        </w:p>
        <w:p w:rsidR="0023304D" w:rsidRDefault="00B45290">
          <w:pPr>
            <w:pStyle w:val="TOC2"/>
            <w:tabs>
              <w:tab w:val="left" w:pos="960"/>
              <w:tab w:val="right" w:leader="dot" w:pos="9345"/>
            </w:tabs>
            <w:rPr>
              <w:rFonts w:asciiTheme="minorHAnsi" w:eastAsiaTheme="minorEastAsia" w:hAnsiTheme="minorHAnsi" w:cstheme="minorBidi"/>
              <w:b w:val="0"/>
              <w:bCs w:val="0"/>
              <w:noProof/>
              <w:sz w:val="22"/>
              <w:szCs w:val="22"/>
            </w:rPr>
          </w:pPr>
          <w:hyperlink w:anchor="_Toc346541956" w:history="1">
            <w:r w:rsidR="0023304D" w:rsidRPr="00E328B0">
              <w:rPr>
                <w:rStyle w:val="Hyperlink"/>
                <w:noProof/>
              </w:rPr>
              <w:t>4.11</w:t>
            </w:r>
            <w:r w:rsidR="0023304D">
              <w:rPr>
                <w:rFonts w:asciiTheme="minorHAnsi" w:eastAsiaTheme="minorEastAsia" w:hAnsiTheme="minorHAnsi" w:cstheme="minorBidi"/>
                <w:b w:val="0"/>
                <w:bCs w:val="0"/>
                <w:noProof/>
                <w:sz w:val="22"/>
                <w:szCs w:val="22"/>
              </w:rPr>
              <w:tab/>
            </w:r>
            <w:r w:rsidR="0023304D" w:rsidRPr="00E328B0">
              <w:rPr>
                <w:rStyle w:val="Hyperlink"/>
                <w:noProof/>
              </w:rPr>
              <w:t>Analisis de la sensibilidad</w:t>
            </w:r>
            <w:r w:rsidR="0023304D">
              <w:rPr>
                <w:noProof/>
                <w:webHidden/>
              </w:rPr>
              <w:tab/>
            </w:r>
            <w:r w:rsidR="00B16923">
              <w:rPr>
                <w:noProof/>
                <w:webHidden/>
              </w:rPr>
              <w:fldChar w:fldCharType="begin"/>
            </w:r>
            <w:r w:rsidR="0023304D">
              <w:rPr>
                <w:noProof/>
                <w:webHidden/>
              </w:rPr>
              <w:instrText xml:space="preserve"> PAGEREF _Toc346541956 \h </w:instrText>
            </w:r>
            <w:r w:rsidR="00B16923">
              <w:rPr>
                <w:noProof/>
                <w:webHidden/>
              </w:rPr>
            </w:r>
            <w:r w:rsidR="00B16923">
              <w:rPr>
                <w:noProof/>
                <w:webHidden/>
              </w:rPr>
              <w:fldChar w:fldCharType="separate"/>
            </w:r>
            <w:r w:rsidR="003142BB">
              <w:rPr>
                <w:noProof/>
                <w:webHidden/>
              </w:rPr>
              <w:t>332</w:t>
            </w:r>
            <w:r w:rsidR="00B16923">
              <w:rPr>
                <w:noProof/>
                <w:webHidden/>
              </w:rPr>
              <w:fldChar w:fldCharType="end"/>
            </w:r>
          </w:hyperlink>
        </w:p>
        <w:p w:rsidR="0023304D" w:rsidRDefault="00B45290">
          <w:pPr>
            <w:pStyle w:val="TOC2"/>
            <w:tabs>
              <w:tab w:val="left" w:pos="960"/>
              <w:tab w:val="right" w:leader="dot" w:pos="9345"/>
            </w:tabs>
            <w:rPr>
              <w:rFonts w:asciiTheme="minorHAnsi" w:eastAsiaTheme="minorEastAsia" w:hAnsiTheme="minorHAnsi" w:cstheme="minorBidi"/>
              <w:b w:val="0"/>
              <w:bCs w:val="0"/>
              <w:noProof/>
              <w:sz w:val="22"/>
              <w:szCs w:val="22"/>
            </w:rPr>
          </w:pPr>
          <w:hyperlink w:anchor="_Toc346541957" w:history="1">
            <w:r w:rsidR="0023304D" w:rsidRPr="00E328B0">
              <w:rPr>
                <w:rStyle w:val="Hyperlink"/>
                <w:noProof/>
              </w:rPr>
              <w:t>4.12</w:t>
            </w:r>
            <w:r w:rsidR="0023304D">
              <w:rPr>
                <w:rFonts w:asciiTheme="minorHAnsi" w:eastAsiaTheme="minorEastAsia" w:hAnsiTheme="minorHAnsi" w:cstheme="minorBidi"/>
                <w:b w:val="0"/>
                <w:bCs w:val="0"/>
                <w:noProof/>
                <w:sz w:val="22"/>
                <w:szCs w:val="22"/>
              </w:rPr>
              <w:tab/>
            </w:r>
            <w:r w:rsidR="0023304D" w:rsidRPr="00E328B0">
              <w:rPr>
                <w:rStyle w:val="Hyperlink"/>
                <w:noProof/>
              </w:rPr>
              <w:t>Balance Oferta Demanda</w:t>
            </w:r>
            <w:r w:rsidR="0023304D">
              <w:rPr>
                <w:noProof/>
                <w:webHidden/>
              </w:rPr>
              <w:tab/>
            </w:r>
            <w:r w:rsidR="00B16923">
              <w:rPr>
                <w:noProof/>
                <w:webHidden/>
              </w:rPr>
              <w:fldChar w:fldCharType="begin"/>
            </w:r>
            <w:r w:rsidR="0023304D">
              <w:rPr>
                <w:noProof/>
                <w:webHidden/>
              </w:rPr>
              <w:instrText xml:space="preserve"> PAGEREF _Toc346541957 \h </w:instrText>
            </w:r>
            <w:r w:rsidR="00B16923">
              <w:rPr>
                <w:noProof/>
                <w:webHidden/>
              </w:rPr>
            </w:r>
            <w:r w:rsidR="00B16923">
              <w:rPr>
                <w:noProof/>
                <w:webHidden/>
              </w:rPr>
              <w:fldChar w:fldCharType="separate"/>
            </w:r>
            <w:r w:rsidR="003142BB">
              <w:rPr>
                <w:noProof/>
                <w:webHidden/>
              </w:rPr>
              <w:t>333</w:t>
            </w:r>
            <w:r w:rsidR="00B16923">
              <w:rPr>
                <w:noProof/>
                <w:webHidden/>
              </w:rPr>
              <w:fldChar w:fldCharType="end"/>
            </w:r>
          </w:hyperlink>
        </w:p>
        <w:p w:rsidR="0023304D" w:rsidRDefault="00B45290">
          <w:pPr>
            <w:pStyle w:val="TOC2"/>
            <w:tabs>
              <w:tab w:val="left" w:pos="960"/>
              <w:tab w:val="right" w:leader="dot" w:pos="9345"/>
            </w:tabs>
            <w:rPr>
              <w:rFonts w:asciiTheme="minorHAnsi" w:eastAsiaTheme="minorEastAsia" w:hAnsiTheme="minorHAnsi" w:cstheme="minorBidi"/>
              <w:b w:val="0"/>
              <w:bCs w:val="0"/>
              <w:noProof/>
              <w:sz w:val="22"/>
              <w:szCs w:val="22"/>
            </w:rPr>
          </w:pPr>
          <w:hyperlink w:anchor="_Toc346541958" w:history="1">
            <w:r w:rsidR="0023304D" w:rsidRPr="00E328B0">
              <w:rPr>
                <w:rStyle w:val="Hyperlink"/>
                <w:noProof/>
              </w:rPr>
              <w:t>4.13</w:t>
            </w:r>
            <w:r w:rsidR="0023304D">
              <w:rPr>
                <w:rFonts w:asciiTheme="minorHAnsi" w:eastAsiaTheme="minorEastAsia" w:hAnsiTheme="minorHAnsi" w:cstheme="minorBidi"/>
                <w:b w:val="0"/>
                <w:bCs w:val="0"/>
                <w:noProof/>
                <w:sz w:val="22"/>
                <w:szCs w:val="22"/>
              </w:rPr>
              <w:tab/>
            </w:r>
            <w:r w:rsidR="0023304D" w:rsidRPr="00E328B0">
              <w:rPr>
                <w:rStyle w:val="Hyperlink"/>
                <w:noProof/>
              </w:rPr>
              <w:t>Documentacion en soporte digital</w:t>
            </w:r>
            <w:r w:rsidR="0023304D">
              <w:rPr>
                <w:noProof/>
                <w:webHidden/>
              </w:rPr>
              <w:tab/>
            </w:r>
            <w:r w:rsidR="00B16923">
              <w:rPr>
                <w:noProof/>
                <w:webHidden/>
              </w:rPr>
              <w:fldChar w:fldCharType="begin"/>
            </w:r>
            <w:r w:rsidR="0023304D">
              <w:rPr>
                <w:noProof/>
                <w:webHidden/>
              </w:rPr>
              <w:instrText xml:space="preserve"> PAGEREF _Toc346541958 \h </w:instrText>
            </w:r>
            <w:r w:rsidR="00B16923">
              <w:rPr>
                <w:noProof/>
                <w:webHidden/>
              </w:rPr>
            </w:r>
            <w:r w:rsidR="00B16923">
              <w:rPr>
                <w:noProof/>
                <w:webHidden/>
              </w:rPr>
              <w:fldChar w:fldCharType="separate"/>
            </w:r>
            <w:r w:rsidR="003142BB">
              <w:rPr>
                <w:noProof/>
                <w:webHidden/>
              </w:rPr>
              <w:t>337</w:t>
            </w:r>
            <w:r w:rsidR="00B16923">
              <w:rPr>
                <w:noProof/>
                <w:webHidden/>
              </w:rPr>
              <w:fldChar w:fldCharType="end"/>
            </w:r>
          </w:hyperlink>
        </w:p>
        <w:p w:rsidR="0023304D" w:rsidRDefault="00B45290">
          <w:pPr>
            <w:pStyle w:val="TOC3"/>
            <w:tabs>
              <w:tab w:val="left" w:pos="1200"/>
              <w:tab w:val="right" w:leader="dot" w:pos="9345"/>
            </w:tabs>
            <w:rPr>
              <w:rFonts w:asciiTheme="minorHAnsi" w:eastAsiaTheme="minorEastAsia" w:hAnsiTheme="minorHAnsi" w:cstheme="minorBidi"/>
              <w:noProof/>
              <w:sz w:val="22"/>
              <w:szCs w:val="22"/>
            </w:rPr>
          </w:pPr>
          <w:hyperlink w:anchor="_Toc346541959" w:history="1">
            <w:r w:rsidR="0023304D" w:rsidRPr="00E328B0">
              <w:rPr>
                <w:rStyle w:val="Hyperlink"/>
                <w:rFonts w:cs="Arial"/>
                <w:noProof/>
                <w:snapToGrid w:val="0"/>
                <w:w w:val="0"/>
                <w:lang w:val="es-ES"/>
              </w:rPr>
              <w:t>4.13.1</w:t>
            </w:r>
            <w:r w:rsidR="0023304D">
              <w:rPr>
                <w:rFonts w:asciiTheme="minorHAnsi" w:eastAsiaTheme="minorEastAsia" w:hAnsiTheme="minorHAnsi" w:cstheme="minorBidi"/>
                <w:noProof/>
                <w:sz w:val="22"/>
                <w:szCs w:val="22"/>
              </w:rPr>
              <w:tab/>
            </w:r>
            <w:r w:rsidR="0023304D" w:rsidRPr="00E328B0">
              <w:rPr>
                <w:rStyle w:val="Hyperlink"/>
                <w:noProof/>
                <w:lang w:val="es-ES"/>
              </w:rPr>
              <w:t>Aplicación Modelo</w:t>
            </w:r>
            <w:r w:rsidR="0023304D">
              <w:rPr>
                <w:noProof/>
                <w:webHidden/>
              </w:rPr>
              <w:tab/>
            </w:r>
            <w:r w:rsidR="00B16923">
              <w:rPr>
                <w:noProof/>
                <w:webHidden/>
              </w:rPr>
              <w:fldChar w:fldCharType="begin"/>
            </w:r>
            <w:r w:rsidR="0023304D">
              <w:rPr>
                <w:noProof/>
                <w:webHidden/>
              </w:rPr>
              <w:instrText xml:space="preserve"> PAGEREF _Toc346541959 \h </w:instrText>
            </w:r>
            <w:r w:rsidR="00B16923">
              <w:rPr>
                <w:noProof/>
                <w:webHidden/>
              </w:rPr>
            </w:r>
            <w:r w:rsidR="00B16923">
              <w:rPr>
                <w:noProof/>
                <w:webHidden/>
              </w:rPr>
              <w:fldChar w:fldCharType="separate"/>
            </w:r>
            <w:r w:rsidR="003142BB">
              <w:rPr>
                <w:noProof/>
                <w:webHidden/>
              </w:rPr>
              <w:t>337</w:t>
            </w:r>
            <w:r w:rsidR="00B16923">
              <w:rPr>
                <w:noProof/>
                <w:webHidden/>
              </w:rPr>
              <w:fldChar w:fldCharType="end"/>
            </w:r>
          </w:hyperlink>
        </w:p>
        <w:p w:rsidR="0023304D" w:rsidRDefault="00B45290">
          <w:pPr>
            <w:pStyle w:val="TOC3"/>
            <w:tabs>
              <w:tab w:val="left" w:pos="1200"/>
              <w:tab w:val="right" w:leader="dot" w:pos="9345"/>
            </w:tabs>
            <w:rPr>
              <w:rFonts w:asciiTheme="minorHAnsi" w:eastAsiaTheme="minorEastAsia" w:hAnsiTheme="minorHAnsi" w:cstheme="minorBidi"/>
              <w:noProof/>
              <w:sz w:val="22"/>
              <w:szCs w:val="22"/>
            </w:rPr>
          </w:pPr>
          <w:hyperlink w:anchor="_Toc346541960" w:history="1">
            <w:r w:rsidR="0023304D" w:rsidRPr="00E328B0">
              <w:rPr>
                <w:rStyle w:val="Hyperlink"/>
                <w:rFonts w:cs="Arial"/>
                <w:noProof/>
                <w:snapToGrid w:val="0"/>
                <w:w w:val="0"/>
                <w:lang w:val="es-ES"/>
              </w:rPr>
              <w:t>4.13.2</w:t>
            </w:r>
            <w:r w:rsidR="0023304D">
              <w:rPr>
                <w:rFonts w:asciiTheme="minorHAnsi" w:eastAsiaTheme="minorEastAsia" w:hAnsiTheme="minorHAnsi" w:cstheme="minorBidi"/>
                <w:noProof/>
                <w:sz w:val="22"/>
                <w:szCs w:val="22"/>
              </w:rPr>
              <w:tab/>
            </w:r>
            <w:r w:rsidR="0023304D" w:rsidRPr="00E328B0">
              <w:rPr>
                <w:rStyle w:val="Hyperlink"/>
                <w:noProof/>
                <w:lang w:val="es-ES"/>
              </w:rPr>
              <w:t>TRANSCAD</w:t>
            </w:r>
            <w:r w:rsidR="0023304D">
              <w:rPr>
                <w:noProof/>
                <w:webHidden/>
              </w:rPr>
              <w:tab/>
            </w:r>
            <w:r w:rsidR="00B16923">
              <w:rPr>
                <w:noProof/>
                <w:webHidden/>
              </w:rPr>
              <w:fldChar w:fldCharType="begin"/>
            </w:r>
            <w:r w:rsidR="0023304D">
              <w:rPr>
                <w:noProof/>
                <w:webHidden/>
              </w:rPr>
              <w:instrText xml:space="preserve"> PAGEREF _Toc346541960 \h </w:instrText>
            </w:r>
            <w:r w:rsidR="00B16923">
              <w:rPr>
                <w:noProof/>
                <w:webHidden/>
              </w:rPr>
            </w:r>
            <w:r w:rsidR="00B16923">
              <w:rPr>
                <w:noProof/>
                <w:webHidden/>
              </w:rPr>
              <w:fldChar w:fldCharType="separate"/>
            </w:r>
            <w:r w:rsidR="003142BB">
              <w:rPr>
                <w:noProof/>
                <w:webHidden/>
              </w:rPr>
              <w:t>337</w:t>
            </w:r>
            <w:r w:rsidR="00B16923">
              <w:rPr>
                <w:noProof/>
                <w:webHidden/>
              </w:rPr>
              <w:fldChar w:fldCharType="end"/>
            </w:r>
          </w:hyperlink>
        </w:p>
        <w:p w:rsidR="0023304D" w:rsidRDefault="00B45290">
          <w:pPr>
            <w:pStyle w:val="TOC2"/>
            <w:tabs>
              <w:tab w:val="left" w:pos="960"/>
              <w:tab w:val="right" w:leader="dot" w:pos="9345"/>
            </w:tabs>
            <w:rPr>
              <w:rFonts w:asciiTheme="minorHAnsi" w:eastAsiaTheme="minorEastAsia" w:hAnsiTheme="minorHAnsi" w:cstheme="minorBidi"/>
              <w:b w:val="0"/>
              <w:bCs w:val="0"/>
              <w:noProof/>
              <w:sz w:val="22"/>
              <w:szCs w:val="22"/>
            </w:rPr>
          </w:pPr>
          <w:hyperlink w:anchor="_Toc346541961" w:history="1">
            <w:r w:rsidR="0023304D" w:rsidRPr="00E328B0">
              <w:rPr>
                <w:rStyle w:val="Hyperlink"/>
                <w:noProof/>
                <w:lang w:val="es-ES"/>
              </w:rPr>
              <w:t>4.14</w:t>
            </w:r>
            <w:r w:rsidR="0023304D">
              <w:rPr>
                <w:rFonts w:asciiTheme="minorHAnsi" w:eastAsiaTheme="minorEastAsia" w:hAnsiTheme="minorHAnsi" w:cstheme="minorBidi"/>
                <w:b w:val="0"/>
                <w:bCs w:val="0"/>
                <w:noProof/>
                <w:sz w:val="22"/>
                <w:szCs w:val="22"/>
              </w:rPr>
              <w:tab/>
            </w:r>
            <w:r w:rsidR="0023304D" w:rsidRPr="00E328B0">
              <w:rPr>
                <w:rStyle w:val="Hyperlink"/>
                <w:noProof/>
                <w:lang w:val="es-ES"/>
              </w:rPr>
              <w:t>Estudio de Recopilación de Datos de Transporte Urbano para el Área Metropolitana de Lima y Callao.</w:t>
            </w:r>
            <w:r w:rsidR="0023304D">
              <w:rPr>
                <w:noProof/>
                <w:webHidden/>
              </w:rPr>
              <w:tab/>
            </w:r>
            <w:r w:rsidR="00B16923">
              <w:rPr>
                <w:noProof/>
                <w:webHidden/>
              </w:rPr>
              <w:fldChar w:fldCharType="begin"/>
            </w:r>
            <w:r w:rsidR="0023304D">
              <w:rPr>
                <w:noProof/>
                <w:webHidden/>
              </w:rPr>
              <w:instrText xml:space="preserve"> PAGEREF _Toc346541961 \h </w:instrText>
            </w:r>
            <w:r w:rsidR="00B16923">
              <w:rPr>
                <w:noProof/>
                <w:webHidden/>
              </w:rPr>
            </w:r>
            <w:r w:rsidR="00B16923">
              <w:rPr>
                <w:noProof/>
                <w:webHidden/>
              </w:rPr>
              <w:fldChar w:fldCharType="separate"/>
            </w:r>
            <w:r w:rsidR="003142BB">
              <w:rPr>
                <w:noProof/>
                <w:webHidden/>
              </w:rPr>
              <w:t>337</w:t>
            </w:r>
            <w:r w:rsidR="00B16923">
              <w:rPr>
                <w:noProof/>
                <w:webHidden/>
              </w:rPr>
              <w:fldChar w:fldCharType="end"/>
            </w:r>
          </w:hyperlink>
        </w:p>
        <w:p w:rsidR="005B5FEF" w:rsidRPr="007226D7" w:rsidRDefault="00B16923" w:rsidP="005B5FEF">
          <w:pPr>
            <w:rPr>
              <w:lang w:val="es-PE"/>
            </w:rPr>
          </w:pPr>
          <w:r w:rsidRPr="007226D7">
            <w:rPr>
              <w:b/>
              <w:bCs/>
              <w:caps/>
              <w:sz w:val="20"/>
              <w:szCs w:val="28"/>
              <w:lang w:val="es-PE"/>
            </w:rPr>
            <w:fldChar w:fldCharType="end"/>
          </w:r>
        </w:p>
      </w:sdtContent>
    </w:sdt>
    <w:p w:rsidR="005B5FEF" w:rsidRPr="007226D7" w:rsidRDefault="005B5FEF">
      <w:pPr>
        <w:rPr>
          <w:lang w:val="es-PE"/>
        </w:rPr>
      </w:pPr>
    </w:p>
    <w:p w:rsidR="005B5FEF" w:rsidRPr="007226D7" w:rsidRDefault="005B5FEF">
      <w:pPr>
        <w:rPr>
          <w:lang w:val="es-PE"/>
        </w:rPr>
      </w:pPr>
    </w:p>
    <w:p w:rsidR="005B5FEF" w:rsidRPr="007226D7" w:rsidRDefault="005B5FEF">
      <w:pPr>
        <w:rPr>
          <w:lang w:val="es-PE"/>
        </w:rPr>
      </w:pPr>
    </w:p>
    <w:p w:rsidR="008B4AD4" w:rsidRPr="007226D7" w:rsidRDefault="008B4AD4">
      <w:pPr>
        <w:spacing w:after="0"/>
        <w:jc w:val="left"/>
        <w:rPr>
          <w:lang w:val="es-PE"/>
        </w:rPr>
        <w:sectPr w:rsidR="008B4AD4" w:rsidRPr="007226D7" w:rsidSect="00616C7B">
          <w:footerReference w:type="first" r:id="rId18"/>
          <w:pgSz w:w="11907" w:h="16840" w:code="9"/>
          <w:pgMar w:top="1985" w:right="1134" w:bottom="1701" w:left="1418" w:header="720" w:footer="833" w:gutter="0"/>
          <w:paperSrc w:first="15" w:other="15"/>
          <w:cols w:space="720"/>
          <w:titlePg/>
          <w:docGrid w:linePitch="299"/>
        </w:sectPr>
      </w:pPr>
    </w:p>
    <w:p w:rsidR="00094503" w:rsidRPr="007226D7" w:rsidRDefault="002276AC" w:rsidP="006140B0">
      <w:pPr>
        <w:pStyle w:val="Heading1"/>
        <w:spacing w:before="120" w:after="120"/>
        <w:ind w:left="431" w:hanging="431"/>
        <w:rPr>
          <w:lang w:val="es-PE"/>
        </w:rPr>
      </w:pPr>
      <w:bookmarkStart w:id="1" w:name="_Toc346541891"/>
      <w:r w:rsidRPr="007226D7">
        <w:rPr>
          <w:lang w:val="es-PE"/>
        </w:rPr>
        <w:lastRenderedPageBreak/>
        <w:t>RESUMEN EJECUTIVO</w:t>
      </w:r>
      <w:bookmarkEnd w:id="1"/>
    </w:p>
    <w:p w:rsidR="002276AC" w:rsidRPr="007226D7" w:rsidRDefault="002276AC" w:rsidP="006140B0">
      <w:pPr>
        <w:pStyle w:val="Heading2"/>
        <w:spacing w:before="120" w:after="120"/>
        <w:ind w:left="578" w:hanging="578"/>
        <w:rPr>
          <w:lang w:val="es-PE"/>
        </w:rPr>
      </w:pPr>
      <w:bookmarkStart w:id="2" w:name="_Toc346541892"/>
      <w:r w:rsidRPr="007226D7">
        <w:rPr>
          <w:lang w:val="es-PE"/>
        </w:rPr>
        <w:t>Nombre del Proyecto</w:t>
      </w:r>
      <w:bookmarkEnd w:id="2"/>
    </w:p>
    <w:p w:rsidR="002276AC" w:rsidRPr="007226D7" w:rsidRDefault="002276AC" w:rsidP="002276AC">
      <w:pPr>
        <w:rPr>
          <w:lang w:val="es-PE"/>
        </w:rPr>
      </w:pPr>
      <w:r w:rsidRPr="007226D7">
        <w:rPr>
          <w:lang w:val="es-PE"/>
        </w:rPr>
        <w:t>PIP A NIVEL DE FACTIBILIDAD “CONSTRUCCI</w:t>
      </w:r>
      <w:r w:rsidR="003A4B05" w:rsidRPr="007226D7">
        <w:rPr>
          <w:lang w:val="es-PE"/>
        </w:rPr>
        <w:t>Ó</w:t>
      </w:r>
      <w:r w:rsidRPr="007226D7">
        <w:rPr>
          <w:lang w:val="es-PE"/>
        </w:rPr>
        <w:t>N DE LA LÍNEA 2 Y RAMAL Av. FAUCETT-GAMBETTA  DE LA RED BÁSICA DEL METRO DE LIMA Y CALLAO, PROVINCIAS DE LIMA Y CALLAO, DEPARTAMENTO LIMA”</w:t>
      </w:r>
    </w:p>
    <w:p w:rsidR="002276AC" w:rsidRPr="007226D7" w:rsidRDefault="002276AC" w:rsidP="006140B0">
      <w:pPr>
        <w:spacing w:after="0" w:line="240" w:lineRule="auto"/>
        <w:rPr>
          <w:lang w:val="es-PE"/>
        </w:rPr>
      </w:pPr>
    </w:p>
    <w:p w:rsidR="002276AC" w:rsidRPr="007226D7" w:rsidRDefault="002276AC" w:rsidP="006140B0">
      <w:pPr>
        <w:pStyle w:val="Heading2"/>
        <w:spacing w:before="120" w:after="120"/>
        <w:ind w:left="578" w:hanging="578"/>
        <w:rPr>
          <w:lang w:val="es-PE"/>
        </w:rPr>
      </w:pPr>
      <w:bookmarkStart w:id="3" w:name="_Toc346541893"/>
      <w:r w:rsidRPr="007226D7">
        <w:rPr>
          <w:lang w:val="es-PE"/>
        </w:rPr>
        <w:t>Objetivo del proyecto</w:t>
      </w:r>
      <w:bookmarkEnd w:id="3"/>
    </w:p>
    <w:p w:rsidR="002276AC" w:rsidRPr="007226D7" w:rsidRDefault="002276AC" w:rsidP="002276AC">
      <w:pPr>
        <w:rPr>
          <w:lang w:val="es-PE"/>
        </w:rPr>
      </w:pPr>
      <w:r w:rsidRPr="007226D7">
        <w:rPr>
          <w:lang w:val="es-PE"/>
        </w:rPr>
        <w:t>El objetivo central del proyecto es lograr: Adecuadas condiciones viales para instalar un moderno sistema de transporte público masivo en el eje vial este-oeste (Ate –Lima – Callao)</w:t>
      </w:r>
    </w:p>
    <w:p w:rsidR="002276AC" w:rsidRPr="007226D7" w:rsidRDefault="002276AC" w:rsidP="0050041F">
      <w:pPr>
        <w:pStyle w:val="Heading3"/>
        <w:ind w:left="709" w:hanging="709"/>
        <w:rPr>
          <w:lang w:val="es-PE"/>
        </w:rPr>
      </w:pPr>
      <w:bookmarkStart w:id="4" w:name="_Toc346541894"/>
      <w:r w:rsidRPr="007226D7">
        <w:rPr>
          <w:lang w:val="es-PE"/>
        </w:rPr>
        <w:t>Objetivos específicos</w:t>
      </w:r>
      <w:bookmarkEnd w:id="4"/>
    </w:p>
    <w:p w:rsidR="002276AC" w:rsidRPr="007226D7" w:rsidRDefault="002276AC" w:rsidP="0050041F">
      <w:pPr>
        <w:pStyle w:val="ListParagraph"/>
        <w:numPr>
          <w:ilvl w:val="0"/>
          <w:numId w:val="13"/>
        </w:numPr>
        <w:ind w:left="426" w:hanging="426"/>
        <w:rPr>
          <w:lang w:val="es-PE"/>
        </w:rPr>
      </w:pPr>
      <w:r w:rsidRPr="007226D7">
        <w:rPr>
          <w:lang w:val="es-PE"/>
        </w:rPr>
        <w:t xml:space="preserve">Sistema Vial de Alta Capacidad para el Transporte Público Masivo. </w:t>
      </w:r>
    </w:p>
    <w:p w:rsidR="002276AC" w:rsidRPr="007226D7" w:rsidRDefault="002276AC" w:rsidP="002276AC">
      <w:pPr>
        <w:rPr>
          <w:lang w:val="es-PE"/>
        </w:rPr>
      </w:pPr>
      <w:r w:rsidRPr="007226D7">
        <w:rPr>
          <w:lang w:val="es-PE"/>
        </w:rPr>
        <w:t>Infraestructura vial preparada para el transporte público masivo con facilidades para los usuarios, con una infraestructura adecuada y moderna para el transporte público masivo y la construcción de un sistema vial moderno para el transporte público masivo.</w:t>
      </w:r>
    </w:p>
    <w:p w:rsidR="002276AC" w:rsidRPr="007226D7" w:rsidRDefault="002276AC" w:rsidP="006140B0">
      <w:pPr>
        <w:spacing w:after="0" w:line="240" w:lineRule="auto"/>
        <w:rPr>
          <w:lang w:val="es-PE"/>
        </w:rPr>
      </w:pPr>
    </w:p>
    <w:p w:rsidR="002276AC" w:rsidRPr="007226D7" w:rsidRDefault="002276AC" w:rsidP="0050041F">
      <w:pPr>
        <w:pStyle w:val="ListParagraph"/>
        <w:numPr>
          <w:ilvl w:val="0"/>
          <w:numId w:val="13"/>
        </w:numPr>
        <w:ind w:left="426" w:hanging="426"/>
        <w:rPr>
          <w:lang w:val="es-PE"/>
        </w:rPr>
      </w:pPr>
      <w:r w:rsidRPr="007226D7">
        <w:rPr>
          <w:lang w:val="es-PE"/>
        </w:rPr>
        <w:t xml:space="preserve">Operación comercial eficiente del sistema de Transporte Público </w:t>
      </w:r>
    </w:p>
    <w:p w:rsidR="002276AC" w:rsidRPr="007226D7" w:rsidRDefault="002276AC" w:rsidP="002276AC">
      <w:pPr>
        <w:rPr>
          <w:lang w:val="es-PE"/>
        </w:rPr>
      </w:pPr>
      <w:r w:rsidRPr="007226D7">
        <w:rPr>
          <w:lang w:val="es-PE"/>
        </w:rPr>
        <w:t>Sistema de transporte público que cuenta con una alta confiabilidad en la operación con una flota adecuada para el transporte público de alta capacidad. Alta confiabilidad en la operación del sistema de transporte público masivo a cargo de la sociedad concesionaria con experiencia en la administración de este tipo de infraestructura.</w:t>
      </w:r>
    </w:p>
    <w:p w:rsidR="002276AC" w:rsidRPr="007226D7" w:rsidRDefault="002276AC" w:rsidP="006140B0">
      <w:pPr>
        <w:spacing w:after="0" w:line="240" w:lineRule="auto"/>
        <w:rPr>
          <w:lang w:val="es-PE"/>
        </w:rPr>
      </w:pPr>
    </w:p>
    <w:p w:rsidR="00FE21CF" w:rsidRPr="007226D7" w:rsidRDefault="002276AC" w:rsidP="006140B0">
      <w:pPr>
        <w:pStyle w:val="Heading2"/>
        <w:spacing w:before="120" w:after="120"/>
        <w:ind w:left="578" w:hanging="578"/>
        <w:rPr>
          <w:lang w:val="es-PE"/>
        </w:rPr>
      </w:pPr>
      <w:bookmarkStart w:id="5" w:name="_Toc346541895"/>
      <w:r w:rsidRPr="007226D7">
        <w:rPr>
          <w:lang w:val="es-PE"/>
        </w:rPr>
        <w:t>Balance oferta y demanda de los bienes o servicios del proyecto</w:t>
      </w:r>
      <w:bookmarkEnd w:id="5"/>
      <w:r w:rsidR="003D3C2C" w:rsidRPr="007226D7">
        <w:rPr>
          <w:lang w:val="es-PE"/>
        </w:rPr>
        <w:t xml:space="preserve"> </w:t>
      </w:r>
    </w:p>
    <w:p w:rsidR="006353E3" w:rsidRPr="007226D7" w:rsidRDefault="006353E3" w:rsidP="006353E3">
      <w:pPr>
        <w:rPr>
          <w:lang w:val="es-PE"/>
        </w:rPr>
      </w:pPr>
      <w:r w:rsidRPr="007226D7">
        <w:rPr>
          <w:lang w:val="es-PE"/>
        </w:rPr>
        <w:t xml:space="preserve">El presente </w:t>
      </w:r>
      <w:r w:rsidR="00E41450" w:rsidRPr="007226D7">
        <w:rPr>
          <w:lang w:val="es-PE"/>
        </w:rPr>
        <w:t>párrafo</w:t>
      </w:r>
      <w:r w:rsidRPr="007226D7">
        <w:rPr>
          <w:lang w:val="es-PE"/>
        </w:rPr>
        <w:t xml:space="preserve"> recoge una síntesis del estudio realizado por el Consorcio GEODATA-ESAN SERCONSULT para estimar la demanda para la concesión del proyecto especial del Sistema Eléctrico de Transporte Masivo para la ciudad de Lima y Callao, de la Línea 2 comprendido entre Ate Vitarte  – Puerto Callao y ramal Av. Faucett-Gambeta.</w:t>
      </w:r>
    </w:p>
    <w:p w:rsidR="006353E3" w:rsidRPr="007226D7" w:rsidRDefault="006353E3" w:rsidP="006353E3">
      <w:pPr>
        <w:rPr>
          <w:lang w:val="es-PE"/>
        </w:rPr>
      </w:pPr>
      <w:r w:rsidRPr="007226D7">
        <w:rPr>
          <w:lang w:val="es-PE"/>
        </w:rPr>
        <w:t>Este trabajo ha tenido dos propósitos fundamentales:</w:t>
      </w:r>
    </w:p>
    <w:p w:rsidR="006353E3" w:rsidRPr="007226D7" w:rsidRDefault="006353E3" w:rsidP="006353E3">
      <w:pPr>
        <w:pStyle w:val="ListParagraph"/>
        <w:numPr>
          <w:ilvl w:val="0"/>
          <w:numId w:val="13"/>
        </w:numPr>
        <w:rPr>
          <w:lang w:val="es-PE"/>
        </w:rPr>
      </w:pPr>
      <w:r w:rsidRPr="007226D7">
        <w:rPr>
          <w:lang w:val="es-PE"/>
        </w:rPr>
        <w:t>Determinar la demanda de pasajeros durante el periodo de concesión, considerando los diferentes escenarios de implementación del Sistema Integrado de Transporte de Lima y Callao.</w:t>
      </w:r>
    </w:p>
    <w:p w:rsidR="006353E3" w:rsidRPr="007226D7" w:rsidRDefault="006353E3" w:rsidP="006353E3">
      <w:pPr>
        <w:pStyle w:val="ListParagraph"/>
        <w:numPr>
          <w:ilvl w:val="0"/>
          <w:numId w:val="13"/>
        </w:numPr>
        <w:rPr>
          <w:lang w:val="es-PE"/>
        </w:rPr>
      </w:pPr>
      <w:r w:rsidRPr="007226D7">
        <w:rPr>
          <w:lang w:val="es-PE"/>
        </w:rPr>
        <w:t>Estimar los beneficios generados por la operación del tren para los usuarios, teniendo en cuenta la influencia del proyecto en todo el sistema de transporte</w:t>
      </w:r>
    </w:p>
    <w:p w:rsidR="006353E3" w:rsidRPr="007226D7" w:rsidRDefault="006353E3" w:rsidP="006353E3">
      <w:pPr>
        <w:spacing w:after="0" w:line="240" w:lineRule="auto"/>
        <w:jc w:val="left"/>
        <w:rPr>
          <w:lang w:val="es-PE"/>
        </w:rPr>
      </w:pPr>
      <w:r w:rsidRPr="007226D7">
        <w:rPr>
          <w:lang w:val="es-PE"/>
        </w:rPr>
        <w:t>Para la plena consecución de los objetivos anteriores, el trabajo se estructuró de acuerdo con el siguiente esquema metodológico:</w:t>
      </w:r>
    </w:p>
    <w:p w:rsidR="006353E3" w:rsidRPr="007226D7" w:rsidRDefault="006353E3" w:rsidP="006353E3">
      <w:pPr>
        <w:spacing w:after="0" w:line="240" w:lineRule="auto"/>
        <w:jc w:val="left"/>
        <w:rPr>
          <w:lang w:val="es-PE"/>
        </w:rPr>
      </w:pPr>
    </w:p>
    <w:p w:rsidR="006353E3" w:rsidRPr="007226D7" w:rsidRDefault="006353E3" w:rsidP="006353E3">
      <w:pPr>
        <w:pStyle w:val="ListParagraph"/>
        <w:numPr>
          <w:ilvl w:val="0"/>
          <w:numId w:val="74"/>
        </w:numPr>
        <w:spacing w:after="0" w:line="240" w:lineRule="auto"/>
        <w:jc w:val="left"/>
        <w:rPr>
          <w:lang w:val="es-PE"/>
        </w:rPr>
      </w:pPr>
      <w:r w:rsidRPr="007226D7">
        <w:rPr>
          <w:lang w:val="es-PE"/>
        </w:rPr>
        <w:t>Revisión de Estudios Anteriores</w:t>
      </w:r>
    </w:p>
    <w:p w:rsidR="006353E3" w:rsidRPr="007226D7" w:rsidRDefault="006353E3" w:rsidP="006353E3">
      <w:pPr>
        <w:pStyle w:val="ListParagraph"/>
        <w:numPr>
          <w:ilvl w:val="0"/>
          <w:numId w:val="74"/>
        </w:numPr>
        <w:spacing w:after="0" w:line="240" w:lineRule="auto"/>
        <w:jc w:val="left"/>
        <w:rPr>
          <w:lang w:val="es-PE"/>
        </w:rPr>
      </w:pPr>
      <w:r w:rsidRPr="007226D7">
        <w:rPr>
          <w:lang w:val="es-PE"/>
        </w:rPr>
        <w:t>Revisión y calibración del modelo de demanda.</w:t>
      </w:r>
    </w:p>
    <w:p w:rsidR="006353E3" w:rsidRPr="007226D7" w:rsidRDefault="006353E3" w:rsidP="006353E3">
      <w:pPr>
        <w:pStyle w:val="ListParagraph"/>
        <w:numPr>
          <w:ilvl w:val="0"/>
          <w:numId w:val="74"/>
        </w:numPr>
        <w:spacing w:after="0" w:line="240" w:lineRule="auto"/>
        <w:jc w:val="left"/>
        <w:rPr>
          <w:lang w:val="es-PE"/>
        </w:rPr>
      </w:pPr>
      <w:r w:rsidRPr="007226D7">
        <w:rPr>
          <w:lang w:val="es-PE"/>
        </w:rPr>
        <w:lastRenderedPageBreak/>
        <w:t>Definición de escenarios.</w:t>
      </w:r>
    </w:p>
    <w:p w:rsidR="006353E3" w:rsidRPr="007226D7" w:rsidRDefault="00E41450" w:rsidP="006353E3">
      <w:pPr>
        <w:pStyle w:val="ListParagraph"/>
        <w:numPr>
          <w:ilvl w:val="0"/>
          <w:numId w:val="74"/>
        </w:numPr>
        <w:spacing w:after="0" w:line="240" w:lineRule="auto"/>
        <w:jc w:val="left"/>
        <w:rPr>
          <w:lang w:val="es-PE"/>
        </w:rPr>
      </w:pPr>
      <w:r w:rsidRPr="007226D7">
        <w:rPr>
          <w:lang w:val="es-PE"/>
        </w:rPr>
        <w:t>Determinación</w:t>
      </w:r>
      <w:r w:rsidR="006353E3" w:rsidRPr="007226D7">
        <w:rPr>
          <w:lang w:val="es-PE"/>
        </w:rPr>
        <w:t xml:space="preserve"> de la demanda proyectada a los años horizonte 2018,2020 y 2030</w:t>
      </w:r>
    </w:p>
    <w:p w:rsidR="006353E3" w:rsidRPr="007226D7" w:rsidRDefault="006353E3" w:rsidP="006353E3">
      <w:pPr>
        <w:pStyle w:val="ListParagraph"/>
        <w:numPr>
          <w:ilvl w:val="0"/>
          <w:numId w:val="74"/>
        </w:numPr>
        <w:spacing w:after="0" w:line="240" w:lineRule="auto"/>
        <w:jc w:val="left"/>
        <w:rPr>
          <w:lang w:val="es-PE"/>
        </w:rPr>
      </w:pPr>
      <w:r w:rsidRPr="007226D7">
        <w:rPr>
          <w:lang w:val="es-PE"/>
        </w:rPr>
        <w:t>Simulación y evaluación.</w:t>
      </w:r>
    </w:p>
    <w:p w:rsidR="006353E3" w:rsidRPr="007226D7" w:rsidRDefault="006353E3" w:rsidP="006353E3">
      <w:pPr>
        <w:pStyle w:val="ListParagraph"/>
        <w:numPr>
          <w:ilvl w:val="0"/>
          <w:numId w:val="74"/>
        </w:numPr>
        <w:spacing w:after="0" w:line="240" w:lineRule="auto"/>
        <w:jc w:val="left"/>
        <w:rPr>
          <w:lang w:val="es-PE"/>
        </w:rPr>
      </w:pPr>
      <w:r w:rsidRPr="007226D7">
        <w:rPr>
          <w:lang w:val="es-PE"/>
        </w:rPr>
        <w:t>Conclusiones del estudio.</w:t>
      </w:r>
    </w:p>
    <w:p w:rsidR="006353E3" w:rsidRPr="007226D7" w:rsidRDefault="006353E3" w:rsidP="006353E3">
      <w:pPr>
        <w:spacing w:after="0" w:line="240" w:lineRule="auto"/>
        <w:jc w:val="left"/>
        <w:rPr>
          <w:lang w:val="es-PE"/>
        </w:rPr>
      </w:pPr>
    </w:p>
    <w:p w:rsidR="006353E3" w:rsidRPr="007226D7" w:rsidRDefault="006353E3" w:rsidP="006353E3">
      <w:pPr>
        <w:rPr>
          <w:lang w:val="es-ES"/>
        </w:rPr>
      </w:pPr>
      <w:r w:rsidRPr="007226D7">
        <w:rPr>
          <w:lang w:val="es-ES"/>
        </w:rPr>
        <w:t>A continuación aparece un esquema sintético de todos los escenarios sometidos a simulación:</w:t>
      </w:r>
    </w:p>
    <w:p w:rsidR="00345072" w:rsidRPr="007226D7" w:rsidRDefault="00345072">
      <w:pPr>
        <w:spacing w:after="0" w:line="240" w:lineRule="auto"/>
        <w:jc w:val="left"/>
        <w:rPr>
          <w:lang w:val="es-ES"/>
        </w:rPr>
      </w:pPr>
    </w:p>
    <w:p w:rsidR="006353E3" w:rsidRPr="007226D7" w:rsidRDefault="00947A5E" w:rsidP="00947A5E">
      <w:pPr>
        <w:spacing w:after="80" w:line="240" w:lineRule="auto"/>
        <w:jc w:val="center"/>
        <w:rPr>
          <w:b/>
          <w:sz w:val="16"/>
          <w:szCs w:val="16"/>
          <w:lang w:val="es-ES"/>
        </w:rPr>
      </w:pPr>
      <w:r w:rsidRPr="006C214F">
        <w:rPr>
          <w:b/>
          <w:sz w:val="16"/>
          <w:szCs w:val="16"/>
          <w:lang w:val="es-ES"/>
        </w:rPr>
        <w:t>Tabla 1.3-1: Esquema sintético de todos los escenarios sometidos a simulación</w:t>
      </w:r>
    </w:p>
    <w:p w:rsidR="004B1464" w:rsidRPr="007226D7" w:rsidRDefault="00345072" w:rsidP="006140B0">
      <w:pPr>
        <w:jc w:val="center"/>
        <w:rPr>
          <w:lang w:val="es-ES"/>
        </w:rPr>
      </w:pPr>
      <w:r w:rsidRPr="007226D7">
        <w:rPr>
          <w:noProof/>
          <w:lang w:val="en-US" w:eastAsia="en-US"/>
        </w:rPr>
        <w:drawing>
          <wp:inline distT="0" distB="0" distL="0" distR="0">
            <wp:extent cx="5661534" cy="6336197"/>
            <wp:effectExtent l="19050" t="0" r="0" b="0"/>
            <wp:docPr id="163"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a:stretch>
                      <a:fillRect/>
                    </a:stretch>
                  </pic:blipFill>
                  <pic:spPr bwMode="auto">
                    <a:xfrm>
                      <a:off x="0" y="0"/>
                      <a:ext cx="5670525" cy="6346259"/>
                    </a:xfrm>
                    <a:prstGeom prst="rect">
                      <a:avLst/>
                    </a:prstGeom>
                    <a:noFill/>
                    <a:ln w="9525">
                      <a:noFill/>
                      <a:miter lim="800000"/>
                      <a:headEnd/>
                      <a:tailEnd/>
                    </a:ln>
                  </pic:spPr>
                </pic:pic>
              </a:graphicData>
            </a:graphic>
          </wp:inline>
        </w:drawing>
      </w:r>
    </w:p>
    <w:p w:rsidR="00B71B82" w:rsidRPr="007226D7" w:rsidRDefault="00B71B82" w:rsidP="00B71B82">
      <w:pPr>
        <w:pStyle w:val="Figuras"/>
        <w:rPr>
          <w:color w:val="000000" w:themeColor="text1"/>
        </w:rPr>
      </w:pPr>
    </w:p>
    <w:p w:rsidR="008C508C" w:rsidRPr="007226D7" w:rsidRDefault="008C508C" w:rsidP="00B71B82">
      <w:pPr>
        <w:rPr>
          <w:lang w:val="es-ES"/>
        </w:rPr>
      </w:pPr>
      <w:r w:rsidRPr="007226D7">
        <w:rPr>
          <w:lang w:val="es-ES"/>
        </w:rPr>
        <w:br w:type="page"/>
      </w:r>
    </w:p>
    <w:p w:rsidR="00F4491C" w:rsidRPr="007226D7" w:rsidRDefault="00F4491C" w:rsidP="00F4491C">
      <w:pPr>
        <w:rPr>
          <w:color w:val="000000" w:themeColor="text1"/>
          <w:lang w:val="es-ES"/>
        </w:rPr>
      </w:pPr>
      <w:r w:rsidRPr="007226D7">
        <w:rPr>
          <w:color w:val="000000" w:themeColor="text1"/>
          <w:lang w:val="es-ES"/>
        </w:rPr>
        <w:lastRenderedPageBreak/>
        <w:t xml:space="preserve">En el caso particular de este estudio y con referencia al esquema de los escenarios descritos antes, </w:t>
      </w:r>
      <w:r w:rsidRPr="007226D7">
        <w:rPr>
          <w:lang w:val="es-ES"/>
        </w:rPr>
        <w:t xml:space="preserve">tras la asignación de las matrices tendenciales a las redes de los escenarios de “NO INTERVENCIÓN”, “OPTIMIZADO” y “DE PROYECTO” se establecen, según el procedimiento descrito en el </w:t>
      </w:r>
      <w:r w:rsidR="00E41450" w:rsidRPr="007226D7">
        <w:rPr>
          <w:lang w:val="es-ES"/>
        </w:rPr>
        <w:t>capítulo</w:t>
      </w:r>
      <w:r w:rsidRPr="007226D7">
        <w:rPr>
          <w:lang w:val="es-ES"/>
        </w:rPr>
        <w:t xml:space="preserve"> 4, las matrices finales que, asignadas a las respectivas redes conducen a los resultados de modelación.</w:t>
      </w:r>
    </w:p>
    <w:p w:rsidR="00F4491C" w:rsidRPr="007226D7" w:rsidRDefault="00F4491C">
      <w:pPr>
        <w:spacing w:after="0" w:line="240" w:lineRule="auto"/>
        <w:jc w:val="left"/>
        <w:rPr>
          <w:lang w:val="es-ES"/>
        </w:rPr>
      </w:pPr>
    </w:p>
    <w:p w:rsidR="00F4491C" w:rsidRPr="007226D7" w:rsidRDefault="00B71B82" w:rsidP="00F4491C">
      <w:pPr>
        <w:pStyle w:val="Figuras"/>
      </w:pPr>
      <w:r w:rsidRPr="007226D7">
        <w:t xml:space="preserve">Tabla 1.3 – 2: </w:t>
      </w:r>
      <w:r w:rsidR="00F4491C" w:rsidRPr="007226D7">
        <w:t>Matrices Finales – Escenarios “</w:t>
      </w:r>
      <w:r w:rsidR="00E41450" w:rsidRPr="007226D7">
        <w:t>OPTIMIZADO “y</w:t>
      </w:r>
      <w:r w:rsidR="00F4491C" w:rsidRPr="007226D7">
        <w:t xml:space="preserve"> “CON PROYECTO”</w:t>
      </w:r>
    </w:p>
    <w:tbl>
      <w:tblPr>
        <w:tblW w:w="5380" w:type="dxa"/>
        <w:jc w:val="center"/>
        <w:tblInd w:w="55" w:type="dxa"/>
        <w:tblCellMar>
          <w:left w:w="70" w:type="dxa"/>
          <w:right w:w="70" w:type="dxa"/>
        </w:tblCellMar>
        <w:tblLook w:val="04A0" w:firstRow="1" w:lastRow="0" w:firstColumn="1" w:lastColumn="0" w:noHBand="0" w:noVBand="1"/>
      </w:tblPr>
      <w:tblGrid>
        <w:gridCol w:w="940"/>
        <w:gridCol w:w="1034"/>
        <w:gridCol w:w="872"/>
        <w:gridCol w:w="1031"/>
        <w:gridCol w:w="864"/>
        <w:gridCol w:w="858"/>
      </w:tblGrid>
      <w:tr w:rsidR="00F4491C" w:rsidRPr="007226D7" w:rsidTr="007C57FB">
        <w:trPr>
          <w:trHeight w:val="300"/>
          <w:jc w:val="center"/>
        </w:trPr>
        <w:tc>
          <w:tcPr>
            <w:tcW w:w="940" w:type="dxa"/>
            <w:tcBorders>
              <w:top w:val="nil"/>
              <w:left w:val="nil"/>
              <w:bottom w:val="nil"/>
              <w:right w:val="nil"/>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lang w:val="es-ES"/>
              </w:rPr>
            </w:pPr>
            <w:r w:rsidRPr="007226D7">
              <w:rPr>
                <w:rFonts w:ascii="Calibri" w:hAnsi="Calibri"/>
                <w:color w:val="171717"/>
                <w:szCs w:val="22"/>
                <w:lang w:val="es-ES"/>
              </w:rPr>
              <w:t> </w:t>
            </w:r>
          </w:p>
        </w:tc>
        <w:tc>
          <w:tcPr>
            <w:tcW w:w="4440"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171717"/>
                <w:szCs w:val="22"/>
              </w:rPr>
            </w:pPr>
            <w:r w:rsidRPr="007226D7">
              <w:rPr>
                <w:rFonts w:ascii="Calibri" w:hAnsi="Calibri"/>
                <w:b/>
                <w:bCs/>
                <w:color w:val="171717"/>
                <w:szCs w:val="22"/>
              </w:rPr>
              <w:t>2018</w:t>
            </w:r>
          </w:p>
        </w:tc>
      </w:tr>
      <w:tr w:rsidR="00F4491C" w:rsidRPr="007226D7" w:rsidTr="007C57FB">
        <w:trPr>
          <w:trHeight w:val="300"/>
          <w:jc w:val="center"/>
        </w:trPr>
        <w:tc>
          <w:tcPr>
            <w:tcW w:w="940" w:type="dxa"/>
            <w:tcBorders>
              <w:top w:val="nil"/>
              <w:left w:val="nil"/>
              <w:bottom w:val="nil"/>
              <w:right w:val="nil"/>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rPr>
            </w:pPr>
            <w:r w:rsidRPr="007226D7">
              <w:rPr>
                <w:rFonts w:ascii="Calibri" w:hAnsi="Calibri"/>
                <w:color w:val="171717"/>
                <w:szCs w:val="22"/>
              </w:rPr>
              <w:t> </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TOTALES</w:t>
            </w:r>
          </w:p>
        </w:tc>
        <w:tc>
          <w:tcPr>
            <w:tcW w:w="824"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COCHES</w:t>
            </w:r>
          </w:p>
        </w:tc>
        <w:tc>
          <w:tcPr>
            <w:tcW w:w="996"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PUB</w:t>
            </w:r>
          </w:p>
        </w:tc>
        <w:tc>
          <w:tcPr>
            <w:tcW w:w="815"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TAXI</w:t>
            </w:r>
          </w:p>
        </w:tc>
        <w:tc>
          <w:tcPr>
            <w:tcW w:w="809"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TRUCKS</w:t>
            </w:r>
          </w:p>
        </w:tc>
      </w:tr>
      <w:tr w:rsidR="00F4491C" w:rsidRPr="007226D7" w:rsidTr="007C57FB">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HPM</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b/>
                <w:color w:val="171717"/>
                <w:szCs w:val="22"/>
              </w:rPr>
            </w:pPr>
            <w:r w:rsidRPr="007226D7">
              <w:rPr>
                <w:rFonts w:ascii="Calibri" w:hAnsi="Calibri"/>
                <w:b/>
                <w:color w:val="171717"/>
                <w:szCs w:val="22"/>
              </w:rPr>
              <w:t>1,472,048</w:t>
            </w:r>
          </w:p>
        </w:tc>
        <w:tc>
          <w:tcPr>
            <w:tcW w:w="824" w:type="dxa"/>
            <w:tcBorders>
              <w:top w:val="single" w:sz="4" w:space="0" w:color="auto"/>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szCs w:val="22"/>
              </w:rPr>
            </w:pPr>
            <w:r w:rsidRPr="007226D7">
              <w:rPr>
                <w:rFonts w:ascii="Calibri" w:hAnsi="Calibri"/>
                <w:szCs w:val="22"/>
              </w:rPr>
              <w:t>221,460</w:t>
            </w:r>
          </w:p>
        </w:tc>
        <w:tc>
          <w:tcPr>
            <w:tcW w:w="996" w:type="dxa"/>
            <w:tcBorders>
              <w:top w:val="single" w:sz="4" w:space="0" w:color="auto"/>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1,123,127</w:t>
            </w:r>
          </w:p>
        </w:tc>
        <w:tc>
          <w:tcPr>
            <w:tcW w:w="815" w:type="dxa"/>
            <w:tcBorders>
              <w:top w:val="single" w:sz="4" w:space="0" w:color="auto"/>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112,096</w:t>
            </w:r>
          </w:p>
        </w:tc>
        <w:tc>
          <w:tcPr>
            <w:tcW w:w="809" w:type="dxa"/>
            <w:tcBorders>
              <w:top w:val="single" w:sz="4" w:space="0" w:color="auto"/>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15,366</w:t>
            </w:r>
          </w:p>
        </w:tc>
      </w:tr>
      <w:tr w:rsidR="00F4491C" w:rsidRPr="007226D7" w:rsidTr="007C57FB">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HPT</w:t>
            </w:r>
          </w:p>
        </w:tc>
        <w:tc>
          <w:tcPr>
            <w:tcW w:w="996" w:type="dxa"/>
            <w:tcBorders>
              <w:top w:val="nil"/>
              <w:left w:val="single" w:sz="4" w:space="0" w:color="auto"/>
              <w:bottom w:val="nil"/>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b/>
                <w:color w:val="171717"/>
                <w:szCs w:val="22"/>
              </w:rPr>
            </w:pPr>
            <w:r w:rsidRPr="007226D7">
              <w:rPr>
                <w:rFonts w:ascii="Calibri" w:hAnsi="Calibri"/>
                <w:b/>
                <w:color w:val="171717"/>
                <w:szCs w:val="22"/>
              </w:rPr>
              <w:t>990,346</w:t>
            </w:r>
          </w:p>
        </w:tc>
        <w:tc>
          <w:tcPr>
            <w:tcW w:w="824" w:type="dxa"/>
            <w:tcBorders>
              <w:top w:val="nil"/>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122,422</w:t>
            </w:r>
          </w:p>
        </w:tc>
        <w:tc>
          <w:tcPr>
            <w:tcW w:w="996" w:type="dxa"/>
            <w:tcBorders>
              <w:top w:val="nil"/>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753,214</w:t>
            </w:r>
          </w:p>
        </w:tc>
        <w:tc>
          <w:tcPr>
            <w:tcW w:w="815" w:type="dxa"/>
            <w:tcBorders>
              <w:top w:val="nil"/>
              <w:left w:val="nil"/>
              <w:bottom w:val="nil"/>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103,140</w:t>
            </w:r>
          </w:p>
        </w:tc>
        <w:tc>
          <w:tcPr>
            <w:tcW w:w="809"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11,569</w:t>
            </w:r>
          </w:p>
        </w:tc>
      </w:tr>
      <w:tr w:rsidR="00F4491C" w:rsidRPr="007226D7" w:rsidTr="007C57FB">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HV</w:t>
            </w:r>
          </w:p>
        </w:tc>
        <w:tc>
          <w:tcPr>
            <w:tcW w:w="996"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b/>
                <w:color w:val="171717"/>
                <w:szCs w:val="22"/>
              </w:rPr>
            </w:pPr>
            <w:r w:rsidRPr="007226D7">
              <w:rPr>
                <w:rFonts w:ascii="Calibri" w:hAnsi="Calibri"/>
                <w:b/>
                <w:color w:val="171717"/>
                <w:szCs w:val="22"/>
              </w:rPr>
              <w:t>725,603</w:t>
            </w:r>
          </w:p>
        </w:tc>
        <w:tc>
          <w:tcPr>
            <w:tcW w:w="824" w:type="dxa"/>
            <w:tcBorders>
              <w:top w:val="nil"/>
              <w:left w:val="nil"/>
              <w:bottom w:val="single" w:sz="4" w:space="0" w:color="auto"/>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98,914</w:t>
            </w:r>
          </w:p>
        </w:tc>
        <w:tc>
          <w:tcPr>
            <w:tcW w:w="996" w:type="dxa"/>
            <w:tcBorders>
              <w:top w:val="nil"/>
              <w:left w:val="nil"/>
              <w:bottom w:val="single" w:sz="4" w:space="0" w:color="auto"/>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541,880</w:t>
            </w:r>
          </w:p>
        </w:tc>
        <w:tc>
          <w:tcPr>
            <w:tcW w:w="815" w:type="dxa"/>
            <w:tcBorders>
              <w:top w:val="nil"/>
              <w:left w:val="nil"/>
              <w:bottom w:val="single" w:sz="4" w:space="0" w:color="auto"/>
              <w:right w:val="nil"/>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73,474</w:t>
            </w:r>
          </w:p>
        </w:tc>
        <w:tc>
          <w:tcPr>
            <w:tcW w:w="809" w:type="dxa"/>
            <w:tcBorders>
              <w:top w:val="nil"/>
              <w:left w:val="nil"/>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right"/>
              <w:rPr>
                <w:rFonts w:ascii="Calibri" w:hAnsi="Calibri"/>
                <w:color w:val="171717"/>
                <w:szCs w:val="22"/>
              </w:rPr>
            </w:pPr>
            <w:r w:rsidRPr="007226D7">
              <w:rPr>
                <w:rFonts w:ascii="Calibri" w:hAnsi="Calibri"/>
                <w:color w:val="171717"/>
                <w:szCs w:val="22"/>
              </w:rPr>
              <w:t>11,336</w:t>
            </w:r>
          </w:p>
        </w:tc>
      </w:tr>
    </w:tbl>
    <w:p w:rsidR="00F4491C" w:rsidRPr="007226D7" w:rsidRDefault="00F4491C" w:rsidP="00F4491C">
      <w:pPr>
        <w:spacing w:after="0" w:line="240" w:lineRule="auto"/>
        <w:jc w:val="left"/>
        <w:rPr>
          <w:lang w:val="es-ES"/>
        </w:rPr>
      </w:pPr>
    </w:p>
    <w:tbl>
      <w:tblPr>
        <w:tblW w:w="5632" w:type="dxa"/>
        <w:jc w:val="center"/>
        <w:tblInd w:w="1400" w:type="dxa"/>
        <w:tblCellMar>
          <w:left w:w="70" w:type="dxa"/>
          <w:right w:w="70" w:type="dxa"/>
        </w:tblCellMar>
        <w:tblLook w:val="04A0" w:firstRow="1" w:lastRow="0" w:firstColumn="1" w:lastColumn="0" w:noHBand="0" w:noVBand="1"/>
      </w:tblPr>
      <w:tblGrid>
        <w:gridCol w:w="971"/>
        <w:gridCol w:w="1034"/>
        <w:gridCol w:w="872"/>
        <w:gridCol w:w="1033"/>
        <w:gridCol w:w="864"/>
        <w:gridCol w:w="858"/>
      </w:tblGrid>
      <w:tr w:rsidR="00F4491C" w:rsidRPr="007226D7" w:rsidTr="007C57FB">
        <w:trPr>
          <w:trHeight w:val="300"/>
          <w:jc w:val="center"/>
        </w:trPr>
        <w:tc>
          <w:tcPr>
            <w:tcW w:w="971"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rPr>
            </w:pPr>
            <w:r w:rsidRPr="007226D7">
              <w:rPr>
                <w:rFonts w:ascii="Calibri" w:hAnsi="Calibri"/>
                <w:color w:val="171717"/>
                <w:szCs w:val="22"/>
              </w:rPr>
              <w:t> </w:t>
            </w:r>
          </w:p>
        </w:tc>
        <w:tc>
          <w:tcPr>
            <w:tcW w:w="4661"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171717"/>
                <w:szCs w:val="22"/>
              </w:rPr>
            </w:pPr>
            <w:r w:rsidRPr="007226D7">
              <w:rPr>
                <w:rFonts w:ascii="Calibri" w:hAnsi="Calibri"/>
                <w:b/>
                <w:bCs/>
                <w:color w:val="171717"/>
                <w:szCs w:val="22"/>
              </w:rPr>
              <w:t>2020</w:t>
            </w:r>
          </w:p>
        </w:tc>
      </w:tr>
      <w:tr w:rsidR="00F4491C" w:rsidRPr="007226D7" w:rsidTr="007C57FB">
        <w:trPr>
          <w:trHeight w:val="300"/>
          <w:jc w:val="center"/>
        </w:trPr>
        <w:tc>
          <w:tcPr>
            <w:tcW w:w="971"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rPr>
            </w:pPr>
            <w:r w:rsidRPr="007226D7">
              <w:rPr>
                <w:rFonts w:ascii="Calibri" w:hAnsi="Calibri"/>
                <w:color w:val="171717"/>
                <w:szCs w:val="22"/>
              </w:rPr>
              <w:t> </w:t>
            </w:r>
          </w:p>
        </w:tc>
        <w:tc>
          <w:tcPr>
            <w:tcW w:w="1034" w:type="dxa"/>
            <w:tcBorders>
              <w:top w:val="single" w:sz="4" w:space="0" w:color="auto"/>
              <w:left w:val="single" w:sz="4" w:space="0" w:color="auto"/>
              <w:bottom w:val="nil"/>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TOTALES</w:t>
            </w:r>
          </w:p>
        </w:tc>
        <w:tc>
          <w:tcPr>
            <w:tcW w:w="872"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COCHES</w:t>
            </w:r>
          </w:p>
        </w:tc>
        <w:tc>
          <w:tcPr>
            <w:tcW w:w="1033"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PUB</w:t>
            </w:r>
          </w:p>
        </w:tc>
        <w:tc>
          <w:tcPr>
            <w:tcW w:w="864"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TAXI</w:t>
            </w:r>
          </w:p>
        </w:tc>
        <w:tc>
          <w:tcPr>
            <w:tcW w:w="858"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TRUCKS</w:t>
            </w:r>
          </w:p>
        </w:tc>
      </w:tr>
      <w:tr w:rsidR="00F4491C" w:rsidRPr="007226D7" w:rsidTr="007C57FB">
        <w:trPr>
          <w:trHeight w:val="300"/>
          <w:jc w:val="center"/>
        </w:trPr>
        <w:tc>
          <w:tcPr>
            <w:tcW w:w="971"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HPM</w:t>
            </w:r>
          </w:p>
        </w:tc>
        <w:tc>
          <w:tcPr>
            <w:tcW w:w="1034" w:type="dxa"/>
            <w:tcBorders>
              <w:top w:val="single" w:sz="4" w:space="0" w:color="auto"/>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1,516,620</w:t>
            </w:r>
          </w:p>
        </w:tc>
        <w:tc>
          <w:tcPr>
            <w:tcW w:w="872"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230,064</w:t>
            </w:r>
          </w:p>
        </w:tc>
        <w:tc>
          <w:tcPr>
            <w:tcW w:w="1033"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1,158,174</w:t>
            </w:r>
          </w:p>
        </w:tc>
        <w:tc>
          <w:tcPr>
            <w:tcW w:w="864"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112,549</w:t>
            </w:r>
          </w:p>
        </w:tc>
        <w:tc>
          <w:tcPr>
            <w:tcW w:w="858" w:type="dxa"/>
            <w:tcBorders>
              <w:top w:val="single" w:sz="4" w:space="0" w:color="auto"/>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15,833</w:t>
            </w:r>
          </w:p>
        </w:tc>
      </w:tr>
      <w:tr w:rsidR="00F4491C" w:rsidRPr="007226D7" w:rsidTr="007C57FB">
        <w:trPr>
          <w:trHeight w:val="300"/>
          <w:jc w:val="center"/>
        </w:trPr>
        <w:tc>
          <w:tcPr>
            <w:tcW w:w="971"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HPT</w:t>
            </w:r>
          </w:p>
        </w:tc>
        <w:tc>
          <w:tcPr>
            <w:tcW w:w="1034" w:type="dxa"/>
            <w:tcBorders>
              <w:top w:val="nil"/>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1,019,169</w:t>
            </w:r>
          </w:p>
        </w:tc>
        <w:tc>
          <w:tcPr>
            <w:tcW w:w="872"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127,257</w:t>
            </w:r>
          </w:p>
        </w:tc>
        <w:tc>
          <w:tcPr>
            <w:tcW w:w="1033"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778,632</w:t>
            </w:r>
          </w:p>
        </w:tc>
        <w:tc>
          <w:tcPr>
            <w:tcW w:w="864"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101,373</w:t>
            </w:r>
          </w:p>
        </w:tc>
        <w:tc>
          <w:tcPr>
            <w:tcW w:w="858" w:type="dxa"/>
            <w:tcBorders>
              <w:top w:val="nil"/>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11,907</w:t>
            </w:r>
          </w:p>
        </w:tc>
      </w:tr>
      <w:tr w:rsidR="00F4491C" w:rsidRPr="007226D7" w:rsidTr="007C57FB">
        <w:trPr>
          <w:trHeight w:val="300"/>
          <w:jc w:val="center"/>
        </w:trPr>
        <w:tc>
          <w:tcPr>
            <w:tcW w:w="971"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HV</w:t>
            </w:r>
          </w:p>
        </w:tc>
        <w:tc>
          <w:tcPr>
            <w:tcW w:w="1034" w:type="dxa"/>
            <w:tcBorders>
              <w:top w:val="nil"/>
              <w:left w:val="nil"/>
              <w:bottom w:val="single" w:sz="4" w:space="0" w:color="auto"/>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748,845</w:t>
            </w:r>
          </w:p>
        </w:tc>
        <w:tc>
          <w:tcPr>
            <w:tcW w:w="872"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103,992</w:t>
            </w:r>
          </w:p>
        </w:tc>
        <w:tc>
          <w:tcPr>
            <w:tcW w:w="1033"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562,853</w:t>
            </w:r>
          </w:p>
        </w:tc>
        <w:tc>
          <w:tcPr>
            <w:tcW w:w="864"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70,300</w:t>
            </w:r>
          </w:p>
        </w:tc>
        <w:tc>
          <w:tcPr>
            <w:tcW w:w="858" w:type="dxa"/>
            <w:tcBorders>
              <w:top w:val="nil"/>
              <w:left w:val="nil"/>
              <w:bottom w:val="single" w:sz="4" w:space="0" w:color="auto"/>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11,700</w:t>
            </w:r>
          </w:p>
        </w:tc>
      </w:tr>
    </w:tbl>
    <w:p w:rsidR="00F4491C" w:rsidRPr="007226D7" w:rsidRDefault="00F4491C" w:rsidP="00F4491C">
      <w:pPr>
        <w:spacing w:after="0" w:line="240" w:lineRule="auto"/>
        <w:jc w:val="left"/>
        <w:rPr>
          <w:lang w:val="es-ES"/>
        </w:rPr>
      </w:pPr>
    </w:p>
    <w:tbl>
      <w:tblPr>
        <w:tblW w:w="5704" w:type="dxa"/>
        <w:jc w:val="center"/>
        <w:tblInd w:w="320" w:type="dxa"/>
        <w:tblCellMar>
          <w:left w:w="70" w:type="dxa"/>
          <w:right w:w="70" w:type="dxa"/>
        </w:tblCellMar>
        <w:tblLook w:val="04A0" w:firstRow="1" w:lastRow="0" w:firstColumn="1" w:lastColumn="0" w:noHBand="0" w:noVBand="1"/>
      </w:tblPr>
      <w:tblGrid>
        <w:gridCol w:w="1024"/>
        <w:gridCol w:w="1036"/>
        <w:gridCol w:w="868"/>
        <w:gridCol w:w="1035"/>
        <w:gridCol w:w="864"/>
        <w:gridCol w:w="877"/>
      </w:tblGrid>
      <w:tr w:rsidR="00F4491C" w:rsidRPr="007226D7" w:rsidTr="007C57FB">
        <w:trPr>
          <w:trHeight w:val="300"/>
          <w:jc w:val="center"/>
        </w:trPr>
        <w:tc>
          <w:tcPr>
            <w:tcW w:w="1024"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rPr>
            </w:pPr>
            <w:r w:rsidRPr="007226D7">
              <w:rPr>
                <w:rFonts w:ascii="Calibri" w:hAnsi="Calibri"/>
                <w:color w:val="171717"/>
                <w:szCs w:val="22"/>
              </w:rPr>
              <w:t> </w:t>
            </w:r>
          </w:p>
        </w:tc>
        <w:tc>
          <w:tcPr>
            <w:tcW w:w="4680" w:type="dxa"/>
            <w:gridSpan w:val="5"/>
            <w:tcBorders>
              <w:top w:val="single" w:sz="4" w:space="0" w:color="auto"/>
              <w:left w:val="single" w:sz="4" w:space="0" w:color="auto"/>
              <w:bottom w:val="single" w:sz="4" w:space="0" w:color="auto"/>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171717"/>
                <w:szCs w:val="22"/>
              </w:rPr>
            </w:pPr>
            <w:r w:rsidRPr="007226D7">
              <w:rPr>
                <w:rFonts w:ascii="Calibri" w:hAnsi="Calibri"/>
                <w:b/>
                <w:bCs/>
                <w:color w:val="171717"/>
                <w:szCs w:val="22"/>
              </w:rPr>
              <w:t>2030</w:t>
            </w:r>
          </w:p>
        </w:tc>
      </w:tr>
      <w:tr w:rsidR="00F4491C" w:rsidRPr="007226D7" w:rsidTr="007C57FB">
        <w:trPr>
          <w:trHeight w:val="300"/>
          <w:jc w:val="center"/>
        </w:trPr>
        <w:tc>
          <w:tcPr>
            <w:tcW w:w="1024"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color w:val="171717"/>
                <w:szCs w:val="22"/>
              </w:rPr>
            </w:pPr>
            <w:r w:rsidRPr="007226D7">
              <w:rPr>
                <w:rFonts w:ascii="Calibri" w:hAnsi="Calibri"/>
                <w:color w:val="171717"/>
                <w:szCs w:val="22"/>
              </w:rPr>
              <w:t> </w:t>
            </w:r>
          </w:p>
        </w:tc>
        <w:tc>
          <w:tcPr>
            <w:tcW w:w="1036"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TOTALES</w:t>
            </w:r>
          </w:p>
        </w:tc>
        <w:tc>
          <w:tcPr>
            <w:tcW w:w="868"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COCHE</w:t>
            </w:r>
          </w:p>
        </w:tc>
        <w:tc>
          <w:tcPr>
            <w:tcW w:w="1035"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PUB</w:t>
            </w:r>
          </w:p>
        </w:tc>
        <w:tc>
          <w:tcPr>
            <w:tcW w:w="864" w:type="dxa"/>
            <w:tcBorders>
              <w:top w:val="nil"/>
              <w:left w:val="nil"/>
              <w:bottom w:val="nil"/>
              <w:right w:val="single" w:sz="4" w:space="0" w:color="000000"/>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TAXI</w:t>
            </w:r>
          </w:p>
        </w:tc>
        <w:tc>
          <w:tcPr>
            <w:tcW w:w="877" w:type="dxa"/>
            <w:tcBorders>
              <w:top w:val="nil"/>
              <w:left w:val="nil"/>
              <w:bottom w:val="nil"/>
              <w:right w:val="single" w:sz="4" w:space="0" w:color="auto"/>
            </w:tcBorders>
            <w:shd w:val="clear" w:color="171717" w:fill="FFFFFF"/>
            <w:noWrap/>
            <w:vAlign w:val="bottom"/>
            <w:hideMark/>
          </w:tcPr>
          <w:p w:rsidR="00F4491C" w:rsidRPr="007226D7" w:rsidRDefault="00F4491C" w:rsidP="007C57FB">
            <w:pPr>
              <w:spacing w:after="0" w:line="240" w:lineRule="auto"/>
              <w:jc w:val="center"/>
              <w:rPr>
                <w:rFonts w:ascii="Calibri" w:hAnsi="Calibri"/>
                <w:b/>
                <w:bCs/>
                <w:color w:val="000000"/>
                <w:szCs w:val="22"/>
              </w:rPr>
            </w:pPr>
            <w:r w:rsidRPr="007226D7">
              <w:rPr>
                <w:rFonts w:ascii="Calibri" w:hAnsi="Calibri"/>
                <w:b/>
                <w:bCs/>
                <w:color w:val="000000"/>
                <w:szCs w:val="22"/>
              </w:rPr>
              <w:t>TRUCKS</w:t>
            </w:r>
          </w:p>
        </w:tc>
      </w:tr>
      <w:tr w:rsidR="00F4491C" w:rsidRPr="007226D7" w:rsidTr="007C57FB">
        <w:trPr>
          <w:trHeight w:val="300"/>
          <w:jc w:val="center"/>
        </w:trPr>
        <w:tc>
          <w:tcPr>
            <w:tcW w:w="1024"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HPM</w:t>
            </w:r>
          </w:p>
        </w:tc>
        <w:tc>
          <w:tcPr>
            <w:tcW w:w="1036" w:type="dxa"/>
            <w:tcBorders>
              <w:top w:val="nil"/>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1,709,585</w:t>
            </w:r>
          </w:p>
        </w:tc>
        <w:tc>
          <w:tcPr>
            <w:tcW w:w="868"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276,233</w:t>
            </w:r>
          </w:p>
        </w:tc>
        <w:tc>
          <w:tcPr>
            <w:tcW w:w="1035"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1,300,888</w:t>
            </w:r>
          </w:p>
        </w:tc>
        <w:tc>
          <w:tcPr>
            <w:tcW w:w="864" w:type="dxa"/>
            <w:tcBorders>
              <w:top w:val="single" w:sz="4" w:space="0" w:color="auto"/>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114,620</w:t>
            </w:r>
          </w:p>
        </w:tc>
        <w:tc>
          <w:tcPr>
            <w:tcW w:w="877" w:type="dxa"/>
            <w:tcBorders>
              <w:top w:val="single" w:sz="4" w:space="0" w:color="auto"/>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17,845</w:t>
            </w:r>
          </w:p>
        </w:tc>
      </w:tr>
      <w:tr w:rsidR="00F4491C" w:rsidRPr="007226D7" w:rsidTr="007C57FB">
        <w:trPr>
          <w:trHeight w:val="300"/>
          <w:jc w:val="center"/>
        </w:trPr>
        <w:tc>
          <w:tcPr>
            <w:tcW w:w="1024"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HPT</w:t>
            </w:r>
          </w:p>
        </w:tc>
        <w:tc>
          <w:tcPr>
            <w:tcW w:w="1036" w:type="dxa"/>
            <w:tcBorders>
              <w:top w:val="nil"/>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1,154,793</w:t>
            </w:r>
          </w:p>
        </w:tc>
        <w:tc>
          <w:tcPr>
            <w:tcW w:w="868"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153,012</w:t>
            </w:r>
          </w:p>
        </w:tc>
        <w:tc>
          <w:tcPr>
            <w:tcW w:w="1035"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887,596</w:t>
            </w:r>
          </w:p>
        </w:tc>
        <w:tc>
          <w:tcPr>
            <w:tcW w:w="864" w:type="dxa"/>
            <w:tcBorders>
              <w:top w:val="nil"/>
              <w:left w:val="nil"/>
              <w:bottom w:val="nil"/>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100,697</w:t>
            </w:r>
          </w:p>
        </w:tc>
        <w:tc>
          <w:tcPr>
            <w:tcW w:w="877" w:type="dxa"/>
            <w:tcBorders>
              <w:top w:val="nil"/>
              <w:left w:val="nil"/>
              <w:bottom w:val="nil"/>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13,488</w:t>
            </w:r>
          </w:p>
        </w:tc>
      </w:tr>
      <w:tr w:rsidR="00F4491C" w:rsidRPr="007226D7" w:rsidTr="007C57FB">
        <w:trPr>
          <w:trHeight w:val="300"/>
          <w:jc w:val="center"/>
        </w:trPr>
        <w:tc>
          <w:tcPr>
            <w:tcW w:w="1024" w:type="dxa"/>
            <w:tcBorders>
              <w:top w:val="nil"/>
              <w:left w:val="single" w:sz="4" w:space="0" w:color="auto"/>
              <w:bottom w:val="single" w:sz="4" w:space="0" w:color="auto"/>
              <w:right w:val="single" w:sz="4" w:space="0" w:color="auto"/>
            </w:tcBorders>
            <w:shd w:val="clear" w:color="171717" w:fill="FFFFFF"/>
            <w:noWrap/>
            <w:vAlign w:val="bottom"/>
            <w:hideMark/>
          </w:tcPr>
          <w:p w:rsidR="00F4491C" w:rsidRPr="007226D7" w:rsidRDefault="00F4491C" w:rsidP="007C57FB">
            <w:pPr>
              <w:spacing w:after="0" w:line="240" w:lineRule="auto"/>
              <w:jc w:val="left"/>
              <w:rPr>
                <w:rFonts w:ascii="Calibri" w:hAnsi="Calibri"/>
                <w:b/>
                <w:bCs/>
                <w:color w:val="171717"/>
                <w:szCs w:val="22"/>
              </w:rPr>
            </w:pPr>
            <w:r w:rsidRPr="007226D7">
              <w:rPr>
                <w:rFonts w:ascii="Calibri" w:hAnsi="Calibri"/>
                <w:b/>
                <w:bCs/>
                <w:color w:val="171717"/>
                <w:szCs w:val="22"/>
              </w:rPr>
              <w:t>HV</w:t>
            </w:r>
          </w:p>
        </w:tc>
        <w:tc>
          <w:tcPr>
            <w:tcW w:w="1036" w:type="dxa"/>
            <w:tcBorders>
              <w:top w:val="nil"/>
              <w:left w:val="nil"/>
              <w:bottom w:val="single" w:sz="4" w:space="0" w:color="auto"/>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b/>
                <w:color w:val="000000"/>
                <w:szCs w:val="22"/>
              </w:rPr>
            </w:pPr>
            <w:r w:rsidRPr="007226D7">
              <w:rPr>
                <w:rFonts w:ascii="Calibri" w:hAnsi="Calibri" w:cs="Calibri"/>
                <w:b/>
                <w:color w:val="000000"/>
                <w:szCs w:val="22"/>
              </w:rPr>
              <w:t>863,527</w:t>
            </w:r>
          </w:p>
        </w:tc>
        <w:tc>
          <w:tcPr>
            <w:tcW w:w="868"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130,275</w:t>
            </w:r>
          </w:p>
        </w:tc>
        <w:tc>
          <w:tcPr>
            <w:tcW w:w="1035"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655,785</w:t>
            </w:r>
          </w:p>
        </w:tc>
        <w:tc>
          <w:tcPr>
            <w:tcW w:w="864" w:type="dxa"/>
            <w:tcBorders>
              <w:top w:val="nil"/>
              <w:left w:val="nil"/>
              <w:bottom w:val="single" w:sz="4" w:space="0" w:color="auto"/>
              <w:right w:val="nil"/>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63,973</w:t>
            </w:r>
          </w:p>
        </w:tc>
        <w:tc>
          <w:tcPr>
            <w:tcW w:w="877" w:type="dxa"/>
            <w:tcBorders>
              <w:top w:val="nil"/>
              <w:left w:val="nil"/>
              <w:bottom w:val="single" w:sz="4" w:space="0" w:color="auto"/>
              <w:right w:val="single" w:sz="4" w:space="0" w:color="auto"/>
            </w:tcBorders>
            <w:shd w:val="clear" w:color="171717" w:fill="FFFFFF"/>
            <w:noWrap/>
            <w:vAlign w:val="center"/>
            <w:hideMark/>
          </w:tcPr>
          <w:p w:rsidR="00F4491C" w:rsidRPr="007226D7" w:rsidRDefault="00F4491C" w:rsidP="007C57FB">
            <w:pPr>
              <w:autoSpaceDE w:val="0"/>
              <w:autoSpaceDN w:val="0"/>
              <w:adjustRightInd w:val="0"/>
              <w:spacing w:after="0" w:line="240" w:lineRule="auto"/>
              <w:jc w:val="right"/>
              <w:rPr>
                <w:rFonts w:ascii="Calibri" w:hAnsi="Calibri" w:cs="Calibri"/>
                <w:color w:val="000000"/>
                <w:szCs w:val="22"/>
              </w:rPr>
            </w:pPr>
            <w:r w:rsidRPr="007226D7">
              <w:rPr>
                <w:rFonts w:ascii="Calibri" w:hAnsi="Calibri" w:cs="Calibri"/>
                <w:color w:val="000000"/>
                <w:szCs w:val="22"/>
              </w:rPr>
              <w:t>13,495</w:t>
            </w:r>
          </w:p>
        </w:tc>
      </w:tr>
    </w:tbl>
    <w:p w:rsidR="00F4491C" w:rsidRPr="007226D7" w:rsidRDefault="00F4491C" w:rsidP="00F4491C">
      <w:pPr>
        <w:spacing w:after="0" w:line="240" w:lineRule="auto"/>
        <w:jc w:val="left"/>
        <w:rPr>
          <w:b/>
          <w:lang w:val="es-ES"/>
        </w:rPr>
      </w:pPr>
    </w:p>
    <w:p w:rsidR="00F4491C" w:rsidRPr="007226D7" w:rsidRDefault="00F4491C">
      <w:pPr>
        <w:spacing w:after="0" w:line="240" w:lineRule="auto"/>
        <w:jc w:val="left"/>
        <w:rPr>
          <w:lang w:val="es-PE"/>
        </w:rPr>
      </w:pPr>
    </w:p>
    <w:p w:rsidR="008C508C" w:rsidRPr="007226D7" w:rsidRDefault="008C508C" w:rsidP="008C508C">
      <w:pPr>
        <w:rPr>
          <w:lang w:val="es-ES"/>
        </w:rPr>
      </w:pPr>
      <w:r w:rsidRPr="007226D7">
        <w:rPr>
          <w:lang w:val="es-ES"/>
        </w:rPr>
        <w:t xml:space="preserve">En la tabla a continuación se ofrece un resumen de los resultados obtenidos por los años horizonte de la </w:t>
      </w:r>
      <w:r w:rsidR="00E41450" w:rsidRPr="007226D7">
        <w:rPr>
          <w:lang w:val="es-ES"/>
        </w:rPr>
        <w:t>Línea</w:t>
      </w:r>
      <w:r w:rsidRPr="007226D7">
        <w:rPr>
          <w:lang w:val="es-ES"/>
        </w:rPr>
        <w:t xml:space="preserve"> 2 y del tramo de </w:t>
      </w:r>
      <w:r w:rsidR="00E41450" w:rsidRPr="007226D7">
        <w:rPr>
          <w:lang w:val="es-ES"/>
        </w:rPr>
        <w:t>Línea</w:t>
      </w:r>
      <w:r w:rsidRPr="007226D7">
        <w:rPr>
          <w:lang w:val="es-ES"/>
        </w:rPr>
        <w:t xml:space="preserve"> 4 de San José al final nor</w:t>
      </w:r>
      <w:r w:rsidR="00E41450" w:rsidRPr="007226D7">
        <w:rPr>
          <w:lang w:val="es-ES"/>
        </w:rPr>
        <w:t>te</w:t>
      </w:r>
      <w:r w:rsidRPr="007226D7">
        <w:rPr>
          <w:lang w:val="es-ES"/>
        </w:rPr>
        <w:t xml:space="preserve"> de Gambeta.</w:t>
      </w:r>
    </w:p>
    <w:p w:rsidR="008C508C" w:rsidRPr="007226D7" w:rsidRDefault="008C508C" w:rsidP="008C508C">
      <w:pPr>
        <w:rPr>
          <w:lang w:val="es-ES"/>
        </w:rPr>
      </w:pPr>
      <w:r w:rsidRPr="007226D7">
        <w:rPr>
          <w:lang w:val="es-ES"/>
        </w:rPr>
        <w:t>Valen las siguientes consideraciones:</w:t>
      </w:r>
    </w:p>
    <w:p w:rsidR="008C508C" w:rsidRPr="007226D7" w:rsidRDefault="008C508C" w:rsidP="008C508C">
      <w:pPr>
        <w:pStyle w:val="ListParagraph"/>
        <w:numPr>
          <w:ilvl w:val="0"/>
          <w:numId w:val="70"/>
        </w:numPr>
        <w:rPr>
          <w:lang w:val="es-ES"/>
        </w:rPr>
      </w:pPr>
      <w:r w:rsidRPr="007226D7">
        <w:rPr>
          <w:lang w:val="es-ES"/>
        </w:rPr>
        <w:t>La demanda diaria varía considerablemente dependiendo del escenario considerado y el horizonte de tiempo. En particular, tiene un valor mínimo en la inauguración de la primera "etapa" en el año 2018 con 305.000 pasajeros. Tras la finalización de la construcción del sistema, dos años más tarde, la demanda llega a más de 662.000 unidades, con un aumento de 117%.</w:t>
      </w:r>
    </w:p>
    <w:p w:rsidR="008C508C" w:rsidRPr="007226D7" w:rsidRDefault="008C508C" w:rsidP="008C508C">
      <w:pPr>
        <w:pStyle w:val="ListParagraph"/>
        <w:numPr>
          <w:ilvl w:val="0"/>
          <w:numId w:val="70"/>
        </w:numPr>
        <w:rPr>
          <w:lang w:val="es-ES"/>
        </w:rPr>
      </w:pPr>
      <w:r w:rsidRPr="007226D7">
        <w:rPr>
          <w:lang w:val="es-ES"/>
        </w:rPr>
        <w:t>Esto está claramente explicado por el aumento de los servicios y la nueva cobertura de áreas que anteriormente estaban sin acceso directo a las estaciones.</w:t>
      </w:r>
    </w:p>
    <w:p w:rsidR="008C508C" w:rsidRPr="007226D7" w:rsidRDefault="008C508C" w:rsidP="008C508C">
      <w:pPr>
        <w:pStyle w:val="ListParagraph"/>
        <w:numPr>
          <w:ilvl w:val="0"/>
          <w:numId w:val="70"/>
        </w:numPr>
        <w:rPr>
          <w:lang w:val="es-ES"/>
        </w:rPr>
      </w:pPr>
      <w:r w:rsidRPr="007226D7">
        <w:rPr>
          <w:lang w:val="es-ES"/>
        </w:rPr>
        <w:t>En el año 2030 de las simulaciones se obtiene un valor de casi 803.000 unidades por día, con un incremento global del 21% en 10 años (equivalente a una tasa anual de 1,94%).</w:t>
      </w:r>
    </w:p>
    <w:p w:rsidR="008C508C" w:rsidRPr="007226D7" w:rsidRDefault="008C508C">
      <w:pPr>
        <w:spacing w:after="0" w:line="240" w:lineRule="auto"/>
        <w:jc w:val="left"/>
        <w:rPr>
          <w:lang w:val="es-ES"/>
        </w:rPr>
      </w:pPr>
    </w:p>
    <w:p w:rsidR="008C508C" w:rsidRPr="007226D7" w:rsidRDefault="008C508C">
      <w:pPr>
        <w:spacing w:after="0" w:line="240" w:lineRule="auto"/>
        <w:jc w:val="left"/>
        <w:rPr>
          <w:lang w:val="es-ES"/>
        </w:rPr>
      </w:pPr>
      <w:r w:rsidRPr="007226D7">
        <w:rPr>
          <w:lang w:val="es-ES"/>
        </w:rPr>
        <w:br w:type="page"/>
      </w:r>
    </w:p>
    <w:p w:rsidR="008C508C" w:rsidRPr="007226D7" w:rsidRDefault="00B71B82" w:rsidP="00B71B82">
      <w:pPr>
        <w:pStyle w:val="Figuras"/>
      </w:pPr>
      <w:r w:rsidRPr="007226D7">
        <w:lastRenderedPageBreak/>
        <w:t xml:space="preserve">Tabla 1.3 – 3: Demanda Captada para la Línea 2 </w:t>
      </w:r>
      <w:r w:rsidR="00E41450" w:rsidRPr="007226D7">
        <w:t>del</w:t>
      </w:r>
      <w:r w:rsidRPr="007226D7">
        <w:t xml:space="preserve"> Tren </w:t>
      </w:r>
      <w:r w:rsidR="00E41450" w:rsidRPr="007226D7">
        <w:t>Eléctrico</w:t>
      </w:r>
      <w:r w:rsidRPr="007226D7">
        <w:t xml:space="preserve"> de Lima</w:t>
      </w:r>
    </w:p>
    <w:tbl>
      <w:tblPr>
        <w:tblW w:w="9080" w:type="dxa"/>
        <w:tblInd w:w="53" w:type="dxa"/>
        <w:tblCellMar>
          <w:left w:w="70" w:type="dxa"/>
          <w:right w:w="70" w:type="dxa"/>
        </w:tblCellMar>
        <w:tblLook w:val="04A0" w:firstRow="1" w:lastRow="0" w:firstColumn="1" w:lastColumn="0" w:noHBand="0" w:noVBand="1"/>
      </w:tblPr>
      <w:tblGrid>
        <w:gridCol w:w="960"/>
        <w:gridCol w:w="3160"/>
        <w:gridCol w:w="1240"/>
        <w:gridCol w:w="1240"/>
        <w:gridCol w:w="1240"/>
        <w:gridCol w:w="1240"/>
      </w:tblGrid>
      <w:tr w:rsidR="008C508C" w:rsidRPr="007226D7" w:rsidTr="007C57FB">
        <w:trPr>
          <w:trHeight w:val="240"/>
        </w:trPr>
        <w:tc>
          <w:tcPr>
            <w:tcW w:w="9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lang w:val="es-ES"/>
              </w:rPr>
            </w:pPr>
            <w:r w:rsidRPr="007226D7">
              <w:rPr>
                <w:rFonts w:cs="Arial"/>
                <w:color w:val="171717"/>
                <w:sz w:val="18"/>
                <w:szCs w:val="18"/>
                <w:lang w:val="es-ES"/>
              </w:rPr>
              <w:t> </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Escenario</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ESC 1.3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ESC 2.3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ESC 3.3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ESC 3.4</w:t>
            </w:r>
          </w:p>
        </w:tc>
      </w:tr>
      <w:tr w:rsidR="008C508C" w:rsidRPr="007226D7" w:rsidTr="007C57FB">
        <w:trPr>
          <w:trHeight w:val="240"/>
        </w:trPr>
        <w:tc>
          <w:tcPr>
            <w:tcW w:w="9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Año</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2018</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2020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2030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2030</w:t>
            </w:r>
          </w:p>
        </w:tc>
      </w:tr>
      <w:tr w:rsidR="008C508C" w:rsidRPr="007226D7" w:rsidTr="007C57FB">
        <w:trPr>
          <w:trHeight w:val="240"/>
        </w:trPr>
        <w:tc>
          <w:tcPr>
            <w:tcW w:w="9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 </w:t>
            </w:r>
          </w:p>
        </w:tc>
      </w:tr>
      <w:tr w:rsidR="008C508C" w:rsidRPr="007226D7" w:rsidTr="007C57FB">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Demanda Captada [Subidos]</w:t>
            </w:r>
          </w:p>
        </w:tc>
      </w:tr>
      <w:tr w:rsidR="008C508C" w:rsidRPr="007226D7" w:rsidTr="007C57FB">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32,137</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71,734</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79,460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111,328</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23,960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51,269</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62,043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92,548</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14,790</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32,026</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39,995</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57,674</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Demanda Díaria</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304,459</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662,346</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802,938</w:t>
            </w:r>
          </w:p>
        </w:tc>
        <w:tc>
          <w:tcPr>
            <w:tcW w:w="124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1,157,519</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Demanda Anual</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97,731,350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212,612,963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257,743,016</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371,563,510</w:t>
            </w:r>
          </w:p>
        </w:tc>
      </w:tr>
      <w:tr w:rsidR="008C508C" w:rsidRPr="007226D7" w:rsidTr="007C57FB">
        <w:trPr>
          <w:trHeight w:val="240"/>
        </w:trPr>
        <w:tc>
          <w:tcPr>
            <w:tcW w:w="9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r>
      <w:tr w:rsidR="008C508C" w:rsidRPr="007226D7" w:rsidTr="007C57FB">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Carga Max - Línea 2 [pphpd]</w:t>
            </w:r>
          </w:p>
        </w:tc>
      </w:tr>
      <w:tr w:rsidR="008C508C" w:rsidRPr="007226D7" w:rsidTr="007C57FB">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15,410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27,257</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31,684</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47,883</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9,836</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16,517</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14,730</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34,484</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6,539</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10,378</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13,187</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18,808</w:t>
            </w:r>
          </w:p>
        </w:tc>
      </w:tr>
      <w:tr w:rsidR="008C508C" w:rsidRPr="007226D7" w:rsidTr="007C57FB">
        <w:trPr>
          <w:trHeight w:val="240"/>
        </w:trPr>
        <w:tc>
          <w:tcPr>
            <w:tcW w:w="9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r>
      <w:tr w:rsidR="008C508C" w:rsidRPr="0013314C" w:rsidTr="007C57FB">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8C508C" w:rsidRPr="007226D7" w:rsidRDefault="008C508C" w:rsidP="007C57FB">
            <w:pPr>
              <w:spacing w:after="0" w:line="240" w:lineRule="auto"/>
              <w:jc w:val="center"/>
              <w:rPr>
                <w:rFonts w:cs="Arial"/>
                <w:b/>
                <w:bCs/>
                <w:color w:val="171717"/>
                <w:sz w:val="18"/>
                <w:szCs w:val="18"/>
                <w:lang w:val="es-ES"/>
              </w:rPr>
            </w:pPr>
            <w:r w:rsidRPr="007226D7">
              <w:rPr>
                <w:rFonts w:cs="Arial"/>
                <w:b/>
                <w:bCs/>
                <w:color w:val="171717"/>
                <w:sz w:val="18"/>
                <w:szCs w:val="18"/>
                <w:lang w:val="es-ES"/>
              </w:rPr>
              <w:t>Carga Max - Tramo Línea 4 [pphpd]</w:t>
            </w:r>
          </w:p>
        </w:tc>
      </w:tr>
      <w:tr w:rsidR="008C508C" w:rsidRPr="007226D7" w:rsidTr="007C57FB">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5029</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5,753</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3,599</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4,845</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319"/>
        </w:trPr>
        <w:tc>
          <w:tcPr>
            <w:tcW w:w="960" w:type="dxa"/>
            <w:vMerge/>
            <w:tcBorders>
              <w:top w:val="nil"/>
              <w:left w:val="nil"/>
              <w:bottom w:val="nil"/>
              <w:right w:val="single" w:sz="4" w:space="0" w:color="auto"/>
            </w:tcBorders>
            <w:vAlign w:val="center"/>
            <w:hideMark/>
          </w:tcPr>
          <w:p w:rsidR="008C508C" w:rsidRPr="007226D7" w:rsidRDefault="008C508C" w:rsidP="007C57FB">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1,801</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2,608</w:t>
            </w:r>
          </w:p>
        </w:tc>
        <w:tc>
          <w:tcPr>
            <w:tcW w:w="1240" w:type="dxa"/>
            <w:tcBorders>
              <w:top w:val="nil"/>
              <w:left w:val="nil"/>
              <w:bottom w:val="nil"/>
              <w:right w:val="nil"/>
            </w:tcBorders>
            <w:shd w:val="clear" w:color="171717" w:fill="FFFFFF"/>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bl>
    <w:p w:rsidR="008C508C" w:rsidRPr="007226D7" w:rsidRDefault="008C508C" w:rsidP="008C508C">
      <w:pPr>
        <w:rPr>
          <w:lang w:val="es-ES"/>
        </w:rPr>
      </w:pPr>
    </w:p>
    <w:p w:rsidR="008C508C" w:rsidRPr="007226D7" w:rsidRDefault="008C508C" w:rsidP="008C508C">
      <w:pPr>
        <w:pStyle w:val="ListParagraph"/>
        <w:numPr>
          <w:ilvl w:val="0"/>
          <w:numId w:val="70"/>
        </w:numPr>
        <w:rPr>
          <w:lang w:val="es-ES"/>
        </w:rPr>
      </w:pPr>
      <w:r w:rsidRPr="007226D7">
        <w:rPr>
          <w:lang w:val="es-ES"/>
        </w:rPr>
        <w:t xml:space="preserve">Desde el punto de vista de la </w:t>
      </w:r>
      <w:r w:rsidR="00E41450" w:rsidRPr="007226D7">
        <w:rPr>
          <w:lang w:val="es-ES"/>
        </w:rPr>
        <w:t>atractividad</w:t>
      </w:r>
      <w:r w:rsidRPr="007226D7">
        <w:rPr>
          <w:lang w:val="es-ES"/>
        </w:rPr>
        <w:t xml:space="preserve"> de la Línea 2 del metro, la terminación de los otros elementos de la red de ferrocarriles produce un aumento sustancial de la demanda diaria capturada (número de subidos). Se pasa de alrededor de 800.000 pasajeros a más que 1, 150,000 (+44%). Es claro que esto indica una tendencia que sin embargo está muy afectada por el valor y el tipo de tarifa, así como por la forma en que se gestionarán los intercambios entre líneas. Por este tema, consulte el párrafo sobre el análisis de sensibilidad de la tarifa.</w:t>
      </w:r>
    </w:p>
    <w:p w:rsidR="008C508C" w:rsidRPr="007226D7" w:rsidRDefault="008C508C" w:rsidP="008C508C">
      <w:pPr>
        <w:pStyle w:val="ListParagraph"/>
        <w:numPr>
          <w:ilvl w:val="0"/>
          <w:numId w:val="70"/>
        </w:numPr>
        <w:rPr>
          <w:lang w:val="es-ES"/>
        </w:rPr>
      </w:pPr>
      <w:r w:rsidRPr="007226D7">
        <w:rPr>
          <w:lang w:val="es-ES"/>
        </w:rPr>
        <w:t>Con referencia a HPM, el tiempo medio de viaje pasa de 44,92 min en las condiciones actuales (2012) a 45,78 min en el escenario 1.1 hasta alcanzar 48,17 min en el escenario 3.1. Con la introducción del sistema de corredores, es decir la condición optimizada, estos valores se reducen a los siguientes: 41.78 y 45.95, respectivamente para los escenarios 1.2 y 3.2.</w:t>
      </w:r>
    </w:p>
    <w:p w:rsidR="008C508C" w:rsidRPr="007226D7" w:rsidRDefault="008C508C" w:rsidP="008C508C">
      <w:pPr>
        <w:pStyle w:val="ListParagraph"/>
        <w:numPr>
          <w:ilvl w:val="0"/>
          <w:numId w:val="70"/>
        </w:numPr>
        <w:rPr>
          <w:lang w:val="es-ES"/>
        </w:rPr>
      </w:pPr>
      <w:r w:rsidRPr="007226D7">
        <w:rPr>
          <w:lang w:val="es-ES"/>
        </w:rPr>
        <w:t>Esta reducción equivale a una reducción de casi 95% en 2018 y casi un 5% en 2030. El avance del proyecto de los corredores complementarios es tal que será el escenario "optimizado" la real base de comparación para la situación de proyecto.</w:t>
      </w:r>
    </w:p>
    <w:p w:rsidR="008C508C" w:rsidRPr="007226D7" w:rsidRDefault="008C508C" w:rsidP="008C508C">
      <w:pPr>
        <w:pStyle w:val="ListParagraph"/>
        <w:numPr>
          <w:ilvl w:val="0"/>
          <w:numId w:val="70"/>
        </w:numPr>
        <w:rPr>
          <w:lang w:val="es-ES"/>
        </w:rPr>
      </w:pPr>
      <w:r w:rsidRPr="007226D7">
        <w:rPr>
          <w:lang w:val="es-ES"/>
        </w:rPr>
        <w:t>Los tiempos de viaje en la situación  con proyecto, por lo tanto son los siguientes: 40.53 min en 2018 y 43,03 min en 2030.</w:t>
      </w:r>
    </w:p>
    <w:p w:rsidR="008C508C" w:rsidRPr="007226D7" w:rsidRDefault="008C508C" w:rsidP="008C508C">
      <w:pPr>
        <w:pStyle w:val="ListParagraph"/>
        <w:numPr>
          <w:ilvl w:val="0"/>
          <w:numId w:val="70"/>
        </w:numPr>
        <w:rPr>
          <w:lang w:val="es-ES"/>
        </w:rPr>
      </w:pPr>
      <w:r w:rsidRPr="007226D7">
        <w:rPr>
          <w:rFonts w:cs="Arial"/>
          <w:lang w:val="es-ES"/>
        </w:rPr>
        <w:t>Con respecto al tiempo de viaje, hay que señalar que el modelo proporciona valores medios para todos los viajeros que viajan en transporte público en Lima, o mejor en servicios representados en el modelo, y no sólo para los viajeros afectados por la nueva línea.</w:t>
      </w:r>
    </w:p>
    <w:p w:rsidR="008C508C" w:rsidRPr="007226D7" w:rsidRDefault="008C508C" w:rsidP="008C508C">
      <w:pPr>
        <w:pStyle w:val="ListParagraph"/>
        <w:numPr>
          <w:ilvl w:val="0"/>
          <w:numId w:val="70"/>
        </w:numPr>
        <w:rPr>
          <w:lang w:val="es-ES"/>
        </w:rPr>
      </w:pPr>
      <w:r w:rsidRPr="007226D7">
        <w:rPr>
          <w:lang w:val="es-ES"/>
        </w:rPr>
        <w:lastRenderedPageBreak/>
        <w:t>Con la introducción de los efectos de la red de metro se verifica una disminución adicional de 43,03 min en el escenario 3.3 a 39,99 min en el escenario 3.4.</w:t>
      </w:r>
    </w:p>
    <w:p w:rsidR="008C508C" w:rsidRPr="007226D7" w:rsidRDefault="008C508C" w:rsidP="008C508C">
      <w:pPr>
        <w:pStyle w:val="ListParagraph"/>
        <w:numPr>
          <w:ilvl w:val="0"/>
          <w:numId w:val="70"/>
        </w:numPr>
        <w:rPr>
          <w:lang w:val="es-ES"/>
        </w:rPr>
      </w:pPr>
      <w:r w:rsidRPr="007226D7">
        <w:rPr>
          <w:lang w:val="es-ES"/>
        </w:rPr>
        <w:t xml:space="preserve">Los valores para las tres bandas </w:t>
      </w:r>
      <w:r w:rsidR="00E41450" w:rsidRPr="007226D7">
        <w:rPr>
          <w:lang w:val="es-ES"/>
        </w:rPr>
        <w:t>están</w:t>
      </w:r>
      <w:r w:rsidRPr="007226D7">
        <w:rPr>
          <w:lang w:val="es-ES"/>
        </w:rPr>
        <w:t xml:space="preserve"> descritas a continuación:</w:t>
      </w:r>
    </w:p>
    <w:p w:rsidR="008C508C" w:rsidRPr="007226D7" w:rsidRDefault="00B71B82" w:rsidP="00B71B82">
      <w:pPr>
        <w:pStyle w:val="Figuras"/>
      </w:pPr>
      <w:r w:rsidRPr="007226D7">
        <w:t>Tabla 1.3 – 4: Tiempo medio de viaje</w:t>
      </w:r>
    </w:p>
    <w:tbl>
      <w:tblPr>
        <w:tblW w:w="6328" w:type="dxa"/>
        <w:jc w:val="center"/>
        <w:tblInd w:w="70" w:type="dxa"/>
        <w:tblCellMar>
          <w:left w:w="70" w:type="dxa"/>
          <w:right w:w="70" w:type="dxa"/>
        </w:tblCellMar>
        <w:tblLook w:val="04A0" w:firstRow="1" w:lastRow="0" w:firstColumn="1" w:lastColumn="0" w:noHBand="0" w:noVBand="1"/>
      </w:tblPr>
      <w:tblGrid>
        <w:gridCol w:w="968"/>
        <w:gridCol w:w="1340"/>
        <w:gridCol w:w="1340"/>
        <w:gridCol w:w="1340"/>
        <w:gridCol w:w="1340"/>
      </w:tblGrid>
      <w:tr w:rsidR="008C508C" w:rsidRPr="007226D7" w:rsidTr="007C57FB">
        <w:trPr>
          <w:trHeight w:val="240"/>
          <w:jc w:val="center"/>
        </w:trPr>
        <w:tc>
          <w:tcPr>
            <w:tcW w:w="968" w:type="dxa"/>
            <w:tcBorders>
              <w:top w:val="nil"/>
              <w:left w:val="nil"/>
              <w:bottom w:val="nil"/>
              <w:right w:val="nil"/>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lang w:val="es-ES"/>
              </w:rPr>
            </w:pPr>
          </w:p>
        </w:tc>
        <w:tc>
          <w:tcPr>
            <w:tcW w:w="536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HPM</w:t>
            </w:r>
          </w:p>
        </w:tc>
      </w:tr>
      <w:tr w:rsidR="008C508C" w:rsidRPr="007226D7" w:rsidTr="007C57FB">
        <w:trPr>
          <w:trHeight w:val="450"/>
          <w:jc w:val="center"/>
        </w:trPr>
        <w:tc>
          <w:tcPr>
            <w:tcW w:w="968" w:type="dxa"/>
            <w:tcBorders>
              <w:top w:val="nil"/>
              <w:left w:val="nil"/>
              <w:bottom w:val="nil"/>
              <w:right w:val="nil"/>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rPr>
            </w:pPr>
          </w:p>
        </w:tc>
        <w:tc>
          <w:tcPr>
            <w:tcW w:w="1340" w:type="dxa"/>
            <w:tcBorders>
              <w:top w:val="nil"/>
              <w:left w:val="single" w:sz="4" w:space="0" w:color="auto"/>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DO NOTHING</w:t>
            </w:r>
          </w:p>
        </w:tc>
        <w:tc>
          <w:tcPr>
            <w:tcW w:w="1340"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SITUACIÓN OPTIMIZADA</w:t>
            </w:r>
          </w:p>
        </w:tc>
        <w:tc>
          <w:tcPr>
            <w:tcW w:w="1340"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w:t>
            </w:r>
          </w:p>
        </w:tc>
        <w:tc>
          <w:tcPr>
            <w:tcW w:w="1340"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 + RED BASICA</w:t>
            </w:r>
          </w:p>
        </w:tc>
      </w:tr>
      <w:tr w:rsidR="008C508C" w:rsidRPr="007226D7" w:rsidTr="007C57FB">
        <w:trPr>
          <w:trHeight w:val="240"/>
          <w:jc w:val="center"/>
        </w:trPr>
        <w:tc>
          <w:tcPr>
            <w:tcW w:w="9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2012</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44.92</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2018</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45.78</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41.78</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40.53</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2020</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46.29</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43.35</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40.80</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2030</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48.17</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45.95</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43.03</w:t>
            </w:r>
          </w:p>
        </w:tc>
        <w:tc>
          <w:tcPr>
            <w:tcW w:w="1340"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39.99</w:t>
            </w:r>
          </w:p>
        </w:tc>
      </w:tr>
    </w:tbl>
    <w:p w:rsidR="008C508C" w:rsidRPr="007226D7" w:rsidRDefault="008C508C" w:rsidP="008C508C">
      <w:pPr>
        <w:spacing w:after="0" w:line="240" w:lineRule="auto"/>
        <w:jc w:val="left"/>
      </w:pPr>
    </w:p>
    <w:tbl>
      <w:tblPr>
        <w:tblW w:w="6328" w:type="dxa"/>
        <w:jc w:val="center"/>
        <w:tblInd w:w="70" w:type="dxa"/>
        <w:tblCellMar>
          <w:left w:w="70" w:type="dxa"/>
          <w:right w:w="70" w:type="dxa"/>
        </w:tblCellMar>
        <w:tblLook w:val="04A0" w:firstRow="1" w:lastRow="0" w:firstColumn="1" w:lastColumn="0" w:noHBand="0" w:noVBand="1"/>
      </w:tblPr>
      <w:tblGrid>
        <w:gridCol w:w="960"/>
        <w:gridCol w:w="1295"/>
        <w:gridCol w:w="1397"/>
        <w:gridCol w:w="1338"/>
        <w:gridCol w:w="1338"/>
      </w:tblGrid>
      <w:tr w:rsidR="008C508C" w:rsidRPr="007226D7" w:rsidTr="007C57FB">
        <w:trPr>
          <w:trHeight w:val="240"/>
          <w:jc w:val="center"/>
        </w:trPr>
        <w:tc>
          <w:tcPr>
            <w:tcW w:w="960" w:type="dxa"/>
            <w:tcBorders>
              <w:top w:val="nil"/>
              <w:left w:val="nil"/>
              <w:bottom w:val="nil"/>
              <w:right w:val="single" w:sz="4" w:space="0" w:color="auto"/>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rPr>
            </w:pPr>
          </w:p>
        </w:tc>
        <w:tc>
          <w:tcPr>
            <w:tcW w:w="53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HPT</w:t>
            </w:r>
          </w:p>
        </w:tc>
      </w:tr>
      <w:tr w:rsidR="008C508C" w:rsidRPr="007226D7" w:rsidTr="007C57FB">
        <w:trPr>
          <w:trHeight w:val="450"/>
          <w:jc w:val="center"/>
        </w:trPr>
        <w:tc>
          <w:tcPr>
            <w:tcW w:w="960" w:type="dxa"/>
            <w:tcBorders>
              <w:top w:val="nil"/>
              <w:left w:val="nil"/>
              <w:bottom w:val="nil"/>
              <w:right w:val="single" w:sz="4" w:space="0" w:color="auto"/>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rPr>
            </w:pPr>
          </w:p>
        </w:tc>
        <w:tc>
          <w:tcPr>
            <w:tcW w:w="1295" w:type="dxa"/>
            <w:tcBorders>
              <w:top w:val="nil"/>
              <w:left w:val="single" w:sz="4" w:space="0" w:color="auto"/>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DO NOTHING</w:t>
            </w:r>
          </w:p>
        </w:tc>
        <w:tc>
          <w:tcPr>
            <w:tcW w:w="1397"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SITUACIÓN OPTIMIZADA</w:t>
            </w:r>
          </w:p>
        </w:tc>
        <w:tc>
          <w:tcPr>
            <w:tcW w:w="1338"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w:t>
            </w:r>
          </w:p>
        </w:tc>
        <w:tc>
          <w:tcPr>
            <w:tcW w:w="1338"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 + RED BASICA</w:t>
            </w:r>
          </w:p>
        </w:tc>
      </w:tr>
      <w:tr w:rsidR="008C508C" w:rsidRPr="007226D7" w:rsidTr="007C57FB">
        <w:trPr>
          <w:trHeight w:val="24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2012</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48.21</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2018</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49.27</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44.89</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44.09</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2020</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49.70</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46.18</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44.16</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2030</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51.31</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48.73</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45.84</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42.70</w:t>
            </w:r>
          </w:p>
        </w:tc>
      </w:tr>
    </w:tbl>
    <w:p w:rsidR="008C508C" w:rsidRPr="007226D7" w:rsidRDefault="008C508C" w:rsidP="008C508C">
      <w:pPr>
        <w:spacing w:after="0" w:line="240" w:lineRule="auto"/>
        <w:jc w:val="left"/>
      </w:pPr>
    </w:p>
    <w:tbl>
      <w:tblPr>
        <w:tblW w:w="6328" w:type="dxa"/>
        <w:jc w:val="center"/>
        <w:tblInd w:w="70" w:type="dxa"/>
        <w:tblCellMar>
          <w:left w:w="70" w:type="dxa"/>
          <w:right w:w="70" w:type="dxa"/>
        </w:tblCellMar>
        <w:tblLook w:val="04A0" w:firstRow="1" w:lastRow="0" w:firstColumn="1" w:lastColumn="0" w:noHBand="0" w:noVBand="1"/>
      </w:tblPr>
      <w:tblGrid>
        <w:gridCol w:w="960"/>
        <w:gridCol w:w="1295"/>
        <w:gridCol w:w="1397"/>
        <w:gridCol w:w="1338"/>
        <w:gridCol w:w="1338"/>
      </w:tblGrid>
      <w:tr w:rsidR="008C508C" w:rsidRPr="007226D7" w:rsidTr="007C57FB">
        <w:trPr>
          <w:trHeight w:val="240"/>
          <w:jc w:val="center"/>
        </w:trPr>
        <w:tc>
          <w:tcPr>
            <w:tcW w:w="960" w:type="dxa"/>
            <w:tcBorders>
              <w:top w:val="nil"/>
              <w:left w:val="nil"/>
              <w:bottom w:val="nil"/>
              <w:right w:val="single" w:sz="4" w:space="0" w:color="auto"/>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rPr>
            </w:pPr>
          </w:p>
        </w:tc>
        <w:tc>
          <w:tcPr>
            <w:tcW w:w="53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HV</w:t>
            </w:r>
          </w:p>
        </w:tc>
      </w:tr>
      <w:tr w:rsidR="008C508C" w:rsidRPr="007226D7" w:rsidTr="007C57FB">
        <w:trPr>
          <w:trHeight w:val="450"/>
          <w:jc w:val="center"/>
        </w:trPr>
        <w:tc>
          <w:tcPr>
            <w:tcW w:w="960" w:type="dxa"/>
            <w:tcBorders>
              <w:top w:val="nil"/>
              <w:left w:val="nil"/>
              <w:bottom w:val="nil"/>
              <w:right w:val="single" w:sz="4" w:space="0" w:color="auto"/>
            </w:tcBorders>
            <w:shd w:val="clear" w:color="auto" w:fill="auto"/>
            <w:noWrap/>
            <w:vAlign w:val="bottom"/>
            <w:hideMark/>
          </w:tcPr>
          <w:p w:rsidR="008C508C" w:rsidRPr="007226D7" w:rsidRDefault="008C508C" w:rsidP="007C57FB">
            <w:pPr>
              <w:spacing w:after="0" w:line="240" w:lineRule="auto"/>
              <w:jc w:val="left"/>
              <w:rPr>
                <w:rFonts w:cs="Arial"/>
                <w:color w:val="171717"/>
                <w:sz w:val="18"/>
                <w:szCs w:val="18"/>
              </w:rPr>
            </w:pPr>
          </w:p>
        </w:tc>
        <w:tc>
          <w:tcPr>
            <w:tcW w:w="1295" w:type="dxa"/>
            <w:tcBorders>
              <w:top w:val="nil"/>
              <w:left w:val="single" w:sz="4" w:space="0" w:color="auto"/>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8"/>
                <w:szCs w:val="18"/>
              </w:rPr>
            </w:pPr>
            <w:r w:rsidRPr="007226D7">
              <w:rPr>
                <w:rFonts w:cs="Arial"/>
                <w:b/>
                <w:bCs/>
                <w:color w:val="171717"/>
                <w:sz w:val="18"/>
                <w:szCs w:val="18"/>
              </w:rPr>
              <w:t>DO NOTHING</w:t>
            </w:r>
          </w:p>
        </w:tc>
        <w:tc>
          <w:tcPr>
            <w:tcW w:w="1397"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SITUACIÓN OPTIMIZADA</w:t>
            </w:r>
          </w:p>
        </w:tc>
        <w:tc>
          <w:tcPr>
            <w:tcW w:w="1338"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w:t>
            </w:r>
          </w:p>
        </w:tc>
        <w:tc>
          <w:tcPr>
            <w:tcW w:w="1338" w:type="dxa"/>
            <w:tcBorders>
              <w:top w:val="nil"/>
              <w:left w:val="nil"/>
              <w:bottom w:val="single" w:sz="4" w:space="0" w:color="auto"/>
              <w:right w:val="single" w:sz="4" w:space="0" w:color="auto"/>
            </w:tcBorders>
            <w:shd w:val="clear" w:color="auto" w:fill="auto"/>
            <w:vAlign w:val="center"/>
            <w:hideMark/>
          </w:tcPr>
          <w:p w:rsidR="008C508C" w:rsidRPr="007226D7" w:rsidRDefault="008C508C" w:rsidP="007C57FB">
            <w:pPr>
              <w:spacing w:after="0" w:line="240" w:lineRule="auto"/>
              <w:jc w:val="center"/>
              <w:rPr>
                <w:rFonts w:cs="Arial"/>
                <w:b/>
                <w:bCs/>
                <w:color w:val="171717"/>
                <w:sz w:val="16"/>
                <w:szCs w:val="16"/>
              </w:rPr>
            </w:pPr>
            <w:r w:rsidRPr="007226D7">
              <w:rPr>
                <w:rFonts w:cs="Arial"/>
                <w:b/>
                <w:bCs/>
                <w:color w:val="171717"/>
                <w:sz w:val="16"/>
                <w:szCs w:val="16"/>
              </w:rPr>
              <w:t>PROYECTO + RED BASICA</w:t>
            </w:r>
          </w:p>
        </w:tc>
      </w:tr>
      <w:tr w:rsidR="008C508C" w:rsidRPr="007226D7" w:rsidTr="007C57FB">
        <w:trPr>
          <w:trHeight w:val="24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2012</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45.18</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2018</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45.48</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41.31</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40.76</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2020</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45.82</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42.33</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40.99</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w:t>
            </w:r>
          </w:p>
        </w:tc>
      </w:tr>
      <w:tr w:rsidR="008C508C" w:rsidRPr="007226D7" w:rsidTr="007C57FB">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b/>
                <w:bCs/>
                <w:color w:val="171717"/>
                <w:sz w:val="18"/>
                <w:szCs w:val="18"/>
              </w:rPr>
            </w:pPr>
            <w:r w:rsidRPr="007226D7">
              <w:rPr>
                <w:rFonts w:cs="Arial"/>
                <w:b/>
                <w:bCs/>
                <w:color w:val="171717"/>
                <w:sz w:val="18"/>
                <w:szCs w:val="18"/>
              </w:rPr>
              <w:t>2030</w:t>
            </w:r>
          </w:p>
        </w:tc>
        <w:tc>
          <w:tcPr>
            <w:tcW w:w="1295"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46.85</w:t>
            </w:r>
          </w:p>
        </w:tc>
        <w:tc>
          <w:tcPr>
            <w:tcW w:w="1397"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44.49</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42.27</w:t>
            </w:r>
          </w:p>
        </w:tc>
        <w:tc>
          <w:tcPr>
            <w:tcW w:w="1338" w:type="dxa"/>
            <w:tcBorders>
              <w:top w:val="nil"/>
              <w:left w:val="nil"/>
              <w:bottom w:val="single" w:sz="4" w:space="0" w:color="auto"/>
              <w:right w:val="single" w:sz="4" w:space="0" w:color="auto"/>
            </w:tcBorders>
            <w:shd w:val="clear" w:color="auto" w:fill="auto"/>
            <w:noWrap/>
            <w:vAlign w:val="bottom"/>
            <w:hideMark/>
          </w:tcPr>
          <w:p w:rsidR="008C508C" w:rsidRPr="007226D7" w:rsidRDefault="008C508C" w:rsidP="007C57FB">
            <w:pPr>
              <w:spacing w:after="0" w:line="240" w:lineRule="auto"/>
              <w:jc w:val="right"/>
              <w:rPr>
                <w:rFonts w:cs="Arial"/>
                <w:color w:val="171717"/>
                <w:sz w:val="18"/>
                <w:szCs w:val="18"/>
              </w:rPr>
            </w:pPr>
            <w:r w:rsidRPr="007226D7">
              <w:rPr>
                <w:rFonts w:cs="Arial"/>
                <w:color w:val="171717"/>
                <w:sz w:val="18"/>
                <w:szCs w:val="18"/>
              </w:rPr>
              <w:t>39.60</w:t>
            </w:r>
          </w:p>
        </w:tc>
      </w:tr>
    </w:tbl>
    <w:p w:rsidR="008C508C" w:rsidRPr="007226D7" w:rsidRDefault="008C508C" w:rsidP="008C508C">
      <w:pPr>
        <w:spacing w:after="0" w:line="240" w:lineRule="auto"/>
        <w:jc w:val="center"/>
      </w:pPr>
    </w:p>
    <w:p w:rsidR="008C508C" w:rsidRPr="007226D7" w:rsidRDefault="008C508C" w:rsidP="008C508C">
      <w:pPr>
        <w:spacing w:after="0" w:line="240" w:lineRule="auto"/>
        <w:jc w:val="left"/>
        <w:rPr>
          <w:lang w:val="es-ES"/>
        </w:rPr>
      </w:pPr>
    </w:p>
    <w:p w:rsidR="008C508C" w:rsidRPr="007226D7" w:rsidRDefault="008C508C" w:rsidP="008C508C">
      <w:pPr>
        <w:rPr>
          <w:lang w:val="es-ES"/>
        </w:rPr>
      </w:pPr>
      <w:r w:rsidRPr="007226D7">
        <w:rPr>
          <w:lang w:val="es-ES"/>
        </w:rPr>
        <w:t xml:space="preserve">Las </w:t>
      </w:r>
      <w:r w:rsidR="00E41450" w:rsidRPr="007226D7">
        <w:rPr>
          <w:lang w:val="es-ES"/>
        </w:rPr>
        <w:t>imágenes</w:t>
      </w:r>
      <w:r w:rsidRPr="007226D7">
        <w:rPr>
          <w:lang w:val="es-ES"/>
        </w:rPr>
        <w:t xml:space="preserve"> siguientes muestran la evolución, en todo el intervalo de 30 años desde 2018 hasta 2048, del tiempo total de viaje (en base anual), expresado en miles de horas / año, junto con la gráfica de los ahorros de tiempo asociados tanto en la condición de diseño que en la de referencia (situación optimizada).</w:t>
      </w:r>
    </w:p>
    <w:p w:rsidR="008C508C" w:rsidRPr="007226D7" w:rsidRDefault="008C508C" w:rsidP="008C508C">
      <w:pPr>
        <w:spacing w:after="0" w:line="240" w:lineRule="auto"/>
        <w:jc w:val="left"/>
        <w:rPr>
          <w:lang w:val="es-ES"/>
        </w:rPr>
      </w:pPr>
    </w:p>
    <w:p w:rsidR="008C508C" w:rsidRPr="007226D7" w:rsidRDefault="008C508C" w:rsidP="008C508C">
      <w:pPr>
        <w:rPr>
          <w:lang w:val="es-ES"/>
        </w:rPr>
      </w:pPr>
      <w:r w:rsidRPr="007226D7">
        <w:rPr>
          <w:lang w:val="es-ES"/>
        </w:rPr>
        <w:t>Se puede concluir que el ahorro de tiempo producido por la introducción del metro equivale a 6</w:t>
      </w:r>
      <w:proofErr w:type="gramStart"/>
      <w:r w:rsidRPr="007226D7">
        <w:rPr>
          <w:lang w:val="es-ES"/>
        </w:rPr>
        <w:t>,257,014,000</w:t>
      </w:r>
      <w:proofErr w:type="gramEnd"/>
      <w:r w:rsidRPr="007226D7">
        <w:rPr>
          <w:lang w:val="es-ES"/>
        </w:rPr>
        <w:t xml:space="preserve"> horas-hombre en el período de tiempo de 30 años entre 2018 y 2048.</w:t>
      </w:r>
    </w:p>
    <w:p w:rsidR="008C508C" w:rsidRPr="007226D7" w:rsidRDefault="008C508C" w:rsidP="008C508C">
      <w:pPr>
        <w:rPr>
          <w:lang w:val="es-ES"/>
        </w:rPr>
      </w:pPr>
    </w:p>
    <w:p w:rsidR="008C508C" w:rsidRPr="007226D7" w:rsidRDefault="008C508C" w:rsidP="008C508C">
      <w:pPr>
        <w:spacing w:after="0" w:line="240" w:lineRule="auto"/>
        <w:jc w:val="center"/>
        <w:rPr>
          <w:lang w:val="es-ES"/>
        </w:rPr>
      </w:pPr>
      <w:r w:rsidRPr="007226D7">
        <w:rPr>
          <w:noProof/>
          <w:lang w:val="en-US" w:eastAsia="en-US"/>
        </w:rPr>
        <w:lastRenderedPageBreak/>
        <w:drawing>
          <wp:inline distT="0" distB="0" distL="0" distR="0" wp14:anchorId="212CBED2" wp14:editId="4CA1482B">
            <wp:extent cx="5415148" cy="3491346"/>
            <wp:effectExtent l="0" t="0" r="0" b="0"/>
            <wp:docPr id="165"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71B82" w:rsidRPr="007226D7" w:rsidRDefault="00B71B82" w:rsidP="00B71B82">
      <w:pPr>
        <w:pStyle w:val="Figuras"/>
      </w:pPr>
      <w:r w:rsidRPr="007226D7">
        <w:t>Figura 1.3 – 1: Tiempo total de viaje</w:t>
      </w:r>
    </w:p>
    <w:p w:rsidR="008C508C" w:rsidRPr="007226D7" w:rsidRDefault="008C508C" w:rsidP="008C508C">
      <w:pPr>
        <w:spacing w:after="0" w:line="240" w:lineRule="auto"/>
        <w:jc w:val="left"/>
        <w:rPr>
          <w:lang w:val="es-ES"/>
        </w:rPr>
      </w:pPr>
    </w:p>
    <w:p w:rsidR="008C508C" w:rsidRPr="007226D7" w:rsidRDefault="008C508C" w:rsidP="008C508C">
      <w:pPr>
        <w:spacing w:after="0" w:line="240" w:lineRule="auto"/>
        <w:jc w:val="center"/>
        <w:rPr>
          <w:lang w:val="es-ES"/>
        </w:rPr>
      </w:pPr>
      <w:r w:rsidRPr="007226D7">
        <w:rPr>
          <w:noProof/>
          <w:lang w:val="en-US" w:eastAsia="en-US"/>
        </w:rPr>
        <w:drawing>
          <wp:inline distT="0" distB="0" distL="0" distR="0" wp14:anchorId="625A7734" wp14:editId="439C0113">
            <wp:extent cx="5427024" cy="3669476"/>
            <wp:effectExtent l="0" t="0" r="0" b="0"/>
            <wp:docPr id="166"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71B82" w:rsidRPr="007226D7" w:rsidRDefault="00B71B82" w:rsidP="00B71B82">
      <w:pPr>
        <w:pStyle w:val="Figuras"/>
      </w:pPr>
      <w:r w:rsidRPr="007226D7">
        <w:t>Figura 1.3 – 2: Ahorro de tiempo</w:t>
      </w:r>
    </w:p>
    <w:p w:rsidR="0056369A" w:rsidRPr="007226D7" w:rsidRDefault="0056369A">
      <w:pPr>
        <w:spacing w:after="0" w:line="240" w:lineRule="auto"/>
        <w:jc w:val="left"/>
        <w:rPr>
          <w:lang w:val="es-PE"/>
        </w:rPr>
      </w:pPr>
      <w:r w:rsidRPr="007226D7">
        <w:rPr>
          <w:lang w:val="es-PE"/>
        </w:rPr>
        <w:br w:type="page"/>
      </w:r>
    </w:p>
    <w:p w:rsidR="0056369A" w:rsidRPr="007226D7" w:rsidRDefault="0056369A" w:rsidP="0056369A">
      <w:pPr>
        <w:pStyle w:val="Heading1"/>
        <w:rPr>
          <w:lang w:val="es-ES"/>
        </w:rPr>
      </w:pPr>
      <w:bookmarkStart w:id="6" w:name="_Toc346541896"/>
      <w:r w:rsidRPr="007226D7">
        <w:rPr>
          <w:lang w:val="es-ES"/>
        </w:rPr>
        <w:lastRenderedPageBreak/>
        <w:t>ASPECTOS GENERALES</w:t>
      </w:r>
      <w:bookmarkEnd w:id="6"/>
    </w:p>
    <w:p w:rsidR="0056369A" w:rsidRPr="007226D7" w:rsidRDefault="0056369A" w:rsidP="0056369A">
      <w:pPr>
        <w:pStyle w:val="Heading2"/>
        <w:rPr>
          <w:lang w:val="es-ES"/>
        </w:rPr>
      </w:pPr>
      <w:bookmarkStart w:id="7" w:name="_Toc346541897"/>
      <w:r w:rsidRPr="007226D7">
        <w:rPr>
          <w:lang w:val="es-ES"/>
        </w:rPr>
        <w:t>Nombre del Proyecto</w:t>
      </w:r>
      <w:bookmarkEnd w:id="7"/>
    </w:p>
    <w:p w:rsidR="0056369A" w:rsidRPr="007226D7" w:rsidRDefault="0056369A" w:rsidP="0056369A">
      <w:pPr>
        <w:rPr>
          <w:lang w:val="es-ES"/>
        </w:rPr>
      </w:pPr>
      <w:r w:rsidRPr="007226D7">
        <w:rPr>
          <w:lang w:val="es-ES"/>
        </w:rPr>
        <w:t>PIP A NIVEL DE FACTIBILIDAD “CONSTRUCCION DE LA LÍNEA 2 Y RAMAL Av. FAUCETT-GAMBETTA  DE LA RED BÁSICA DEL METRO DE LIMA Y CALLAO, PROVINCIAS DE LIMA Y CALLAO, DEPARTAMENTO LIMA”</w:t>
      </w:r>
    </w:p>
    <w:p w:rsidR="0056369A" w:rsidRPr="007226D7" w:rsidRDefault="0056369A" w:rsidP="0056369A">
      <w:pPr>
        <w:rPr>
          <w:lang w:val="es-ES"/>
        </w:rPr>
      </w:pPr>
    </w:p>
    <w:p w:rsidR="0056369A" w:rsidRPr="007226D7" w:rsidRDefault="0056369A" w:rsidP="0056369A">
      <w:pPr>
        <w:pStyle w:val="Heading2"/>
        <w:rPr>
          <w:lang w:val="es-ES"/>
        </w:rPr>
      </w:pPr>
      <w:bookmarkStart w:id="8" w:name="_Toc346541898"/>
      <w:r w:rsidRPr="007226D7">
        <w:rPr>
          <w:lang w:val="es-ES"/>
        </w:rPr>
        <w:t>Localización</w:t>
      </w:r>
      <w:bookmarkEnd w:id="8"/>
    </w:p>
    <w:p w:rsidR="0056369A" w:rsidRPr="007226D7" w:rsidRDefault="0056369A" w:rsidP="0056369A">
      <w:pPr>
        <w:rPr>
          <w:lang w:val="es-ES"/>
        </w:rPr>
      </w:pPr>
      <w:r w:rsidRPr="007226D7">
        <w:rPr>
          <w:lang w:val="es-ES"/>
        </w:rPr>
        <w:t>El área de influencia del Proyecto, se encuentra ubicada en:</w:t>
      </w:r>
    </w:p>
    <w:p w:rsidR="0056369A" w:rsidRPr="007226D7" w:rsidRDefault="004E7139" w:rsidP="0050041F">
      <w:pPr>
        <w:rPr>
          <w:lang w:val="es-ES"/>
        </w:rPr>
      </w:pPr>
      <w:r w:rsidRPr="007226D7">
        <w:rPr>
          <w:lang w:val="es-ES"/>
        </w:rPr>
        <w:t>Departamento</w:t>
      </w:r>
      <w:r w:rsidR="0050041F" w:rsidRPr="007226D7">
        <w:rPr>
          <w:lang w:val="es-ES"/>
        </w:rPr>
        <w:tab/>
      </w:r>
      <w:r w:rsidRPr="007226D7">
        <w:rPr>
          <w:lang w:val="es-ES"/>
        </w:rPr>
        <w:tab/>
      </w:r>
      <w:r w:rsidR="0056369A" w:rsidRPr="007226D7">
        <w:rPr>
          <w:lang w:val="es-ES"/>
        </w:rPr>
        <w:t>: Lima</w:t>
      </w:r>
    </w:p>
    <w:p w:rsidR="0056369A" w:rsidRPr="007226D7" w:rsidRDefault="004E7139" w:rsidP="0050041F">
      <w:pPr>
        <w:rPr>
          <w:lang w:val="es-ES"/>
        </w:rPr>
      </w:pPr>
      <w:r w:rsidRPr="007226D7">
        <w:rPr>
          <w:lang w:val="es-ES"/>
        </w:rPr>
        <w:t>Provincia</w:t>
      </w:r>
      <w:r w:rsidR="0050041F" w:rsidRPr="007226D7">
        <w:rPr>
          <w:lang w:val="es-ES"/>
        </w:rPr>
        <w:tab/>
      </w:r>
      <w:r w:rsidR="0050041F" w:rsidRPr="007226D7">
        <w:rPr>
          <w:lang w:val="es-ES"/>
        </w:rPr>
        <w:tab/>
      </w:r>
      <w:r w:rsidR="0056369A" w:rsidRPr="007226D7">
        <w:rPr>
          <w:lang w:val="es-ES"/>
        </w:rPr>
        <w:t>: Lima y Callao</w:t>
      </w:r>
    </w:p>
    <w:p w:rsidR="002E3213" w:rsidRPr="007226D7" w:rsidRDefault="0056369A" w:rsidP="002E3213">
      <w:pPr>
        <w:spacing w:after="0"/>
        <w:ind w:left="2126" w:hanging="2126"/>
        <w:rPr>
          <w:lang w:val="es-ES"/>
        </w:rPr>
      </w:pPr>
      <w:r w:rsidRPr="007226D7">
        <w:rPr>
          <w:lang w:val="es-ES"/>
        </w:rPr>
        <w:t>Distrito</w:t>
      </w:r>
      <w:r w:rsidR="0050041F" w:rsidRPr="007226D7">
        <w:rPr>
          <w:lang w:val="es-ES"/>
        </w:rPr>
        <w:tab/>
      </w:r>
      <w:r w:rsidRPr="007226D7">
        <w:rPr>
          <w:lang w:val="es-ES"/>
        </w:rPr>
        <w:t>: Ate, Santa Anita, San Luis, El Agustino, La Victoria, Jesús María,</w:t>
      </w:r>
    </w:p>
    <w:p w:rsidR="002E3213" w:rsidRPr="007226D7" w:rsidRDefault="002E3213" w:rsidP="002E3213">
      <w:pPr>
        <w:spacing w:after="0"/>
        <w:ind w:left="2126" w:hanging="2126"/>
        <w:rPr>
          <w:lang w:val="es-ES"/>
        </w:rPr>
      </w:pPr>
      <w:r w:rsidRPr="007226D7">
        <w:rPr>
          <w:lang w:val="es-ES"/>
        </w:rPr>
        <w:t xml:space="preserve">                                     </w:t>
      </w:r>
      <w:r w:rsidR="0056369A" w:rsidRPr="007226D7">
        <w:rPr>
          <w:lang w:val="es-ES"/>
        </w:rPr>
        <w:t xml:space="preserve">Cercado de Lima, Breña, San Miguel, La Perla, Carmen de La Legua, </w:t>
      </w:r>
    </w:p>
    <w:p w:rsidR="0056369A" w:rsidRPr="007226D7" w:rsidRDefault="002E3213" w:rsidP="002E3213">
      <w:pPr>
        <w:ind w:left="2126" w:hanging="2126"/>
        <w:rPr>
          <w:lang w:val="es-ES"/>
        </w:rPr>
      </w:pPr>
      <w:r w:rsidRPr="007226D7">
        <w:rPr>
          <w:lang w:val="es-ES"/>
        </w:rPr>
        <w:t xml:space="preserve">                                     </w:t>
      </w:r>
      <w:r w:rsidR="0056369A" w:rsidRPr="007226D7">
        <w:rPr>
          <w:lang w:val="es-ES"/>
        </w:rPr>
        <w:t>Bellavista y Cercado del Callao.</w:t>
      </w:r>
    </w:p>
    <w:p w:rsidR="004E7139" w:rsidRPr="007226D7" w:rsidRDefault="004E7139" w:rsidP="004E7139">
      <w:pPr>
        <w:spacing w:after="0" w:line="240" w:lineRule="auto"/>
        <w:ind w:left="2127" w:hanging="2127"/>
        <w:rPr>
          <w:lang w:val="es-ES"/>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5117"/>
      </w:tblGrid>
      <w:tr w:rsidR="004E7139" w:rsidRPr="007226D7" w:rsidTr="00B768A8">
        <w:trPr>
          <w:trHeight w:val="3767"/>
        </w:trPr>
        <w:tc>
          <w:tcPr>
            <w:tcW w:w="4806" w:type="dxa"/>
            <w:vAlign w:val="center"/>
          </w:tcPr>
          <w:p w:rsidR="004E7139" w:rsidRPr="007226D7" w:rsidRDefault="004E7139" w:rsidP="00B768A8">
            <w:pPr>
              <w:ind w:left="1200" w:hanging="1024"/>
              <w:jc w:val="left"/>
              <w:rPr>
                <w:szCs w:val="24"/>
              </w:rPr>
            </w:pPr>
            <w:r w:rsidRPr="007226D7">
              <w:rPr>
                <w:noProof/>
                <w:szCs w:val="24"/>
                <w:lang w:val="en-US" w:eastAsia="en-US"/>
              </w:rPr>
              <w:drawing>
                <wp:inline distT="0" distB="0" distL="0" distR="0" wp14:anchorId="52E2010E" wp14:editId="434F570B">
                  <wp:extent cx="2446020" cy="3241675"/>
                  <wp:effectExtent l="0" t="0" r="0" b="0"/>
                  <wp:docPr id="34"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6020" cy="3241675"/>
                          </a:xfrm>
                          <a:prstGeom prst="rect">
                            <a:avLst/>
                          </a:prstGeom>
                          <a:noFill/>
                          <a:ln>
                            <a:noFill/>
                          </a:ln>
                        </pic:spPr>
                      </pic:pic>
                    </a:graphicData>
                  </a:graphic>
                </wp:inline>
              </w:drawing>
            </w:r>
          </w:p>
        </w:tc>
        <w:tc>
          <w:tcPr>
            <w:tcW w:w="5117" w:type="dxa"/>
            <w:vAlign w:val="center"/>
          </w:tcPr>
          <w:p w:rsidR="004E7139" w:rsidRPr="007226D7" w:rsidRDefault="004E7139" w:rsidP="00B768A8">
            <w:pPr>
              <w:ind w:left="48"/>
              <w:jc w:val="center"/>
              <w:rPr>
                <w:szCs w:val="24"/>
              </w:rPr>
            </w:pPr>
            <w:r w:rsidRPr="007226D7">
              <w:rPr>
                <w:noProof/>
                <w:szCs w:val="24"/>
                <w:lang w:val="en-US" w:eastAsia="en-US"/>
              </w:rPr>
              <w:drawing>
                <wp:inline distT="0" distB="0" distL="0" distR="0" wp14:anchorId="55CB1C7C" wp14:editId="6C109291">
                  <wp:extent cx="2446020" cy="3241675"/>
                  <wp:effectExtent l="0" t="0" r="0" b="0"/>
                  <wp:docPr id="37"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6020" cy="3241675"/>
                          </a:xfrm>
                          <a:prstGeom prst="rect">
                            <a:avLst/>
                          </a:prstGeom>
                          <a:noFill/>
                          <a:ln>
                            <a:noFill/>
                          </a:ln>
                        </pic:spPr>
                      </pic:pic>
                    </a:graphicData>
                  </a:graphic>
                </wp:inline>
              </w:drawing>
            </w:r>
          </w:p>
        </w:tc>
      </w:tr>
      <w:tr w:rsidR="004E7139" w:rsidRPr="0013314C" w:rsidTr="00B768A8">
        <w:trPr>
          <w:trHeight w:val="394"/>
        </w:trPr>
        <w:tc>
          <w:tcPr>
            <w:tcW w:w="4806" w:type="dxa"/>
            <w:vAlign w:val="center"/>
          </w:tcPr>
          <w:p w:rsidR="004E7139" w:rsidRPr="007226D7" w:rsidRDefault="004E7139" w:rsidP="00B768A8">
            <w:pPr>
              <w:ind w:left="34" w:hanging="34"/>
              <w:jc w:val="center"/>
              <w:rPr>
                <w:rFonts w:cs="Arial"/>
                <w:b/>
                <w:noProof/>
                <w:sz w:val="16"/>
                <w:szCs w:val="16"/>
                <w:lang w:val="es-ES" w:eastAsia="es-ES"/>
              </w:rPr>
            </w:pPr>
            <w:r w:rsidRPr="007226D7">
              <w:rPr>
                <w:rFonts w:cs="Arial"/>
                <w:b/>
                <w:noProof/>
                <w:sz w:val="16"/>
                <w:szCs w:val="16"/>
                <w:lang w:val="es-ES" w:eastAsia="es-ES"/>
              </w:rPr>
              <w:t>MAPA DEL PERÚ MOSTRANDO EL DEPARTAMENTO DE LIMA Y PROVINCIA CONSTITUCIONAL DEL CALLAO</w:t>
            </w:r>
          </w:p>
        </w:tc>
        <w:tc>
          <w:tcPr>
            <w:tcW w:w="5117" w:type="dxa"/>
            <w:vAlign w:val="center"/>
          </w:tcPr>
          <w:p w:rsidR="004E7139" w:rsidRPr="007226D7" w:rsidRDefault="004E7139" w:rsidP="00B768A8">
            <w:pPr>
              <w:ind w:left="48"/>
              <w:jc w:val="center"/>
              <w:rPr>
                <w:noProof/>
                <w:szCs w:val="24"/>
                <w:lang w:val="es-ES" w:eastAsia="es-ES"/>
              </w:rPr>
            </w:pPr>
            <w:r w:rsidRPr="007226D7">
              <w:rPr>
                <w:rFonts w:cs="Arial"/>
                <w:b/>
                <w:noProof/>
                <w:sz w:val="16"/>
                <w:szCs w:val="16"/>
                <w:lang w:val="es-ES" w:eastAsia="es-ES"/>
              </w:rPr>
              <w:t>DEPARTAMENTO DE LIMA – PROVINCIA DE LIMA Y CALLAO</w:t>
            </w:r>
          </w:p>
        </w:tc>
      </w:tr>
    </w:tbl>
    <w:p w:rsidR="004E7139" w:rsidRPr="007226D7" w:rsidRDefault="004E7139" w:rsidP="004E7139">
      <w:pPr>
        <w:rPr>
          <w:lang w:val="es-ES"/>
        </w:rPr>
      </w:pPr>
    </w:p>
    <w:p w:rsidR="0056369A" w:rsidRPr="007226D7" w:rsidRDefault="0056369A" w:rsidP="0056369A">
      <w:pPr>
        <w:rPr>
          <w:lang w:val="es-ES"/>
        </w:rPr>
      </w:pPr>
    </w:p>
    <w:p w:rsidR="0056369A" w:rsidRPr="007226D7" w:rsidRDefault="0056369A" w:rsidP="0056369A">
      <w:pPr>
        <w:rPr>
          <w:lang w:val="es-ES"/>
        </w:rPr>
      </w:pPr>
    </w:p>
    <w:p w:rsidR="0056369A" w:rsidRPr="007226D7" w:rsidRDefault="0056369A" w:rsidP="0056369A">
      <w:pPr>
        <w:rPr>
          <w:lang w:val="es-ES"/>
        </w:rPr>
      </w:pPr>
    </w:p>
    <w:tbl>
      <w:tblPr>
        <w:tblW w:w="7525"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5"/>
      </w:tblGrid>
      <w:tr w:rsidR="004E7139" w:rsidRPr="007226D7" w:rsidTr="00B768A8">
        <w:trPr>
          <w:trHeight w:val="4363"/>
          <w:jc w:val="center"/>
        </w:trPr>
        <w:tc>
          <w:tcPr>
            <w:tcW w:w="7525" w:type="dxa"/>
            <w:vAlign w:val="center"/>
          </w:tcPr>
          <w:p w:rsidR="004E7139" w:rsidRPr="007226D7" w:rsidRDefault="004E7139" w:rsidP="00B768A8">
            <w:pPr>
              <w:ind w:left="35"/>
              <w:jc w:val="center"/>
              <w:rPr>
                <w:szCs w:val="24"/>
              </w:rPr>
            </w:pPr>
            <w:r w:rsidRPr="007226D7">
              <w:rPr>
                <w:noProof/>
                <w:szCs w:val="24"/>
                <w:lang w:val="en-US" w:eastAsia="en-US"/>
              </w:rPr>
              <w:lastRenderedPageBreak/>
              <w:drawing>
                <wp:inline distT="0" distB="0" distL="0" distR="0" wp14:anchorId="4759990F" wp14:editId="5351A96B">
                  <wp:extent cx="4643120" cy="2280285"/>
                  <wp:effectExtent l="0" t="0" r="0" b="0"/>
                  <wp:docPr id="38"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43120" cy="2280285"/>
                          </a:xfrm>
                          <a:prstGeom prst="rect">
                            <a:avLst/>
                          </a:prstGeom>
                          <a:noFill/>
                          <a:ln>
                            <a:noFill/>
                          </a:ln>
                        </pic:spPr>
                      </pic:pic>
                    </a:graphicData>
                  </a:graphic>
                </wp:inline>
              </w:drawing>
            </w:r>
          </w:p>
        </w:tc>
      </w:tr>
      <w:tr w:rsidR="004E7139" w:rsidRPr="0013314C" w:rsidTr="00B768A8">
        <w:trPr>
          <w:trHeight w:val="492"/>
          <w:jc w:val="center"/>
        </w:trPr>
        <w:tc>
          <w:tcPr>
            <w:tcW w:w="7525" w:type="dxa"/>
            <w:vAlign w:val="center"/>
          </w:tcPr>
          <w:p w:rsidR="004E7139" w:rsidRPr="007226D7" w:rsidRDefault="004E7139" w:rsidP="00B768A8">
            <w:pPr>
              <w:spacing w:after="0" w:line="240" w:lineRule="auto"/>
              <w:jc w:val="center"/>
              <w:rPr>
                <w:noProof/>
                <w:szCs w:val="24"/>
                <w:lang w:val="es-ES" w:eastAsia="es-ES"/>
              </w:rPr>
            </w:pPr>
            <w:r w:rsidRPr="007226D7">
              <w:rPr>
                <w:rFonts w:cs="Arial"/>
                <w:b/>
                <w:noProof/>
                <w:sz w:val="16"/>
                <w:szCs w:val="16"/>
                <w:lang w:val="es-ES" w:eastAsia="es-ES"/>
              </w:rPr>
              <w:t>DISTRITOS DEL ÁREA DE INFLUENCIA</w:t>
            </w:r>
          </w:p>
        </w:tc>
      </w:tr>
    </w:tbl>
    <w:p w:rsidR="0056369A" w:rsidRPr="007226D7" w:rsidRDefault="0056369A" w:rsidP="0056369A">
      <w:pPr>
        <w:rPr>
          <w:lang w:val="es-ES"/>
        </w:rPr>
      </w:pPr>
    </w:p>
    <w:p w:rsidR="0056369A" w:rsidRPr="007226D7" w:rsidRDefault="0056369A" w:rsidP="004E7139">
      <w:pPr>
        <w:pStyle w:val="Figuras"/>
      </w:pPr>
      <w:r w:rsidRPr="007226D7">
        <w:t>Figura 2.2-1 Ubicación del Proyecto</w:t>
      </w:r>
    </w:p>
    <w:p w:rsidR="0056369A" w:rsidRPr="007226D7" w:rsidRDefault="0056369A" w:rsidP="0056369A">
      <w:pPr>
        <w:rPr>
          <w:lang w:val="es-ES"/>
        </w:rPr>
      </w:pPr>
    </w:p>
    <w:p w:rsidR="0056369A" w:rsidRPr="007226D7" w:rsidRDefault="0056369A" w:rsidP="004E7139">
      <w:pPr>
        <w:pStyle w:val="Heading2"/>
        <w:rPr>
          <w:lang w:val="es-ES"/>
        </w:rPr>
      </w:pPr>
      <w:bookmarkStart w:id="9" w:name="_Toc346541899"/>
      <w:r w:rsidRPr="007226D7">
        <w:rPr>
          <w:lang w:val="es-ES"/>
        </w:rPr>
        <w:t>Unidad Formuladora y Unidad Ejecutora</w:t>
      </w:r>
      <w:bookmarkEnd w:id="9"/>
    </w:p>
    <w:p w:rsidR="0056369A" w:rsidRPr="007226D7" w:rsidRDefault="0056369A" w:rsidP="004E7139">
      <w:pPr>
        <w:pStyle w:val="Heading3"/>
        <w:rPr>
          <w:lang w:val="es-ES"/>
        </w:rPr>
      </w:pPr>
      <w:bookmarkStart w:id="10" w:name="_Toc346541900"/>
      <w:r w:rsidRPr="007226D7">
        <w:rPr>
          <w:lang w:val="es-ES"/>
        </w:rPr>
        <w:t>Unidad Formuladora</w:t>
      </w:r>
      <w:bookmarkEnd w:id="10"/>
    </w:p>
    <w:p w:rsidR="004E7139" w:rsidRPr="007226D7" w:rsidRDefault="004E7139" w:rsidP="004E7139"/>
    <w:tbl>
      <w:tblPr>
        <w:tblW w:w="8176" w:type="dxa"/>
        <w:tblInd w:w="55" w:type="dxa"/>
        <w:tblCellMar>
          <w:left w:w="70" w:type="dxa"/>
          <w:right w:w="70" w:type="dxa"/>
        </w:tblCellMar>
        <w:tblLook w:val="04A0" w:firstRow="1" w:lastRow="0" w:firstColumn="1" w:lastColumn="0" w:noHBand="0" w:noVBand="1"/>
      </w:tblPr>
      <w:tblGrid>
        <w:gridCol w:w="3276"/>
        <w:gridCol w:w="220"/>
        <w:gridCol w:w="4680"/>
      </w:tblGrid>
      <w:tr w:rsidR="004E7139" w:rsidRPr="007226D7"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Sector: </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Transportes y Comunicaciones </w:t>
            </w:r>
          </w:p>
        </w:tc>
      </w:tr>
      <w:tr w:rsidR="004E7139" w:rsidRPr="0013314C"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Pliego</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ES" w:eastAsia="es-ES"/>
              </w:rPr>
              <w:t>Ministerio de Transportes y Comunicaciones</w:t>
            </w:r>
            <w:r w:rsidRPr="007226D7">
              <w:rPr>
                <w:rFonts w:cs="Arial"/>
                <w:color w:val="000000"/>
                <w:sz w:val="20"/>
                <w:lang w:val="es-MX" w:eastAsia="es-MX"/>
              </w:rPr>
              <w:t> </w:t>
            </w:r>
          </w:p>
        </w:tc>
      </w:tr>
      <w:tr w:rsidR="004E7139" w:rsidRPr="0013314C" w:rsidTr="00B768A8">
        <w:trPr>
          <w:trHeight w:val="450"/>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Nombre</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AATE - Unidad Gerencial de Estudios / Jefatura de Estudios y Proyectos  </w:t>
            </w:r>
          </w:p>
        </w:tc>
      </w:tr>
      <w:tr w:rsidR="004E7139" w:rsidRPr="007226D7"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Persona Responsable de Formular:  </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NOKOLAOS KASILIS </w:t>
            </w:r>
          </w:p>
        </w:tc>
      </w:tr>
      <w:tr w:rsidR="004E7139" w:rsidRPr="007226D7" w:rsidTr="00B768A8">
        <w:trPr>
          <w:trHeight w:val="450"/>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Persona Responsable de la Unidad Formuladora  </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ERICK ALEXANDER VIDAL MORALES </w:t>
            </w:r>
          </w:p>
        </w:tc>
      </w:tr>
    </w:tbl>
    <w:p w:rsidR="0056369A" w:rsidRPr="007226D7" w:rsidRDefault="0056369A" w:rsidP="0056369A">
      <w:pPr>
        <w:rPr>
          <w:lang w:val="es-ES"/>
        </w:rPr>
      </w:pPr>
    </w:p>
    <w:p w:rsidR="0056369A" w:rsidRPr="007226D7" w:rsidRDefault="0056369A" w:rsidP="004E7139">
      <w:pPr>
        <w:pStyle w:val="Heading3"/>
        <w:rPr>
          <w:lang w:val="es-ES"/>
        </w:rPr>
      </w:pPr>
      <w:bookmarkStart w:id="11" w:name="_Toc346541901"/>
      <w:r w:rsidRPr="007226D7">
        <w:rPr>
          <w:lang w:val="es-ES"/>
        </w:rPr>
        <w:t>Unidad Ejecutora</w:t>
      </w:r>
      <w:bookmarkEnd w:id="11"/>
    </w:p>
    <w:p w:rsidR="004E7139" w:rsidRPr="007226D7" w:rsidRDefault="004E7139" w:rsidP="004E7139"/>
    <w:tbl>
      <w:tblPr>
        <w:tblW w:w="8176" w:type="dxa"/>
        <w:tblInd w:w="55" w:type="dxa"/>
        <w:tblCellMar>
          <w:left w:w="70" w:type="dxa"/>
          <w:right w:w="70" w:type="dxa"/>
        </w:tblCellMar>
        <w:tblLook w:val="04A0" w:firstRow="1" w:lastRow="0" w:firstColumn="1" w:lastColumn="0" w:noHBand="0" w:noVBand="1"/>
      </w:tblPr>
      <w:tblGrid>
        <w:gridCol w:w="3276"/>
        <w:gridCol w:w="220"/>
        <w:gridCol w:w="4680"/>
      </w:tblGrid>
      <w:tr w:rsidR="004E7139" w:rsidRPr="007226D7"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Sector: </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Transportes y Comunicaciones </w:t>
            </w:r>
          </w:p>
        </w:tc>
      </w:tr>
      <w:tr w:rsidR="004E7139" w:rsidRPr="0013314C"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Pliego</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ES" w:eastAsia="es-ES"/>
              </w:rPr>
              <w:t>Ministerio de Transportes y Comunicaciones</w:t>
            </w:r>
            <w:r w:rsidRPr="007226D7">
              <w:rPr>
                <w:rFonts w:cs="Arial"/>
                <w:color w:val="000000"/>
                <w:sz w:val="20"/>
                <w:lang w:val="es-MX" w:eastAsia="es-MX"/>
              </w:rPr>
              <w:t> </w:t>
            </w:r>
          </w:p>
        </w:tc>
      </w:tr>
      <w:tr w:rsidR="004E7139" w:rsidRPr="0013314C" w:rsidTr="00B768A8">
        <w:trPr>
          <w:trHeight w:val="450"/>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Nombre</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 xml:space="preserve">MTC- Autoridad </w:t>
            </w:r>
            <w:r w:rsidR="00E41450" w:rsidRPr="007226D7">
              <w:rPr>
                <w:rFonts w:cs="Arial"/>
                <w:color w:val="000000"/>
                <w:sz w:val="20"/>
                <w:lang w:val="es-MX" w:eastAsia="es-MX"/>
              </w:rPr>
              <w:t>Autónoma</w:t>
            </w:r>
            <w:r w:rsidRPr="007226D7">
              <w:rPr>
                <w:rFonts w:cs="Arial"/>
                <w:color w:val="000000"/>
                <w:sz w:val="20"/>
                <w:lang w:val="es-MX" w:eastAsia="es-MX"/>
              </w:rPr>
              <w:t xml:space="preserve"> del Sistema. </w:t>
            </w:r>
            <w:r w:rsidR="00E41450" w:rsidRPr="007226D7">
              <w:rPr>
                <w:rFonts w:cs="Arial"/>
                <w:color w:val="000000"/>
                <w:sz w:val="20"/>
                <w:lang w:val="es-MX" w:eastAsia="es-MX"/>
              </w:rPr>
              <w:t>Eléctrico</w:t>
            </w:r>
            <w:r w:rsidRPr="007226D7">
              <w:rPr>
                <w:rFonts w:cs="Arial"/>
                <w:color w:val="000000"/>
                <w:sz w:val="20"/>
                <w:lang w:val="es-MX" w:eastAsia="es-MX"/>
              </w:rPr>
              <w:t xml:space="preserve"> Transporte Masivo Lima y Callao- AATE</w:t>
            </w:r>
          </w:p>
        </w:tc>
      </w:tr>
      <w:tr w:rsidR="004E7139" w:rsidRPr="007226D7" w:rsidTr="00B768A8">
        <w:trPr>
          <w:trHeight w:val="255"/>
        </w:trPr>
        <w:tc>
          <w:tcPr>
            <w:tcW w:w="3276"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Persona Responsable de la Unidad Ejecutora  </w:t>
            </w:r>
          </w:p>
        </w:tc>
        <w:tc>
          <w:tcPr>
            <w:tcW w:w="22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center"/>
              <w:rPr>
                <w:rFonts w:cs="Arial"/>
                <w:b/>
                <w:bCs/>
                <w:color w:val="000000"/>
                <w:sz w:val="20"/>
                <w:lang w:val="es-MX" w:eastAsia="es-MX"/>
              </w:rPr>
            </w:pPr>
            <w:r w:rsidRPr="007226D7">
              <w:rPr>
                <w:rFonts w:cs="Arial"/>
                <w:b/>
                <w:bCs/>
                <w:color w:val="000000"/>
                <w:sz w:val="20"/>
                <w:lang w:val="es-MX" w:eastAsia="es-MX"/>
              </w:rPr>
              <w:t>:</w:t>
            </w:r>
          </w:p>
        </w:tc>
        <w:tc>
          <w:tcPr>
            <w:tcW w:w="4680" w:type="dxa"/>
            <w:tcBorders>
              <w:top w:val="nil"/>
              <w:left w:val="nil"/>
              <w:bottom w:val="nil"/>
              <w:right w:val="nil"/>
            </w:tcBorders>
            <w:shd w:val="clear" w:color="auto" w:fill="auto"/>
            <w:vAlign w:val="center"/>
            <w:hideMark/>
          </w:tcPr>
          <w:p w:rsidR="004E7139" w:rsidRPr="007226D7" w:rsidRDefault="004E7139" w:rsidP="00B768A8">
            <w:pPr>
              <w:spacing w:after="0" w:line="240" w:lineRule="auto"/>
              <w:jc w:val="left"/>
              <w:rPr>
                <w:rFonts w:cs="Arial"/>
                <w:color w:val="000000"/>
                <w:sz w:val="20"/>
                <w:lang w:val="es-MX" w:eastAsia="es-MX"/>
              </w:rPr>
            </w:pPr>
            <w:r w:rsidRPr="007226D7">
              <w:rPr>
                <w:rFonts w:cs="Arial"/>
                <w:color w:val="000000"/>
                <w:sz w:val="20"/>
                <w:lang w:val="es-MX" w:eastAsia="es-MX"/>
              </w:rPr>
              <w:t xml:space="preserve">WALTER HECTOR ARBOLEDA GORDON </w:t>
            </w:r>
          </w:p>
        </w:tc>
      </w:tr>
    </w:tbl>
    <w:p w:rsidR="004E7139" w:rsidRPr="007226D7" w:rsidRDefault="004E7139" w:rsidP="004E7139"/>
    <w:p w:rsidR="0056369A" w:rsidRPr="007226D7" w:rsidRDefault="0056369A" w:rsidP="004E7139">
      <w:pPr>
        <w:pStyle w:val="Heading2"/>
        <w:rPr>
          <w:lang w:val="es-ES"/>
        </w:rPr>
      </w:pPr>
      <w:bookmarkStart w:id="12" w:name="_Toc346541902"/>
      <w:r w:rsidRPr="007226D7">
        <w:rPr>
          <w:lang w:val="es-ES"/>
        </w:rPr>
        <w:lastRenderedPageBreak/>
        <w:t>Participación de los involucrados</w:t>
      </w:r>
      <w:bookmarkEnd w:id="12"/>
    </w:p>
    <w:p w:rsidR="0056369A" w:rsidRPr="007226D7" w:rsidRDefault="0056369A" w:rsidP="0050041F">
      <w:pPr>
        <w:pStyle w:val="Heading3"/>
        <w:ind w:left="851" w:hanging="709"/>
        <w:rPr>
          <w:lang w:val="es-ES"/>
        </w:rPr>
      </w:pPr>
      <w:bookmarkStart w:id="13" w:name="_Toc346541903"/>
      <w:r w:rsidRPr="007226D7">
        <w:rPr>
          <w:lang w:val="es-ES"/>
        </w:rPr>
        <w:t>Instituciones involucradas en el Proyecto y su participación</w:t>
      </w:r>
      <w:bookmarkEnd w:id="13"/>
    </w:p>
    <w:p w:rsidR="0056369A" w:rsidRPr="007226D7" w:rsidRDefault="0056369A" w:rsidP="0050041F">
      <w:pPr>
        <w:pStyle w:val="ListParagraph"/>
        <w:numPr>
          <w:ilvl w:val="0"/>
          <w:numId w:val="14"/>
        </w:numPr>
        <w:ind w:left="426" w:hanging="426"/>
        <w:rPr>
          <w:lang w:val="es-ES"/>
        </w:rPr>
      </w:pPr>
      <w:r w:rsidRPr="007226D7">
        <w:rPr>
          <w:lang w:val="es-ES"/>
        </w:rPr>
        <w:t>Ministerio de Transportes y Comunicaciones (MTC)</w:t>
      </w:r>
    </w:p>
    <w:p w:rsidR="0056369A" w:rsidRPr="007226D7" w:rsidRDefault="0056369A" w:rsidP="0056369A">
      <w:pPr>
        <w:rPr>
          <w:lang w:val="es-ES"/>
        </w:rPr>
      </w:pPr>
      <w:r w:rsidRPr="007226D7">
        <w:rPr>
          <w:lang w:val="es-ES"/>
        </w:rPr>
        <w:t xml:space="preserve">De acuerdo con lo establecido en la Ley </w:t>
      </w:r>
      <w:r w:rsidR="004E7139" w:rsidRPr="007226D7">
        <w:rPr>
          <w:lang w:val="es-ES"/>
        </w:rPr>
        <w:t>27791</w:t>
      </w:r>
      <w:r w:rsidR="004E7139" w:rsidRPr="007226D7">
        <w:rPr>
          <w:rStyle w:val="FootnoteReference"/>
        </w:rPr>
        <w:footnoteReference w:id="1"/>
      </w:r>
      <w:r w:rsidR="004E7139" w:rsidRPr="007226D7">
        <w:rPr>
          <w:lang w:val="es-ES"/>
        </w:rPr>
        <w:t>,</w:t>
      </w:r>
      <w:r w:rsidRPr="007226D7">
        <w:rPr>
          <w:lang w:val="es-ES"/>
        </w:rPr>
        <w:t xml:space="preserve"> el Ministerio de Transportes y Comunicaciones tiene como función principal la de integrar interna y externamente al país, para lograr un racional ordenamiento territorial vinculado a las áreas de recursos, producción, mercados y centros poblados, a través de la regulación, promoción, ejecución y supervisión de la infraestructura de transportes y comunicaciones.</w:t>
      </w:r>
    </w:p>
    <w:p w:rsidR="004E7139" w:rsidRPr="007226D7" w:rsidRDefault="004E7139" w:rsidP="0056369A">
      <w:pPr>
        <w:rPr>
          <w:lang w:val="es-ES"/>
        </w:rPr>
      </w:pPr>
    </w:p>
    <w:p w:rsidR="0056369A" w:rsidRPr="007226D7" w:rsidRDefault="0056369A" w:rsidP="0056369A">
      <w:pPr>
        <w:rPr>
          <w:lang w:val="es-ES"/>
        </w:rPr>
      </w:pPr>
      <w:r w:rsidRPr="007226D7">
        <w:rPr>
          <w:lang w:val="es-ES"/>
        </w:rPr>
        <w:t>La AATE entidad perteneciente al Ministerio de Transportes y Comunicaciones, en el marco de lo señalado en la normativa vigente con respecto a la prestación de los servicios de transporte masivo de Lima y Callao le corresponde;  planificar, coordinar, supervisar, controlar y ejecutar el establecimiento de un sistema eléctrico de transporte masivo, eficaz, eficiente y con calidad ambiental para Lima y Callao.</w:t>
      </w:r>
    </w:p>
    <w:p w:rsidR="0056369A" w:rsidRPr="007226D7" w:rsidRDefault="0056369A" w:rsidP="0056369A">
      <w:pPr>
        <w:rPr>
          <w:lang w:val="es-ES"/>
        </w:rPr>
      </w:pPr>
    </w:p>
    <w:p w:rsidR="0056369A" w:rsidRPr="007226D7" w:rsidRDefault="0056369A" w:rsidP="0056369A">
      <w:pPr>
        <w:rPr>
          <w:lang w:val="es-ES"/>
        </w:rPr>
      </w:pPr>
      <w:r w:rsidRPr="007226D7">
        <w:rPr>
          <w:lang w:val="es-ES"/>
        </w:rPr>
        <w:t>La AATE tiene como objetivo el establecimiento de un Sistema Eléctrico de Transporte Masivo de Lima y Callao, que permita dotar a las zonas de alta densidad poblacional y periféricas de una infraestructura de transporte necesaria para la rápida movilización de su población, de manera segura y económica, integrado a otros medios de transporte, con amplia cobertura y respetando el medio ambiente.</w:t>
      </w:r>
    </w:p>
    <w:p w:rsidR="0056369A" w:rsidRPr="007226D7" w:rsidRDefault="0056369A" w:rsidP="0056369A">
      <w:pPr>
        <w:rPr>
          <w:lang w:val="es-ES"/>
        </w:rPr>
      </w:pPr>
    </w:p>
    <w:p w:rsidR="0056369A" w:rsidRPr="007226D7" w:rsidRDefault="0056369A" w:rsidP="0056369A">
      <w:pPr>
        <w:rPr>
          <w:lang w:val="es-ES"/>
        </w:rPr>
      </w:pPr>
      <w:r w:rsidRPr="007226D7">
        <w:rPr>
          <w:lang w:val="es-ES"/>
        </w:rPr>
        <w:t>PROVIAS NACIONAL tiene como objetivo otorgar una infraestructura vial transitable y segura para el país, a través de la construcción, rehabilitación y mejoramiento; así como la preservación, conservación, mantenimiento y operación de la infraestructura de transporte relacionada a la Red Vial Nacional, con la finalidad de adecuarla a las exigencias del desarrollo y de la integración nacional e internacional.</w:t>
      </w:r>
    </w:p>
    <w:p w:rsidR="003A4B05" w:rsidRPr="007226D7" w:rsidRDefault="003A4B05" w:rsidP="0056369A">
      <w:pPr>
        <w:rPr>
          <w:lang w:val="es-ES"/>
        </w:rPr>
      </w:pPr>
    </w:p>
    <w:p w:rsidR="0056369A" w:rsidRPr="007226D7" w:rsidRDefault="0056369A" w:rsidP="0056369A">
      <w:pPr>
        <w:rPr>
          <w:lang w:val="es-ES"/>
        </w:rPr>
      </w:pPr>
      <w:r w:rsidRPr="007226D7">
        <w:rPr>
          <w:lang w:val="es-ES"/>
        </w:rPr>
        <w:t>OSITRAN es un Organismo Público descentralizado perteneciente a la presidencia del Consejo de Ministros, tiene como objetivo general regular, normar, supervisar y fiscalizar, dentro del ámbito de su competencia, el comportamiento de los mercados en los que actúan las Entidades Prestadoras, así como el cumplimiento de los contratos de concesión, cautelando en forma imparcial y objetiva los intereses del Estado, de los inversionis</w:t>
      </w:r>
      <w:r w:rsidR="004E7139" w:rsidRPr="007226D7">
        <w:rPr>
          <w:lang w:val="es-ES"/>
        </w:rPr>
        <w:t>tas y del usuario.</w:t>
      </w:r>
    </w:p>
    <w:p w:rsidR="004E7139" w:rsidRPr="007226D7" w:rsidRDefault="004E7139">
      <w:pPr>
        <w:spacing w:after="0" w:line="240" w:lineRule="auto"/>
        <w:jc w:val="left"/>
        <w:rPr>
          <w:lang w:val="es-ES"/>
        </w:rPr>
      </w:pPr>
    </w:p>
    <w:p w:rsidR="0056369A" w:rsidRPr="007226D7" w:rsidRDefault="0056369A" w:rsidP="0050041F">
      <w:pPr>
        <w:pStyle w:val="ListParagraph"/>
        <w:numPr>
          <w:ilvl w:val="0"/>
          <w:numId w:val="14"/>
        </w:numPr>
        <w:ind w:left="426" w:hanging="426"/>
        <w:rPr>
          <w:lang w:val="es-ES"/>
        </w:rPr>
      </w:pPr>
      <w:r w:rsidRPr="007226D7">
        <w:rPr>
          <w:lang w:val="es-ES"/>
        </w:rPr>
        <w:t>Ministerio del Ambiente (MINAM)</w:t>
      </w:r>
    </w:p>
    <w:p w:rsidR="0056369A" w:rsidRPr="007226D7" w:rsidRDefault="0056369A" w:rsidP="0056369A">
      <w:pPr>
        <w:rPr>
          <w:lang w:val="es-ES"/>
        </w:rPr>
      </w:pPr>
      <w:r w:rsidRPr="007226D7">
        <w:rPr>
          <w:lang w:val="es-ES"/>
        </w:rPr>
        <w:t xml:space="preserve">Creado por Decreto Legislativo Nº 1013 del 14 de mayo de 2008, como ente rector del sector ambiental nacional y que coordina en los niveles de gobierno local, regional y nacional. Su </w:t>
      </w:r>
      <w:r w:rsidRPr="007226D7">
        <w:rPr>
          <w:lang w:val="es-ES"/>
        </w:rPr>
        <w:lastRenderedPageBreak/>
        <w:t>misión es conservar la calidad del ambiente. Entre sus funciones específicas está la de dirigir el Sistema Nacional de Evaluación de Impacto Ambiental, creado por Ley Nº 27446, modificada por Decreto Legislativo Nº 1078. Otras de sus funciones son revisar, de manera aleatoria, los Estudios de Impacto Ambiental (EIA) aprobados por las autoridades competentes; aprobar las Evaluaciones Ambientales Estratégicas de políticas, planes y programas; y controlar y supervisar la aplicación de sus normas.</w:t>
      </w:r>
    </w:p>
    <w:p w:rsidR="0056369A" w:rsidRPr="007226D7" w:rsidRDefault="0056369A" w:rsidP="0056369A">
      <w:pPr>
        <w:rPr>
          <w:lang w:val="es-ES"/>
        </w:rPr>
      </w:pPr>
    </w:p>
    <w:p w:rsidR="0056369A" w:rsidRPr="007226D7" w:rsidRDefault="0056369A" w:rsidP="0050041F">
      <w:pPr>
        <w:pStyle w:val="ListParagraph"/>
        <w:numPr>
          <w:ilvl w:val="0"/>
          <w:numId w:val="14"/>
        </w:numPr>
        <w:ind w:left="426" w:hanging="426"/>
        <w:rPr>
          <w:lang w:val="es-ES"/>
        </w:rPr>
      </w:pPr>
      <w:r w:rsidRPr="007226D7">
        <w:rPr>
          <w:lang w:val="es-ES"/>
        </w:rPr>
        <w:t>Ministerio de Economía y Finanzas (MEF)</w:t>
      </w:r>
    </w:p>
    <w:p w:rsidR="0056369A" w:rsidRPr="007226D7" w:rsidRDefault="0056369A" w:rsidP="0056369A">
      <w:pPr>
        <w:rPr>
          <w:lang w:val="es-ES"/>
        </w:rPr>
      </w:pPr>
      <w:r w:rsidRPr="007226D7">
        <w:rPr>
          <w:lang w:val="es-ES"/>
        </w:rPr>
        <w:t>Ministerio que tiene como objetivos optimizar la actividad económica y financiera del Estado, establecer la actividad macroeconómica y lograr un crecimiento sostenido de la economía del país. En los PIP financiados con endeudamiento, la Dirección General de Política de Inversiones (DGPI) del MEF es el órgano de línea que ejerce la rectoría del Sistema Administrativo Nacional de Inversión Pública – SNIP; en tal sentido, como parte de sus funciones a solicitud de la OPI-MTC, por tratarse de un proyecto que re</w:t>
      </w:r>
      <w:r w:rsidR="00B358AB" w:rsidRPr="007226D7">
        <w:rPr>
          <w:lang w:val="es-ES"/>
        </w:rPr>
        <w:t xml:space="preserve">quiere de garantías del Estado </w:t>
      </w:r>
      <w:r w:rsidRPr="007226D7">
        <w:rPr>
          <w:lang w:val="es-ES"/>
        </w:rPr>
        <w:t xml:space="preserve">es el encargado en esta etapa de pre inversión </w:t>
      </w:r>
      <w:r w:rsidR="00B358AB" w:rsidRPr="007226D7">
        <w:rPr>
          <w:lang w:val="es-ES"/>
        </w:rPr>
        <w:t xml:space="preserve">a nivel de factibilidad </w:t>
      </w:r>
      <w:r w:rsidRPr="007226D7">
        <w:rPr>
          <w:lang w:val="es-ES"/>
        </w:rPr>
        <w:t>de otorgar la viabilidad del proyecto.</w:t>
      </w:r>
    </w:p>
    <w:p w:rsidR="0056369A" w:rsidRPr="007226D7" w:rsidRDefault="0056369A" w:rsidP="0056369A">
      <w:pPr>
        <w:rPr>
          <w:lang w:val="es-ES"/>
        </w:rPr>
      </w:pPr>
    </w:p>
    <w:p w:rsidR="0056369A" w:rsidRPr="007226D7" w:rsidRDefault="0056369A" w:rsidP="0056369A">
      <w:pPr>
        <w:rPr>
          <w:lang w:val="es-ES"/>
        </w:rPr>
      </w:pPr>
      <w:r w:rsidRPr="007226D7">
        <w:rPr>
          <w:lang w:val="es-ES"/>
        </w:rPr>
        <w:t>La Agencia de Promoción de la Inversión Privada – PROINVERSIÓN, está encargada de promover la inversión no dependiente del Estado Peruano a cargo de agentes bajo régimen privado, con el fin de impulsar la competitividad del Perú y su desarrollo sostenible para mejorar el bienestar de la población. En este sentido, PROINVERSION es la encargada de la gestión del proceso de promoción de la inversión privada, a través de un Concurso de Proyectos Integrales, esto es concesión del diseño (elaboración del expediente técnico), financiamiento, construcción, operación y mantenimiento del proyecto.</w:t>
      </w:r>
    </w:p>
    <w:p w:rsidR="0056369A" w:rsidRPr="007226D7" w:rsidRDefault="0056369A" w:rsidP="0056369A">
      <w:pPr>
        <w:rPr>
          <w:lang w:val="es-ES"/>
        </w:rPr>
      </w:pPr>
    </w:p>
    <w:p w:rsidR="0056369A" w:rsidRPr="007226D7" w:rsidRDefault="0056369A" w:rsidP="0050041F">
      <w:pPr>
        <w:pStyle w:val="ListParagraph"/>
        <w:numPr>
          <w:ilvl w:val="0"/>
          <w:numId w:val="14"/>
        </w:numPr>
        <w:ind w:left="426" w:hanging="426"/>
        <w:rPr>
          <w:lang w:val="es-ES"/>
        </w:rPr>
      </w:pPr>
      <w:r w:rsidRPr="007226D7">
        <w:rPr>
          <w:lang w:val="es-ES"/>
        </w:rPr>
        <w:t>Municipalidad Metropolitana de Lima</w:t>
      </w:r>
    </w:p>
    <w:p w:rsidR="0056369A" w:rsidRPr="007226D7" w:rsidRDefault="0056369A" w:rsidP="0056369A">
      <w:pPr>
        <w:rPr>
          <w:lang w:val="es-ES"/>
        </w:rPr>
      </w:pPr>
      <w:r w:rsidRPr="007226D7">
        <w:rPr>
          <w:lang w:val="es-ES"/>
        </w:rPr>
        <w:t>De acuerdo con el Artículo 195 de la Constitución Política del Perú de 1993, los gobiernos locales (municipalidades provinciales y distritales) tienen la competencia para “Organizar, reglamentar y administrar los servicios públicos locales de su responsabilidad”, con lo que se delimita la competencia de las municipalidades en el ámbito de los servicios públicos en el radio urbano.</w:t>
      </w:r>
    </w:p>
    <w:p w:rsidR="0056369A" w:rsidRPr="007226D7" w:rsidRDefault="0056369A" w:rsidP="0056369A">
      <w:pPr>
        <w:rPr>
          <w:lang w:val="es-ES"/>
        </w:rPr>
      </w:pPr>
    </w:p>
    <w:p w:rsidR="0056369A" w:rsidRPr="007226D7" w:rsidRDefault="0056369A" w:rsidP="0056369A">
      <w:pPr>
        <w:rPr>
          <w:lang w:val="es-ES"/>
        </w:rPr>
      </w:pPr>
      <w:r w:rsidRPr="007226D7">
        <w:rPr>
          <w:lang w:val="es-ES"/>
        </w:rPr>
        <w:t>A partir de esa norma que tiene un carácter rector se genera la estructura legal del sistema que rige el servicio de transporte urbano de pasajeros con una serie de medidas cuyos alcances abarcan aspectos técnicos de los bienes de capital, equipos e infraestructura, delimitándose las competencias de cada uno de los órganos de gobierno comprometidos:</w:t>
      </w:r>
    </w:p>
    <w:p w:rsidR="0056369A" w:rsidRPr="007226D7" w:rsidRDefault="0056369A" w:rsidP="0056369A">
      <w:pPr>
        <w:rPr>
          <w:lang w:val="es-ES"/>
        </w:rPr>
      </w:pPr>
    </w:p>
    <w:p w:rsidR="0056369A" w:rsidRPr="007226D7" w:rsidRDefault="0056369A" w:rsidP="0056369A">
      <w:pPr>
        <w:rPr>
          <w:lang w:val="es-ES"/>
        </w:rPr>
      </w:pPr>
      <w:r w:rsidRPr="007226D7">
        <w:rPr>
          <w:lang w:val="es-ES"/>
        </w:rPr>
        <w:t>La competencia en materia de transporte urbano en general corresponde a las municipalidades, de conformidad con lo establecido en la Constitución y en las normas de desarrollo constitucional.</w:t>
      </w:r>
    </w:p>
    <w:p w:rsidR="0056369A" w:rsidRPr="007226D7" w:rsidRDefault="0056369A" w:rsidP="0050041F">
      <w:pPr>
        <w:pStyle w:val="ListParagraph"/>
        <w:numPr>
          <w:ilvl w:val="0"/>
          <w:numId w:val="14"/>
        </w:numPr>
        <w:ind w:left="426" w:hanging="426"/>
        <w:rPr>
          <w:lang w:val="es-ES"/>
        </w:rPr>
      </w:pPr>
      <w:r w:rsidRPr="007226D7">
        <w:rPr>
          <w:lang w:val="es-ES"/>
        </w:rPr>
        <w:lastRenderedPageBreak/>
        <w:t>Municipalidad Provincial del Callao</w:t>
      </w:r>
    </w:p>
    <w:p w:rsidR="0056369A" w:rsidRPr="007226D7" w:rsidRDefault="0056369A" w:rsidP="0056369A">
      <w:pPr>
        <w:rPr>
          <w:lang w:val="es-ES"/>
        </w:rPr>
      </w:pPr>
      <w:r w:rsidRPr="007226D7">
        <w:rPr>
          <w:lang w:val="es-ES"/>
        </w:rPr>
        <w:t>Ley Orgánica de Municipalidades (N° 27972), precisa las competencias en materia de servicios públicos locales, señalando en el numeral 2.2 que el tránsito, la circulación y el transporte urbano, son competencias específicas de los Concejos Provinciales, lo que luego es ampliado por el Artículo 81 en el cual se precisa que el servicio de transporte terrestre urbano e interurbano es una función específica de las municipalidades provinciales; esta es una delimitación parcial de competencias por cuanto el margen de actuación requiere de concordancia con las leyes y reglamentos de alcance nacional.</w:t>
      </w:r>
    </w:p>
    <w:p w:rsidR="0056369A" w:rsidRPr="007226D7" w:rsidRDefault="0056369A" w:rsidP="0056369A">
      <w:pPr>
        <w:rPr>
          <w:lang w:val="es-ES"/>
        </w:rPr>
      </w:pPr>
    </w:p>
    <w:p w:rsidR="0056369A" w:rsidRPr="007226D7" w:rsidRDefault="0056369A" w:rsidP="0050041F">
      <w:pPr>
        <w:pStyle w:val="ListParagraph"/>
        <w:numPr>
          <w:ilvl w:val="0"/>
          <w:numId w:val="14"/>
        </w:numPr>
        <w:ind w:left="426" w:hanging="426"/>
        <w:rPr>
          <w:lang w:val="es-ES"/>
        </w:rPr>
      </w:pPr>
      <w:r w:rsidRPr="007226D7">
        <w:rPr>
          <w:lang w:val="es-ES"/>
        </w:rPr>
        <w:t>Municipalidades Distritales</w:t>
      </w:r>
    </w:p>
    <w:p w:rsidR="0056369A" w:rsidRPr="007226D7" w:rsidRDefault="0056369A" w:rsidP="0056369A">
      <w:pPr>
        <w:rPr>
          <w:lang w:val="es-ES"/>
        </w:rPr>
      </w:pPr>
      <w:r w:rsidRPr="007226D7">
        <w:rPr>
          <w:lang w:val="es-ES"/>
        </w:rPr>
        <w:t>Las funciones y atribuciones se distribuyen y precisan a través de las Leyes Orgánicas del Poder Ejecutivo, de Gobiernos Regionales y de Municipalidades, respectivamente, distinguiendo las funciones de normatividad, regulación, planeamiento, administración, ejecución, supervisión y control y, promoción de las inversiones.</w:t>
      </w:r>
    </w:p>
    <w:p w:rsidR="0056369A" w:rsidRPr="007226D7" w:rsidRDefault="0056369A" w:rsidP="0056369A">
      <w:pPr>
        <w:rPr>
          <w:lang w:val="es-ES"/>
        </w:rPr>
      </w:pPr>
    </w:p>
    <w:p w:rsidR="0056369A" w:rsidRPr="007226D7" w:rsidRDefault="0056369A" w:rsidP="0056369A">
      <w:pPr>
        <w:rPr>
          <w:lang w:val="es-ES"/>
        </w:rPr>
      </w:pPr>
      <w:r w:rsidRPr="007226D7">
        <w:rPr>
          <w:lang w:val="es-ES"/>
        </w:rPr>
        <w:t>De acuerdo a la misma norma son competencias exclusivas de las municipalidades, entre otras (art. 42):</w:t>
      </w:r>
    </w:p>
    <w:p w:rsidR="0056369A" w:rsidRPr="007226D7" w:rsidRDefault="0056369A" w:rsidP="0056369A">
      <w:pPr>
        <w:rPr>
          <w:lang w:val="es-ES"/>
        </w:rPr>
      </w:pPr>
    </w:p>
    <w:p w:rsidR="0056369A" w:rsidRPr="007226D7" w:rsidRDefault="0056369A" w:rsidP="006E6A64">
      <w:pPr>
        <w:pStyle w:val="ListParagraph"/>
        <w:numPr>
          <w:ilvl w:val="0"/>
          <w:numId w:val="15"/>
        </w:numPr>
        <w:rPr>
          <w:lang w:val="es-ES"/>
        </w:rPr>
      </w:pPr>
      <w:r w:rsidRPr="007226D7">
        <w:rPr>
          <w:lang w:val="es-ES"/>
        </w:rPr>
        <w:t>Planificar y promover el desarrollo urbano y ejecutar los planes correspondientes.</w:t>
      </w:r>
    </w:p>
    <w:p w:rsidR="0056369A" w:rsidRPr="007226D7" w:rsidRDefault="0056369A" w:rsidP="006E6A64">
      <w:pPr>
        <w:pStyle w:val="ListParagraph"/>
        <w:numPr>
          <w:ilvl w:val="0"/>
          <w:numId w:val="15"/>
        </w:numPr>
        <w:rPr>
          <w:lang w:val="es-ES"/>
        </w:rPr>
      </w:pPr>
      <w:r w:rsidRPr="007226D7">
        <w:rPr>
          <w:lang w:val="es-ES"/>
        </w:rPr>
        <w:t>Administrar y reglamentar los servicios públicos locales destinados a satisfacer necesidades colectivas de carácter local.</w:t>
      </w:r>
    </w:p>
    <w:p w:rsidR="0056369A" w:rsidRPr="007226D7" w:rsidRDefault="0056369A" w:rsidP="006E6A64">
      <w:pPr>
        <w:pStyle w:val="ListParagraph"/>
        <w:numPr>
          <w:ilvl w:val="0"/>
          <w:numId w:val="15"/>
        </w:numPr>
        <w:rPr>
          <w:lang w:val="es-ES"/>
        </w:rPr>
      </w:pPr>
      <w:r w:rsidRPr="007226D7">
        <w:rPr>
          <w:lang w:val="es-ES"/>
        </w:rPr>
        <w:t>Ejecutar y supervisar la obra pública de carácter local.</w:t>
      </w:r>
    </w:p>
    <w:p w:rsidR="0056369A" w:rsidRPr="007226D7" w:rsidRDefault="0056369A" w:rsidP="006E6A64">
      <w:pPr>
        <w:pStyle w:val="ListParagraph"/>
        <w:numPr>
          <w:ilvl w:val="0"/>
          <w:numId w:val="15"/>
        </w:numPr>
        <w:rPr>
          <w:lang w:val="es-ES"/>
        </w:rPr>
      </w:pPr>
      <w:r w:rsidRPr="007226D7">
        <w:rPr>
          <w:lang w:val="es-ES"/>
        </w:rPr>
        <w:t>Otras que deriven de sus funciones y atribuciones propias, y las que señale la ley. Asimismo, como competencia compartida (entre los niveles provincial y distrital, de conformidad con el artículo 44.1 de la Ley N° 27783) el transporte colectivo, la circulación y el tránsito urbano.</w:t>
      </w:r>
    </w:p>
    <w:p w:rsidR="0056369A" w:rsidRPr="007226D7" w:rsidRDefault="0056369A" w:rsidP="004E7139">
      <w:pPr>
        <w:pStyle w:val="Heading3"/>
        <w:rPr>
          <w:lang w:val="es-ES"/>
        </w:rPr>
      </w:pPr>
      <w:bookmarkStart w:id="14" w:name="_Toc346541904"/>
      <w:r w:rsidRPr="007226D7">
        <w:rPr>
          <w:lang w:val="es-ES"/>
        </w:rPr>
        <w:t>Población beneficiaria</w:t>
      </w:r>
      <w:bookmarkEnd w:id="14"/>
    </w:p>
    <w:p w:rsidR="0056369A" w:rsidRPr="007226D7" w:rsidRDefault="0056369A" w:rsidP="0056369A">
      <w:pPr>
        <w:rPr>
          <w:lang w:val="es-ES"/>
        </w:rPr>
      </w:pPr>
      <w:r w:rsidRPr="007226D7">
        <w:rPr>
          <w:lang w:val="es-ES"/>
        </w:rPr>
        <w:t xml:space="preserve">El proyecto involucra a la población de Lima y Callao ubicados alrededor de la ruta de la Línea 2 del Tren, que mediante el mejoramiento de la infraestructura de transporte logrará desplazarse de una manera más rápida, segura y cómoda. Los distritos que se encuentran en la ruta de la Línea 2 son: Ate, Santa Anita, San Luis, El Agustino, La Victoria, Jesús María, Cercado de Lima, , Breña, San Miguel, La Perla, Carmen de La Legua, Bellavista y Cercado del Callao. </w:t>
      </w:r>
    </w:p>
    <w:p w:rsidR="0056369A" w:rsidRPr="007226D7" w:rsidRDefault="0056369A" w:rsidP="0056369A">
      <w:pPr>
        <w:rPr>
          <w:lang w:val="es-ES"/>
        </w:rPr>
      </w:pPr>
      <w:r w:rsidRPr="007226D7">
        <w:rPr>
          <w:lang w:val="es-ES"/>
        </w:rPr>
        <w:t>En la matriz siguiente se detalla a los grupos involucrados, su interés, problemas percibidos as</w:t>
      </w:r>
      <w:r w:rsidR="004E7139" w:rsidRPr="007226D7">
        <w:rPr>
          <w:lang w:val="es-ES"/>
        </w:rPr>
        <w:t>í como los recursos y mandatos.</w:t>
      </w:r>
    </w:p>
    <w:p w:rsidR="0050041F" w:rsidRPr="007226D7" w:rsidRDefault="0050041F" w:rsidP="0056369A">
      <w:pPr>
        <w:rPr>
          <w:lang w:val="es-ES"/>
        </w:rPr>
      </w:pPr>
    </w:p>
    <w:p w:rsidR="0050041F" w:rsidRPr="007226D7" w:rsidRDefault="0050041F" w:rsidP="0056369A">
      <w:pPr>
        <w:rPr>
          <w:lang w:val="es-ES"/>
        </w:rPr>
      </w:pPr>
    </w:p>
    <w:p w:rsidR="004E7139" w:rsidRPr="007226D7" w:rsidRDefault="0056369A" w:rsidP="0050041F">
      <w:pPr>
        <w:pStyle w:val="Figuras"/>
        <w:spacing w:after="160"/>
      </w:pPr>
      <w:r w:rsidRPr="007226D7">
        <w:lastRenderedPageBreak/>
        <w:t>Tabla 2.4-1 Matriz de Involucrados</w:t>
      </w:r>
    </w:p>
    <w:tbl>
      <w:tblPr>
        <w:tblW w:w="5246" w:type="pct"/>
        <w:tblLayout w:type="fixed"/>
        <w:tblCellMar>
          <w:left w:w="70" w:type="dxa"/>
          <w:right w:w="70" w:type="dxa"/>
        </w:tblCellMar>
        <w:tblLook w:val="04A0" w:firstRow="1" w:lastRow="0" w:firstColumn="1" w:lastColumn="0" w:noHBand="0" w:noVBand="1"/>
      </w:tblPr>
      <w:tblGrid>
        <w:gridCol w:w="1757"/>
        <w:gridCol w:w="2475"/>
        <w:gridCol w:w="2865"/>
        <w:gridCol w:w="2865"/>
      </w:tblGrid>
      <w:tr w:rsidR="004E7139" w:rsidRPr="007226D7" w:rsidTr="00B768A8">
        <w:trPr>
          <w:trHeight w:val="170"/>
          <w:tblHeader/>
        </w:trPr>
        <w:tc>
          <w:tcPr>
            <w:tcW w:w="882"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Grupos</w:t>
            </w:r>
          </w:p>
        </w:tc>
        <w:tc>
          <w:tcPr>
            <w:tcW w:w="1242" w:type="pct"/>
            <w:vMerge w:val="restart"/>
            <w:tcBorders>
              <w:top w:val="single" w:sz="4" w:space="0" w:color="auto"/>
              <w:left w:val="single" w:sz="4" w:space="0" w:color="auto"/>
              <w:bottom w:val="single" w:sz="4" w:space="0" w:color="auto"/>
              <w:right w:val="nil"/>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Intereses</w:t>
            </w:r>
          </w:p>
        </w:tc>
        <w:tc>
          <w:tcPr>
            <w:tcW w:w="1438" w:type="pct"/>
            <w:tcBorders>
              <w:top w:val="single" w:sz="4" w:space="0" w:color="auto"/>
              <w:left w:val="single" w:sz="4" w:space="0" w:color="auto"/>
              <w:bottom w:val="nil"/>
              <w:right w:val="single" w:sz="4" w:space="0" w:color="auto"/>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Problemas</w:t>
            </w:r>
          </w:p>
        </w:tc>
        <w:tc>
          <w:tcPr>
            <w:tcW w:w="1438" w:type="pct"/>
            <w:tcBorders>
              <w:top w:val="single" w:sz="4" w:space="0" w:color="auto"/>
              <w:left w:val="nil"/>
              <w:bottom w:val="nil"/>
              <w:right w:val="single" w:sz="4" w:space="0" w:color="auto"/>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Recursos y</w:t>
            </w:r>
          </w:p>
        </w:tc>
      </w:tr>
      <w:tr w:rsidR="004E7139" w:rsidRPr="007226D7" w:rsidTr="00B768A8">
        <w:trPr>
          <w:trHeight w:val="170"/>
          <w:tblHeader/>
        </w:trPr>
        <w:tc>
          <w:tcPr>
            <w:tcW w:w="882" w:type="pct"/>
            <w:vMerge/>
            <w:tcBorders>
              <w:top w:val="single" w:sz="4" w:space="0" w:color="auto"/>
              <w:left w:val="single" w:sz="4" w:space="0" w:color="auto"/>
              <w:bottom w:val="single" w:sz="4" w:space="0" w:color="auto"/>
              <w:right w:val="single" w:sz="4" w:space="0" w:color="auto"/>
            </w:tcBorders>
            <w:vAlign w:val="center"/>
          </w:tcPr>
          <w:p w:rsidR="004E7139" w:rsidRPr="007226D7" w:rsidRDefault="004E7139" w:rsidP="00B768A8">
            <w:pPr>
              <w:spacing w:after="0" w:line="240" w:lineRule="auto"/>
              <w:jc w:val="left"/>
              <w:rPr>
                <w:rFonts w:cs="Arial"/>
                <w:b/>
                <w:bCs/>
                <w:sz w:val="16"/>
                <w:szCs w:val="16"/>
                <w:lang w:eastAsia="es-ES"/>
              </w:rPr>
            </w:pPr>
          </w:p>
        </w:tc>
        <w:tc>
          <w:tcPr>
            <w:tcW w:w="1242" w:type="pct"/>
            <w:vMerge/>
            <w:tcBorders>
              <w:top w:val="single" w:sz="4" w:space="0" w:color="auto"/>
              <w:left w:val="single" w:sz="4" w:space="0" w:color="auto"/>
              <w:bottom w:val="single" w:sz="4" w:space="0" w:color="auto"/>
              <w:right w:val="nil"/>
            </w:tcBorders>
            <w:vAlign w:val="center"/>
          </w:tcPr>
          <w:p w:rsidR="004E7139" w:rsidRPr="007226D7" w:rsidRDefault="004E7139" w:rsidP="00B768A8">
            <w:pPr>
              <w:spacing w:after="0" w:line="240" w:lineRule="auto"/>
              <w:jc w:val="left"/>
              <w:rPr>
                <w:rFonts w:cs="Arial"/>
                <w:b/>
                <w:bCs/>
                <w:sz w:val="16"/>
                <w:szCs w:val="16"/>
                <w:lang w:eastAsia="es-ES"/>
              </w:rPr>
            </w:pPr>
          </w:p>
        </w:tc>
        <w:tc>
          <w:tcPr>
            <w:tcW w:w="1438" w:type="pct"/>
            <w:tcBorders>
              <w:top w:val="nil"/>
              <w:left w:val="single" w:sz="4" w:space="0" w:color="auto"/>
              <w:bottom w:val="single" w:sz="4" w:space="0" w:color="auto"/>
              <w:right w:val="single" w:sz="4" w:space="0" w:color="auto"/>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Percibidos</w:t>
            </w:r>
          </w:p>
        </w:tc>
        <w:tc>
          <w:tcPr>
            <w:tcW w:w="1438" w:type="pct"/>
            <w:tcBorders>
              <w:top w:val="nil"/>
              <w:left w:val="nil"/>
              <w:bottom w:val="single" w:sz="4" w:space="0" w:color="auto"/>
              <w:right w:val="single" w:sz="4" w:space="0" w:color="auto"/>
            </w:tcBorders>
            <w:shd w:val="clear" w:color="000000" w:fill="99CCFF"/>
            <w:vAlign w:val="center"/>
          </w:tcPr>
          <w:p w:rsidR="004E7139" w:rsidRPr="007226D7" w:rsidRDefault="004E7139" w:rsidP="00B768A8">
            <w:pPr>
              <w:spacing w:after="0" w:line="240" w:lineRule="auto"/>
              <w:jc w:val="center"/>
              <w:rPr>
                <w:rFonts w:cs="Arial"/>
                <w:b/>
                <w:bCs/>
                <w:sz w:val="16"/>
                <w:szCs w:val="16"/>
                <w:lang w:eastAsia="es-ES"/>
              </w:rPr>
            </w:pPr>
            <w:r w:rsidRPr="007226D7">
              <w:rPr>
                <w:rFonts w:cs="Arial"/>
                <w:b/>
                <w:bCs/>
                <w:sz w:val="16"/>
                <w:szCs w:val="16"/>
                <w:lang w:eastAsia="es-ES"/>
              </w:rPr>
              <w:t>Mandatos</w:t>
            </w:r>
          </w:p>
        </w:tc>
      </w:tr>
      <w:tr w:rsidR="004E7139" w:rsidRPr="0013314C" w:rsidTr="00B768A8">
        <w:trPr>
          <w:trHeight w:val="170"/>
        </w:trPr>
        <w:tc>
          <w:tcPr>
            <w:tcW w:w="88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Ministerio de Transportes y Comunicaciones (MTC)</w:t>
            </w:r>
          </w:p>
        </w:tc>
        <w:tc>
          <w:tcPr>
            <w:tcW w:w="1242" w:type="pct"/>
            <w:tcBorders>
              <w:top w:val="nil"/>
              <w:left w:val="single" w:sz="4" w:space="0" w:color="auto"/>
              <w:bottom w:val="nil"/>
              <w:right w:val="single" w:sz="4" w:space="0" w:color="auto"/>
            </w:tcBorders>
            <w:shd w:val="clear" w:color="auto" w:fill="auto"/>
            <w:noWrap/>
            <w:vAlign w:val="bottom"/>
          </w:tcPr>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r w:rsidRPr="007226D7">
              <w:rPr>
                <w:rFonts w:cs="Arial"/>
                <w:sz w:val="16"/>
                <w:szCs w:val="16"/>
                <w:lang w:val="es-ES" w:eastAsia="es-ES"/>
              </w:rPr>
              <w:t>La prioridad al transporte público como la forma más importante de movilización de personas por la ciudad.</w:t>
            </w: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r w:rsidRPr="007226D7">
              <w:rPr>
                <w:rFonts w:cs="Arial"/>
                <w:sz w:val="16"/>
                <w:szCs w:val="16"/>
                <w:lang w:val="es-ES" w:eastAsia="es-ES"/>
              </w:rPr>
              <w:t>Ordenar el sistema de transporte público tomando en cuenta la diversidad de soluciones técnicas y la infraestructura y sistemas existentes para transportar a un gran número de personas de forma eficiente.</w:t>
            </w: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r w:rsidRPr="007226D7">
              <w:rPr>
                <w:rFonts w:cs="Arial"/>
                <w:sz w:val="16"/>
                <w:szCs w:val="16"/>
                <w:lang w:val="es-ES" w:eastAsia="es-ES"/>
              </w:rPr>
              <w:t>Asegurar que el nuevo sistema sea económico, financieramente y ecológicamente sostenible.</w:t>
            </w: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p>
          <w:p w:rsidR="004E7139" w:rsidRPr="007226D7" w:rsidRDefault="004E7139" w:rsidP="006E6A64">
            <w:pPr>
              <w:pStyle w:val="ListParagraph"/>
              <w:numPr>
                <w:ilvl w:val="0"/>
                <w:numId w:val="16"/>
              </w:numPr>
              <w:spacing w:after="0" w:line="240" w:lineRule="auto"/>
              <w:ind w:left="0" w:hanging="249"/>
              <w:contextualSpacing/>
              <w:jc w:val="left"/>
              <w:rPr>
                <w:rFonts w:cs="Arial"/>
                <w:sz w:val="16"/>
                <w:szCs w:val="16"/>
                <w:lang w:val="es-ES" w:eastAsia="es-ES"/>
              </w:rPr>
            </w:pPr>
            <w:r w:rsidRPr="007226D7">
              <w:rPr>
                <w:rFonts w:cs="Arial"/>
                <w:sz w:val="16"/>
                <w:szCs w:val="16"/>
                <w:lang w:val="es-ES" w:eastAsia="es-ES"/>
              </w:rPr>
              <w:t>Promover la inversión pública y privada en proyectos estratégicos de infraestructura urbana.</w:t>
            </w:r>
          </w:p>
        </w:tc>
        <w:tc>
          <w:tcPr>
            <w:tcW w:w="1438" w:type="pct"/>
            <w:tcBorders>
              <w:top w:val="single" w:sz="4" w:space="0" w:color="auto"/>
              <w:left w:val="single" w:sz="4" w:space="0" w:color="auto"/>
              <w:bottom w:val="nil"/>
              <w:right w:val="single" w:sz="4" w:space="0" w:color="auto"/>
            </w:tcBorders>
            <w:shd w:val="clear" w:color="auto" w:fill="auto"/>
            <w:noWrap/>
            <w:vAlign w:val="center"/>
          </w:tcPr>
          <w:p w:rsidR="004E7139" w:rsidRPr="007226D7" w:rsidRDefault="004E7139" w:rsidP="00B768A8">
            <w:pPr>
              <w:spacing w:after="0" w:line="240" w:lineRule="auto"/>
              <w:jc w:val="left"/>
              <w:rPr>
                <w:rFonts w:cs="Arial"/>
                <w:sz w:val="20"/>
                <w:lang w:val="es-ES" w:eastAsia="es-ES"/>
              </w:rPr>
            </w:pPr>
            <w:r w:rsidRPr="007226D7">
              <w:rPr>
                <w:rFonts w:cs="Arial"/>
                <w:sz w:val="16"/>
                <w:szCs w:val="16"/>
                <w:lang w:val="es-ES" w:eastAsia="es-ES"/>
              </w:rPr>
              <w:t>La crisis por la que atraviesa el transporte urbano tanto en infraestructura como en la calidad   del servicio, origina desorden, informalidad y caos en la ciudad</w:t>
            </w:r>
          </w:p>
        </w:tc>
        <w:tc>
          <w:tcPr>
            <w:tcW w:w="1438" w:type="pct"/>
            <w:tcBorders>
              <w:top w:val="nil"/>
              <w:left w:val="single" w:sz="4" w:space="0" w:color="auto"/>
              <w:bottom w:val="nil"/>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A través de la AATE encargado de la implementación del proyecto.</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Promover la inversión pública y privada en proyectos estratégicos de infraestructura urbana.</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Reactivar la economía e inversión en el sector transporte a través del sistema de concesiones.</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Aprobación de los estudios de pre inversión y proponer la declaración de viabilidad.</w:t>
            </w:r>
          </w:p>
        </w:tc>
      </w:tr>
      <w:tr w:rsidR="004E7139" w:rsidRPr="0013314C" w:rsidTr="00B768A8">
        <w:trPr>
          <w:trHeight w:val="70"/>
        </w:trPr>
        <w:tc>
          <w:tcPr>
            <w:tcW w:w="882" w:type="pct"/>
            <w:vMerge/>
            <w:tcBorders>
              <w:top w:val="single" w:sz="4" w:space="0" w:color="000000"/>
              <w:left w:val="single" w:sz="4" w:space="0" w:color="auto"/>
              <w:bottom w:val="single" w:sz="4" w:space="0" w:color="auto"/>
              <w:right w:val="single" w:sz="4" w:space="0" w:color="auto"/>
            </w:tcBorders>
            <w:vAlign w:val="center"/>
          </w:tcPr>
          <w:p w:rsidR="004E7139" w:rsidRPr="007226D7" w:rsidRDefault="004E7139" w:rsidP="00B768A8">
            <w:pPr>
              <w:spacing w:after="0" w:line="240" w:lineRule="auto"/>
              <w:jc w:val="left"/>
              <w:rPr>
                <w:rFonts w:cs="Arial"/>
                <w:sz w:val="16"/>
                <w:szCs w:val="16"/>
                <w:lang w:val="es-ES" w:eastAsia="es-ES"/>
              </w:rPr>
            </w:pPr>
          </w:p>
        </w:tc>
        <w:tc>
          <w:tcPr>
            <w:tcW w:w="1242" w:type="pct"/>
            <w:tcBorders>
              <w:top w:val="nil"/>
              <w:left w:val="single" w:sz="4" w:space="0" w:color="auto"/>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jc w:val="left"/>
              <w:rPr>
                <w:rFonts w:cs="Arial"/>
                <w:sz w:val="16"/>
                <w:szCs w:val="16"/>
                <w:lang w:val="es-ES" w:eastAsia="es-ES"/>
              </w:rPr>
            </w:pPr>
          </w:p>
        </w:tc>
        <w:tc>
          <w:tcPr>
            <w:tcW w:w="1438" w:type="pct"/>
            <w:tcBorders>
              <w:top w:val="nil"/>
              <w:left w:val="single" w:sz="4" w:space="0" w:color="auto"/>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jc w:val="left"/>
              <w:rPr>
                <w:rFonts w:cs="Arial"/>
                <w:sz w:val="20"/>
                <w:lang w:val="es-ES" w:eastAsia="es-ES"/>
              </w:rPr>
            </w:pPr>
          </w:p>
        </w:tc>
        <w:tc>
          <w:tcPr>
            <w:tcW w:w="1438"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p>
        </w:tc>
      </w:tr>
      <w:tr w:rsidR="004E7139" w:rsidRPr="0013314C" w:rsidTr="00B768A8">
        <w:trPr>
          <w:trHeight w:val="170"/>
        </w:trPr>
        <w:tc>
          <w:tcPr>
            <w:tcW w:w="882" w:type="pct"/>
            <w:tcBorders>
              <w:top w:val="single" w:sz="4" w:space="0" w:color="auto"/>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Ministerio de Economía y Finanzas (MEF)</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Adecuada y eficiente asignación de los recursos para el bienestar social</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Promover la inversión pública y privada en proyectos estratégicos de infraestructura urbana.</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Reactivar la economía e inversión en el sector transporte a través del sistema de concesiones.</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Pérdidas de recursos por el funcionamiento deficiente de los sistemas en la zona.</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Para el PIP financiado con endeudamiento la DGPI del MEF, autoriza la elaboración del estudio de preinversión a nivel de factibilidad y declara la viabilidad del proyecto.</w:t>
            </w:r>
          </w:p>
          <w:p w:rsidR="004E7139" w:rsidRPr="007226D7" w:rsidRDefault="004E7139" w:rsidP="00B768A8">
            <w:pPr>
              <w:spacing w:after="0" w:line="240" w:lineRule="auto"/>
              <w:jc w:val="left"/>
              <w:rPr>
                <w:rFonts w:cs="Arial"/>
                <w:sz w:val="16"/>
                <w:szCs w:val="16"/>
                <w:lang w:val="es-ES" w:eastAsia="es-ES"/>
              </w:rPr>
            </w:pPr>
          </w:p>
        </w:tc>
      </w:tr>
      <w:tr w:rsidR="004E7139" w:rsidRPr="007226D7"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t xml:space="preserve">Ministerio </w:t>
            </w:r>
            <w:proofErr w:type="gramStart"/>
            <w:r w:rsidRPr="007226D7">
              <w:rPr>
                <w:rFonts w:cs="Arial"/>
                <w:sz w:val="16"/>
                <w:szCs w:val="16"/>
                <w:lang w:eastAsia="es-ES"/>
              </w:rPr>
              <w:t xml:space="preserve">del </w:t>
            </w:r>
            <w:proofErr w:type="gramEnd"/>
            <w:r w:rsidRPr="007226D7">
              <w:rPr>
                <w:rFonts w:cs="Arial"/>
                <w:sz w:val="16"/>
                <w:szCs w:val="16"/>
                <w:lang w:eastAsia="es-ES"/>
              </w:rPr>
              <w:t>Ambiente</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Conservar la calidad del medio ambiente. </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Insuficiencia de conocimientos para la conservación y el uso sostenible de los recursos naturales</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val="es-ES" w:eastAsia="es-ES"/>
              </w:rPr>
              <w:t xml:space="preserve">Verificar el cumplimiento de la legislación ambiental.  </w:t>
            </w:r>
            <w:r w:rsidRPr="007226D7">
              <w:rPr>
                <w:rFonts w:cs="Arial"/>
                <w:sz w:val="16"/>
                <w:szCs w:val="16"/>
                <w:lang w:eastAsia="es-ES"/>
              </w:rPr>
              <w:t>OEFA</w:t>
            </w:r>
          </w:p>
        </w:tc>
      </w:tr>
      <w:tr w:rsidR="004E7139" w:rsidRPr="0013314C"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Gobiernos Regionales de Lima y Callao</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Ordenar el sistema de transporte público tomando en cuenta la diversidad de soluciones técnicas y la infraestructura y sistemas existentes para transportar a un gran número de personas de forma eficiente.</w:t>
            </w:r>
          </w:p>
        </w:tc>
        <w:tc>
          <w:tcPr>
            <w:tcW w:w="1438" w:type="pct"/>
            <w:tcBorders>
              <w:top w:val="nil"/>
              <w:left w:val="nil"/>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jc w:val="left"/>
              <w:rPr>
                <w:rFonts w:cs="Arial"/>
                <w:sz w:val="20"/>
                <w:lang w:val="es-ES" w:eastAsia="es-ES"/>
              </w:rPr>
            </w:pPr>
            <w:r w:rsidRPr="007226D7">
              <w:rPr>
                <w:rFonts w:cs="Arial"/>
                <w:sz w:val="20"/>
                <w:lang w:val="es-ES" w:eastAsia="es-ES"/>
              </w:rPr>
              <w:t> </w:t>
            </w:r>
            <w:r w:rsidRPr="007226D7">
              <w:rPr>
                <w:rFonts w:cs="Arial"/>
                <w:sz w:val="16"/>
                <w:szCs w:val="16"/>
                <w:lang w:val="es-ES" w:eastAsia="es-ES"/>
              </w:rPr>
              <w:t>Insegura y limitada transitabilidad en las vías del área de influencia del proyecto originado por las inadecuadas vías de transporte público generando congestión en traslado  y mayores tiempos en el traslado de los usuarios,  esta situación genera mayores costos de operación y mantenimiento de las unidades vehiculares</w:t>
            </w:r>
          </w:p>
        </w:tc>
        <w:tc>
          <w:tcPr>
            <w:tcW w:w="1438" w:type="pct"/>
            <w:tcBorders>
              <w:top w:val="nil"/>
              <w:left w:val="nil"/>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Darle prioridad al transporte público como la forma más importante de movilización de personas por la ciudad.</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20"/>
                <w:lang w:val="es-ES" w:eastAsia="es-ES"/>
              </w:rPr>
            </w:pPr>
          </w:p>
        </w:tc>
      </w:tr>
      <w:tr w:rsidR="004E7139" w:rsidRPr="0013314C"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t>Municipalidad Metropolitana de Lima</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Planificar, regular y gestionar el transporte público; y el tránsito urbano de peatones y vehículos; </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Planificar, regular, organizar y mantener la red vial metropolitana, los sistemas de señalización y semáforos; </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Otorgar las concesiones, autorizaciones y permisos de operación para la prestación de las distintas modalidades de servicios públicos de transporte de pasajeros y carga, de ámbito urbano e interurbano, así como </w:t>
            </w:r>
            <w:r w:rsidRPr="007226D7">
              <w:rPr>
                <w:rFonts w:cs="Arial"/>
                <w:sz w:val="16"/>
                <w:szCs w:val="16"/>
                <w:lang w:val="es-ES" w:eastAsia="es-ES"/>
              </w:rPr>
              <w:lastRenderedPageBreak/>
              <w:t>de las instalaciones conexas;</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Garantizar la calidad y buen estado de la infraestructura vial. Construcción y mantenimiento de la infraestructura urbana.</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lastRenderedPageBreak/>
              <w:t>La grave crisis por la que atraviesa el transporte urbano tanto en infraestructura como en la calidad del servicio, origina desorden, informalidad y caos en la ciudad, constituyendo un impedimento para el logro del objetivo estratégico que promueve el municipio.</w:t>
            </w:r>
          </w:p>
        </w:tc>
        <w:tc>
          <w:tcPr>
            <w:tcW w:w="1438" w:type="pct"/>
            <w:tcBorders>
              <w:top w:val="nil"/>
              <w:left w:val="nil"/>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rPr>
                <w:rFonts w:cs="Arial"/>
                <w:sz w:val="16"/>
                <w:szCs w:val="16"/>
                <w:lang w:val="es-ES" w:eastAsia="es-ES"/>
              </w:rPr>
            </w:pPr>
            <w:r w:rsidRPr="007226D7">
              <w:rPr>
                <w:rFonts w:cs="Arial"/>
                <w:sz w:val="16"/>
                <w:szCs w:val="16"/>
                <w:lang w:val="es-ES" w:eastAsia="es-ES"/>
              </w:rPr>
              <w:t>La municipalidad Metropolitana de Lima ha definido como política prioritaria de gestión la implementación de un plan de ordenamiento de transporte urbano que contribuya a la promoción de la inversión en el sector para mejorar la calidad de vida de los ciudadanos.</w:t>
            </w:r>
          </w:p>
          <w:p w:rsidR="004E7139" w:rsidRPr="007226D7" w:rsidRDefault="004E7139" w:rsidP="00B768A8">
            <w:pPr>
              <w:spacing w:after="0" w:line="240" w:lineRule="auto"/>
              <w:rPr>
                <w:rFonts w:cs="Arial"/>
                <w:sz w:val="16"/>
                <w:szCs w:val="16"/>
                <w:lang w:val="es-ES" w:eastAsia="es-ES"/>
              </w:rPr>
            </w:pPr>
          </w:p>
          <w:p w:rsidR="004E7139" w:rsidRPr="007226D7" w:rsidRDefault="004E7139" w:rsidP="00B768A8">
            <w:pPr>
              <w:spacing w:after="0" w:line="240" w:lineRule="auto"/>
              <w:rPr>
                <w:rFonts w:cs="Arial"/>
                <w:sz w:val="16"/>
                <w:szCs w:val="16"/>
                <w:lang w:val="es-ES" w:eastAsia="es-ES"/>
              </w:rPr>
            </w:pPr>
          </w:p>
        </w:tc>
      </w:tr>
      <w:tr w:rsidR="004E7139" w:rsidRPr="0013314C"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lastRenderedPageBreak/>
              <w:t xml:space="preserve">Municipalidad Provincial </w:t>
            </w:r>
            <w:proofErr w:type="gramStart"/>
            <w:r w:rsidRPr="007226D7">
              <w:rPr>
                <w:rFonts w:cs="Arial"/>
                <w:sz w:val="16"/>
                <w:szCs w:val="16"/>
                <w:lang w:eastAsia="es-ES"/>
              </w:rPr>
              <w:t>del</w:t>
            </w:r>
            <w:proofErr w:type="gramEnd"/>
            <w:r w:rsidRPr="007226D7">
              <w:rPr>
                <w:rFonts w:cs="Arial"/>
                <w:sz w:val="16"/>
                <w:szCs w:val="16"/>
                <w:lang w:eastAsia="es-ES"/>
              </w:rPr>
              <w:t xml:space="preserve"> Callao</w:t>
            </w:r>
          </w:p>
        </w:tc>
        <w:tc>
          <w:tcPr>
            <w:tcW w:w="1242" w:type="pct"/>
            <w:tcBorders>
              <w:top w:val="nil"/>
              <w:left w:val="nil"/>
              <w:bottom w:val="single" w:sz="4" w:space="0" w:color="auto"/>
              <w:right w:val="single" w:sz="4" w:space="0" w:color="auto"/>
            </w:tcBorders>
            <w:shd w:val="clear" w:color="auto" w:fill="auto"/>
            <w:noWrap/>
            <w:vAlign w:val="bottom"/>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Planificar, regular y gestionar el transporte público; y el tránsito urbano de peatones y vehículos; </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Planificar, regular, organizar y mantener la red vial metropolitana, los sistemas de señalización y semáforos; </w:t>
            </w:r>
          </w:p>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20"/>
                <w:lang w:val="es-ES" w:eastAsia="es-ES"/>
              </w:rPr>
            </w:pPr>
            <w:r w:rsidRPr="007226D7">
              <w:rPr>
                <w:rFonts w:cs="Arial"/>
                <w:sz w:val="16"/>
                <w:szCs w:val="16"/>
                <w:lang w:val="es-ES" w:eastAsia="es-ES"/>
              </w:rPr>
              <w:t>Otorgar las concesiones, autorizaciones y permisos de operación para la prestación de las distintas modalidades de servicios públicos de transporte de pasajeros y carga, de ámbito urbano e interurbano, así como de las instalaciones conexas;</w:t>
            </w:r>
          </w:p>
        </w:tc>
        <w:tc>
          <w:tcPr>
            <w:tcW w:w="1438" w:type="pct"/>
            <w:tcBorders>
              <w:top w:val="nil"/>
              <w:left w:val="nil"/>
              <w:bottom w:val="single" w:sz="4" w:space="0" w:color="auto"/>
              <w:right w:val="single" w:sz="4" w:space="0" w:color="auto"/>
            </w:tcBorders>
            <w:shd w:val="clear" w:color="auto" w:fill="auto"/>
            <w:noWrap/>
            <w:vAlign w:val="center"/>
          </w:tcPr>
          <w:p w:rsidR="004E7139" w:rsidRPr="007226D7" w:rsidRDefault="004E7139" w:rsidP="00B768A8">
            <w:pPr>
              <w:spacing w:after="0" w:line="240" w:lineRule="auto"/>
              <w:jc w:val="left"/>
              <w:rPr>
                <w:rFonts w:cs="Arial"/>
                <w:sz w:val="20"/>
                <w:lang w:val="es-ES" w:eastAsia="es-ES"/>
              </w:rPr>
            </w:pPr>
            <w:r w:rsidRPr="007226D7">
              <w:rPr>
                <w:rFonts w:cs="Arial"/>
                <w:sz w:val="16"/>
                <w:szCs w:val="16"/>
                <w:lang w:val="es-ES" w:eastAsia="es-ES"/>
              </w:rPr>
              <w:t>Insegura y limitada transitabilidad en las vías del distrito del callao originado por las inadecuadas vías de transporte público generando congestión en traslado  y mayores tiempos en el traslado de los usuarios,  esta situación genera mayores costos de operación y mantenimiento de las unidades vehiculares</w:t>
            </w:r>
          </w:p>
        </w:tc>
        <w:tc>
          <w:tcPr>
            <w:tcW w:w="1438" w:type="pct"/>
            <w:tcBorders>
              <w:top w:val="nil"/>
              <w:left w:val="nil"/>
              <w:bottom w:val="single" w:sz="4" w:space="0" w:color="auto"/>
              <w:right w:val="single" w:sz="4" w:space="0" w:color="auto"/>
            </w:tcBorders>
            <w:shd w:val="clear" w:color="auto" w:fill="auto"/>
            <w:noWrap/>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 No cuentan con recursos </w:t>
            </w: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económicos sin embargo las municipalidades distritales tienen el compromiso de aportar con la información básica</w:t>
            </w:r>
          </w:p>
          <w:p w:rsidR="004E7139" w:rsidRPr="007226D7" w:rsidRDefault="004E7139" w:rsidP="00B768A8">
            <w:pPr>
              <w:spacing w:after="0" w:line="240" w:lineRule="auto"/>
              <w:jc w:val="left"/>
              <w:rPr>
                <w:rFonts w:cs="Arial"/>
                <w:sz w:val="16"/>
                <w:szCs w:val="16"/>
                <w:lang w:val="es-ES" w:eastAsia="es-ES"/>
              </w:rPr>
            </w:pPr>
          </w:p>
        </w:tc>
      </w:tr>
      <w:tr w:rsidR="004E7139" w:rsidRPr="0013314C"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t>Municipalidades Distritales</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t>Bienestar de la población</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Recursos escasos y limitadas fuentes de financiamiento que permitan garantizar un servicio de tránsito vehicular. Reducir deterioro de vías públicas. Problemas de transporte urbano por deterioro de vías públicas </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 xml:space="preserve">No cuentan con recursos </w:t>
            </w:r>
          </w:p>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económicos sin embargo las municipalidades distritales tienen el compromiso de aportar con la información básica</w:t>
            </w:r>
          </w:p>
          <w:p w:rsidR="004E7139" w:rsidRPr="007226D7" w:rsidRDefault="004E7139" w:rsidP="00B768A8">
            <w:pPr>
              <w:spacing w:after="0" w:line="240" w:lineRule="auto"/>
              <w:jc w:val="left"/>
              <w:rPr>
                <w:rFonts w:cs="Arial"/>
                <w:sz w:val="16"/>
                <w:szCs w:val="16"/>
                <w:lang w:val="es-ES" w:eastAsia="es-ES"/>
              </w:rPr>
            </w:pPr>
          </w:p>
        </w:tc>
      </w:tr>
      <w:tr w:rsidR="004E7139" w:rsidRPr="0013314C" w:rsidTr="00B768A8">
        <w:trPr>
          <w:trHeight w:val="170"/>
        </w:trPr>
        <w:tc>
          <w:tcPr>
            <w:tcW w:w="882" w:type="pct"/>
            <w:tcBorders>
              <w:top w:val="nil"/>
              <w:left w:val="single" w:sz="4" w:space="0" w:color="auto"/>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eastAsia="es-ES"/>
              </w:rPr>
            </w:pPr>
            <w:r w:rsidRPr="007226D7">
              <w:rPr>
                <w:rFonts w:cs="Arial"/>
                <w:sz w:val="16"/>
                <w:szCs w:val="16"/>
                <w:lang w:eastAsia="es-ES"/>
              </w:rPr>
              <w:t>Población beneficiaria</w:t>
            </w:r>
          </w:p>
        </w:tc>
        <w:tc>
          <w:tcPr>
            <w:tcW w:w="1242"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Mejoramiento del tránsito vehicular y de la imagen y entorno de la zona.</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Insegura y limitada transitabilidad en las vías del área de influencia del proyecto originado por las inadecuadas vías de transporte público generando congestión en traslado  y mayores tiempos en el traslado de los usuarios,  esta situación genera mayores costos de operación y mantenimiento de las unidades vehiculares</w:t>
            </w:r>
          </w:p>
        </w:tc>
        <w:tc>
          <w:tcPr>
            <w:tcW w:w="1438" w:type="pct"/>
            <w:tcBorders>
              <w:top w:val="nil"/>
              <w:left w:val="nil"/>
              <w:bottom w:val="single" w:sz="4" w:space="0" w:color="auto"/>
              <w:right w:val="single" w:sz="4" w:space="0" w:color="auto"/>
            </w:tcBorders>
            <w:shd w:val="clear" w:color="auto" w:fill="auto"/>
            <w:vAlign w:val="center"/>
          </w:tcPr>
          <w:p w:rsidR="004E7139" w:rsidRPr="007226D7" w:rsidRDefault="004E7139" w:rsidP="00B768A8">
            <w:pPr>
              <w:spacing w:after="0" w:line="240" w:lineRule="auto"/>
              <w:jc w:val="left"/>
              <w:rPr>
                <w:rFonts w:cs="Arial"/>
                <w:sz w:val="16"/>
                <w:szCs w:val="16"/>
                <w:lang w:val="es-ES" w:eastAsia="es-ES"/>
              </w:rPr>
            </w:pPr>
            <w:r w:rsidRPr="007226D7">
              <w:rPr>
                <w:rFonts w:cs="Arial"/>
                <w:sz w:val="16"/>
                <w:szCs w:val="16"/>
                <w:lang w:val="es-ES" w:eastAsia="es-ES"/>
              </w:rPr>
              <w:t>Apoyo al Proyecto y uso adecuado del servicio</w:t>
            </w:r>
          </w:p>
        </w:tc>
      </w:tr>
    </w:tbl>
    <w:p w:rsidR="0056369A" w:rsidRPr="007226D7" w:rsidRDefault="0056369A" w:rsidP="0056369A">
      <w:pPr>
        <w:rPr>
          <w:lang w:val="es-ES"/>
        </w:rPr>
      </w:pPr>
    </w:p>
    <w:p w:rsidR="004E7139" w:rsidRPr="007226D7" w:rsidRDefault="004E7139">
      <w:pPr>
        <w:spacing w:after="0" w:line="240" w:lineRule="auto"/>
        <w:jc w:val="left"/>
        <w:rPr>
          <w:b/>
          <w:lang w:val="es-ES"/>
        </w:rPr>
      </w:pPr>
      <w:r w:rsidRPr="007226D7">
        <w:rPr>
          <w:lang w:val="es-ES"/>
        </w:rPr>
        <w:br w:type="page"/>
      </w:r>
    </w:p>
    <w:p w:rsidR="0056369A" w:rsidRPr="007226D7" w:rsidRDefault="0056369A" w:rsidP="004E7139">
      <w:pPr>
        <w:pStyle w:val="Heading2"/>
        <w:rPr>
          <w:lang w:val="es-ES"/>
        </w:rPr>
      </w:pPr>
      <w:bookmarkStart w:id="15" w:name="_Toc346541905"/>
      <w:r w:rsidRPr="007226D7">
        <w:rPr>
          <w:lang w:val="es-ES"/>
        </w:rPr>
        <w:lastRenderedPageBreak/>
        <w:t>Marco de Referencia</w:t>
      </w:r>
      <w:bookmarkEnd w:id="15"/>
    </w:p>
    <w:p w:rsidR="0056369A" w:rsidRPr="007226D7" w:rsidRDefault="0056369A" w:rsidP="0056369A">
      <w:pPr>
        <w:rPr>
          <w:lang w:val="es-ES"/>
        </w:rPr>
      </w:pPr>
      <w:r w:rsidRPr="007226D7">
        <w:rPr>
          <w:lang w:val="es-ES"/>
        </w:rPr>
        <w:t>El área urbana de la ciudad de Lima Metropolitana en los últimos años ha presentado un crecimiento acelerado y desordenado, sin la respectiva planificación y control urbano, lo cual se puede ver en la construcción de vías de transporte con la tendencia de priorizar la infraestructura a favor del transporte privado y no al transporte público masivo, además de una gestión sesgada a las urgencias políticas. Lo cual se ve manifestado con el incremento de autos particulares, colectivos, embotellamientos, accidentes de tránsito, mayores tiempos de viaje, mayor número de transbordos, invasión de vías locales, estrés colectivo, entre otros.</w:t>
      </w:r>
    </w:p>
    <w:p w:rsidR="0056369A" w:rsidRPr="007226D7" w:rsidRDefault="0056369A" w:rsidP="0056369A">
      <w:pPr>
        <w:rPr>
          <w:lang w:val="es-ES"/>
        </w:rPr>
      </w:pPr>
    </w:p>
    <w:p w:rsidR="0056369A" w:rsidRPr="007226D7" w:rsidRDefault="0056369A" w:rsidP="0056369A">
      <w:pPr>
        <w:rPr>
          <w:lang w:val="es-ES"/>
        </w:rPr>
      </w:pPr>
      <w:r w:rsidRPr="007226D7">
        <w:rPr>
          <w:lang w:val="es-ES"/>
        </w:rPr>
        <w:t>Una ciudad fragmentada, con una expansión desordenada y la aparición de grandes centros urbanos con núcleos comerciales, ha configurado viajes largos empleando varios vehículos para ese propósito (transbordos), con la co-existencia de  5rutas diametrales con tarifas zonales, perjudicando a la población de bajos ingresos, quienes no tienen atención, debido a que las inversiones de infraestructura beneficia a los usuarios de los automóviles y no a los usuarios de transporte público que representan más del 70%  de los viajes en la ciudad de Lima y Callao.</w:t>
      </w:r>
    </w:p>
    <w:p w:rsidR="0056369A" w:rsidRPr="007226D7" w:rsidRDefault="0056369A" w:rsidP="0056369A">
      <w:pPr>
        <w:rPr>
          <w:lang w:val="es-ES"/>
        </w:rPr>
      </w:pPr>
    </w:p>
    <w:p w:rsidR="0056369A" w:rsidRPr="007226D7" w:rsidRDefault="0056369A" w:rsidP="0056369A">
      <w:pPr>
        <w:rPr>
          <w:lang w:val="es-ES"/>
        </w:rPr>
      </w:pPr>
      <w:r w:rsidRPr="007226D7">
        <w:rPr>
          <w:lang w:val="es-ES"/>
        </w:rPr>
        <w:t xml:space="preserve">El desarrollo de un sistema de transporte masivo sostenible permitirá satisfacer las necesidades básicas de transportes, ahorro de tiempo, mejor desplazamiento al centro de trabajo, educación, etc. Contribuyendo al dinamismo de la </w:t>
      </w:r>
      <w:r w:rsidR="00E41450" w:rsidRPr="007226D7">
        <w:rPr>
          <w:lang w:val="es-ES"/>
        </w:rPr>
        <w:t>economía</w:t>
      </w:r>
      <w:r w:rsidRPr="007226D7">
        <w:rPr>
          <w:lang w:val="es-ES"/>
        </w:rPr>
        <w:t>.</w:t>
      </w:r>
    </w:p>
    <w:p w:rsidR="0056369A" w:rsidRPr="007226D7" w:rsidRDefault="0056369A" w:rsidP="0056369A">
      <w:pPr>
        <w:rPr>
          <w:lang w:val="es-ES"/>
        </w:rPr>
      </w:pPr>
    </w:p>
    <w:p w:rsidR="0056369A" w:rsidRPr="007226D7" w:rsidRDefault="0056369A" w:rsidP="0056369A">
      <w:pPr>
        <w:rPr>
          <w:lang w:val="es-ES"/>
        </w:rPr>
      </w:pPr>
      <w:r w:rsidRPr="007226D7">
        <w:rPr>
          <w:lang w:val="es-ES"/>
        </w:rPr>
        <w:t>En ese contexto es necesario la implementación de La Línea 2 del Metro de Lima y el ramal de la Línea 4, la cual se extiende desde el distrito de Ate hasta la Provincia Constitucional del Callao, que integrará mediante un sistema de transporte masivo eficiente, el Cono Este de la ciudad de Lima, con el puerto del Callao y el Aeropuerto Jorge Chávez, pasando por el Centro de la ciudad, principal destino de los viajes metropolitanos consolidando el Sistema Integrado de Transporte de Lima y Callao.</w:t>
      </w:r>
    </w:p>
    <w:p w:rsidR="0056369A" w:rsidRPr="007226D7" w:rsidRDefault="0056369A" w:rsidP="004E7139">
      <w:pPr>
        <w:pStyle w:val="Heading3"/>
        <w:rPr>
          <w:lang w:val="es-ES"/>
        </w:rPr>
      </w:pPr>
      <w:bookmarkStart w:id="16" w:name="_Toc346541906"/>
      <w:r w:rsidRPr="007226D7">
        <w:rPr>
          <w:lang w:val="es-ES"/>
        </w:rPr>
        <w:t>Aspectos Normativos</w:t>
      </w:r>
      <w:bookmarkEnd w:id="16"/>
    </w:p>
    <w:p w:rsidR="0056369A" w:rsidRPr="007226D7" w:rsidRDefault="0056369A" w:rsidP="006E6A64">
      <w:pPr>
        <w:pStyle w:val="ListParagraph"/>
        <w:numPr>
          <w:ilvl w:val="0"/>
          <w:numId w:val="17"/>
        </w:numPr>
        <w:rPr>
          <w:lang w:val="es-ES"/>
        </w:rPr>
      </w:pPr>
      <w:r w:rsidRPr="007226D7">
        <w:rPr>
          <w:lang w:val="es-ES"/>
        </w:rPr>
        <w:t>El 20 de Febrero del 1986, mediante Decreto Supremo No. 001-86-MIPRE, con rango de ley en virtud de lo dispuesto en la Ley No. 24565, se declaró de necesidad pública y preferente interés social el establecimiento de un Sistema Eléctrico de Transporte Masivo para las ciudades de Lima y Callao que permita dotar a las zonas de alta densidad poblacional y periféricas, de una infraestructura de transportes necesaria para la rápida movilización de su población.</w:t>
      </w:r>
    </w:p>
    <w:p w:rsidR="0056369A" w:rsidRPr="007226D7" w:rsidRDefault="0056369A" w:rsidP="006E6A64">
      <w:pPr>
        <w:pStyle w:val="ListParagraph"/>
        <w:numPr>
          <w:ilvl w:val="0"/>
          <w:numId w:val="17"/>
        </w:numPr>
        <w:rPr>
          <w:lang w:val="es-ES"/>
        </w:rPr>
      </w:pPr>
      <w:r w:rsidRPr="007226D7">
        <w:rPr>
          <w:lang w:val="es-ES"/>
        </w:rPr>
        <w:t xml:space="preserve">El 12 de Julio del 2004, mediante Ley Nº 28253, se declaró de “Necesidad Pública” la continuación de la ejecución del Proyecto Especial denominado Sistema Eléctrico de Transporte Masivo de Lima y Callao </w:t>
      </w:r>
    </w:p>
    <w:p w:rsidR="0056369A" w:rsidRPr="007226D7" w:rsidRDefault="0056369A" w:rsidP="006E6A64">
      <w:pPr>
        <w:pStyle w:val="ListParagraph"/>
        <w:numPr>
          <w:ilvl w:val="0"/>
          <w:numId w:val="17"/>
        </w:numPr>
        <w:rPr>
          <w:lang w:val="es-ES"/>
        </w:rPr>
      </w:pPr>
      <w:r w:rsidRPr="007226D7">
        <w:rPr>
          <w:lang w:val="es-ES"/>
        </w:rPr>
        <w:lastRenderedPageBreak/>
        <w:t>Mediante Decreto Supremo No. 032-2010-AATE se encarga a la AATE la proyección, planificación, ejecución y administración de la infraestructura ferroviaria correspondiente a la Red Básica del Metro de Lima.</w:t>
      </w:r>
    </w:p>
    <w:p w:rsidR="0056369A" w:rsidRPr="007226D7" w:rsidRDefault="0056369A" w:rsidP="006E6A64">
      <w:pPr>
        <w:pStyle w:val="ListParagraph"/>
        <w:numPr>
          <w:ilvl w:val="0"/>
          <w:numId w:val="17"/>
        </w:numPr>
        <w:rPr>
          <w:lang w:val="es-ES"/>
        </w:rPr>
      </w:pPr>
      <w:r w:rsidRPr="007226D7">
        <w:rPr>
          <w:lang w:val="es-ES"/>
        </w:rPr>
        <w:t>Mediante Decreto Supremo No. 035-2010-MTC, se precisó que la vía del Sistema Eléctrico de Transporte Masivo de Lima y Callao tiene para todos sus efectos la condición de vía férrea nacional, por lo que su explotación, operación, mantenimiento y concesión se encuentra bajo la competencia del Ministerio de Transportes y Comunicaciones;</w:t>
      </w:r>
    </w:p>
    <w:p w:rsidR="0056369A" w:rsidRPr="007226D7" w:rsidRDefault="0056369A" w:rsidP="006E6A64">
      <w:pPr>
        <w:pStyle w:val="ListParagraph"/>
        <w:numPr>
          <w:ilvl w:val="0"/>
          <w:numId w:val="17"/>
        </w:numPr>
        <w:rPr>
          <w:lang w:val="es-ES"/>
        </w:rPr>
      </w:pPr>
      <w:r w:rsidRPr="007226D7">
        <w:rPr>
          <w:lang w:val="es-ES"/>
        </w:rPr>
        <w:t>El 23 de Diciembre del 2010, mediante Decreto Supremo No 059-2010-MTC, se aprobó la Red Básica del Sistema Eléctrico de Transporte Masivo de Lima y Callao, basada en el “Estudio Complementario de la Red Básica del Metro de Lima” en 1998, la misma que está conformada por cinco (05) líneas.</w:t>
      </w:r>
    </w:p>
    <w:p w:rsidR="0056369A" w:rsidRPr="007226D7" w:rsidRDefault="0056369A" w:rsidP="006E6A64">
      <w:pPr>
        <w:pStyle w:val="ListParagraph"/>
        <w:numPr>
          <w:ilvl w:val="0"/>
          <w:numId w:val="17"/>
        </w:numPr>
        <w:rPr>
          <w:lang w:val="es-ES"/>
        </w:rPr>
      </w:pPr>
      <w:r w:rsidRPr="007226D7">
        <w:rPr>
          <w:lang w:val="es-ES"/>
        </w:rPr>
        <w:t>Mediante Oficio Nº 052-2012-MTC/01 del 15 de marzo de 2012, el Ministerio de Transportes y Comunicaciones, manifestó su interés por promover la participación de la inversión privada en el Proyecto Línea 2 de la Red Básica del Metro de Lima – Sistema Eléctrico de Transporte Masivo de Lima y Callao. En tal sentido, encargó a PROINVERSIÓN las acciones necesarias para la Concesión del Proyecto, entre ellas, la contratación del consultor que se encargará de la elaboración de los estudios de Preinversión (a nivel de Perfil y de Factibilidad), que permitan la viabilidad del Proyecto, en el marco del SNIP.</w:t>
      </w:r>
    </w:p>
    <w:p w:rsidR="0056369A" w:rsidRPr="007226D7" w:rsidRDefault="0056369A" w:rsidP="006E6A64">
      <w:pPr>
        <w:pStyle w:val="ListParagraph"/>
        <w:numPr>
          <w:ilvl w:val="0"/>
          <w:numId w:val="17"/>
        </w:numPr>
        <w:rPr>
          <w:lang w:val="es-ES"/>
        </w:rPr>
      </w:pPr>
      <w:r w:rsidRPr="007226D7">
        <w:rPr>
          <w:lang w:val="es-ES"/>
        </w:rPr>
        <w:t>El 25 de abril del 2012 PROINVERSION convoca el Concurso Público Nº 004-2012 para la Contratación de un consultor integral para el concurso de proyectos integrales para la concesión de la Línea 2 de la Red Básica del Metro de Lima – Proyecto Especial Sistema Eléctrico de Transporte Masivo de Lima y Callao.</w:t>
      </w:r>
    </w:p>
    <w:p w:rsidR="0056369A" w:rsidRPr="007226D7" w:rsidRDefault="0056369A" w:rsidP="006E6A64">
      <w:pPr>
        <w:pStyle w:val="ListParagraph"/>
        <w:numPr>
          <w:ilvl w:val="0"/>
          <w:numId w:val="17"/>
        </w:numPr>
        <w:rPr>
          <w:lang w:val="es-ES"/>
        </w:rPr>
      </w:pPr>
      <w:r w:rsidRPr="007226D7">
        <w:rPr>
          <w:lang w:val="es-ES"/>
        </w:rPr>
        <w:t>El 19 de junio de 2012 PROINVERSION otorga la buena pro del Concurso Público Nº 004-2012 al Consorcio integrado por las empresas: Geodata Engineering S.p.A – Universidad ESAN – Serconsult S.A. firmándose el respectivo Contrato de Consultoría N° 013-2012-PROINVERSION, fechado el 06 de Julio del 2012.</w:t>
      </w:r>
    </w:p>
    <w:p w:rsidR="0056369A" w:rsidRPr="007226D7" w:rsidRDefault="0056369A" w:rsidP="006E6A64">
      <w:pPr>
        <w:pStyle w:val="ListParagraph"/>
        <w:numPr>
          <w:ilvl w:val="0"/>
          <w:numId w:val="17"/>
        </w:numPr>
        <w:rPr>
          <w:lang w:val="es-ES"/>
        </w:rPr>
      </w:pPr>
      <w:r w:rsidRPr="007226D7">
        <w:rPr>
          <w:lang w:val="es-ES"/>
        </w:rPr>
        <w:t xml:space="preserve">El 23 de Octubre con Carta Nº </w:t>
      </w:r>
      <w:r w:rsidR="00D8217B" w:rsidRPr="007226D7">
        <w:rPr>
          <w:lang w:val="es-ES"/>
        </w:rPr>
        <w:t xml:space="preserve">015-2012/CGES/PRO </w:t>
      </w:r>
      <w:r w:rsidRPr="007226D7">
        <w:rPr>
          <w:lang w:val="es-ES"/>
        </w:rPr>
        <w:t>el Consorcio GEODATA – SERCONSULT – ESAN remite a PROINVERSION el estudio de preinversi</w:t>
      </w:r>
      <w:r w:rsidR="00E41450" w:rsidRPr="007226D7">
        <w:rPr>
          <w:lang w:val="es-ES"/>
        </w:rPr>
        <w:t>ó</w:t>
      </w:r>
      <w:r w:rsidRPr="007226D7">
        <w:rPr>
          <w:lang w:val="es-ES"/>
        </w:rPr>
        <w:t>n a nivel de perfil.</w:t>
      </w:r>
    </w:p>
    <w:p w:rsidR="00D8217B" w:rsidRPr="007226D7" w:rsidRDefault="0056369A" w:rsidP="00D8217B">
      <w:pPr>
        <w:pStyle w:val="ListParagraph"/>
        <w:numPr>
          <w:ilvl w:val="0"/>
          <w:numId w:val="17"/>
        </w:numPr>
        <w:rPr>
          <w:lang w:val="es-ES"/>
        </w:rPr>
      </w:pPr>
      <w:r w:rsidRPr="007226D7">
        <w:rPr>
          <w:lang w:val="es-ES"/>
        </w:rPr>
        <w:t xml:space="preserve">El 9 de Noviembre con Carta Nº </w:t>
      </w:r>
      <w:r w:rsidR="00D8217B" w:rsidRPr="007226D7">
        <w:rPr>
          <w:lang w:val="es-ES"/>
        </w:rPr>
        <w:t>24-2012/PROINVERSION/DPI/SDGP/JPFE.03</w:t>
      </w:r>
      <w:r w:rsidRPr="007226D7">
        <w:rPr>
          <w:lang w:val="es-ES"/>
        </w:rPr>
        <w:t xml:space="preserve"> </w:t>
      </w:r>
      <w:r w:rsidR="00D8217B" w:rsidRPr="007226D7">
        <w:rPr>
          <w:lang w:val="es-ES"/>
        </w:rPr>
        <w:t>el Comité en Infraestructura Ferroviaria e Infraestructura Aeroportuaria – PRO INTEGRACION aprueba el estudio de pre inversión a nivel de perfil del proyecto Línea 2 del Metro de Lima.</w:t>
      </w:r>
    </w:p>
    <w:p w:rsidR="0056369A" w:rsidRPr="007226D7" w:rsidRDefault="0056369A" w:rsidP="006E6A64">
      <w:pPr>
        <w:pStyle w:val="ListParagraph"/>
        <w:numPr>
          <w:ilvl w:val="0"/>
          <w:numId w:val="17"/>
        </w:numPr>
        <w:rPr>
          <w:lang w:val="es-ES"/>
        </w:rPr>
      </w:pPr>
      <w:r w:rsidRPr="007226D7">
        <w:rPr>
          <w:lang w:val="es-ES"/>
        </w:rPr>
        <w:t xml:space="preserve">El 14 de Noviembre con </w:t>
      </w:r>
      <w:r w:rsidR="00E41450" w:rsidRPr="007226D7">
        <w:rPr>
          <w:lang w:val="es-ES"/>
        </w:rPr>
        <w:t>Memorándum</w:t>
      </w:r>
      <w:r w:rsidRPr="007226D7">
        <w:rPr>
          <w:lang w:val="es-ES"/>
        </w:rPr>
        <w:t xml:space="preserve"> Nº  920-2012-MTC/33.4</w:t>
      </w:r>
      <w:r w:rsidR="00661CED" w:rsidRPr="007226D7">
        <w:rPr>
          <w:lang w:val="es-ES"/>
        </w:rPr>
        <w:t>, la AATE</w:t>
      </w:r>
      <w:r w:rsidRPr="007226D7">
        <w:rPr>
          <w:lang w:val="es-ES"/>
        </w:rPr>
        <w:t xml:space="preserve"> remite el </w:t>
      </w:r>
      <w:r w:rsidR="00661CED" w:rsidRPr="007226D7">
        <w:rPr>
          <w:lang w:val="es-ES"/>
        </w:rPr>
        <w:t xml:space="preserve">estudio de preinversión a nivel de Perfil </w:t>
      </w:r>
      <w:r w:rsidRPr="007226D7">
        <w:rPr>
          <w:lang w:val="es-ES"/>
        </w:rPr>
        <w:t>a la OPI del MTC para su evaluación.</w:t>
      </w:r>
    </w:p>
    <w:p w:rsidR="00661CED" w:rsidRPr="007226D7" w:rsidRDefault="00661CED" w:rsidP="00661CED">
      <w:pPr>
        <w:pStyle w:val="ListParagraph"/>
        <w:numPr>
          <w:ilvl w:val="0"/>
          <w:numId w:val="17"/>
        </w:numPr>
        <w:rPr>
          <w:lang w:val="es-ES"/>
        </w:rPr>
      </w:pPr>
      <w:r w:rsidRPr="007226D7">
        <w:rPr>
          <w:lang w:val="es-ES"/>
        </w:rPr>
        <w:t>El 21 de Noviembre con Informe Nº  1375-2012-MTC/09.02 la OPI del MTC Aprueba el estudio de preinversión a nivel de Perfil.</w:t>
      </w:r>
    </w:p>
    <w:p w:rsidR="004E7139" w:rsidRPr="007226D7" w:rsidRDefault="004E7139">
      <w:pPr>
        <w:spacing w:after="0" w:line="240" w:lineRule="auto"/>
        <w:jc w:val="left"/>
        <w:rPr>
          <w:lang w:val="es-ES"/>
        </w:rPr>
      </w:pPr>
      <w:r w:rsidRPr="007226D7">
        <w:rPr>
          <w:lang w:val="es-ES"/>
        </w:rPr>
        <w:br w:type="page"/>
      </w:r>
    </w:p>
    <w:p w:rsidR="0056369A" w:rsidRPr="007226D7" w:rsidRDefault="0056369A" w:rsidP="004E7139">
      <w:pPr>
        <w:pStyle w:val="Heading3"/>
        <w:rPr>
          <w:lang w:val="es-ES"/>
        </w:rPr>
      </w:pPr>
      <w:bookmarkStart w:id="17" w:name="_Toc346541907"/>
      <w:r w:rsidRPr="007226D7">
        <w:rPr>
          <w:lang w:val="es-ES"/>
        </w:rPr>
        <w:lastRenderedPageBreak/>
        <w:t>Antecedentes del Proyecto</w:t>
      </w:r>
      <w:bookmarkEnd w:id="17"/>
    </w:p>
    <w:p w:rsidR="0056369A" w:rsidRPr="007226D7" w:rsidRDefault="0056369A" w:rsidP="0056369A">
      <w:pPr>
        <w:rPr>
          <w:lang w:val="es-ES"/>
        </w:rPr>
      </w:pPr>
      <w:r w:rsidRPr="007226D7">
        <w:rPr>
          <w:lang w:val="es-ES"/>
        </w:rPr>
        <w:t>En los últimos diez años el tema de la transformación, modernización y optimización del sistema de transporte público en la ciudad ha sido profundamente analizado. Una revisión rápida de los principales antecedentes debe contemplar la siguiente lista:</w:t>
      </w:r>
    </w:p>
    <w:p w:rsidR="0056369A" w:rsidRPr="007226D7" w:rsidRDefault="0056369A" w:rsidP="006E6A64">
      <w:pPr>
        <w:pStyle w:val="ListParagraph"/>
        <w:numPr>
          <w:ilvl w:val="0"/>
          <w:numId w:val="17"/>
        </w:numPr>
        <w:rPr>
          <w:lang w:val="es-ES"/>
        </w:rPr>
      </w:pPr>
      <w:r w:rsidRPr="007226D7">
        <w:rPr>
          <w:lang w:val="es-ES"/>
        </w:rPr>
        <w:t>"Plan Maestro de Transporte Urbano para el Área Metropolitana de Lima y Callao en la República del Perú" (2005);</w:t>
      </w:r>
    </w:p>
    <w:p w:rsidR="0056369A" w:rsidRPr="007226D7" w:rsidRDefault="0056369A" w:rsidP="006E6A64">
      <w:pPr>
        <w:pStyle w:val="ListParagraph"/>
        <w:numPr>
          <w:ilvl w:val="0"/>
          <w:numId w:val="17"/>
        </w:numPr>
        <w:rPr>
          <w:lang w:val="es-ES"/>
        </w:rPr>
      </w:pPr>
      <w:r w:rsidRPr="007226D7">
        <w:rPr>
          <w:lang w:val="es-ES"/>
        </w:rPr>
        <w:t>"Estudio de Corredores Complementarios" (2006);</w:t>
      </w:r>
    </w:p>
    <w:p w:rsidR="0056369A" w:rsidRPr="007226D7" w:rsidRDefault="0056369A" w:rsidP="006E6A64">
      <w:pPr>
        <w:pStyle w:val="ListParagraph"/>
        <w:numPr>
          <w:ilvl w:val="0"/>
          <w:numId w:val="17"/>
        </w:numPr>
        <w:rPr>
          <w:lang w:val="es-ES"/>
        </w:rPr>
      </w:pPr>
      <w:r w:rsidRPr="007226D7">
        <w:rPr>
          <w:lang w:val="es-ES"/>
        </w:rPr>
        <w:t>"Elaboración de estudio de demanda para la Concesión del proyecto especial sistema eléctrico de transporte masivo de Lima y Callao, en el tramo de la Línea 1, Villa El Salvador - Av. Grau" (2007);</w:t>
      </w:r>
    </w:p>
    <w:p w:rsidR="0056369A" w:rsidRPr="007226D7" w:rsidRDefault="0056369A" w:rsidP="006E6A64">
      <w:pPr>
        <w:pStyle w:val="ListParagraph"/>
        <w:numPr>
          <w:ilvl w:val="0"/>
          <w:numId w:val="17"/>
        </w:numPr>
        <w:rPr>
          <w:lang w:val="es-ES"/>
        </w:rPr>
      </w:pPr>
      <w:r w:rsidRPr="007226D7">
        <w:rPr>
          <w:lang w:val="es-ES"/>
        </w:rPr>
        <w:t>"Estudio de factibilidad de transporte urbano para el área metropolitana de Lima y Callao en la República del Perú" (2007);</w:t>
      </w:r>
    </w:p>
    <w:p w:rsidR="0056369A" w:rsidRPr="007226D7" w:rsidRDefault="0056369A" w:rsidP="006E6A64">
      <w:pPr>
        <w:pStyle w:val="ListParagraph"/>
        <w:numPr>
          <w:ilvl w:val="0"/>
          <w:numId w:val="17"/>
        </w:numPr>
        <w:rPr>
          <w:lang w:val="es-ES"/>
        </w:rPr>
      </w:pPr>
      <w:r w:rsidRPr="007226D7">
        <w:rPr>
          <w:lang w:val="es-ES"/>
        </w:rPr>
        <w:t>"Concesión del Sistema Eléctrico de Transporte Masivo de Lima y Callao, Línea 1, tramo Villa El Salvador - San Juan del Lurigancho" (2010);</w:t>
      </w:r>
    </w:p>
    <w:p w:rsidR="0056369A" w:rsidRPr="007226D7" w:rsidRDefault="0056369A" w:rsidP="006E6A64">
      <w:pPr>
        <w:pStyle w:val="ListParagraph"/>
        <w:numPr>
          <w:ilvl w:val="0"/>
          <w:numId w:val="17"/>
        </w:numPr>
        <w:rPr>
          <w:lang w:val="es-ES"/>
        </w:rPr>
      </w:pPr>
      <w:r w:rsidRPr="007226D7">
        <w:rPr>
          <w:lang w:val="es-ES"/>
        </w:rPr>
        <w:t>"Estudio para la consolidación del Sistema Integrado de Transporte Público de Lima" (2010)</w:t>
      </w:r>
    </w:p>
    <w:p w:rsidR="0056369A" w:rsidRPr="007226D7" w:rsidRDefault="0056369A" w:rsidP="006E6A64">
      <w:pPr>
        <w:pStyle w:val="ListParagraph"/>
        <w:numPr>
          <w:ilvl w:val="0"/>
          <w:numId w:val="17"/>
        </w:numPr>
        <w:rPr>
          <w:lang w:val="es-ES"/>
        </w:rPr>
      </w:pPr>
      <w:r w:rsidRPr="007226D7">
        <w:rPr>
          <w:lang w:val="es-ES"/>
        </w:rPr>
        <w:t>"Actualización de la base de datos del Plan Maestro de Transporte Urbano: Aforos Vehículos 2009" (2010);</w:t>
      </w:r>
    </w:p>
    <w:p w:rsidR="0056369A" w:rsidRPr="007226D7" w:rsidRDefault="0056369A" w:rsidP="006E6A64">
      <w:pPr>
        <w:pStyle w:val="ListParagraph"/>
        <w:numPr>
          <w:ilvl w:val="0"/>
          <w:numId w:val="17"/>
        </w:numPr>
        <w:rPr>
          <w:lang w:val="es-ES"/>
        </w:rPr>
      </w:pPr>
      <w:r w:rsidRPr="007226D7">
        <w:rPr>
          <w:lang w:val="es-ES"/>
        </w:rPr>
        <w:t>"Estudio de Racionalización de Rutas de Transporte Público de Pasajeros en el Área de Influencia de la Línea 1 del Proyecto Especial Autoridad Autónoma del Sistema Eléctrico de Transporte Masivo de Lima y Callao" (2011);</w:t>
      </w:r>
    </w:p>
    <w:p w:rsidR="0056369A" w:rsidRPr="007226D7" w:rsidRDefault="0056369A" w:rsidP="006E6A64">
      <w:pPr>
        <w:pStyle w:val="ListParagraph"/>
        <w:numPr>
          <w:ilvl w:val="0"/>
          <w:numId w:val="17"/>
        </w:numPr>
        <w:rPr>
          <w:lang w:val="es-ES"/>
        </w:rPr>
      </w:pPr>
      <w:r w:rsidRPr="007226D7">
        <w:rPr>
          <w:lang w:val="es-ES"/>
        </w:rPr>
        <w:t>"Perfil de transito en las principales vías del Área Metropolitana de Lima y Callao" (2011);</w:t>
      </w:r>
    </w:p>
    <w:p w:rsidR="0056369A" w:rsidRPr="007226D7" w:rsidRDefault="0056369A" w:rsidP="006E6A64">
      <w:pPr>
        <w:pStyle w:val="ListParagraph"/>
        <w:numPr>
          <w:ilvl w:val="0"/>
          <w:numId w:val="17"/>
        </w:numPr>
        <w:rPr>
          <w:lang w:val="es-ES"/>
        </w:rPr>
      </w:pPr>
      <w:r w:rsidRPr="007226D7">
        <w:rPr>
          <w:lang w:val="es-ES"/>
        </w:rPr>
        <w:t>"Construcción Corredor vial de transporte Público Masivo Este - Oeste Carretera Central - Av. Grau - Av. Venezuela, Provincia de Lima" (2011);</w:t>
      </w:r>
    </w:p>
    <w:p w:rsidR="0056369A" w:rsidRPr="007226D7" w:rsidRDefault="0056369A" w:rsidP="006E6A64">
      <w:pPr>
        <w:pStyle w:val="ListParagraph"/>
        <w:numPr>
          <w:ilvl w:val="0"/>
          <w:numId w:val="17"/>
        </w:numPr>
        <w:rPr>
          <w:lang w:val="es-ES"/>
        </w:rPr>
      </w:pPr>
      <w:r w:rsidRPr="007226D7">
        <w:rPr>
          <w:lang w:val="es-ES"/>
        </w:rPr>
        <w:t>"Estudio de Demanda y Diseño Operacional Línea 2 del Metro de Lima" (2012).</w:t>
      </w:r>
    </w:p>
    <w:p w:rsidR="0056369A" w:rsidRPr="007226D7" w:rsidRDefault="009529B9" w:rsidP="009529B9">
      <w:pPr>
        <w:pStyle w:val="ListParagraph"/>
        <w:numPr>
          <w:ilvl w:val="0"/>
          <w:numId w:val="17"/>
        </w:numPr>
        <w:rPr>
          <w:lang w:val="es-ES"/>
        </w:rPr>
      </w:pPr>
      <w:r w:rsidRPr="007226D7">
        <w:rPr>
          <w:lang w:val="es-ES"/>
        </w:rPr>
        <w:t>“Información de Movilidad, Aforos, Matrices de Origen Destino, Proyecciones por Modo de Transporte, entre otros”.</w:t>
      </w:r>
    </w:p>
    <w:p w:rsidR="0056369A" w:rsidRPr="007226D7" w:rsidRDefault="0056369A" w:rsidP="00972ED3">
      <w:pPr>
        <w:pStyle w:val="Heading4"/>
        <w:rPr>
          <w:lang w:val="es-ES"/>
        </w:rPr>
      </w:pPr>
      <w:r w:rsidRPr="007226D7">
        <w:rPr>
          <w:lang w:val="es-ES"/>
        </w:rPr>
        <w:t>Plan Maestro de Transporte Urbano para el Área Metropolitana de Lima y Callao en la República del Perú</w:t>
      </w:r>
    </w:p>
    <w:p w:rsidR="0056369A" w:rsidRPr="007226D7" w:rsidRDefault="0056369A" w:rsidP="0056369A">
      <w:pPr>
        <w:rPr>
          <w:lang w:val="es-ES"/>
        </w:rPr>
      </w:pPr>
      <w:r w:rsidRPr="007226D7">
        <w:rPr>
          <w:lang w:val="es-ES"/>
        </w:rPr>
        <w:t xml:space="preserve">Con la ayuda de la Cooperación Japonesa (JICA) entre 2004 y 2005 se desarrolló el Plan Maestro de Transporte Urbano de Lima. Este proyecto contempló una campaña de recogida de información muy importante, en la que se basa la mayor parte de los trabajos desarrollados con posterioridad en la ciudad. Las propuestas del Plan Maestro se centran en cuatro ejes fundamentales: </w:t>
      </w:r>
    </w:p>
    <w:p w:rsidR="0056369A" w:rsidRPr="007226D7" w:rsidRDefault="0056369A" w:rsidP="006E6A64">
      <w:pPr>
        <w:pStyle w:val="ListParagraph"/>
        <w:numPr>
          <w:ilvl w:val="0"/>
          <w:numId w:val="17"/>
        </w:numPr>
        <w:rPr>
          <w:lang w:val="es-ES"/>
        </w:rPr>
      </w:pPr>
      <w:r w:rsidRPr="007226D7">
        <w:rPr>
          <w:lang w:val="es-ES"/>
        </w:rPr>
        <w:t>Mejoras de infraestructura viaria;</w:t>
      </w:r>
    </w:p>
    <w:p w:rsidR="0056369A" w:rsidRPr="007226D7" w:rsidRDefault="0056369A" w:rsidP="006E6A64">
      <w:pPr>
        <w:pStyle w:val="ListParagraph"/>
        <w:numPr>
          <w:ilvl w:val="0"/>
          <w:numId w:val="17"/>
        </w:numPr>
        <w:rPr>
          <w:lang w:val="es-ES"/>
        </w:rPr>
      </w:pPr>
      <w:r w:rsidRPr="007226D7">
        <w:rPr>
          <w:lang w:val="es-ES"/>
        </w:rPr>
        <w:lastRenderedPageBreak/>
        <w:t>Actuaciones en el sistema ferroviario;</w:t>
      </w:r>
    </w:p>
    <w:p w:rsidR="0056369A" w:rsidRPr="007226D7" w:rsidRDefault="0056369A" w:rsidP="006E6A64">
      <w:pPr>
        <w:pStyle w:val="ListParagraph"/>
        <w:numPr>
          <w:ilvl w:val="0"/>
          <w:numId w:val="17"/>
        </w:numPr>
        <w:rPr>
          <w:lang w:val="es-ES"/>
        </w:rPr>
      </w:pPr>
      <w:r w:rsidRPr="007226D7">
        <w:rPr>
          <w:lang w:val="es-ES"/>
        </w:rPr>
        <w:t>Actuaciones en buses troncales;</w:t>
      </w:r>
    </w:p>
    <w:p w:rsidR="0056369A" w:rsidRPr="007226D7" w:rsidRDefault="0056369A" w:rsidP="006E6A64">
      <w:pPr>
        <w:pStyle w:val="ListParagraph"/>
        <w:numPr>
          <w:ilvl w:val="0"/>
          <w:numId w:val="17"/>
        </w:numPr>
        <w:rPr>
          <w:lang w:val="es-ES"/>
        </w:rPr>
      </w:pPr>
      <w:r w:rsidRPr="007226D7">
        <w:rPr>
          <w:lang w:val="es-ES"/>
        </w:rPr>
        <w:t>Administración del tránsito.</w:t>
      </w:r>
    </w:p>
    <w:p w:rsidR="00972ED3" w:rsidRPr="007226D7" w:rsidRDefault="00972ED3" w:rsidP="0056369A">
      <w:pPr>
        <w:rPr>
          <w:lang w:val="es-ES"/>
        </w:rPr>
      </w:pPr>
    </w:p>
    <w:p w:rsidR="0056369A" w:rsidRPr="007226D7" w:rsidRDefault="0056369A" w:rsidP="0056369A">
      <w:pPr>
        <w:rPr>
          <w:lang w:val="es-ES"/>
        </w:rPr>
      </w:pPr>
      <w:r w:rsidRPr="007226D7">
        <w:rPr>
          <w:lang w:val="es-ES"/>
        </w:rPr>
        <w:t>El plan priorizó entre otros los siguientes corredores a corto plazo y de alta prioridad:</w:t>
      </w:r>
    </w:p>
    <w:p w:rsidR="0056369A" w:rsidRPr="007226D7" w:rsidRDefault="00972ED3" w:rsidP="006E6A64">
      <w:pPr>
        <w:pStyle w:val="ListParagraph"/>
        <w:numPr>
          <w:ilvl w:val="0"/>
          <w:numId w:val="17"/>
        </w:numPr>
        <w:rPr>
          <w:lang w:val="es-ES"/>
        </w:rPr>
      </w:pPr>
      <w:r w:rsidRPr="007226D7">
        <w:rPr>
          <w:lang w:val="es-ES"/>
        </w:rPr>
        <w:t>A</w:t>
      </w:r>
      <w:r w:rsidR="0056369A" w:rsidRPr="007226D7">
        <w:rPr>
          <w:lang w:val="es-ES"/>
        </w:rPr>
        <w:t>v. Venezuela (Ovalo Saloom - Alfonso Ugarte) de 9.05 km;</w:t>
      </w:r>
    </w:p>
    <w:p w:rsidR="0056369A" w:rsidRPr="007226D7" w:rsidRDefault="0056369A" w:rsidP="006E6A64">
      <w:pPr>
        <w:pStyle w:val="ListParagraph"/>
        <w:numPr>
          <w:ilvl w:val="0"/>
          <w:numId w:val="17"/>
        </w:numPr>
        <w:rPr>
          <w:lang w:val="es-ES"/>
        </w:rPr>
      </w:pPr>
      <w:r w:rsidRPr="007226D7">
        <w:rPr>
          <w:lang w:val="es-ES"/>
        </w:rPr>
        <w:t>Av. Grau (Paseo de la República - Av. Nicolás Ayllón) de 2.3 km;</w:t>
      </w:r>
    </w:p>
    <w:p w:rsidR="0056369A" w:rsidRPr="007226D7" w:rsidRDefault="0056369A" w:rsidP="006E6A64">
      <w:pPr>
        <w:pStyle w:val="ListParagraph"/>
        <w:numPr>
          <w:ilvl w:val="0"/>
          <w:numId w:val="17"/>
        </w:numPr>
        <w:rPr>
          <w:lang w:val="es-ES"/>
        </w:rPr>
      </w:pPr>
      <w:r w:rsidRPr="007226D7">
        <w:rPr>
          <w:lang w:val="es-ES"/>
        </w:rPr>
        <w:t>Carretera Central (Av. Grau - Av. Haya de la Torre) de 8.36 km.</w:t>
      </w:r>
    </w:p>
    <w:p w:rsidR="0056369A" w:rsidRPr="007226D7" w:rsidRDefault="0056369A" w:rsidP="0056369A">
      <w:pPr>
        <w:rPr>
          <w:lang w:val="es-ES"/>
        </w:rPr>
      </w:pPr>
    </w:p>
    <w:p w:rsidR="0056369A" w:rsidRPr="007226D7" w:rsidRDefault="0056369A" w:rsidP="00972ED3">
      <w:pPr>
        <w:pStyle w:val="Heading4"/>
        <w:ind w:left="862" w:hanging="862"/>
        <w:rPr>
          <w:lang w:val="es-ES"/>
        </w:rPr>
      </w:pPr>
      <w:r w:rsidRPr="007226D7">
        <w:rPr>
          <w:lang w:val="es-ES"/>
        </w:rPr>
        <w:t>Estudio de Corredores complementarios</w:t>
      </w:r>
    </w:p>
    <w:p w:rsidR="0056369A" w:rsidRPr="007226D7" w:rsidRDefault="0056369A" w:rsidP="0056369A">
      <w:pPr>
        <w:rPr>
          <w:lang w:val="es-ES"/>
        </w:rPr>
      </w:pPr>
      <w:r w:rsidRPr="007226D7">
        <w:rPr>
          <w:lang w:val="es-ES"/>
        </w:rPr>
        <w:t>El estudio producido por el grupo ALG-INOCSA en el año 2006 tiene el objetivo de optimizar el transporte público en el área Metropolitana de Lima. Su área de estudio coincide con toda la red urbana y comprende el transporte público como el privado. Los documentos de referencia son:</w:t>
      </w:r>
    </w:p>
    <w:p w:rsidR="0056369A" w:rsidRPr="007226D7" w:rsidRDefault="0056369A" w:rsidP="006E6A64">
      <w:pPr>
        <w:pStyle w:val="ListParagraph"/>
        <w:numPr>
          <w:ilvl w:val="0"/>
          <w:numId w:val="17"/>
        </w:numPr>
        <w:rPr>
          <w:lang w:val="es-ES"/>
        </w:rPr>
      </w:pPr>
      <w:r w:rsidRPr="007226D7">
        <w:rPr>
          <w:lang w:val="es-ES"/>
        </w:rPr>
        <w:t>“Plan Maestro de Transporte de Lima y Callao" (2005);</w:t>
      </w:r>
    </w:p>
    <w:p w:rsidR="0056369A" w:rsidRPr="007226D7" w:rsidRDefault="0056369A" w:rsidP="006E6A64">
      <w:pPr>
        <w:pStyle w:val="ListParagraph"/>
        <w:numPr>
          <w:ilvl w:val="0"/>
          <w:numId w:val="17"/>
        </w:numPr>
        <w:rPr>
          <w:lang w:val="es-ES"/>
        </w:rPr>
      </w:pPr>
      <w:r w:rsidRPr="007226D7">
        <w:rPr>
          <w:lang w:val="es-ES"/>
        </w:rPr>
        <w:t>"Racionalización de Rutas en el área de influencia del COSAC I" (2005).</w:t>
      </w:r>
    </w:p>
    <w:p w:rsidR="0056369A" w:rsidRPr="007226D7" w:rsidRDefault="0056369A" w:rsidP="0056369A">
      <w:pPr>
        <w:rPr>
          <w:lang w:val="es-ES"/>
        </w:rPr>
      </w:pPr>
    </w:p>
    <w:p w:rsidR="0056369A" w:rsidRPr="007226D7" w:rsidRDefault="0056369A" w:rsidP="0056369A">
      <w:pPr>
        <w:rPr>
          <w:lang w:val="es-ES"/>
        </w:rPr>
      </w:pPr>
      <w:r w:rsidRPr="007226D7">
        <w:rPr>
          <w:lang w:val="es-ES"/>
        </w:rPr>
        <w:t>El modelo de tráfico elaborado con el programa TransCAD® se articula en dos modelos distintos: uno para el transporte público y otro para el privado. El proceso de asignación  utiliza el algoritmo Estocástico de Equilibrio y para la calibración se utilizan los datos producidos por una campaña de aforos sobre el transporte público del año 2005. El modelo analiza 3 diferentes escenarios: actual, conceptual y evolutivo con horizontes temporales 2005, 2007 y 2012. Los resultados se expresan en forma de pasajeros por ruta o por tramo de la red.</w:t>
      </w:r>
    </w:p>
    <w:p w:rsidR="0056369A" w:rsidRPr="007226D7" w:rsidRDefault="0056369A" w:rsidP="00972ED3">
      <w:pPr>
        <w:pStyle w:val="Heading4"/>
        <w:ind w:left="862" w:hanging="862"/>
        <w:rPr>
          <w:lang w:val="es-ES"/>
        </w:rPr>
      </w:pPr>
      <w:r w:rsidRPr="007226D7">
        <w:rPr>
          <w:lang w:val="es-ES"/>
        </w:rPr>
        <w:t>Elaboración de Estudio de Demanda para la Concesión del Proyecto Especial Sistema Eléctrico de Transporte Masivo de Lima Y Callao, en el Tramo de la Línea 1, Villa El Salvador - Av. Grau</w:t>
      </w:r>
    </w:p>
    <w:p w:rsidR="0056369A" w:rsidRPr="007226D7" w:rsidRDefault="0056369A" w:rsidP="0056369A">
      <w:pPr>
        <w:rPr>
          <w:lang w:val="es-ES"/>
        </w:rPr>
      </w:pPr>
      <w:r w:rsidRPr="007226D7">
        <w:rPr>
          <w:lang w:val="es-ES"/>
        </w:rPr>
        <w:t>El estudio elaborado por el Grupo Getinsa-Taryet (2007) quiere determinar la demanda de pasajeros de la Línea 1 y los beneficios generados durante el periodo de concesión. El área de estudio está formada por la Línea 1 y su área de influencia (transporte público y privado). Los documentos de base son:</w:t>
      </w:r>
    </w:p>
    <w:p w:rsidR="0056369A" w:rsidRPr="007226D7" w:rsidRDefault="0056369A" w:rsidP="006E6A64">
      <w:pPr>
        <w:pStyle w:val="ListParagraph"/>
        <w:numPr>
          <w:ilvl w:val="0"/>
          <w:numId w:val="17"/>
        </w:numPr>
        <w:rPr>
          <w:lang w:val="es-ES"/>
        </w:rPr>
      </w:pPr>
      <w:r w:rsidRPr="007226D7">
        <w:rPr>
          <w:lang w:val="es-ES"/>
        </w:rPr>
        <w:t>"Plan Maestro de Transporte de Lima y Callao" (2005);</w:t>
      </w:r>
    </w:p>
    <w:p w:rsidR="0056369A" w:rsidRPr="007226D7" w:rsidRDefault="0056369A" w:rsidP="006E6A64">
      <w:pPr>
        <w:pStyle w:val="ListParagraph"/>
        <w:numPr>
          <w:ilvl w:val="0"/>
          <w:numId w:val="17"/>
        </w:numPr>
        <w:rPr>
          <w:lang w:val="es-ES"/>
        </w:rPr>
      </w:pPr>
      <w:r w:rsidRPr="007226D7">
        <w:rPr>
          <w:lang w:val="es-ES"/>
        </w:rPr>
        <w:t>"Estudio de corredores complementarios" (2005).</w:t>
      </w:r>
    </w:p>
    <w:p w:rsidR="0056369A" w:rsidRPr="007226D7" w:rsidRDefault="0056369A" w:rsidP="0056369A">
      <w:pPr>
        <w:rPr>
          <w:lang w:val="es-ES"/>
        </w:rPr>
      </w:pPr>
      <w:r w:rsidRPr="007226D7">
        <w:rPr>
          <w:lang w:val="es-ES"/>
        </w:rPr>
        <w:t xml:space="preserve">El modelo se desarrolla utilizando el software TransCAD®. La calibración se efectúa con los datos producidos por una campaña de aforos y encuestas del año 2007. Los resultados expresan los pasajeros por modo de transporte en las dos direcciones (Norte-Sur y Sur-Norte) </w:t>
      </w:r>
      <w:r w:rsidRPr="007226D7">
        <w:rPr>
          <w:lang w:val="es-ES"/>
        </w:rPr>
        <w:lastRenderedPageBreak/>
        <w:t>según tres diferentes escenarios de crecimiento de la demanda por un periodo de simulación desde el 2010 hasta el 2050.</w:t>
      </w:r>
    </w:p>
    <w:p w:rsidR="0056369A" w:rsidRPr="007226D7" w:rsidRDefault="0056369A" w:rsidP="00EA17B4">
      <w:pPr>
        <w:pStyle w:val="Heading4"/>
        <w:rPr>
          <w:lang w:val="es-ES"/>
        </w:rPr>
      </w:pPr>
      <w:r w:rsidRPr="007226D7">
        <w:rPr>
          <w:lang w:val="es-ES"/>
        </w:rPr>
        <w:t>Estudio de Factibilidad de Transporte Urbano para el área Metropolitana de Lima y Callao en la República del Perú</w:t>
      </w:r>
    </w:p>
    <w:p w:rsidR="0056369A" w:rsidRPr="007226D7" w:rsidRDefault="0056369A" w:rsidP="0056369A">
      <w:pPr>
        <w:rPr>
          <w:lang w:val="es-ES"/>
        </w:rPr>
      </w:pPr>
      <w:r w:rsidRPr="007226D7">
        <w:rPr>
          <w:lang w:val="es-ES"/>
        </w:rPr>
        <w:t>Elaborado por la Agencia de Cooperación Internacional del Japón, este estudio se pone los objetivos de formular el Estudio de Factibilidad de Bus Troncal Este-Oeste y desarrollar el Plan de mejoramiento de administración de Transito. Su área de estudio es el eje del principal corredor Este-Oeste, en particular el de las avenidas Venezuela, Arica, Grau, Nicolás Ayllón y la Carretera Central. Como datos de origen utiliza los contenidos en el "Plan Maestro de Transporte de Lima y Callao" y los producidos por una campaña específica de conteos y encuestas directas. Hace una comparación entre el escenario actual y lo propuesto en el periodo de análisis 2010-2025.</w:t>
      </w:r>
    </w:p>
    <w:p w:rsidR="0056369A" w:rsidRPr="007226D7" w:rsidRDefault="0056369A" w:rsidP="00EA17B4">
      <w:pPr>
        <w:pStyle w:val="Heading4"/>
        <w:rPr>
          <w:lang w:val="es-ES"/>
        </w:rPr>
      </w:pPr>
      <w:r w:rsidRPr="007226D7">
        <w:rPr>
          <w:lang w:val="es-ES"/>
        </w:rPr>
        <w:t>Concesión del Sistema Eléctrico de Transporte Masivo de Lima y Callao, Línea 1, Tramo Villa El Salvador - San Juan del Lurigancho</w:t>
      </w:r>
    </w:p>
    <w:p w:rsidR="0056369A" w:rsidRPr="007226D7" w:rsidRDefault="0056369A" w:rsidP="0056369A">
      <w:pPr>
        <w:rPr>
          <w:lang w:val="es-ES"/>
        </w:rPr>
      </w:pPr>
      <w:r w:rsidRPr="007226D7">
        <w:rPr>
          <w:lang w:val="es-ES"/>
        </w:rPr>
        <w:t>Se pone como objetivo el estudio de la variación de la demanda de trasporte de la Línea 1 y tiene como referencia el "Plan Maestro de Transporte de Lima y Callao" (2005). El trabajo estudia el solo transporte en la Línea 1 y su área de influencia. El modelo en TransCAD® para la calibración utiliza los datos de trabajo de campo en el año 2010. El modelo a</w:t>
      </w:r>
      <w:r w:rsidR="00EA17B4" w:rsidRPr="007226D7">
        <w:rPr>
          <w:lang w:val="es-ES"/>
        </w:rPr>
        <w:t>naliza 3 diferentes escenarios:</w:t>
      </w:r>
    </w:p>
    <w:p w:rsidR="0056369A" w:rsidRPr="007226D7" w:rsidRDefault="0056369A" w:rsidP="006E6A64">
      <w:pPr>
        <w:pStyle w:val="ListParagraph"/>
        <w:numPr>
          <w:ilvl w:val="0"/>
          <w:numId w:val="17"/>
        </w:numPr>
        <w:rPr>
          <w:lang w:val="es-ES"/>
        </w:rPr>
      </w:pPr>
      <w:r w:rsidRPr="007226D7">
        <w:rPr>
          <w:lang w:val="es-ES"/>
        </w:rPr>
        <w:t>Escenario 1: Línea 1 (Villa El Salvador - Av. Grau) + red alimentadora;</w:t>
      </w:r>
    </w:p>
    <w:p w:rsidR="0056369A" w:rsidRPr="007226D7" w:rsidRDefault="0056369A" w:rsidP="006E6A64">
      <w:pPr>
        <w:pStyle w:val="ListParagraph"/>
        <w:numPr>
          <w:ilvl w:val="0"/>
          <w:numId w:val="17"/>
        </w:numPr>
        <w:rPr>
          <w:lang w:val="es-ES"/>
        </w:rPr>
      </w:pPr>
      <w:r w:rsidRPr="007226D7">
        <w:rPr>
          <w:lang w:val="es-ES"/>
        </w:rPr>
        <w:t>Escenario 2: Línea 1 (Villa El Salvador - San Juan del Lurigancho) + red alimentadora;</w:t>
      </w:r>
    </w:p>
    <w:p w:rsidR="0056369A" w:rsidRPr="007226D7" w:rsidRDefault="0056369A" w:rsidP="006E6A64">
      <w:pPr>
        <w:pStyle w:val="ListParagraph"/>
        <w:numPr>
          <w:ilvl w:val="0"/>
          <w:numId w:val="17"/>
        </w:numPr>
        <w:rPr>
          <w:lang w:val="es-ES"/>
        </w:rPr>
      </w:pPr>
      <w:r w:rsidRPr="007226D7">
        <w:rPr>
          <w:lang w:val="es-ES"/>
        </w:rPr>
        <w:t>Escenario 3: Línea 1 + Línea 2 + red alimentadora.</w:t>
      </w:r>
    </w:p>
    <w:p w:rsidR="0056369A" w:rsidRPr="007226D7" w:rsidRDefault="0056369A" w:rsidP="0056369A">
      <w:pPr>
        <w:rPr>
          <w:lang w:val="es-ES"/>
        </w:rPr>
      </w:pPr>
      <w:r w:rsidRPr="007226D7">
        <w:rPr>
          <w:lang w:val="es-ES"/>
        </w:rPr>
        <w:t>Tiene en cuenta el período 2010-2025. Los resultados se expresan en forma de pasajeros por ruta o por tramo de la red. Al final propone una proyección de la demanda anual de la Línea 1 durante todo el pe</w:t>
      </w:r>
      <w:r w:rsidR="00EA17B4" w:rsidRPr="007226D7">
        <w:rPr>
          <w:lang w:val="es-ES"/>
        </w:rPr>
        <w:t>ríodo de concesión (2011-2041).</w:t>
      </w:r>
    </w:p>
    <w:p w:rsidR="0056369A" w:rsidRPr="007226D7" w:rsidRDefault="0056369A" w:rsidP="00EA17B4">
      <w:pPr>
        <w:pStyle w:val="Heading4"/>
        <w:rPr>
          <w:lang w:val="es-ES"/>
        </w:rPr>
      </w:pPr>
      <w:r w:rsidRPr="007226D7">
        <w:rPr>
          <w:lang w:val="es-ES"/>
        </w:rPr>
        <w:t>Estudio para la Consolidación del Sistema Integrado de Transporte Público de Lima</w:t>
      </w:r>
    </w:p>
    <w:p w:rsidR="0056369A" w:rsidRPr="007226D7" w:rsidRDefault="0056369A" w:rsidP="0056369A">
      <w:pPr>
        <w:rPr>
          <w:lang w:val="es-ES"/>
        </w:rPr>
      </w:pPr>
      <w:r w:rsidRPr="007226D7">
        <w:rPr>
          <w:lang w:val="es-ES"/>
        </w:rPr>
        <w:t>Elaborado por el Consorcio Getinsa-Taryet-Geoconsult en el 2010. Su</w:t>
      </w:r>
      <w:r w:rsidR="00EA17B4" w:rsidRPr="007226D7">
        <w:rPr>
          <w:lang w:val="es-ES"/>
        </w:rPr>
        <w:t>s documentos de referencia son:</w:t>
      </w:r>
    </w:p>
    <w:p w:rsidR="0056369A" w:rsidRPr="007226D7" w:rsidRDefault="0056369A" w:rsidP="006E6A64">
      <w:pPr>
        <w:pStyle w:val="ListParagraph"/>
        <w:numPr>
          <w:ilvl w:val="0"/>
          <w:numId w:val="17"/>
        </w:numPr>
        <w:rPr>
          <w:lang w:val="es-ES"/>
        </w:rPr>
      </w:pPr>
      <w:r w:rsidRPr="007226D7">
        <w:rPr>
          <w:lang w:val="es-ES"/>
        </w:rPr>
        <w:t>“Plan Maestro de Transporte de Lima y Callao" (2005);</w:t>
      </w:r>
    </w:p>
    <w:p w:rsidR="0056369A" w:rsidRPr="007226D7" w:rsidRDefault="00EA17B4" w:rsidP="006E6A64">
      <w:pPr>
        <w:pStyle w:val="ListParagraph"/>
        <w:numPr>
          <w:ilvl w:val="0"/>
          <w:numId w:val="17"/>
        </w:numPr>
        <w:rPr>
          <w:lang w:val="es-ES"/>
        </w:rPr>
      </w:pPr>
      <w:r w:rsidRPr="007226D7">
        <w:rPr>
          <w:lang w:val="es-ES"/>
        </w:rPr>
        <w:t>“</w:t>
      </w:r>
      <w:r w:rsidR="0056369A" w:rsidRPr="007226D7">
        <w:rPr>
          <w:lang w:val="es-ES"/>
        </w:rPr>
        <w:t>Estudio de Demanda del Tren Eléctrico de Lima" (2007).</w:t>
      </w:r>
    </w:p>
    <w:p w:rsidR="0056369A" w:rsidRPr="007226D7" w:rsidRDefault="0056369A" w:rsidP="0056369A">
      <w:pPr>
        <w:rPr>
          <w:lang w:val="es-ES"/>
        </w:rPr>
      </w:pPr>
      <w:r w:rsidRPr="007226D7">
        <w:rPr>
          <w:lang w:val="es-ES"/>
        </w:rPr>
        <w:t>Para la calibración utiliza datos de trabajo de campo sobre tráfico público y privado entre los años 2009 - 2010. Los resultados se expresan en términos de viajeros por modo de transporte y por cada tramo de red.</w:t>
      </w:r>
    </w:p>
    <w:p w:rsidR="0056369A" w:rsidRPr="007226D7" w:rsidRDefault="0056369A" w:rsidP="0056369A">
      <w:pPr>
        <w:rPr>
          <w:lang w:val="es-ES"/>
        </w:rPr>
      </w:pPr>
      <w:r w:rsidRPr="007226D7">
        <w:rPr>
          <w:lang w:val="es-ES"/>
        </w:rPr>
        <w:t>El estudio se divide en dos componentes. El componente 1 analiza la demanda de la Línea 1. Utiliza un modelo de tráfico en TransCAD®. Compara seis diferentes alternativas de organización de la red con el horizonte temporal 2015.</w:t>
      </w:r>
    </w:p>
    <w:p w:rsidR="00EA17B4" w:rsidRPr="007226D7" w:rsidRDefault="00EA17B4" w:rsidP="0056369A">
      <w:pPr>
        <w:rPr>
          <w:lang w:val="es-ES"/>
        </w:rPr>
      </w:pPr>
    </w:p>
    <w:p w:rsidR="00EA17B4" w:rsidRPr="007226D7" w:rsidRDefault="0056369A" w:rsidP="0056369A">
      <w:pPr>
        <w:rPr>
          <w:lang w:val="es-ES"/>
        </w:rPr>
      </w:pPr>
      <w:r w:rsidRPr="007226D7">
        <w:rPr>
          <w:lang w:val="es-ES"/>
        </w:rPr>
        <w:lastRenderedPageBreak/>
        <w:t xml:space="preserve">El componente 2 la demanda producida por la Línea 2 en el escenario temporal 2015. Su área de estudio es la Línea 2 y sus áreas de influencia. </w:t>
      </w:r>
    </w:p>
    <w:p w:rsidR="0056369A" w:rsidRPr="007226D7" w:rsidRDefault="0056369A" w:rsidP="0056369A">
      <w:pPr>
        <w:rPr>
          <w:lang w:val="es-ES"/>
        </w:rPr>
      </w:pPr>
      <w:r w:rsidRPr="007226D7">
        <w:rPr>
          <w:lang w:val="es-ES"/>
        </w:rPr>
        <w:t>Los escenarios comparados son:</w:t>
      </w:r>
    </w:p>
    <w:p w:rsidR="0056369A" w:rsidRPr="007226D7" w:rsidRDefault="0056369A" w:rsidP="006E6A64">
      <w:pPr>
        <w:pStyle w:val="ListParagraph"/>
        <w:numPr>
          <w:ilvl w:val="0"/>
          <w:numId w:val="17"/>
        </w:numPr>
        <w:rPr>
          <w:lang w:val="es-ES"/>
        </w:rPr>
      </w:pPr>
      <w:r w:rsidRPr="007226D7">
        <w:rPr>
          <w:lang w:val="es-ES"/>
        </w:rPr>
        <w:t>Escenario 1: red sin Línea 2</w:t>
      </w:r>
    </w:p>
    <w:p w:rsidR="0056369A" w:rsidRPr="007226D7" w:rsidRDefault="0056369A" w:rsidP="006E6A64">
      <w:pPr>
        <w:pStyle w:val="ListParagraph"/>
        <w:numPr>
          <w:ilvl w:val="0"/>
          <w:numId w:val="17"/>
        </w:numPr>
        <w:rPr>
          <w:lang w:val="es-ES"/>
        </w:rPr>
      </w:pPr>
      <w:r w:rsidRPr="007226D7">
        <w:rPr>
          <w:lang w:val="es-ES"/>
        </w:rPr>
        <w:t>Escenario 2: red con Línea 2</w:t>
      </w:r>
    </w:p>
    <w:p w:rsidR="0056369A" w:rsidRPr="007226D7" w:rsidRDefault="0056369A" w:rsidP="009529B9">
      <w:pPr>
        <w:pStyle w:val="ListParagraph"/>
        <w:numPr>
          <w:ilvl w:val="0"/>
          <w:numId w:val="17"/>
        </w:numPr>
        <w:spacing w:after="240"/>
        <w:ind w:left="714" w:hanging="357"/>
        <w:rPr>
          <w:lang w:val="es-ES"/>
        </w:rPr>
      </w:pPr>
      <w:r w:rsidRPr="007226D7">
        <w:rPr>
          <w:lang w:val="es-ES"/>
        </w:rPr>
        <w:t>Escenario 3: situación intermedia con Línea 2 solo en el tramo Este-Centro.</w:t>
      </w:r>
    </w:p>
    <w:p w:rsidR="00EA17B4" w:rsidRPr="007226D7" w:rsidRDefault="00EA17B4" w:rsidP="00EA17B4">
      <w:pPr>
        <w:jc w:val="center"/>
        <w:rPr>
          <w:rFonts w:cs="Arial"/>
          <w:color w:val="000000"/>
          <w:szCs w:val="22"/>
        </w:rPr>
      </w:pPr>
      <w:r w:rsidRPr="007226D7">
        <w:rPr>
          <w:noProof/>
          <w:lang w:val="en-US" w:eastAsia="en-US"/>
        </w:rPr>
        <w:drawing>
          <wp:inline distT="0" distB="0" distL="0" distR="0" wp14:anchorId="0FEF45C2" wp14:editId="6953E7F5">
            <wp:extent cx="3681095" cy="2600960"/>
            <wp:effectExtent l="0" t="0" r="0" b="0"/>
            <wp:docPr id="39"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81095" cy="2600960"/>
                    </a:xfrm>
                    <a:prstGeom prst="rect">
                      <a:avLst/>
                    </a:prstGeom>
                    <a:noFill/>
                    <a:ln>
                      <a:noFill/>
                    </a:ln>
                  </pic:spPr>
                </pic:pic>
              </a:graphicData>
            </a:graphic>
          </wp:inline>
        </w:drawing>
      </w:r>
    </w:p>
    <w:p w:rsidR="0056369A" w:rsidRPr="007226D7" w:rsidRDefault="0056369A" w:rsidP="00EA17B4">
      <w:pPr>
        <w:pStyle w:val="Figuras"/>
      </w:pPr>
      <w:r w:rsidRPr="007226D7">
        <w:t>Figura 2.5-1 Línea 1 y Línea 2</w:t>
      </w:r>
      <w:r w:rsidR="00EA17B4" w:rsidRPr="007226D7">
        <w:t xml:space="preserve"> </w:t>
      </w:r>
      <w:r w:rsidRPr="007226D7">
        <w:t xml:space="preserve"> (Fuente: "Estudio para la consolidación del sistema integrado de transporte público de Lima")</w:t>
      </w:r>
    </w:p>
    <w:p w:rsidR="0056369A" w:rsidRPr="007226D7" w:rsidRDefault="0056369A" w:rsidP="00EA17B4">
      <w:pPr>
        <w:pStyle w:val="Heading4"/>
        <w:rPr>
          <w:lang w:val="es-ES"/>
        </w:rPr>
      </w:pPr>
      <w:r w:rsidRPr="007226D7">
        <w:rPr>
          <w:lang w:val="es-ES"/>
        </w:rPr>
        <w:t>Actualización de la base de datos del Plan Maestro de Transporte Urbano: Aforos Vehículos 2009</w:t>
      </w:r>
    </w:p>
    <w:p w:rsidR="0056369A" w:rsidRPr="007226D7" w:rsidRDefault="0056369A" w:rsidP="0056369A">
      <w:pPr>
        <w:rPr>
          <w:lang w:val="es-ES"/>
        </w:rPr>
      </w:pPr>
      <w:r w:rsidRPr="007226D7">
        <w:rPr>
          <w:lang w:val="es-ES"/>
        </w:rPr>
        <w:t>Elaborado por el Ministerio de Transportes y Comunicaciones. Su objetivo fue actualizar los datos de tráfico del "Plan Maestro de Transporte Urbano de Lima" (2004). Por esto contiene una base de datos muy completa con el tráfico en función de tramo de red</w:t>
      </w:r>
      <w:r w:rsidR="00247AD1" w:rsidRPr="007226D7">
        <w:rPr>
          <w:lang w:val="es-ES"/>
        </w:rPr>
        <w:t>, horario y modo de transporte.</w:t>
      </w:r>
    </w:p>
    <w:p w:rsidR="0056369A" w:rsidRPr="007226D7" w:rsidRDefault="0056369A" w:rsidP="00247AD1">
      <w:pPr>
        <w:pStyle w:val="Heading4"/>
        <w:rPr>
          <w:lang w:val="es-ES"/>
        </w:rPr>
      </w:pPr>
      <w:r w:rsidRPr="007226D7">
        <w:rPr>
          <w:lang w:val="es-ES"/>
        </w:rPr>
        <w:t>Estudio de Racionalización de rutas de Transporte Público de Pasajeros en el Área de Influencia de la Línea 1 del Proyecto Especial Autoridad Autónoma del Sistema Eléctrico de Transporte Masivo de Lima y Callao</w:t>
      </w:r>
    </w:p>
    <w:p w:rsidR="0056369A" w:rsidRPr="007226D7" w:rsidRDefault="0056369A" w:rsidP="0056369A">
      <w:pPr>
        <w:rPr>
          <w:lang w:val="es-ES"/>
        </w:rPr>
      </w:pPr>
      <w:r w:rsidRPr="007226D7">
        <w:rPr>
          <w:lang w:val="es-ES"/>
        </w:rPr>
        <w:t>Este estudio fue elaborado por Taryet en el año 2010. Su área de análisis es la Línea 1 y su área de influencia. Tiene en cuenta solo el transporte público. El modelo de tráfico en TransCAD® utiliza como origen el "Plan Maestro de Transporte Urbano de Lima" (2004). Los escenarios evaluados son:</w:t>
      </w:r>
    </w:p>
    <w:p w:rsidR="0056369A" w:rsidRPr="007226D7" w:rsidRDefault="0056369A" w:rsidP="006E6A64">
      <w:pPr>
        <w:pStyle w:val="ListParagraph"/>
        <w:numPr>
          <w:ilvl w:val="0"/>
          <w:numId w:val="17"/>
        </w:numPr>
        <w:rPr>
          <w:lang w:val="es-ES"/>
        </w:rPr>
      </w:pPr>
      <w:r w:rsidRPr="007226D7">
        <w:rPr>
          <w:lang w:val="es-ES"/>
        </w:rPr>
        <w:t>Escenario actual;</w:t>
      </w:r>
    </w:p>
    <w:p w:rsidR="0056369A" w:rsidRPr="007226D7" w:rsidRDefault="0056369A" w:rsidP="006E6A64">
      <w:pPr>
        <w:pStyle w:val="ListParagraph"/>
        <w:numPr>
          <w:ilvl w:val="0"/>
          <w:numId w:val="17"/>
        </w:numPr>
        <w:rPr>
          <w:lang w:val="es-ES"/>
        </w:rPr>
      </w:pPr>
      <w:r w:rsidRPr="007226D7">
        <w:rPr>
          <w:lang w:val="es-ES"/>
        </w:rPr>
        <w:t>Escenario 2013 (Línea 1 hasta Av. Grau);</w:t>
      </w:r>
    </w:p>
    <w:p w:rsidR="0056369A" w:rsidRPr="007226D7" w:rsidRDefault="0056369A" w:rsidP="006E6A64">
      <w:pPr>
        <w:pStyle w:val="ListParagraph"/>
        <w:numPr>
          <w:ilvl w:val="0"/>
          <w:numId w:val="17"/>
        </w:numPr>
        <w:rPr>
          <w:lang w:val="es-ES"/>
        </w:rPr>
      </w:pPr>
      <w:r w:rsidRPr="007226D7">
        <w:rPr>
          <w:lang w:val="es-ES"/>
        </w:rPr>
        <w:t>Escenario 2015 (Línea 1 completada).</w:t>
      </w:r>
    </w:p>
    <w:p w:rsidR="0056369A" w:rsidRPr="007226D7" w:rsidRDefault="0056369A" w:rsidP="00247AD1">
      <w:pPr>
        <w:pStyle w:val="Heading4"/>
        <w:rPr>
          <w:lang w:val="es-ES"/>
        </w:rPr>
      </w:pPr>
      <w:r w:rsidRPr="007226D7">
        <w:rPr>
          <w:lang w:val="es-ES"/>
        </w:rPr>
        <w:lastRenderedPageBreak/>
        <w:t>Perfil de transito en las principales vías del Área Metropolitana de Lima y Callao</w:t>
      </w:r>
    </w:p>
    <w:p w:rsidR="0056369A" w:rsidRPr="007226D7" w:rsidRDefault="0056369A" w:rsidP="0056369A">
      <w:pPr>
        <w:rPr>
          <w:lang w:val="es-ES"/>
        </w:rPr>
      </w:pPr>
      <w:r w:rsidRPr="007226D7">
        <w:rPr>
          <w:lang w:val="es-ES"/>
        </w:rPr>
        <w:t>El Ministerio de Transportes y Comunicaciones produjo este trabajo en el año 2011. Contiene aforos de tráfico por las principales vías en función de la tipología de transporte para el año 2011.</w:t>
      </w:r>
    </w:p>
    <w:p w:rsidR="0056369A" w:rsidRPr="007226D7" w:rsidRDefault="0056369A" w:rsidP="00247AD1">
      <w:pPr>
        <w:pStyle w:val="Heading4"/>
        <w:rPr>
          <w:lang w:val="es-ES"/>
        </w:rPr>
      </w:pPr>
      <w:r w:rsidRPr="007226D7">
        <w:rPr>
          <w:lang w:val="es-ES"/>
        </w:rPr>
        <w:t>Proyecto construcción corredor vial de Transporte Público Masivo Este - Oeste Carretera Central - Av. Grau - Av. Venezuela, Provincia de Lima</w:t>
      </w:r>
    </w:p>
    <w:p w:rsidR="0056369A" w:rsidRPr="007226D7" w:rsidRDefault="0056369A" w:rsidP="0056369A">
      <w:pPr>
        <w:rPr>
          <w:lang w:val="es-ES"/>
        </w:rPr>
      </w:pPr>
      <w:r w:rsidRPr="007226D7">
        <w:rPr>
          <w:lang w:val="es-ES"/>
        </w:rPr>
        <w:t>Este trabajo se pone como objetivo la individuación de la mejora alternativa para la construcción del nuevo Corredor COSAC 2. Cuatros diferentes alternativas están comparadas según el análisis multicriterio. Los datos de tráfico y demanda se refieren al "Estudio para la consolidación del sistema integrado de transporte público de Lima". Al final elige la alternativa 2 con las siguientes características: eje troncal en vía segregada de 16.9 km de longitud con 21 estaciones.</w:t>
      </w:r>
    </w:p>
    <w:p w:rsidR="00247AD1" w:rsidRPr="007226D7" w:rsidRDefault="00247AD1" w:rsidP="00247AD1">
      <w:pPr>
        <w:spacing w:after="0" w:line="240" w:lineRule="auto"/>
        <w:rPr>
          <w:rFonts w:cs="Arial"/>
          <w:color w:val="000000"/>
          <w:szCs w:val="22"/>
          <w:lang w:val="es-ES"/>
        </w:rPr>
      </w:pPr>
    </w:p>
    <w:p w:rsidR="00247AD1" w:rsidRPr="007226D7" w:rsidRDefault="00247AD1" w:rsidP="00247AD1">
      <w:pPr>
        <w:jc w:val="center"/>
        <w:rPr>
          <w:rFonts w:cs="Arial"/>
          <w:color w:val="000000"/>
          <w:szCs w:val="22"/>
        </w:rPr>
      </w:pPr>
      <w:r w:rsidRPr="007226D7">
        <w:rPr>
          <w:rFonts w:cs="Arial"/>
          <w:noProof/>
          <w:color w:val="000000"/>
          <w:szCs w:val="22"/>
          <w:lang w:val="en-US" w:eastAsia="en-US"/>
        </w:rPr>
        <w:drawing>
          <wp:inline distT="0" distB="0" distL="0" distR="0" wp14:anchorId="52F6A2F4" wp14:editId="5AD65BA2">
            <wp:extent cx="3907155" cy="2541270"/>
            <wp:effectExtent l="19050" t="19050" r="0" b="0"/>
            <wp:docPr id="40"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7155" cy="2541270"/>
                    </a:xfrm>
                    <a:prstGeom prst="rect">
                      <a:avLst/>
                    </a:prstGeom>
                    <a:noFill/>
                    <a:ln w="19050" cmpd="sng">
                      <a:solidFill>
                        <a:srgbClr val="000000"/>
                      </a:solidFill>
                      <a:miter lim="800000"/>
                      <a:headEnd/>
                      <a:tailEnd/>
                    </a:ln>
                    <a:effectLst/>
                  </pic:spPr>
                </pic:pic>
              </a:graphicData>
            </a:graphic>
          </wp:inline>
        </w:drawing>
      </w:r>
    </w:p>
    <w:p w:rsidR="0056369A" w:rsidRPr="007226D7" w:rsidRDefault="0056369A" w:rsidP="00247AD1">
      <w:pPr>
        <w:pStyle w:val="Figuras"/>
      </w:pPr>
      <w:r w:rsidRPr="007226D7">
        <w:t>Figura 2.5-2 COSAC 2 (Fuente: Proyecto de Transporte Tren Eléctrico Este - Oeste)</w:t>
      </w:r>
    </w:p>
    <w:p w:rsidR="0056369A" w:rsidRPr="007226D7" w:rsidRDefault="0056369A" w:rsidP="00247AD1">
      <w:pPr>
        <w:pStyle w:val="Heading4"/>
        <w:rPr>
          <w:lang w:val="es-ES"/>
        </w:rPr>
      </w:pPr>
      <w:r w:rsidRPr="007226D7">
        <w:rPr>
          <w:lang w:val="es-ES"/>
        </w:rPr>
        <w:t>Estudio de Demanda y Diseño Operacional Línea 2 del Metro de Lima</w:t>
      </w:r>
    </w:p>
    <w:p w:rsidR="0056369A" w:rsidRPr="007226D7" w:rsidRDefault="0056369A" w:rsidP="0056369A">
      <w:pPr>
        <w:rPr>
          <w:lang w:val="es-ES"/>
        </w:rPr>
      </w:pPr>
      <w:r w:rsidRPr="007226D7">
        <w:rPr>
          <w:lang w:val="es-ES"/>
        </w:rPr>
        <w:t>Este estudio fue elaborado por  AATE en el año 2012 con el objetivo de analizar la demanda de transporte por la Línea 2. Los datos de demanda se refieren al "Estudio para la consolidación del sistema integrado de transporte público de Lima". El modelo en TransCAD® analiza tres alternativas en el diseño de la línea en el horizonte temporal del año 2015:</w:t>
      </w:r>
    </w:p>
    <w:p w:rsidR="0056369A" w:rsidRPr="007226D7" w:rsidRDefault="0056369A" w:rsidP="006E6A64">
      <w:pPr>
        <w:pStyle w:val="ListParagraph"/>
        <w:numPr>
          <w:ilvl w:val="0"/>
          <w:numId w:val="17"/>
        </w:numPr>
        <w:rPr>
          <w:lang w:val="es-ES"/>
        </w:rPr>
      </w:pPr>
      <w:r w:rsidRPr="007226D7">
        <w:rPr>
          <w:lang w:val="es-ES"/>
        </w:rPr>
        <w:t>Alternativa 1: la línea iniciaría su recorrido en la Avenida Víctor Raúl Haya de la Torre (Carretera Central), Avenida Nicolás Ayllón, Avenida 28 de Julio, Avenida Guzmán Blanco, Avenida Arica, Avenida Venezuela, Avenida Guardia Chalaca;</w:t>
      </w:r>
    </w:p>
    <w:p w:rsidR="0056369A" w:rsidRPr="007226D7" w:rsidRDefault="0056369A" w:rsidP="006E6A64">
      <w:pPr>
        <w:pStyle w:val="ListParagraph"/>
        <w:numPr>
          <w:ilvl w:val="0"/>
          <w:numId w:val="17"/>
        </w:numPr>
        <w:rPr>
          <w:lang w:val="es-ES"/>
        </w:rPr>
      </w:pPr>
      <w:r w:rsidRPr="007226D7">
        <w:rPr>
          <w:lang w:val="es-ES"/>
        </w:rPr>
        <w:t>Alternativa 2: la línea iniciaría su recorrido Avenida Víctor Raúl Haya de la Torre (Carretera Central), Avenida Nicolás Ayllón, Av. Grau, Av. 9 de Diciembre, Avenida Arica, Avenida Venezuela, Avenida Guardia Chalaca;</w:t>
      </w:r>
    </w:p>
    <w:p w:rsidR="0056369A" w:rsidRPr="007226D7" w:rsidRDefault="0056369A" w:rsidP="006E6A64">
      <w:pPr>
        <w:pStyle w:val="ListParagraph"/>
        <w:numPr>
          <w:ilvl w:val="0"/>
          <w:numId w:val="17"/>
        </w:numPr>
        <w:rPr>
          <w:lang w:val="es-ES"/>
        </w:rPr>
      </w:pPr>
      <w:r w:rsidRPr="007226D7">
        <w:rPr>
          <w:lang w:val="es-ES"/>
        </w:rPr>
        <w:lastRenderedPageBreak/>
        <w:t>Alternativa 3: la línea iniciaría su recorrido Avenida Víctor Raúl Haya de la Torre (Carretera Central), Avenida Nicolás Ayllón, Avenida Grau, 9 de Diciembre, Avenida Amezaga, Avenida Colonial y Av. Guardia Chalaca</w:t>
      </w:r>
    </w:p>
    <w:p w:rsidR="00181E28" w:rsidRPr="007226D7" w:rsidRDefault="00E41450" w:rsidP="00181E28">
      <w:pPr>
        <w:pStyle w:val="Heading4"/>
        <w:rPr>
          <w:lang w:val="es-ES"/>
        </w:rPr>
      </w:pPr>
      <w:r w:rsidRPr="007226D7">
        <w:rPr>
          <w:lang w:val="es-ES"/>
        </w:rPr>
        <w:t>Información</w:t>
      </w:r>
      <w:r w:rsidR="00181E28" w:rsidRPr="007226D7">
        <w:rPr>
          <w:lang w:val="es-ES"/>
        </w:rPr>
        <w:t xml:space="preserve"> de Movilidad, Aforos, Matrices de Origen Destino, Proyecciones por Modo de Transporte, entre otros.</w:t>
      </w:r>
    </w:p>
    <w:p w:rsidR="00CB2190" w:rsidRPr="007226D7" w:rsidRDefault="00CB2190" w:rsidP="00181E28">
      <w:pPr>
        <w:rPr>
          <w:lang w:val="es-ES"/>
        </w:rPr>
      </w:pPr>
    </w:p>
    <w:p w:rsidR="00CB2190" w:rsidRPr="007226D7" w:rsidRDefault="00CB2190" w:rsidP="00CB2190">
      <w:pPr>
        <w:rPr>
          <w:lang w:val="es-ES"/>
        </w:rPr>
      </w:pPr>
      <w:r w:rsidRPr="007226D7">
        <w:rPr>
          <w:lang w:val="es-ES"/>
        </w:rPr>
        <w:t>De acuerdo con los TDRs, PROINVERSIÓN ha entregado al Consultor informaciones de campo para la elaboración del Estudio de la Demanda del proyecto, de acuerdo a lo siguiente:</w:t>
      </w:r>
    </w:p>
    <w:p w:rsidR="00CB2190" w:rsidRPr="007226D7" w:rsidRDefault="00CB2190" w:rsidP="00CB2190">
      <w:pPr>
        <w:pStyle w:val="ListParagraph"/>
        <w:numPr>
          <w:ilvl w:val="0"/>
          <w:numId w:val="17"/>
        </w:numPr>
        <w:rPr>
          <w:lang w:val="es-ES"/>
        </w:rPr>
      </w:pPr>
      <w:r w:rsidRPr="007226D7">
        <w:rPr>
          <w:lang w:val="es-ES"/>
        </w:rPr>
        <w:t>“TOMA Y ANALISIS DE INFORMACION DE MOVILIDAD PARA LA ELABORACIÓN DEL ESTUDIO DE DEMANDA DE LA LÍNEA 2 DEL METRO DE LIMA”, proporcionada por AATE;</w:t>
      </w:r>
    </w:p>
    <w:p w:rsidR="00CB2190" w:rsidRPr="007226D7" w:rsidRDefault="00E41450" w:rsidP="00CB2190">
      <w:pPr>
        <w:pStyle w:val="ListParagraph"/>
        <w:numPr>
          <w:ilvl w:val="0"/>
          <w:numId w:val="17"/>
        </w:numPr>
        <w:rPr>
          <w:lang w:val="es-ES"/>
        </w:rPr>
      </w:pPr>
      <w:r w:rsidRPr="007226D7">
        <w:rPr>
          <w:lang w:val="es-ES"/>
        </w:rPr>
        <w:t>Información</w:t>
      </w:r>
      <w:r w:rsidR="00CB2190" w:rsidRPr="007226D7">
        <w:rPr>
          <w:lang w:val="es-ES"/>
        </w:rPr>
        <w:t xml:space="preserve"> de los (5) CORREDORES COMPLEMENTARIOS del trasporte </w:t>
      </w:r>
      <w:r w:rsidRPr="007226D7">
        <w:rPr>
          <w:lang w:val="es-ES"/>
        </w:rPr>
        <w:t>público</w:t>
      </w:r>
      <w:r w:rsidR="00CB2190" w:rsidRPr="007226D7">
        <w:rPr>
          <w:lang w:val="es-ES"/>
        </w:rPr>
        <w:t xml:space="preserve"> en superficie de la ciudad de LIMA, proporcionada por PROTRANSPORTE;</w:t>
      </w:r>
    </w:p>
    <w:p w:rsidR="00CB2190" w:rsidRPr="007226D7" w:rsidRDefault="001212B5" w:rsidP="00CB2190">
      <w:pPr>
        <w:pStyle w:val="ListParagraph"/>
        <w:numPr>
          <w:ilvl w:val="0"/>
          <w:numId w:val="17"/>
        </w:numPr>
        <w:rPr>
          <w:lang w:val="es-ES"/>
        </w:rPr>
      </w:pPr>
      <w:r w:rsidRPr="007226D7">
        <w:rPr>
          <w:lang w:val="es-ES"/>
        </w:rPr>
        <w:t>Memoria Descrip</w:t>
      </w:r>
      <w:r w:rsidR="00CB2190" w:rsidRPr="007226D7">
        <w:rPr>
          <w:lang w:val="es-ES"/>
        </w:rPr>
        <w:t xml:space="preserve">tiva de las </w:t>
      </w:r>
      <w:r w:rsidR="00E41450" w:rsidRPr="007226D7">
        <w:rPr>
          <w:lang w:val="es-ES"/>
        </w:rPr>
        <w:t>Líneas</w:t>
      </w:r>
      <w:r w:rsidR="00CB2190" w:rsidRPr="007226D7">
        <w:rPr>
          <w:lang w:val="es-ES"/>
        </w:rPr>
        <w:t xml:space="preserve"> 3,</w:t>
      </w:r>
      <w:r w:rsidR="0004764F" w:rsidRPr="007226D7">
        <w:rPr>
          <w:lang w:val="es-ES"/>
        </w:rPr>
        <w:t xml:space="preserve"> </w:t>
      </w:r>
      <w:r w:rsidR="00CB2190" w:rsidRPr="007226D7">
        <w:rPr>
          <w:lang w:val="es-ES"/>
        </w:rPr>
        <w:t>4 y 5 del Metro del Lima, proporcionada por AATE.</w:t>
      </w:r>
    </w:p>
    <w:p w:rsidR="00CB2190" w:rsidRPr="007226D7" w:rsidRDefault="00CB2190" w:rsidP="00CB2190">
      <w:pPr>
        <w:rPr>
          <w:lang w:val="es-ES"/>
        </w:rPr>
      </w:pPr>
      <w:r w:rsidRPr="007226D7">
        <w:rPr>
          <w:lang w:val="es-ES"/>
        </w:rPr>
        <w:t>Los datos y la información contenida en estos documentos eran esenciales para el desarrollo del modelo de transporte y definir los escenarios futuros sometidos a la simulación.</w:t>
      </w:r>
    </w:p>
    <w:p w:rsidR="00CB2190" w:rsidRPr="007226D7" w:rsidRDefault="001212B5" w:rsidP="00CB2190">
      <w:pPr>
        <w:rPr>
          <w:lang w:val="es-ES"/>
        </w:rPr>
      </w:pPr>
      <w:r w:rsidRPr="007226D7">
        <w:rPr>
          <w:lang w:val="es-ES"/>
        </w:rPr>
        <w:t>En particular</w:t>
      </w:r>
      <w:r w:rsidR="00CB2190" w:rsidRPr="007226D7">
        <w:rPr>
          <w:lang w:val="es-ES"/>
        </w:rPr>
        <w:t xml:space="preserve"> hemos utilizado los siguientes elementos:</w:t>
      </w:r>
    </w:p>
    <w:p w:rsidR="00CB2190" w:rsidRPr="007226D7" w:rsidRDefault="00CB2190" w:rsidP="00CB2190">
      <w:pPr>
        <w:pStyle w:val="ListParagraph"/>
        <w:numPr>
          <w:ilvl w:val="0"/>
          <w:numId w:val="17"/>
        </w:numPr>
        <w:rPr>
          <w:lang w:val="es-ES"/>
        </w:rPr>
      </w:pPr>
      <w:r w:rsidRPr="007226D7">
        <w:rPr>
          <w:lang w:val="es-ES"/>
        </w:rPr>
        <w:t>Datos de aforo vehicular y ocupación visual en las Líneas Cortinas del Rio Rímac y la Panamericana Sur.</w:t>
      </w:r>
    </w:p>
    <w:p w:rsidR="00CB2190" w:rsidRPr="007226D7" w:rsidRDefault="00CB2190" w:rsidP="00CB2190">
      <w:pPr>
        <w:pStyle w:val="ListParagraph"/>
        <w:numPr>
          <w:ilvl w:val="0"/>
          <w:numId w:val="17"/>
        </w:numPr>
        <w:rPr>
          <w:lang w:val="es-ES"/>
        </w:rPr>
      </w:pPr>
      <w:r w:rsidRPr="007226D7">
        <w:rPr>
          <w:lang w:val="es-ES"/>
        </w:rPr>
        <w:t>Datos de aforo vehicular, ocupación visual y sube y baja en los corredores principales de la Ciudad.</w:t>
      </w:r>
    </w:p>
    <w:p w:rsidR="00CB2190" w:rsidRPr="007226D7" w:rsidRDefault="00CB2190" w:rsidP="00CB2190">
      <w:pPr>
        <w:pStyle w:val="ListParagraph"/>
        <w:numPr>
          <w:ilvl w:val="0"/>
          <w:numId w:val="17"/>
        </w:numPr>
        <w:rPr>
          <w:lang w:val="es-ES"/>
        </w:rPr>
      </w:pPr>
      <w:r w:rsidRPr="007226D7">
        <w:rPr>
          <w:lang w:val="es-ES"/>
        </w:rPr>
        <w:t>Las Matrices OD al 201</w:t>
      </w:r>
      <w:r w:rsidR="003D5C88" w:rsidRPr="007226D7">
        <w:rPr>
          <w:lang w:val="es-ES"/>
        </w:rPr>
        <w:t>2, 2015, 2025 y 2030 desagregada</w:t>
      </w:r>
      <w:r w:rsidRPr="007226D7">
        <w:rPr>
          <w:lang w:val="es-ES"/>
        </w:rPr>
        <w:t xml:space="preserve">s por modo de transporte </w:t>
      </w:r>
      <w:r w:rsidR="00E41450" w:rsidRPr="007226D7">
        <w:rPr>
          <w:lang w:val="es-ES"/>
        </w:rPr>
        <w:t>público</w:t>
      </w:r>
      <w:r w:rsidRPr="007226D7">
        <w:rPr>
          <w:lang w:val="es-ES"/>
        </w:rPr>
        <w:t xml:space="preserve"> y priva</w:t>
      </w:r>
      <w:r w:rsidR="003D5C88" w:rsidRPr="007226D7">
        <w:rPr>
          <w:lang w:val="es-ES"/>
        </w:rPr>
        <w:t xml:space="preserve">do así como por día y por </w:t>
      </w:r>
      <w:r w:rsidRPr="007226D7">
        <w:rPr>
          <w:lang w:val="es-ES"/>
        </w:rPr>
        <w:t xml:space="preserve"> horarios HPM HPT y HV.</w:t>
      </w:r>
    </w:p>
    <w:p w:rsidR="00CB2190" w:rsidRPr="007226D7" w:rsidRDefault="003D5C88" w:rsidP="00CB2190">
      <w:pPr>
        <w:pStyle w:val="ListParagraph"/>
        <w:numPr>
          <w:ilvl w:val="0"/>
          <w:numId w:val="17"/>
        </w:numPr>
        <w:rPr>
          <w:lang w:val="es-ES"/>
        </w:rPr>
      </w:pPr>
      <w:r w:rsidRPr="007226D7">
        <w:rPr>
          <w:lang w:val="es-ES"/>
        </w:rPr>
        <w:t>Modelo de Transporte por el añ</w:t>
      </w:r>
      <w:r w:rsidR="00CB2190" w:rsidRPr="007226D7">
        <w:rPr>
          <w:lang w:val="es-ES"/>
        </w:rPr>
        <w:t>o 2012 (Nueva Zonificación, Red Vial, Rutas de Trasporte, Modelo de Demanda).</w:t>
      </w:r>
    </w:p>
    <w:p w:rsidR="00CB2190" w:rsidRPr="007226D7" w:rsidRDefault="00CB2190" w:rsidP="00CB2190">
      <w:pPr>
        <w:pStyle w:val="ListParagraph"/>
        <w:numPr>
          <w:ilvl w:val="0"/>
          <w:numId w:val="17"/>
        </w:numPr>
        <w:rPr>
          <w:lang w:val="es-ES"/>
        </w:rPr>
      </w:pPr>
      <w:r w:rsidRPr="007226D7">
        <w:rPr>
          <w:lang w:val="es-ES"/>
        </w:rPr>
        <w:t xml:space="preserve">Rutas por el nuevo sistema de </w:t>
      </w:r>
      <w:r w:rsidR="00E41450" w:rsidRPr="007226D7">
        <w:rPr>
          <w:lang w:val="es-ES"/>
        </w:rPr>
        <w:t>los</w:t>
      </w:r>
      <w:r w:rsidRPr="007226D7">
        <w:rPr>
          <w:lang w:val="es-ES"/>
        </w:rPr>
        <w:t xml:space="preserve"> CORREDORES COMPLEMENTARIOS.</w:t>
      </w:r>
    </w:p>
    <w:p w:rsidR="00CB2190" w:rsidRPr="007226D7" w:rsidRDefault="00CB2190" w:rsidP="00CB2190">
      <w:pPr>
        <w:pStyle w:val="ListParagraph"/>
        <w:numPr>
          <w:ilvl w:val="0"/>
          <w:numId w:val="17"/>
        </w:numPr>
        <w:rPr>
          <w:lang w:val="es-ES"/>
        </w:rPr>
      </w:pPr>
      <w:r w:rsidRPr="007226D7">
        <w:rPr>
          <w:lang w:val="es-ES"/>
        </w:rPr>
        <w:t xml:space="preserve">Frecuencia y </w:t>
      </w:r>
      <w:r w:rsidR="00E41450" w:rsidRPr="007226D7">
        <w:rPr>
          <w:lang w:val="es-ES"/>
        </w:rPr>
        <w:t>servicios</w:t>
      </w:r>
      <w:r w:rsidRPr="007226D7">
        <w:rPr>
          <w:lang w:val="es-ES"/>
        </w:rPr>
        <w:t xml:space="preserve"> por el nuevo sistema de lo</w:t>
      </w:r>
      <w:r w:rsidR="00B156D2" w:rsidRPr="007226D7">
        <w:rPr>
          <w:lang w:val="es-ES"/>
        </w:rPr>
        <w:t>s</w:t>
      </w:r>
      <w:r w:rsidRPr="007226D7">
        <w:rPr>
          <w:lang w:val="es-ES"/>
        </w:rPr>
        <w:t xml:space="preserve"> CORREDORES COMPLEMENTARIOS.</w:t>
      </w:r>
    </w:p>
    <w:p w:rsidR="00CB2190" w:rsidRPr="007226D7" w:rsidRDefault="00CB2190" w:rsidP="00CB2190">
      <w:pPr>
        <w:rPr>
          <w:lang w:val="es-ES"/>
        </w:rPr>
      </w:pPr>
      <w:r w:rsidRPr="007226D7">
        <w:rPr>
          <w:lang w:val="es-ES"/>
        </w:rPr>
        <w:t xml:space="preserve">Trazo preliminar y </w:t>
      </w:r>
      <w:r w:rsidR="00E41450" w:rsidRPr="007226D7">
        <w:rPr>
          <w:lang w:val="es-ES"/>
        </w:rPr>
        <w:t>características</w:t>
      </w:r>
      <w:r w:rsidR="0004764F" w:rsidRPr="007226D7">
        <w:rPr>
          <w:lang w:val="es-ES"/>
        </w:rPr>
        <w:t xml:space="preserve"> t</w:t>
      </w:r>
      <w:r w:rsidR="00B156D2" w:rsidRPr="007226D7">
        <w:rPr>
          <w:lang w:val="es-ES"/>
        </w:rPr>
        <w:t>é</w:t>
      </w:r>
      <w:r w:rsidR="0004764F" w:rsidRPr="007226D7">
        <w:rPr>
          <w:lang w:val="es-ES"/>
        </w:rPr>
        <w:t>cnicas de</w:t>
      </w:r>
      <w:r w:rsidRPr="007226D7">
        <w:rPr>
          <w:lang w:val="es-ES"/>
        </w:rPr>
        <w:t xml:space="preserve"> las </w:t>
      </w:r>
      <w:r w:rsidR="00E41450" w:rsidRPr="007226D7">
        <w:rPr>
          <w:lang w:val="es-ES"/>
        </w:rPr>
        <w:t>Líneas</w:t>
      </w:r>
      <w:r w:rsidRPr="007226D7">
        <w:rPr>
          <w:lang w:val="es-ES"/>
        </w:rPr>
        <w:t xml:space="preserve"> 3,</w:t>
      </w:r>
      <w:r w:rsidR="0004764F" w:rsidRPr="007226D7">
        <w:rPr>
          <w:lang w:val="es-ES"/>
        </w:rPr>
        <w:t xml:space="preserve"> </w:t>
      </w:r>
      <w:r w:rsidRPr="007226D7">
        <w:rPr>
          <w:lang w:val="es-ES"/>
        </w:rPr>
        <w:t>4 y 5 del Metro de Lima</w:t>
      </w:r>
      <w:r w:rsidR="003D5C88" w:rsidRPr="007226D7">
        <w:rPr>
          <w:lang w:val="es-ES"/>
        </w:rPr>
        <w:t>.</w:t>
      </w:r>
    </w:p>
    <w:p w:rsidR="0056369A" w:rsidRPr="007226D7" w:rsidRDefault="0056369A" w:rsidP="00247AD1">
      <w:pPr>
        <w:pStyle w:val="Heading3"/>
        <w:rPr>
          <w:lang w:val="es-ES"/>
        </w:rPr>
      </w:pPr>
      <w:bookmarkStart w:id="18" w:name="_Toc346541908"/>
      <w:r w:rsidRPr="007226D7">
        <w:rPr>
          <w:lang w:val="es-ES"/>
        </w:rPr>
        <w:t>Antecedentes de trazado del Proyecto Línea 2 del Metro</w:t>
      </w:r>
      <w:bookmarkEnd w:id="18"/>
    </w:p>
    <w:p w:rsidR="0056369A" w:rsidRPr="007226D7" w:rsidRDefault="0056369A" w:rsidP="006E6A64">
      <w:pPr>
        <w:pStyle w:val="ListParagraph"/>
        <w:numPr>
          <w:ilvl w:val="0"/>
          <w:numId w:val="17"/>
        </w:numPr>
        <w:rPr>
          <w:lang w:val="es-ES"/>
        </w:rPr>
      </w:pPr>
      <w:r w:rsidRPr="007226D7">
        <w:rPr>
          <w:lang w:val="es-ES"/>
        </w:rPr>
        <w:t xml:space="preserve">El 23 de Diciembre del 2010, mediante Decreto Supremo No 059-2010-MTC, se aprobó la Red Básica del Sistema Eléctrico de Transporte Masivo de Lima y Callao, basada en el “Estudio Complementario de la Red Básica del Metro de Lima” en 1998, actualizada por CESEL en octubre 2010, la misma que está conformada por cinco (05) líneas, indicando entre otros que el trazado de la  Línea 2 es la siguiente : Avenida Guardia </w:t>
      </w:r>
      <w:r w:rsidRPr="007226D7">
        <w:rPr>
          <w:lang w:val="es-ES"/>
        </w:rPr>
        <w:lastRenderedPageBreak/>
        <w:t>Chalaca, Avenida Venezuela, Avenida Arica, Avenida Guzmán Blanco, Avenida 28 de Julio, Avenida Nicolás Ayllón, Avenida Víctor Raúl Haya de la Torre (Carretera Central).</w:t>
      </w:r>
    </w:p>
    <w:p w:rsidR="0056369A" w:rsidRPr="007226D7" w:rsidRDefault="0056369A" w:rsidP="006E6A64">
      <w:pPr>
        <w:pStyle w:val="ListParagraph"/>
        <w:numPr>
          <w:ilvl w:val="0"/>
          <w:numId w:val="17"/>
        </w:numPr>
        <w:rPr>
          <w:lang w:val="es-ES"/>
        </w:rPr>
      </w:pPr>
      <w:r w:rsidRPr="007226D7">
        <w:rPr>
          <w:lang w:val="es-ES"/>
        </w:rPr>
        <w:t>El 25 de abril del 2012 PROINVERSION convoca el Concurso Público Nº 004-2012 para la Contratación de un consultor integral para el concurso de proyectos integrales para la concesión de la Línea 2 de la Red Básica del Metro de Lima – Proyecto Especial Sistema Eléctrico de Transporte Masivo de Lima y Callao. De acuerdo a los Términos de referencia del Concurso numeral 3.1 Estudios de Preinversi</w:t>
      </w:r>
      <w:r w:rsidR="00E41450" w:rsidRPr="007226D7">
        <w:rPr>
          <w:lang w:val="es-ES"/>
        </w:rPr>
        <w:t>ó</w:t>
      </w:r>
      <w:r w:rsidRPr="007226D7">
        <w:rPr>
          <w:lang w:val="es-ES"/>
        </w:rPr>
        <w:t>n a nivel de perfil y factibilidad, indica lo siguiente  “ ……La evaluación deberá considerar, al menos, las tres alternativas "con proyecto" que se indican a continuación :</w:t>
      </w:r>
    </w:p>
    <w:p w:rsidR="0056369A" w:rsidRPr="007226D7" w:rsidRDefault="0056369A" w:rsidP="006E6A64">
      <w:pPr>
        <w:pStyle w:val="ListParagraph"/>
        <w:numPr>
          <w:ilvl w:val="1"/>
          <w:numId w:val="17"/>
        </w:numPr>
        <w:rPr>
          <w:lang w:val="es-ES"/>
        </w:rPr>
      </w:pPr>
      <w:r w:rsidRPr="007226D7">
        <w:rPr>
          <w:lang w:val="es-ES"/>
        </w:rPr>
        <w:t>ALTERNATIVA 1: Línea 2, incluyendo el tramo de acceso al Aeropuerto Jorge Chávez, que va por la Avenida Elmer Faucett entre la Avenida Venezuela y Avenida Néstor Gambetta. La Línea 2 considerará el trazado por la Avenida 28 de Julio conforme a la Red Básica establecida en el D.S. 059-201 0-MTC.</w:t>
      </w:r>
    </w:p>
    <w:p w:rsidR="0056369A" w:rsidRPr="007226D7" w:rsidRDefault="0056369A" w:rsidP="006E6A64">
      <w:pPr>
        <w:pStyle w:val="ListParagraph"/>
        <w:numPr>
          <w:ilvl w:val="1"/>
          <w:numId w:val="17"/>
        </w:numPr>
        <w:rPr>
          <w:lang w:val="es-ES"/>
        </w:rPr>
      </w:pPr>
      <w:r w:rsidRPr="007226D7">
        <w:rPr>
          <w:lang w:val="es-ES"/>
        </w:rPr>
        <w:t>ALTERNATIVA 2: Similar a la anterior (Línea 2 incluyendo el tramo de acceso al Aeropuerto), sin embargo considerará el trazo por la Avenida Víctor Raúl Haya de la Torre (Carretera Central), Avenida Nicolás Ayllón, Calle Junín, Avenida Grau, Avenida 9 de Diciembre, Avenida Arica, Avenida Venezuela y Avenida Guardia Chalaca. Este trazo considera el eje Vía Expresa Grau, pasando por la Estación Central del COSAC 1 y la Estación Grau de la Línea 1 del Metro de Lima, en lugar del trazo por la Avenida 28 de Julio.</w:t>
      </w:r>
    </w:p>
    <w:p w:rsidR="0056369A" w:rsidRPr="007226D7" w:rsidRDefault="0056369A" w:rsidP="006E6A64">
      <w:pPr>
        <w:pStyle w:val="ListParagraph"/>
        <w:numPr>
          <w:ilvl w:val="1"/>
          <w:numId w:val="17"/>
        </w:numPr>
        <w:rPr>
          <w:lang w:val="es-ES"/>
        </w:rPr>
      </w:pPr>
      <w:r w:rsidRPr="007226D7">
        <w:rPr>
          <w:lang w:val="es-ES"/>
        </w:rPr>
        <w:t>ALTERNATIVA 3: Trazo considerando los siguientes ejes: Avenida Víctor Raúl Haya de la Torre (Carretera Central), Avenida Nicolás Ayllón, Calle Junín, Avenida Grau, Avenida 9 de Diciembre, Avenida Arica, Avenida Venezuela, Avenida Germán Amezaga, Avenida Oscar R. Benavides (Colonial), Avenida Guardia Chalaca. Además deberá incluir el tramo de acceso al Aeropuerto Jorge Chávez, que va por la Avenida Elmer Faucett entre la Avenida Oscar R. Benavides (Colonial) y la Avenida Néstor Gambetta. Este trazo considera el eje Vía Expresa Grau, pasando por la Estación Central del COSAC 1 y la Estación Grau de la Línea 1 del Metro de Lima…”</w:t>
      </w:r>
    </w:p>
    <w:p w:rsidR="00247AD1" w:rsidRPr="007226D7" w:rsidRDefault="0056369A" w:rsidP="00247AD1">
      <w:pPr>
        <w:ind w:left="1080"/>
        <w:rPr>
          <w:lang w:val="es-ES"/>
        </w:rPr>
      </w:pPr>
      <w:r w:rsidRPr="007226D7">
        <w:rPr>
          <w:lang w:val="es-ES"/>
        </w:rPr>
        <w:t>Para lo cual y de acuerdo al Numeral 4.1 Estudios preliminares de la Línea 2, se tiene inform</w:t>
      </w:r>
      <w:r w:rsidR="00247AD1" w:rsidRPr="007226D7">
        <w:rPr>
          <w:lang w:val="es-ES"/>
        </w:rPr>
        <w:t>ación disponible según detalle:</w:t>
      </w:r>
    </w:p>
    <w:p w:rsidR="00247AD1" w:rsidRPr="007226D7" w:rsidRDefault="0056369A" w:rsidP="006E6A64">
      <w:pPr>
        <w:pStyle w:val="ListParagraph"/>
        <w:numPr>
          <w:ilvl w:val="2"/>
          <w:numId w:val="17"/>
        </w:numPr>
        <w:rPr>
          <w:lang w:val="es-ES"/>
        </w:rPr>
      </w:pPr>
      <w:r w:rsidRPr="007226D7">
        <w:rPr>
          <w:lang w:val="es-ES"/>
        </w:rPr>
        <w:t>Estudios Básicos de Ingeniería de la Línea Este Oeste, realizados sobre el eje preliminar incluido en la Red Básica del Metro de Lima; 2012 (DS 059-201 0-MTC).</w:t>
      </w:r>
    </w:p>
    <w:p w:rsidR="00247AD1" w:rsidRPr="007226D7" w:rsidRDefault="0056369A" w:rsidP="006E6A64">
      <w:pPr>
        <w:pStyle w:val="ListParagraph"/>
        <w:numPr>
          <w:ilvl w:val="3"/>
          <w:numId w:val="18"/>
        </w:numPr>
        <w:rPr>
          <w:lang w:val="es-ES"/>
        </w:rPr>
      </w:pPr>
      <w:r w:rsidRPr="007226D7">
        <w:rPr>
          <w:lang w:val="es-ES"/>
        </w:rPr>
        <w:t>Estudio de Topografía y Geodesia</w:t>
      </w:r>
    </w:p>
    <w:p w:rsidR="00247AD1" w:rsidRPr="007226D7" w:rsidRDefault="0056369A" w:rsidP="006E6A64">
      <w:pPr>
        <w:pStyle w:val="ListParagraph"/>
        <w:numPr>
          <w:ilvl w:val="3"/>
          <w:numId w:val="18"/>
        </w:numPr>
        <w:rPr>
          <w:lang w:val="es-ES"/>
        </w:rPr>
      </w:pPr>
      <w:r w:rsidRPr="007226D7">
        <w:rPr>
          <w:lang w:val="es-ES"/>
        </w:rPr>
        <w:t>Estudio de Suelos, Geología y Geotecnia</w:t>
      </w:r>
    </w:p>
    <w:p w:rsidR="00247AD1" w:rsidRPr="007226D7" w:rsidRDefault="0056369A" w:rsidP="006E6A64">
      <w:pPr>
        <w:pStyle w:val="ListParagraph"/>
        <w:numPr>
          <w:ilvl w:val="3"/>
          <w:numId w:val="18"/>
        </w:numPr>
        <w:rPr>
          <w:lang w:val="es-ES"/>
        </w:rPr>
      </w:pPr>
      <w:r w:rsidRPr="007226D7">
        <w:rPr>
          <w:lang w:val="es-ES"/>
        </w:rPr>
        <w:t>Estudio de Hidrología e Hidráulica.</w:t>
      </w:r>
    </w:p>
    <w:p w:rsidR="0056369A" w:rsidRPr="007226D7" w:rsidRDefault="0056369A" w:rsidP="006E6A64">
      <w:pPr>
        <w:pStyle w:val="ListParagraph"/>
        <w:numPr>
          <w:ilvl w:val="2"/>
          <w:numId w:val="17"/>
        </w:numPr>
        <w:rPr>
          <w:lang w:val="es-ES"/>
        </w:rPr>
      </w:pPr>
      <w:r w:rsidRPr="007226D7">
        <w:rPr>
          <w:lang w:val="es-ES"/>
        </w:rPr>
        <w:t>Modelos de demanda de los últimos estudios del metro línea 1 y del Sistema Integrado de Transporte - SIT) así como el Estudio de Demanda y el Diseño Operacional de los escenarios a ser evaluados a nivel de perfil.</w:t>
      </w:r>
    </w:p>
    <w:p w:rsidR="0056369A" w:rsidRPr="007226D7" w:rsidRDefault="0056369A" w:rsidP="00247AD1">
      <w:pPr>
        <w:ind w:left="1080"/>
        <w:rPr>
          <w:lang w:val="es-ES"/>
        </w:rPr>
      </w:pPr>
      <w:r w:rsidRPr="007226D7">
        <w:rPr>
          <w:lang w:val="es-ES"/>
        </w:rPr>
        <w:lastRenderedPageBreak/>
        <w:t>Siendo estos los REQUISITOS NECESARIOS para la evaluación del trazado de ALTERNATIVAS de la línea 2 del Metro.</w:t>
      </w:r>
    </w:p>
    <w:p w:rsidR="0056369A" w:rsidRPr="007226D7" w:rsidRDefault="0056369A" w:rsidP="006E6A64">
      <w:pPr>
        <w:pStyle w:val="ListParagraph"/>
        <w:numPr>
          <w:ilvl w:val="0"/>
          <w:numId w:val="17"/>
        </w:numPr>
        <w:rPr>
          <w:lang w:val="es-ES"/>
        </w:rPr>
      </w:pPr>
      <w:r w:rsidRPr="007226D7">
        <w:rPr>
          <w:lang w:val="es-ES"/>
        </w:rPr>
        <w:t xml:space="preserve">Durante el desarrollo del Estudio – Informe N° 02 – Perfil de la Línea 2 del Metro de Lima, el consorcio proyectó alternativas adicionales derivadas de las 03 alternativas principales, que básicamente tienen diferencia en las conexiones de operación de las alternativas de trazado (conexiones en X vs conexiones en Y). Asimismo se propuso una nueva alternativa (Alt. N° 04) la cual optimiza las conexiones con la Línea 1 del metro de Lima en la Estación Grau, optimiza el trazado en la zona de la Universidad San Marcos minimizando el riesgo de afectaciones, y establece la conexión en X entre el ramal Ate – Callao y Aeropuerto. </w:t>
      </w:r>
    </w:p>
    <w:p w:rsidR="0056369A" w:rsidRPr="007226D7" w:rsidRDefault="0056369A" w:rsidP="006E6A64">
      <w:pPr>
        <w:pStyle w:val="ListParagraph"/>
        <w:numPr>
          <w:ilvl w:val="0"/>
          <w:numId w:val="17"/>
        </w:numPr>
        <w:rPr>
          <w:lang w:val="es-ES"/>
        </w:rPr>
      </w:pPr>
      <w:r w:rsidRPr="007226D7">
        <w:rPr>
          <w:lang w:val="es-ES"/>
        </w:rPr>
        <w:t>Mediante comunicaciones electrónicas de representantes del MTC del 26 de julio, 09 de agosto y 10 de agosto, Proinversión remite propuestas de alternativas de trazado de la línea 2 enviada por representantes del MTC, la cual luego de la evaluación respectiva solo involucra propuesta de trazado, sin incluir estudios básicos de acuerdo al numera 4 de los términos de referencia del Contrato de Consultoría, sin embargo se efectuó un análisis desde el punto de vista de trazado quedando descartado, incluyendo otras múltiples consideraciones según detalle:</w:t>
      </w:r>
    </w:p>
    <w:p w:rsidR="0056369A" w:rsidRPr="007226D7" w:rsidRDefault="0056369A" w:rsidP="006E6A64">
      <w:pPr>
        <w:pStyle w:val="ListParagraph"/>
        <w:numPr>
          <w:ilvl w:val="1"/>
          <w:numId w:val="17"/>
        </w:numPr>
        <w:rPr>
          <w:lang w:val="es-ES"/>
        </w:rPr>
      </w:pPr>
      <w:r w:rsidRPr="007226D7">
        <w:rPr>
          <w:lang w:val="es-ES"/>
        </w:rPr>
        <w:t>Las nuevas propuestas están dentro de la zona de influencia de las alternativas anteriores.</w:t>
      </w:r>
    </w:p>
    <w:p w:rsidR="0056369A" w:rsidRPr="007226D7" w:rsidRDefault="0056369A" w:rsidP="006E6A64">
      <w:pPr>
        <w:pStyle w:val="ListParagraph"/>
        <w:numPr>
          <w:ilvl w:val="1"/>
          <w:numId w:val="17"/>
        </w:numPr>
        <w:rPr>
          <w:lang w:val="es-ES"/>
        </w:rPr>
      </w:pPr>
      <w:r w:rsidRPr="007226D7">
        <w:rPr>
          <w:lang w:val="es-ES"/>
        </w:rPr>
        <w:t>Se desarrollan en la zona declarada como Centro Histórico de Lima.</w:t>
      </w:r>
    </w:p>
    <w:p w:rsidR="0056369A" w:rsidRPr="007226D7" w:rsidRDefault="0056369A" w:rsidP="006E6A64">
      <w:pPr>
        <w:pStyle w:val="ListParagraph"/>
        <w:numPr>
          <w:ilvl w:val="1"/>
          <w:numId w:val="17"/>
        </w:numPr>
        <w:rPr>
          <w:lang w:val="es-ES"/>
        </w:rPr>
      </w:pPr>
      <w:r w:rsidRPr="007226D7">
        <w:rPr>
          <w:lang w:val="es-ES"/>
        </w:rPr>
        <w:t>De acuerdo a lo señalado en reuniones de coordinación, el objetivo de desplazar el trazado hacia el norte es captar más demanda proveniente del Centro Histórico de Lima. Al revisar el modelo de demanda se observa que la demanda captada no se incrementaría respecto a las alternativas 2, 3 y 4, es decir, desde el punto de vista de la demanda la nueva alternativa no agregaría valor.</w:t>
      </w:r>
    </w:p>
    <w:p w:rsidR="0056369A" w:rsidRPr="007226D7" w:rsidRDefault="0056369A" w:rsidP="006E6A64">
      <w:pPr>
        <w:pStyle w:val="ListParagraph"/>
        <w:numPr>
          <w:ilvl w:val="1"/>
          <w:numId w:val="17"/>
        </w:numPr>
        <w:rPr>
          <w:lang w:val="es-ES"/>
        </w:rPr>
      </w:pPr>
      <w:r w:rsidRPr="007226D7">
        <w:rPr>
          <w:lang w:val="es-ES"/>
        </w:rPr>
        <w:t>La zona declarada como Centro Histórico Lima tiene una menor probabilidad cambio del uso de suelo y de renovación urbana respecto al trazado se desarrolló por Av. Grau y/o 28 de Julio, la zona de influencia del proyecto está más cerca de la zona que probablemente tendrá una mayor renovación.</w:t>
      </w:r>
    </w:p>
    <w:p w:rsidR="0056369A" w:rsidRPr="007226D7" w:rsidRDefault="0056369A" w:rsidP="006E6A64">
      <w:pPr>
        <w:pStyle w:val="ListParagraph"/>
        <w:numPr>
          <w:ilvl w:val="1"/>
          <w:numId w:val="17"/>
        </w:numPr>
        <w:rPr>
          <w:lang w:val="es-ES"/>
        </w:rPr>
      </w:pPr>
      <w:r w:rsidRPr="007226D7">
        <w:rPr>
          <w:lang w:val="es-ES"/>
        </w:rPr>
        <w:t>Se desarrolla bajo los edificios de propiedad privada. Esto implica una zona adicional de expropiación o servidumbre, además del aumento de las dificultades técnicas y riesgo que implica pasar bajo edificios altos.</w:t>
      </w:r>
    </w:p>
    <w:p w:rsidR="0056369A" w:rsidRPr="007226D7" w:rsidRDefault="0056369A" w:rsidP="006E6A64">
      <w:pPr>
        <w:pStyle w:val="ListParagraph"/>
        <w:numPr>
          <w:ilvl w:val="0"/>
          <w:numId w:val="17"/>
        </w:numPr>
        <w:rPr>
          <w:lang w:val="es-ES"/>
        </w:rPr>
      </w:pPr>
      <w:r w:rsidRPr="007226D7">
        <w:rPr>
          <w:lang w:val="es-ES"/>
        </w:rPr>
        <w:t xml:space="preserve">Mediante comunicación electrónica del 17 de agosto, Proinversión remite copia del oficio N° 129-2012-MTC/33, del Director Ejecutivo de la Autoridad Autónoma del Tren Eléctrico –AATE, en la cual solicitan : “…. evaluar una alternativa que se desarrolle por la Av. Víctor Raúl Haya de la Torre (Carretera Central), Av. Nicolás Ayllón, Av. 28 de Julio, Av. Guzmán Blanco, Av. Arica, Av. Venezuela, Av. Germán Amezaga, Av. Oscar R. Benavides y Av. Guardia Chalaca, incluyendo el tramo de acceso al Aeropuerto Jorge Chávez que va por Av. Elmer Faucett entre Av. Oscar R. Benavides y Av. Néstor Gambetta. Esta alternativa debería considerar la conexión con la Línea 1 de Metro de Lima, posiblemente a través de la construcción de una nueva estación en la Av. 28 de </w:t>
      </w:r>
      <w:r w:rsidRPr="007226D7">
        <w:rPr>
          <w:lang w:val="es-ES"/>
        </w:rPr>
        <w:lastRenderedPageBreak/>
        <w:t>Julio, y la conexión más eficiente con el Metropolitano….”, la cual es denominada alternativa N° 05, y la cual en esencia es un hibrido de las alternativas 1 y 3, luego de su evaluación la misma cuenta con los requisitos mínimos para su evaluación de acuerdo al numeral 4 de los Términos de referencia, otorgándose un plazo adicional de 13 días hábiles, para su integración al informe de Perfil.</w:t>
      </w:r>
    </w:p>
    <w:p w:rsidR="0056369A" w:rsidRPr="007226D7" w:rsidRDefault="0056369A" w:rsidP="006E6A64">
      <w:pPr>
        <w:pStyle w:val="ListParagraph"/>
        <w:numPr>
          <w:ilvl w:val="0"/>
          <w:numId w:val="17"/>
        </w:numPr>
        <w:rPr>
          <w:lang w:val="es-ES"/>
        </w:rPr>
      </w:pPr>
      <w:r w:rsidRPr="007226D7">
        <w:rPr>
          <w:lang w:val="es-ES"/>
        </w:rPr>
        <w:t>Mediante carta N° 12-2012/PROINVERSION/DPI/SDGP/JPFE.03 del 22 de agosto, Proinversi</w:t>
      </w:r>
      <w:r w:rsidR="00E41450" w:rsidRPr="007226D7">
        <w:rPr>
          <w:lang w:val="es-ES"/>
        </w:rPr>
        <w:t>ó</w:t>
      </w:r>
      <w:r w:rsidRPr="007226D7">
        <w:rPr>
          <w:lang w:val="es-ES"/>
        </w:rPr>
        <w:t>n remite copia del Oficio N°3039-2012-DA-DGPC/MC del Ministerio de la Cultura. En él se señala que "no se considera viable las alternativas 1 y 2 que pasan por Av. Venezuela abarcando el tramo que colinda directamente con la zona Arqueológica Monumental (Huaca San Marcos). Siendo una restricción en el proyecto solicitada por el Ministerio de Cultura, por lo que en las conclusiones del estudio de perfil se descartan las alternativas 1 y 2.</w:t>
      </w:r>
    </w:p>
    <w:p w:rsidR="0056369A" w:rsidRPr="007226D7" w:rsidRDefault="0056369A" w:rsidP="006E6A64">
      <w:pPr>
        <w:pStyle w:val="ListParagraph"/>
        <w:numPr>
          <w:ilvl w:val="0"/>
          <w:numId w:val="17"/>
        </w:numPr>
        <w:rPr>
          <w:lang w:val="es-ES"/>
        </w:rPr>
      </w:pPr>
      <w:r w:rsidRPr="007226D7">
        <w:rPr>
          <w:lang w:val="es-ES"/>
        </w:rPr>
        <w:t>Mediante carta N° 14-2012/PROINVERSION/DPI/SDGP/JPFE.03 del 29 de agosto, Proinversion remite copia del Oficio N°332-2012-VIVIENDA—VMVU, 039-2012-DA-DGPC/MC del Ministerio de Vivienda, indicando entre otros una nueva alternativa de trazado de acuerdo a la siguiente descripción “…Línea 2: Avenida Guardia Chalaca, Avenida Oscar R. Benavides, Avenida Nicolás de Piérola, Avenida Inca Garcilaso de la Vega, Avenida 9 de Diciembre, Avenida Grau, Avenida 28 de Julio, Avenida Nicolás Ayllón, Avenida Víctor Raúl Haya de la Torre (Carretera Central)…..”, la cual luego de la evaluación respectiva solo involucra propuesta de trazado, sin incluir estudios básicos de acuerdo al numera 4 de los términos de referencia del Contrato de Consultoría, sin embargo se efectuó un análisis desde el punto de vista de trazado quedando descartado, de acuerdo al  análisis GIS basado en el número  de viajes generados / atraídos por la zona de tráfico en el área de interés de cada pico (HPM, HPT, HV). Se concluye que el equilibrio entre favorecidos y desfavorecidos está a favor de las Alternativas 3, 4 o 5 en lugar de la alternativa indicada, asimismo  la zona del centro de la ciudad ya está mejor conectada con la red de transporte (Cosac y las rutas existentes).</w:t>
      </w:r>
    </w:p>
    <w:p w:rsidR="0056369A" w:rsidRPr="007226D7" w:rsidRDefault="0056369A" w:rsidP="006E6A64">
      <w:pPr>
        <w:pStyle w:val="ListParagraph"/>
        <w:numPr>
          <w:ilvl w:val="0"/>
          <w:numId w:val="17"/>
        </w:numPr>
        <w:rPr>
          <w:lang w:val="es-ES"/>
        </w:rPr>
      </w:pPr>
      <w:r w:rsidRPr="007226D7">
        <w:rPr>
          <w:lang w:val="es-ES"/>
        </w:rPr>
        <w:t>Sobre los párrafos antecedentes expuestos, el Consultor en coordinación con los actores principales ha desarrollado las alternativas viables de trazado, para el desarrollo del estudio a nivel de perfil de la Línea 2 del Metro, según relación:</w:t>
      </w:r>
    </w:p>
    <w:p w:rsidR="007E7005" w:rsidRPr="007226D7" w:rsidRDefault="007E7005" w:rsidP="007E7005">
      <w:pPr>
        <w:rPr>
          <w:lang w:val="es-ES"/>
        </w:rPr>
      </w:pPr>
    </w:p>
    <w:tbl>
      <w:tblPr>
        <w:tblW w:w="4202"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1710"/>
        <w:gridCol w:w="420"/>
        <w:gridCol w:w="2479"/>
        <w:gridCol w:w="3261"/>
      </w:tblGrid>
      <w:tr w:rsidR="007E7005" w:rsidRPr="007226D7" w:rsidTr="00B768A8">
        <w:trPr>
          <w:trHeight w:val="227"/>
          <w:jc w:val="center"/>
        </w:trPr>
        <w:tc>
          <w:tcPr>
            <w:tcW w:w="1086" w:type="pct"/>
            <w:tcBorders>
              <w:top w:val="single" w:sz="4" w:space="0" w:color="auto"/>
              <w:left w:val="single" w:sz="4" w:space="0" w:color="auto"/>
              <w:bottom w:val="single" w:sz="4" w:space="0" w:color="auto"/>
              <w:right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Trazado</w:t>
            </w:r>
          </w:p>
        </w:tc>
        <w:tc>
          <w:tcPr>
            <w:tcW w:w="267" w:type="pct"/>
            <w:tcBorders>
              <w:top w:val="single" w:sz="4" w:space="0" w:color="auto"/>
              <w:left w:val="single" w:sz="4" w:space="0" w:color="auto"/>
              <w:bottom w:val="single" w:sz="4" w:space="0" w:color="auto"/>
              <w:right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N°</w:t>
            </w:r>
          </w:p>
        </w:tc>
        <w:tc>
          <w:tcPr>
            <w:tcW w:w="1575" w:type="pct"/>
            <w:tcBorders>
              <w:top w:val="single" w:sz="4" w:space="0" w:color="auto"/>
              <w:left w:val="single" w:sz="4" w:space="0" w:color="auto"/>
              <w:bottom w:val="single" w:sz="4" w:space="0" w:color="auto"/>
              <w:right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Propuesto</w:t>
            </w:r>
          </w:p>
        </w:tc>
        <w:tc>
          <w:tcPr>
            <w:tcW w:w="2072" w:type="pct"/>
            <w:tcBorders>
              <w:top w:val="single" w:sz="4" w:space="0" w:color="auto"/>
              <w:left w:val="single" w:sz="4" w:space="0" w:color="auto"/>
              <w:bottom w:val="single" w:sz="4" w:space="0" w:color="auto"/>
              <w:right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Observaciones</w:t>
            </w:r>
          </w:p>
        </w:tc>
      </w:tr>
      <w:tr w:rsidR="007E7005" w:rsidRPr="0013314C" w:rsidTr="00B768A8">
        <w:trPr>
          <w:trHeight w:val="227"/>
          <w:jc w:val="center"/>
        </w:trPr>
        <w:tc>
          <w:tcPr>
            <w:tcW w:w="1086" w:type="pct"/>
            <w:tcBorders>
              <w:top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Alternativa</w:t>
            </w:r>
          </w:p>
        </w:tc>
        <w:tc>
          <w:tcPr>
            <w:tcW w:w="267" w:type="pct"/>
            <w:tcBorders>
              <w:top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1</w:t>
            </w:r>
          </w:p>
        </w:tc>
        <w:tc>
          <w:tcPr>
            <w:tcW w:w="1575" w:type="pct"/>
            <w:tcBorders>
              <w:top w:val="single" w:sz="4" w:space="0" w:color="auto"/>
            </w:tcBorders>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TdR - Proinversion</w:t>
            </w:r>
          </w:p>
        </w:tc>
        <w:tc>
          <w:tcPr>
            <w:tcW w:w="2072" w:type="pct"/>
            <w:tcBorders>
              <w:top w:val="single" w:sz="4" w:space="0" w:color="auto"/>
            </w:tcBorders>
            <w:vAlign w:val="center"/>
          </w:tcPr>
          <w:p w:rsidR="007E7005" w:rsidRPr="007226D7" w:rsidRDefault="007E7005" w:rsidP="00B768A8">
            <w:pPr>
              <w:spacing w:after="0" w:line="240" w:lineRule="auto"/>
              <w:jc w:val="center"/>
              <w:rPr>
                <w:rFonts w:cs="Arial"/>
                <w:sz w:val="18"/>
                <w:szCs w:val="18"/>
                <w:lang w:val="es-ES" w:eastAsia="es-PE"/>
              </w:rPr>
            </w:pPr>
            <w:r w:rsidRPr="007226D7">
              <w:rPr>
                <w:rFonts w:cs="Arial"/>
                <w:sz w:val="18"/>
                <w:szCs w:val="18"/>
                <w:lang w:val="es-ES" w:eastAsia="es-PE"/>
              </w:rPr>
              <w:t>Conexión en Y en Faucett</w:t>
            </w:r>
          </w:p>
        </w:tc>
      </w:tr>
      <w:tr w:rsidR="007E7005" w:rsidRPr="0013314C" w:rsidTr="00B768A8">
        <w:trPr>
          <w:trHeight w:val="227"/>
          <w:jc w:val="center"/>
        </w:trPr>
        <w:tc>
          <w:tcPr>
            <w:tcW w:w="1086"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Alternativa</w:t>
            </w:r>
          </w:p>
        </w:tc>
        <w:tc>
          <w:tcPr>
            <w:tcW w:w="267"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2</w:t>
            </w:r>
          </w:p>
        </w:tc>
        <w:tc>
          <w:tcPr>
            <w:tcW w:w="1575"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TdR - Proinversion</w:t>
            </w:r>
          </w:p>
        </w:tc>
        <w:tc>
          <w:tcPr>
            <w:tcW w:w="2072" w:type="pct"/>
            <w:vAlign w:val="center"/>
          </w:tcPr>
          <w:p w:rsidR="007E7005" w:rsidRPr="007226D7" w:rsidRDefault="007E7005" w:rsidP="00B768A8">
            <w:pPr>
              <w:spacing w:after="0" w:line="240" w:lineRule="auto"/>
              <w:jc w:val="center"/>
              <w:rPr>
                <w:rFonts w:cs="Arial"/>
                <w:sz w:val="18"/>
                <w:szCs w:val="18"/>
                <w:lang w:val="es-ES" w:eastAsia="es-PE"/>
              </w:rPr>
            </w:pPr>
            <w:r w:rsidRPr="007226D7">
              <w:rPr>
                <w:rFonts w:cs="Arial"/>
                <w:sz w:val="18"/>
                <w:szCs w:val="18"/>
                <w:lang w:val="es-ES" w:eastAsia="es-PE"/>
              </w:rPr>
              <w:t>Conexión en Y en Faucett</w:t>
            </w:r>
          </w:p>
        </w:tc>
      </w:tr>
      <w:tr w:rsidR="007E7005" w:rsidRPr="0013314C" w:rsidTr="00B768A8">
        <w:trPr>
          <w:trHeight w:val="227"/>
          <w:jc w:val="center"/>
        </w:trPr>
        <w:tc>
          <w:tcPr>
            <w:tcW w:w="1086"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Alternativa</w:t>
            </w:r>
          </w:p>
        </w:tc>
        <w:tc>
          <w:tcPr>
            <w:tcW w:w="267"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3</w:t>
            </w:r>
          </w:p>
        </w:tc>
        <w:tc>
          <w:tcPr>
            <w:tcW w:w="1575"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TdR - Proinversion</w:t>
            </w:r>
          </w:p>
        </w:tc>
        <w:tc>
          <w:tcPr>
            <w:tcW w:w="2072" w:type="pct"/>
            <w:vAlign w:val="center"/>
          </w:tcPr>
          <w:p w:rsidR="007E7005" w:rsidRPr="007226D7" w:rsidRDefault="007E7005" w:rsidP="00B768A8">
            <w:pPr>
              <w:spacing w:after="0" w:line="240" w:lineRule="auto"/>
              <w:jc w:val="center"/>
              <w:rPr>
                <w:rFonts w:cs="Arial"/>
                <w:sz w:val="18"/>
                <w:szCs w:val="18"/>
                <w:lang w:val="es-ES" w:eastAsia="es-PE"/>
              </w:rPr>
            </w:pPr>
            <w:r w:rsidRPr="007226D7">
              <w:rPr>
                <w:rFonts w:cs="Arial"/>
                <w:sz w:val="18"/>
                <w:szCs w:val="18"/>
                <w:lang w:val="es-ES" w:eastAsia="es-PE"/>
              </w:rPr>
              <w:t>Conexión en Y en Faucett</w:t>
            </w:r>
          </w:p>
        </w:tc>
      </w:tr>
      <w:tr w:rsidR="007E7005" w:rsidRPr="0013314C" w:rsidTr="00B768A8">
        <w:trPr>
          <w:trHeight w:val="227"/>
          <w:jc w:val="center"/>
        </w:trPr>
        <w:tc>
          <w:tcPr>
            <w:tcW w:w="1086"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Alternativa</w:t>
            </w:r>
          </w:p>
        </w:tc>
        <w:tc>
          <w:tcPr>
            <w:tcW w:w="267"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4</w:t>
            </w:r>
          </w:p>
        </w:tc>
        <w:tc>
          <w:tcPr>
            <w:tcW w:w="1575"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Geodata</w:t>
            </w:r>
          </w:p>
        </w:tc>
        <w:tc>
          <w:tcPr>
            <w:tcW w:w="2072" w:type="pct"/>
            <w:vAlign w:val="center"/>
          </w:tcPr>
          <w:p w:rsidR="007E7005" w:rsidRPr="007226D7" w:rsidRDefault="007E7005" w:rsidP="00B768A8">
            <w:pPr>
              <w:spacing w:after="0" w:line="240" w:lineRule="auto"/>
              <w:jc w:val="center"/>
              <w:rPr>
                <w:rFonts w:cs="Arial"/>
                <w:sz w:val="18"/>
                <w:szCs w:val="18"/>
                <w:lang w:val="es-ES" w:eastAsia="es-PE"/>
              </w:rPr>
            </w:pPr>
            <w:r w:rsidRPr="007226D7">
              <w:rPr>
                <w:rFonts w:cs="Arial"/>
                <w:sz w:val="18"/>
                <w:szCs w:val="18"/>
                <w:lang w:val="es-ES" w:eastAsia="es-PE"/>
              </w:rPr>
              <w:t>Conexión en X en Faucett</w:t>
            </w:r>
          </w:p>
        </w:tc>
      </w:tr>
      <w:tr w:rsidR="007E7005" w:rsidRPr="0013314C" w:rsidTr="00B768A8">
        <w:trPr>
          <w:trHeight w:val="227"/>
          <w:jc w:val="center"/>
        </w:trPr>
        <w:tc>
          <w:tcPr>
            <w:tcW w:w="1086"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Alternativa</w:t>
            </w:r>
          </w:p>
        </w:tc>
        <w:tc>
          <w:tcPr>
            <w:tcW w:w="267"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5</w:t>
            </w:r>
          </w:p>
        </w:tc>
        <w:tc>
          <w:tcPr>
            <w:tcW w:w="1575" w:type="pct"/>
            <w:vAlign w:val="center"/>
          </w:tcPr>
          <w:p w:rsidR="007E7005" w:rsidRPr="007226D7" w:rsidRDefault="007E7005" w:rsidP="00B768A8">
            <w:pPr>
              <w:spacing w:after="0" w:line="240" w:lineRule="auto"/>
              <w:jc w:val="center"/>
              <w:rPr>
                <w:rFonts w:cs="Arial"/>
                <w:sz w:val="18"/>
                <w:szCs w:val="18"/>
                <w:lang w:eastAsia="es-PE"/>
              </w:rPr>
            </w:pPr>
            <w:r w:rsidRPr="007226D7">
              <w:rPr>
                <w:rFonts w:cs="Arial"/>
                <w:sz w:val="18"/>
                <w:szCs w:val="18"/>
                <w:lang w:eastAsia="es-PE"/>
              </w:rPr>
              <w:t>AATE</w:t>
            </w:r>
          </w:p>
        </w:tc>
        <w:tc>
          <w:tcPr>
            <w:tcW w:w="2072" w:type="pct"/>
            <w:vAlign w:val="center"/>
          </w:tcPr>
          <w:p w:rsidR="007E7005" w:rsidRPr="007226D7" w:rsidRDefault="007E7005" w:rsidP="00B768A8">
            <w:pPr>
              <w:spacing w:after="0" w:line="240" w:lineRule="auto"/>
              <w:jc w:val="center"/>
              <w:rPr>
                <w:rFonts w:cs="Arial"/>
                <w:sz w:val="18"/>
                <w:szCs w:val="18"/>
                <w:lang w:val="es-ES" w:eastAsia="es-PE"/>
              </w:rPr>
            </w:pPr>
            <w:r w:rsidRPr="007226D7">
              <w:rPr>
                <w:rFonts w:cs="Arial"/>
                <w:sz w:val="18"/>
                <w:szCs w:val="18"/>
                <w:lang w:val="es-ES" w:eastAsia="es-PE"/>
              </w:rPr>
              <w:t>Conexión en X en Faucett</w:t>
            </w:r>
          </w:p>
        </w:tc>
      </w:tr>
    </w:tbl>
    <w:p w:rsidR="007E7005" w:rsidRPr="007226D7" w:rsidRDefault="007E7005" w:rsidP="007E7005">
      <w:pPr>
        <w:rPr>
          <w:lang w:val="es-ES"/>
        </w:rPr>
      </w:pPr>
    </w:p>
    <w:p w:rsidR="007E7005" w:rsidRPr="007226D7" w:rsidRDefault="007E7005" w:rsidP="007E7005">
      <w:pPr>
        <w:rPr>
          <w:lang w:val="es-ES"/>
        </w:rPr>
      </w:pPr>
    </w:p>
    <w:p w:rsidR="007E7005" w:rsidRPr="007226D7" w:rsidRDefault="007E7005" w:rsidP="007E7005">
      <w:pPr>
        <w:rPr>
          <w:lang w:val="es-ES"/>
        </w:rPr>
      </w:pPr>
    </w:p>
    <w:p w:rsidR="0056369A" w:rsidRPr="007226D7" w:rsidRDefault="0056369A">
      <w:pPr>
        <w:spacing w:after="0" w:line="240" w:lineRule="auto"/>
        <w:jc w:val="left"/>
        <w:rPr>
          <w:lang w:val="es-ES"/>
        </w:rPr>
      </w:pPr>
      <w:r w:rsidRPr="007226D7">
        <w:rPr>
          <w:lang w:val="es-ES"/>
        </w:rPr>
        <w:br w:type="page"/>
      </w:r>
    </w:p>
    <w:p w:rsidR="0056369A" w:rsidRPr="007226D7" w:rsidRDefault="0056369A" w:rsidP="00864A87">
      <w:pPr>
        <w:pStyle w:val="Heading1"/>
        <w:rPr>
          <w:lang w:val="es-ES"/>
        </w:rPr>
      </w:pPr>
      <w:bookmarkStart w:id="19" w:name="_Toc346541909"/>
      <w:r w:rsidRPr="007226D7">
        <w:rPr>
          <w:lang w:val="es-ES"/>
        </w:rPr>
        <w:lastRenderedPageBreak/>
        <w:t>IDENTIFICACIÓN</w:t>
      </w:r>
      <w:bookmarkEnd w:id="19"/>
    </w:p>
    <w:p w:rsidR="0056369A" w:rsidRPr="007226D7" w:rsidRDefault="0056369A" w:rsidP="00864A87">
      <w:pPr>
        <w:pStyle w:val="Heading2"/>
        <w:rPr>
          <w:lang w:val="es-ES"/>
        </w:rPr>
      </w:pPr>
      <w:bookmarkStart w:id="20" w:name="_Toc346541910"/>
      <w:r w:rsidRPr="007226D7">
        <w:rPr>
          <w:lang w:val="es-ES"/>
        </w:rPr>
        <w:t>Diagnóstico de la situación actual</w:t>
      </w:r>
      <w:bookmarkEnd w:id="20"/>
    </w:p>
    <w:p w:rsidR="0056369A" w:rsidRPr="007226D7" w:rsidRDefault="0056369A" w:rsidP="00864A87">
      <w:pPr>
        <w:pStyle w:val="Heading3"/>
        <w:rPr>
          <w:lang w:val="es-ES"/>
        </w:rPr>
      </w:pPr>
      <w:bookmarkStart w:id="21" w:name="_Toc346541911"/>
      <w:r w:rsidRPr="007226D7">
        <w:rPr>
          <w:lang w:val="es-ES"/>
        </w:rPr>
        <w:t>Área de influencia del proyecto y población afectada</w:t>
      </w:r>
      <w:bookmarkEnd w:id="21"/>
    </w:p>
    <w:p w:rsidR="0056369A" w:rsidRPr="007226D7" w:rsidRDefault="0056369A" w:rsidP="0056369A">
      <w:pPr>
        <w:rPr>
          <w:lang w:val="es-ES"/>
        </w:rPr>
      </w:pPr>
      <w:r w:rsidRPr="007226D7">
        <w:rPr>
          <w:lang w:val="es-ES"/>
        </w:rPr>
        <w:t>La definición y la determinación del área de influencia del Proyecto, se sustenta por las consideraciones de carácter ambiental y social que justifican la interrelación de las actividades de construcción y las actividades de conservación y operación del pr</w:t>
      </w:r>
      <w:r w:rsidR="00864A87" w:rsidRPr="007226D7">
        <w:rPr>
          <w:lang w:val="es-ES"/>
        </w:rPr>
        <w:t>oyecto.</w:t>
      </w:r>
    </w:p>
    <w:p w:rsidR="0056369A" w:rsidRPr="007226D7" w:rsidRDefault="0056369A" w:rsidP="0056369A">
      <w:pPr>
        <w:rPr>
          <w:lang w:val="es-ES"/>
        </w:rPr>
      </w:pPr>
      <w:r w:rsidRPr="007226D7">
        <w:rPr>
          <w:lang w:val="es-ES"/>
        </w:rPr>
        <w:t>El Área de Influencia del estudio está constituida, por todas las áreas que se articulan a nivel distrital por efecto de la construcción e implementación del Proyecto; por lo que se determina el escenario geográfico donde tienen lugar las diferentes interacciones físicas, biológicas y socioeconómicas y que obedecen a la generación de actividades encadenadas que confluyen en el uso de los recursos, la población y los patrones de desarrollo existentes, incorporando a todas las áreas regionales como parte del área de influencia.</w:t>
      </w:r>
    </w:p>
    <w:p w:rsidR="0056369A" w:rsidRPr="007226D7" w:rsidRDefault="0056369A" w:rsidP="0056369A">
      <w:pPr>
        <w:rPr>
          <w:lang w:val="es-ES"/>
        </w:rPr>
      </w:pPr>
      <w:r w:rsidRPr="007226D7">
        <w:rPr>
          <w:lang w:val="es-ES"/>
        </w:rPr>
        <w:t>Los distritos que pertenecen al área de influencia se present</w:t>
      </w:r>
      <w:r w:rsidR="00864A87" w:rsidRPr="007226D7">
        <w:rPr>
          <w:lang w:val="es-ES"/>
        </w:rPr>
        <w:t>an la tabla y figura siguiente.</w:t>
      </w:r>
    </w:p>
    <w:p w:rsidR="0056369A" w:rsidRPr="007226D7" w:rsidRDefault="0056369A" w:rsidP="00864A87">
      <w:pPr>
        <w:pStyle w:val="Figuras"/>
      </w:pPr>
      <w:r w:rsidRPr="007226D7">
        <w:t>Tabla 3.1-1 Red Básica del Metro de Lima</w:t>
      </w:r>
    </w:p>
    <w:tbl>
      <w:tblPr>
        <w:tblW w:w="4520" w:type="dxa"/>
        <w:jc w:val="center"/>
        <w:tblInd w:w="56" w:type="dxa"/>
        <w:tblCellMar>
          <w:left w:w="70" w:type="dxa"/>
          <w:right w:w="70" w:type="dxa"/>
        </w:tblCellMar>
        <w:tblLook w:val="04A0" w:firstRow="1" w:lastRow="0" w:firstColumn="1" w:lastColumn="0" w:noHBand="0" w:noVBand="1"/>
      </w:tblPr>
      <w:tblGrid>
        <w:gridCol w:w="1200"/>
        <w:gridCol w:w="1700"/>
        <w:gridCol w:w="1620"/>
      </w:tblGrid>
      <w:tr w:rsidR="00864A87" w:rsidRPr="007226D7" w:rsidTr="00B768A8">
        <w:trPr>
          <w:trHeight w:val="25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99CCFF"/>
            <w:vAlign w:val="center"/>
          </w:tcPr>
          <w:p w:rsidR="00864A87" w:rsidRPr="007226D7" w:rsidRDefault="00864A87" w:rsidP="00B768A8">
            <w:pPr>
              <w:spacing w:after="0" w:line="240" w:lineRule="auto"/>
              <w:jc w:val="center"/>
              <w:rPr>
                <w:rFonts w:ascii="Arial Narrow" w:hAnsi="Arial Narrow" w:cs="Arial"/>
                <w:b/>
                <w:bCs/>
                <w:color w:val="000000"/>
                <w:sz w:val="20"/>
                <w:lang w:val="es-MX" w:eastAsia="es-MX"/>
              </w:rPr>
            </w:pPr>
            <w:r w:rsidRPr="007226D7">
              <w:rPr>
                <w:rFonts w:ascii="Arial Narrow" w:hAnsi="Arial Narrow" w:cs="Arial"/>
                <w:b/>
                <w:bCs/>
                <w:color w:val="000000"/>
                <w:sz w:val="20"/>
                <w:lang w:eastAsia="es-MX"/>
              </w:rPr>
              <w:t xml:space="preserve">Provincia </w:t>
            </w:r>
          </w:p>
        </w:tc>
        <w:tc>
          <w:tcPr>
            <w:tcW w:w="1700" w:type="dxa"/>
            <w:vMerge w:val="restart"/>
            <w:tcBorders>
              <w:top w:val="single" w:sz="4" w:space="0" w:color="auto"/>
              <w:left w:val="single" w:sz="4" w:space="0" w:color="auto"/>
              <w:bottom w:val="single" w:sz="4" w:space="0" w:color="auto"/>
              <w:right w:val="nil"/>
            </w:tcBorders>
            <w:shd w:val="clear" w:color="auto" w:fill="99CCFF"/>
            <w:vAlign w:val="center"/>
          </w:tcPr>
          <w:p w:rsidR="00864A87" w:rsidRPr="007226D7" w:rsidRDefault="00864A87" w:rsidP="00B768A8">
            <w:pPr>
              <w:spacing w:after="0" w:line="240" w:lineRule="auto"/>
              <w:jc w:val="center"/>
              <w:rPr>
                <w:rFonts w:ascii="Arial Narrow" w:hAnsi="Arial Narrow" w:cs="Arial"/>
                <w:b/>
                <w:bCs/>
                <w:color w:val="000000"/>
                <w:sz w:val="20"/>
                <w:lang w:val="es-MX" w:eastAsia="es-MX"/>
              </w:rPr>
            </w:pPr>
            <w:r w:rsidRPr="007226D7">
              <w:rPr>
                <w:rFonts w:ascii="Arial Narrow" w:hAnsi="Arial Narrow" w:cs="Arial"/>
                <w:b/>
                <w:bCs/>
                <w:color w:val="000000"/>
                <w:sz w:val="20"/>
                <w:lang w:eastAsia="es-MX"/>
              </w:rPr>
              <w:t xml:space="preserve">Distritos </w:t>
            </w:r>
          </w:p>
        </w:tc>
        <w:tc>
          <w:tcPr>
            <w:tcW w:w="1620" w:type="dxa"/>
            <w:tcBorders>
              <w:top w:val="single" w:sz="4" w:space="0" w:color="auto"/>
              <w:left w:val="single" w:sz="4" w:space="0" w:color="auto"/>
              <w:bottom w:val="nil"/>
              <w:right w:val="single" w:sz="4" w:space="0" w:color="auto"/>
            </w:tcBorders>
            <w:shd w:val="clear" w:color="auto" w:fill="99CCFF"/>
            <w:vAlign w:val="center"/>
          </w:tcPr>
          <w:p w:rsidR="00864A87" w:rsidRPr="007226D7" w:rsidRDefault="00864A87" w:rsidP="00B768A8">
            <w:pPr>
              <w:spacing w:after="0" w:line="240" w:lineRule="auto"/>
              <w:jc w:val="center"/>
              <w:rPr>
                <w:rFonts w:ascii="Arial Narrow" w:hAnsi="Arial Narrow" w:cs="Arial"/>
                <w:b/>
                <w:bCs/>
                <w:color w:val="000000"/>
                <w:sz w:val="20"/>
                <w:lang w:val="es-MX" w:eastAsia="es-MX"/>
              </w:rPr>
            </w:pPr>
            <w:r w:rsidRPr="007226D7">
              <w:rPr>
                <w:rFonts w:ascii="Arial Narrow" w:hAnsi="Arial Narrow" w:cs="Arial"/>
                <w:b/>
                <w:bCs/>
                <w:color w:val="000000"/>
                <w:sz w:val="20"/>
                <w:lang w:eastAsia="es-MX"/>
              </w:rPr>
              <w:t>Superficie</w:t>
            </w:r>
          </w:p>
        </w:tc>
      </w:tr>
      <w:tr w:rsidR="00864A87" w:rsidRPr="007226D7" w:rsidTr="00B768A8">
        <w:trPr>
          <w:trHeight w:val="255"/>
          <w:jc w:val="center"/>
        </w:trPr>
        <w:tc>
          <w:tcPr>
            <w:tcW w:w="1200" w:type="dxa"/>
            <w:vMerge/>
            <w:tcBorders>
              <w:top w:val="single" w:sz="4" w:space="0" w:color="auto"/>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b/>
                <w:bCs/>
                <w:color w:val="000000"/>
                <w:sz w:val="20"/>
                <w:lang w:val="es-MX" w:eastAsia="es-MX"/>
              </w:rPr>
            </w:pPr>
          </w:p>
        </w:tc>
        <w:tc>
          <w:tcPr>
            <w:tcW w:w="1700" w:type="dxa"/>
            <w:vMerge/>
            <w:tcBorders>
              <w:top w:val="single" w:sz="4" w:space="0" w:color="auto"/>
              <w:left w:val="single" w:sz="4" w:space="0" w:color="auto"/>
              <w:bottom w:val="single" w:sz="4" w:space="0" w:color="auto"/>
              <w:right w:val="nil"/>
            </w:tcBorders>
            <w:vAlign w:val="center"/>
          </w:tcPr>
          <w:p w:rsidR="00864A87" w:rsidRPr="007226D7" w:rsidRDefault="00864A87" w:rsidP="00B768A8">
            <w:pPr>
              <w:spacing w:after="0" w:line="240" w:lineRule="auto"/>
              <w:jc w:val="left"/>
              <w:rPr>
                <w:rFonts w:ascii="Arial Narrow" w:hAnsi="Arial Narrow" w:cs="Arial"/>
                <w:b/>
                <w:bCs/>
                <w:color w:val="000000"/>
                <w:sz w:val="20"/>
                <w:lang w:val="es-MX" w:eastAsia="es-MX"/>
              </w:rPr>
            </w:pPr>
          </w:p>
        </w:tc>
        <w:tc>
          <w:tcPr>
            <w:tcW w:w="1620" w:type="dxa"/>
            <w:tcBorders>
              <w:top w:val="nil"/>
              <w:left w:val="single" w:sz="4" w:space="0" w:color="auto"/>
              <w:bottom w:val="single" w:sz="4" w:space="0" w:color="auto"/>
              <w:right w:val="single" w:sz="4" w:space="0" w:color="auto"/>
            </w:tcBorders>
            <w:shd w:val="clear" w:color="auto" w:fill="99CCFF"/>
            <w:vAlign w:val="center"/>
          </w:tcPr>
          <w:p w:rsidR="00864A87" w:rsidRPr="007226D7" w:rsidRDefault="00864A87" w:rsidP="00B768A8">
            <w:pPr>
              <w:spacing w:after="0" w:line="240" w:lineRule="auto"/>
              <w:jc w:val="center"/>
              <w:rPr>
                <w:rFonts w:ascii="Arial Narrow" w:hAnsi="Arial Narrow" w:cs="Arial"/>
                <w:b/>
                <w:bCs/>
                <w:color w:val="000000"/>
                <w:sz w:val="20"/>
                <w:lang w:val="es-MX" w:eastAsia="es-MX"/>
              </w:rPr>
            </w:pPr>
            <w:r w:rsidRPr="007226D7">
              <w:rPr>
                <w:rFonts w:ascii="Arial Narrow" w:hAnsi="Arial Narrow" w:cs="Arial"/>
                <w:b/>
                <w:bCs/>
                <w:color w:val="000000"/>
                <w:sz w:val="20"/>
                <w:lang w:val="es-MX" w:eastAsia="es-MX"/>
              </w:rPr>
              <w:t>km²</w:t>
            </w:r>
          </w:p>
        </w:tc>
      </w:tr>
      <w:tr w:rsidR="00864A87" w:rsidRPr="007226D7" w:rsidTr="00B768A8">
        <w:trPr>
          <w:trHeight w:val="255"/>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Lima</w:t>
            </w: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Ate Vitarte</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77.72</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proofErr w:type="gramStart"/>
            <w:r w:rsidRPr="007226D7">
              <w:rPr>
                <w:rFonts w:ascii="Arial Narrow" w:hAnsi="Arial Narrow" w:cs="Arial"/>
                <w:color w:val="000000"/>
                <w:sz w:val="20"/>
                <w:lang w:eastAsia="es-MX"/>
              </w:rPr>
              <w:t xml:space="preserve">Santa </w:t>
            </w:r>
            <w:proofErr w:type="gramEnd"/>
            <w:r w:rsidRPr="007226D7">
              <w:rPr>
                <w:rFonts w:ascii="Arial Narrow" w:hAnsi="Arial Narrow" w:cs="Arial"/>
                <w:color w:val="000000"/>
                <w:sz w:val="20"/>
                <w:lang w:eastAsia="es-MX"/>
              </w:rPr>
              <w:t>Anita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10.69</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San Luis</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3.49</w:t>
            </w:r>
          </w:p>
        </w:tc>
      </w:tr>
      <w:tr w:rsidR="00864A87" w:rsidRPr="007226D7" w:rsidTr="00B768A8">
        <w:trPr>
          <w:trHeight w:val="270"/>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El Agustino</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12.54</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La Victoria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8.74</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Breña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3.22</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Jesús María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4.57</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Cercado De Lima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21.98</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San Miguel</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10.72</w:t>
            </w:r>
          </w:p>
        </w:tc>
      </w:tr>
      <w:tr w:rsidR="00864A87" w:rsidRPr="007226D7" w:rsidTr="00B768A8">
        <w:trPr>
          <w:trHeight w:val="255"/>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Callao</w:t>
            </w: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La Perla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2.75</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Bellavista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4.56</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Carmen de la Legua</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2.12</w:t>
            </w:r>
          </w:p>
        </w:tc>
      </w:tr>
      <w:tr w:rsidR="00864A87" w:rsidRPr="007226D7" w:rsidTr="00B768A8">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864A87" w:rsidRPr="007226D7" w:rsidRDefault="00864A87" w:rsidP="00B768A8">
            <w:pPr>
              <w:spacing w:after="0" w:line="240" w:lineRule="auto"/>
              <w:jc w:val="left"/>
              <w:rPr>
                <w:rFonts w:ascii="Arial Narrow" w:hAnsi="Arial Narrow" w:cs="Arial"/>
                <w:color w:val="000000"/>
                <w:sz w:val="20"/>
                <w:lang w:val="es-MX" w:eastAsia="es-MX"/>
              </w:rPr>
            </w:pPr>
          </w:p>
        </w:tc>
        <w:tc>
          <w:tcPr>
            <w:tcW w:w="170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rPr>
                <w:rFonts w:ascii="Arial Narrow" w:hAnsi="Arial Narrow" w:cs="Arial"/>
                <w:color w:val="000000"/>
                <w:sz w:val="20"/>
                <w:lang w:val="es-MX" w:eastAsia="es-MX"/>
              </w:rPr>
            </w:pPr>
            <w:r w:rsidRPr="007226D7">
              <w:rPr>
                <w:rFonts w:ascii="Arial Narrow" w:hAnsi="Arial Narrow" w:cs="Arial"/>
                <w:color w:val="000000"/>
                <w:sz w:val="20"/>
                <w:lang w:eastAsia="es-MX"/>
              </w:rPr>
              <w:t>Cercado Del Callao</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color w:val="000000"/>
                <w:sz w:val="20"/>
                <w:lang w:val="es-MX" w:eastAsia="es-MX"/>
              </w:rPr>
            </w:pPr>
            <w:r w:rsidRPr="007226D7">
              <w:rPr>
                <w:rFonts w:ascii="Arial Narrow" w:hAnsi="Arial Narrow" w:cs="Arial"/>
                <w:color w:val="000000"/>
                <w:sz w:val="20"/>
                <w:lang w:eastAsia="es-MX"/>
              </w:rPr>
              <w:t>45.65</w:t>
            </w:r>
          </w:p>
        </w:tc>
      </w:tr>
      <w:tr w:rsidR="00864A87" w:rsidRPr="007226D7" w:rsidTr="00B768A8">
        <w:trPr>
          <w:trHeight w:val="255"/>
          <w:jc w:val="center"/>
        </w:trPr>
        <w:tc>
          <w:tcPr>
            <w:tcW w:w="29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b/>
                <w:color w:val="000000"/>
                <w:sz w:val="20"/>
                <w:lang w:val="es-MX" w:eastAsia="es-MX"/>
              </w:rPr>
            </w:pPr>
            <w:r w:rsidRPr="007226D7">
              <w:rPr>
                <w:rFonts w:ascii="Arial Narrow" w:hAnsi="Arial Narrow" w:cs="Arial"/>
                <w:b/>
                <w:color w:val="000000"/>
                <w:sz w:val="20"/>
                <w:lang w:eastAsia="es-MX"/>
              </w:rPr>
              <w:t>Total</w:t>
            </w:r>
          </w:p>
        </w:tc>
        <w:tc>
          <w:tcPr>
            <w:tcW w:w="1620" w:type="dxa"/>
            <w:tcBorders>
              <w:top w:val="nil"/>
              <w:left w:val="nil"/>
              <w:bottom w:val="single" w:sz="4" w:space="0" w:color="auto"/>
              <w:right w:val="single" w:sz="4" w:space="0" w:color="auto"/>
            </w:tcBorders>
            <w:shd w:val="clear" w:color="auto" w:fill="auto"/>
            <w:vAlign w:val="bottom"/>
          </w:tcPr>
          <w:p w:rsidR="00864A87" w:rsidRPr="007226D7" w:rsidRDefault="00864A87" w:rsidP="00B768A8">
            <w:pPr>
              <w:spacing w:after="0" w:line="240" w:lineRule="auto"/>
              <w:jc w:val="center"/>
              <w:rPr>
                <w:rFonts w:ascii="Arial Narrow" w:hAnsi="Arial Narrow" w:cs="Arial"/>
                <w:b/>
                <w:color w:val="000000"/>
                <w:sz w:val="20"/>
                <w:lang w:val="es-MX" w:eastAsia="es-MX"/>
              </w:rPr>
            </w:pPr>
            <w:r w:rsidRPr="007226D7">
              <w:rPr>
                <w:rFonts w:ascii="Arial Narrow" w:hAnsi="Arial Narrow" w:cs="Arial"/>
                <w:b/>
                <w:color w:val="000000"/>
                <w:sz w:val="20"/>
                <w:lang w:eastAsia="es-MX"/>
              </w:rPr>
              <w:t>445.22</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Entre los criterios generales considerados en la definición del área de influencia, se citan los siguientes:</w:t>
      </w:r>
    </w:p>
    <w:p w:rsidR="0056369A" w:rsidRPr="007226D7" w:rsidRDefault="0056369A" w:rsidP="006E6A64">
      <w:pPr>
        <w:pStyle w:val="ListParagraph"/>
        <w:numPr>
          <w:ilvl w:val="0"/>
          <w:numId w:val="17"/>
        </w:numPr>
        <w:rPr>
          <w:lang w:val="es-ES"/>
        </w:rPr>
      </w:pPr>
      <w:r w:rsidRPr="007226D7">
        <w:rPr>
          <w:lang w:val="es-ES"/>
        </w:rPr>
        <w:t>Red vial vinculada al proyecto</w:t>
      </w:r>
    </w:p>
    <w:p w:rsidR="0056369A" w:rsidRPr="007226D7" w:rsidRDefault="0056369A" w:rsidP="006E6A64">
      <w:pPr>
        <w:pStyle w:val="ListParagraph"/>
        <w:numPr>
          <w:ilvl w:val="0"/>
          <w:numId w:val="17"/>
        </w:numPr>
        <w:rPr>
          <w:lang w:val="es-ES"/>
        </w:rPr>
      </w:pPr>
      <w:r w:rsidRPr="007226D7">
        <w:rPr>
          <w:lang w:val="es-ES"/>
        </w:rPr>
        <w:t>Composición y ordenamiento geopolítico (límites distritales) que constituyen el escenario político administrativo entre cuyos límites inciden presiones demográficas, efectos comerciales y conectividad interdistrital;</w:t>
      </w:r>
    </w:p>
    <w:p w:rsidR="0056369A" w:rsidRPr="007226D7" w:rsidRDefault="0056369A" w:rsidP="006E6A64">
      <w:pPr>
        <w:pStyle w:val="ListParagraph"/>
        <w:numPr>
          <w:ilvl w:val="0"/>
          <w:numId w:val="17"/>
        </w:numPr>
        <w:rPr>
          <w:lang w:val="es-ES"/>
        </w:rPr>
      </w:pPr>
      <w:r w:rsidRPr="007226D7">
        <w:rPr>
          <w:lang w:val="es-ES"/>
        </w:rPr>
        <w:t>Las áreas urbanas que se encuentran próximas a las instalaciones del Proyecto</w:t>
      </w:r>
    </w:p>
    <w:p w:rsidR="0056369A" w:rsidRPr="007226D7" w:rsidRDefault="0056369A" w:rsidP="006E6A64">
      <w:pPr>
        <w:pStyle w:val="ListParagraph"/>
        <w:numPr>
          <w:ilvl w:val="0"/>
          <w:numId w:val="17"/>
        </w:numPr>
        <w:rPr>
          <w:lang w:val="es-ES"/>
        </w:rPr>
      </w:pPr>
      <w:r w:rsidRPr="007226D7">
        <w:rPr>
          <w:lang w:val="es-ES"/>
        </w:rPr>
        <w:t>Presencia de población vulnerable a los efectos de la operación de la vía.</w:t>
      </w:r>
    </w:p>
    <w:p w:rsidR="00864A87" w:rsidRPr="007226D7" w:rsidRDefault="00864A87" w:rsidP="00864A87">
      <w:r w:rsidRPr="007226D7">
        <w:rPr>
          <w:noProof/>
          <w:lang w:val="en-US" w:eastAsia="en-US"/>
        </w:rPr>
        <w:lastRenderedPageBreak/>
        <w:drawing>
          <wp:inline distT="0" distB="0" distL="0" distR="0" wp14:anchorId="2AE51BF0" wp14:editId="326D8368">
            <wp:extent cx="5937885" cy="2612390"/>
            <wp:effectExtent l="0" t="0" r="0" b="0"/>
            <wp:docPr id="4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7885" cy="2612390"/>
                    </a:xfrm>
                    <a:prstGeom prst="rect">
                      <a:avLst/>
                    </a:prstGeom>
                    <a:noFill/>
                    <a:ln>
                      <a:noFill/>
                    </a:ln>
                  </pic:spPr>
                </pic:pic>
              </a:graphicData>
            </a:graphic>
          </wp:inline>
        </w:drawing>
      </w:r>
    </w:p>
    <w:p w:rsidR="0056369A" w:rsidRPr="007226D7" w:rsidRDefault="0056369A" w:rsidP="00864A87">
      <w:pPr>
        <w:pStyle w:val="Figuras"/>
      </w:pPr>
      <w:proofErr w:type="gramStart"/>
      <w:r w:rsidRPr="007226D7">
        <w:t>Figura</w:t>
      </w:r>
      <w:proofErr w:type="gramEnd"/>
      <w:r w:rsidRPr="007226D7">
        <w:t xml:space="preserve"> 3.1-1 Distritos del área de influencia del proyecto</w:t>
      </w:r>
    </w:p>
    <w:p w:rsidR="0056369A" w:rsidRPr="007226D7" w:rsidRDefault="0056369A" w:rsidP="00864A87">
      <w:pPr>
        <w:pStyle w:val="Heading4"/>
        <w:rPr>
          <w:lang w:val="es-ES"/>
        </w:rPr>
      </w:pPr>
      <w:r w:rsidRPr="007226D7">
        <w:rPr>
          <w:lang w:val="es-ES"/>
        </w:rPr>
        <w:t xml:space="preserve">Características </w:t>
      </w:r>
      <w:r w:rsidR="00E41450" w:rsidRPr="007226D7">
        <w:rPr>
          <w:lang w:val="es-ES"/>
        </w:rPr>
        <w:t>físicas</w:t>
      </w:r>
    </w:p>
    <w:p w:rsidR="0056369A" w:rsidRPr="007226D7" w:rsidRDefault="0056369A" w:rsidP="00B768A8">
      <w:pPr>
        <w:pStyle w:val="Heading5"/>
        <w:rPr>
          <w:lang w:val="es-ES"/>
        </w:rPr>
      </w:pPr>
      <w:r w:rsidRPr="007226D7">
        <w:rPr>
          <w:lang w:val="es-ES"/>
        </w:rPr>
        <w:t>Distribución geográfica de la población</w:t>
      </w:r>
    </w:p>
    <w:p w:rsidR="0056369A" w:rsidRPr="007226D7" w:rsidRDefault="0056369A" w:rsidP="0056369A">
      <w:pPr>
        <w:rPr>
          <w:lang w:val="es-ES"/>
        </w:rPr>
      </w:pPr>
      <w:r w:rsidRPr="007226D7">
        <w:rPr>
          <w:lang w:val="es-ES"/>
        </w:rPr>
        <w:t>Geográficamente el área de influencia del proyecto se enmarca entre los paralelos 11°51'06" latitud sur y 77°08'40" latitud oeste del meridiano de Greenwich y a una altitud promedio de 127 msnm. (Ver Tabla 3.1-2)</w:t>
      </w:r>
    </w:p>
    <w:p w:rsidR="003A4B05" w:rsidRPr="007226D7" w:rsidRDefault="003A4B05" w:rsidP="0056369A">
      <w:pPr>
        <w:rPr>
          <w:lang w:val="es-ES"/>
        </w:rPr>
      </w:pPr>
    </w:p>
    <w:tbl>
      <w:tblPr>
        <w:tblW w:w="5166" w:type="pct"/>
        <w:tblInd w:w="212" w:type="dxa"/>
        <w:tblLayout w:type="fixed"/>
        <w:tblCellMar>
          <w:left w:w="70" w:type="dxa"/>
          <w:right w:w="70" w:type="dxa"/>
        </w:tblCellMar>
        <w:tblLook w:val="04A0" w:firstRow="1" w:lastRow="0" w:firstColumn="1" w:lastColumn="0" w:noHBand="0" w:noVBand="1"/>
      </w:tblPr>
      <w:tblGrid>
        <w:gridCol w:w="2016"/>
        <w:gridCol w:w="1558"/>
        <w:gridCol w:w="1089"/>
        <w:gridCol w:w="1091"/>
        <w:gridCol w:w="1097"/>
        <w:gridCol w:w="769"/>
        <w:gridCol w:w="1095"/>
        <w:gridCol w:w="1095"/>
      </w:tblGrid>
      <w:tr w:rsidR="00B768A8" w:rsidRPr="0013314C" w:rsidTr="00B768A8">
        <w:trPr>
          <w:trHeight w:val="170"/>
        </w:trPr>
        <w:tc>
          <w:tcPr>
            <w:tcW w:w="5000" w:type="pct"/>
            <w:gridSpan w:val="8"/>
            <w:tcBorders>
              <w:top w:val="nil"/>
              <w:left w:val="nil"/>
              <w:bottom w:val="nil"/>
              <w:right w:val="nil"/>
            </w:tcBorders>
            <w:shd w:val="clear" w:color="auto" w:fill="auto"/>
            <w:noWrap/>
            <w:vAlign w:val="center"/>
          </w:tcPr>
          <w:p w:rsidR="00B768A8" w:rsidRPr="007226D7" w:rsidRDefault="00B768A8" w:rsidP="003A4B05">
            <w:pPr>
              <w:pStyle w:val="Figuras"/>
              <w:spacing w:after="80"/>
              <w:rPr>
                <w:lang w:eastAsia="es-ES"/>
              </w:rPr>
            </w:pPr>
            <w:r w:rsidRPr="007226D7">
              <w:rPr>
                <w:lang w:eastAsia="es-ES"/>
              </w:rPr>
              <w:t>Tabla 3.1-2 Características Generales de la Zona de Influencia</w:t>
            </w:r>
          </w:p>
        </w:tc>
      </w:tr>
      <w:tr w:rsidR="00B768A8" w:rsidRPr="007226D7" w:rsidTr="00B768A8">
        <w:trPr>
          <w:trHeight w:val="170"/>
        </w:trPr>
        <w:tc>
          <w:tcPr>
            <w:tcW w:w="1821" w:type="pct"/>
            <w:gridSpan w:val="2"/>
            <w:tcBorders>
              <w:top w:val="single" w:sz="4" w:space="0" w:color="auto"/>
              <w:left w:val="single" w:sz="4" w:space="0" w:color="auto"/>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Zona de Influencia</w:t>
            </w:r>
          </w:p>
        </w:tc>
        <w:tc>
          <w:tcPr>
            <w:tcW w:w="555" w:type="pct"/>
            <w:tcBorders>
              <w:top w:val="single" w:sz="4" w:space="0" w:color="auto"/>
              <w:left w:val="single" w:sz="4" w:space="0" w:color="auto"/>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Población</w:t>
            </w:r>
          </w:p>
        </w:tc>
        <w:tc>
          <w:tcPr>
            <w:tcW w:w="556" w:type="pct"/>
            <w:tcBorders>
              <w:top w:val="single" w:sz="4" w:space="0" w:color="auto"/>
              <w:left w:val="nil"/>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Superficie</w:t>
            </w:r>
          </w:p>
        </w:tc>
        <w:tc>
          <w:tcPr>
            <w:tcW w:w="559" w:type="pct"/>
            <w:tcBorders>
              <w:top w:val="single" w:sz="4" w:space="0" w:color="auto"/>
              <w:left w:val="nil"/>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Densidad Pob.</w:t>
            </w:r>
          </w:p>
        </w:tc>
        <w:tc>
          <w:tcPr>
            <w:tcW w:w="392" w:type="pct"/>
            <w:tcBorders>
              <w:top w:val="single" w:sz="4" w:space="0" w:color="auto"/>
              <w:left w:val="nil"/>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Altura</w:t>
            </w:r>
          </w:p>
        </w:tc>
        <w:tc>
          <w:tcPr>
            <w:tcW w:w="558" w:type="pct"/>
            <w:tcBorders>
              <w:top w:val="single" w:sz="4" w:space="0" w:color="auto"/>
              <w:left w:val="nil"/>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Latitud</w:t>
            </w:r>
          </w:p>
        </w:tc>
        <w:tc>
          <w:tcPr>
            <w:tcW w:w="558" w:type="pct"/>
            <w:tcBorders>
              <w:top w:val="single" w:sz="4" w:space="0" w:color="auto"/>
              <w:left w:val="nil"/>
              <w:bottom w:val="nil"/>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Longitud</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Lugar</w:t>
            </w:r>
          </w:p>
        </w:tc>
        <w:tc>
          <w:tcPr>
            <w:tcW w:w="794" w:type="pct"/>
            <w:tcBorders>
              <w:top w:val="nil"/>
              <w:left w:val="nil"/>
              <w:bottom w:val="single" w:sz="4" w:space="0" w:color="auto"/>
              <w:right w:val="nil"/>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Capital</w:t>
            </w:r>
          </w:p>
        </w:tc>
        <w:tc>
          <w:tcPr>
            <w:tcW w:w="555" w:type="pct"/>
            <w:tcBorders>
              <w:top w:val="nil"/>
              <w:left w:val="single" w:sz="4" w:space="0" w:color="auto"/>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2007 (</w:t>
            </w:r>
            <w:proofErr w:type="gramStart"/>
            <w:r w:rsidRPr="007226D7">
              <w:rPr>
                <w:rFonts w:cs="Arial"/>
                <w:b/>
                <w:color w:val="000000"/>
                <w:sz w:val="16"/>
                <w:szCs w:val="16"/>
                <w:lang w:eastAsia="es-ES"/>
              </w:rPr>
              <w:t>Hab.</w:t>
            </w:r>
            <w:proofErr w:type="gramEnd"/>
            <w:r w:rsidRPr="007226D7">
              <w:rPr>
                <w:rFonts w:cs="Arial"/>
                <w:b/>
                <w:color w:val="000000"/>
                <w:sz w:val="16"/>
                <w:szCs w:val="16"/>
                <w:lang w:eastAsia="es-ES"/>
              </w:rPr>
              <w:t>)</w:t>
            </w:r>
          </w:p>
        </w:tc>
        <w:tc>
          <w:tcPr>
            <w:tcW w:w="556" w:type="pct"/>
            <w:tcBorders>
              <w:top w:val="nil"/>
              <w:left w:val="nil"/>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Km</w:t>
            </w:r>
            <w:r w:rsidRPr="007226D7">
              <w:rPr>
                <w:rFonts w:cs="Arial"/>
                <w:b/>
                <w:color w:val="000000"/>
                <w:sz w:val="16"/>
                <w:szCs w:val="16"/>
                <w:vertAlign w:val="superscript"/>
                <w:lang w:eastAsia="es-ES"/>
              </w:rPr>
              <w:t>2</w:t>
            </w:r>
          </w:p>
        </w:tc>
        <w:tc>
          <w:tcPr>
            <w:tcW w:w="559" w:type="pct"/>
            <w:tcBorders>
              <w:top w:val="nil"/>
              <w:left w:val="nil"/>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proofErr w:type="gramStart"/>
            <w:r w:rsidRPr="007226D7">
              <w:rPr>
                <w:rFonts w:cs="Arial"/>
                <w:b/>
                <w:color w:val="000000"/>
                <w:sz w:val="16"/>
                <w:szCs w:val="16"/>
                <w:lang w:eastAsia="es-ES"/>
              </w:rPr>
              <w:t>Hab.</w:t>
            </w:r>
            <w:proofErr w:type="gramEnd"/>
            <w:r w:rsidRPr="007226D7">
              <w:rPr>
                <w:rFonts w:cs="Arial"/>
                <w:b/>
                <w:color w:val="000000"/>
                <w:sz w:val="16"/>
                <w:szCs w:val="16"/>
                <w:lang w:eastAsia="es-ES"/>
              </w:rPr>
              <w:t>/Km</w:t>
            </w:r>
            <w:r w:rsidRPr="007226D7">
              <w:rPr>
                <w:rFonts w:cs="Arial"/>
                <w:b/>
                <w:color w:val="000000"/>
                <w:sz w:val="16"/>
                <w:szCs w:val="16"/>
                <w:vertAlign w:val="superscript"/>
                <w:lang w:eastAsia="es-ES"/>
              </w:rPr>
              <w:t>2</w:t>
            </w:r>
          </w:p>
        </w:tc>
        <w:tc>
          <w:tcPr>
            <w:tcW w:w="392" w:type="pct"/>
            <w:tcBorders>
              <w:top w:val="nil"/>
              <w:left w:val="nil"/>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proofErr w:type="gramStart"/>
            <w:r w:rsidRPr="007226D7">
              <w:rPr>
                <w:rFonts w:cs="Arial"/>
                <w:b/>
                <w:color w:val="000000"/>
                <w:sz w:val="16"/>
                <w:szCs w:val="16"/>
                <w:lang w:eastAsia="es-ES"/>
              </w:rPr>
              <w:t>msnm</w:t>
            </w:r>
            <w:proofErr w:type="gramEnd"/>
          </w:p>
        </w:tc>
        <w:tc>
          <w:tcPr>
            <w:tcW w:w="558" w:type="pct"/>
            <w:tcBorders>
              <w:top w:val="nil"/>
              <w:left w:val="nil"/>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Sur</w:t>
            </w:r>
          </w:p>
        </w:tc>
        <w:tc>
          <w:tcPr>
            <w:tcW w:w="558" w:type="pct"/>
            <w:tcBorders>
              <w:top w:val="nil"/>
              <w:left w:val="nil"/>
              <w:bottom w:val="single" w:sz="4" w:space="0" w:color="auto"/>
              <w:right w:val="single" w:sz="4" w:space="0" w:color="auto"/>
            </w:tcBorders>
            <w:shd w:val="clear" w:color="000000" w:fill="99CCFF"/>
            <w:noWrap/>
            <w:vAlign w:val="center"/>
          </w:tcPr>
          <w:p w:rsidR="00B768A8" w:rsidRPr="007226D7" w:rsidRDefault="00B768A8" w:rsidP="00B768A8">
            <w:pPr>
              <w:spacing w:after="0" w:line="240" w:lineRule="auto"/>
              <w:jc w:val="center"/>
              <w:rPr>
                <w:rFonts w:cs="Arial"/>
                <w:b/>
                <w:color w:val="000000"/>
                <w:sz w:val="16"/>
                <w:szCs w:val="16"/>
                <w:lang w:eastAsia="es-ES"/>
              </w:rPr>
            </w:pPr>
            <w:r w:rsidRPr="007226D7">
              <w:rPr>
                <w:rFonts w:cs="Arial"/>
                <w:b/>
                <w:color w:val="000000"/>
                <w:sz w:val="16"/>
                <w:szCs w:val="16"/>
                <w:lang w:eastAsia="es-ES"/>
              </w:rPr>
              <w:t>Oeste</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Callao</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415,888</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45.65</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9,110.4</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12°03'</w:t>
            </w:r>
            <w:proofErr w:type="gramStart"/>
            <w:r w:rsidRPr="007226D7">
              <w:rPr>
                <w:rFonts w:cs="Arial"/>
                <w:sz w:val="16"/>
                <w:szCs w:val="16"/>
                <w:lang w:eastAsia="es-ES"/>
              </w:rPr>
              <w:t>23</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77°08'</w:t>
            </w:r>
            <w:proofErr w:type="gramStart"/>
            <w:r w:rsidRPr="007226D7">
              <w:rPr>
                <w:rFonts w:cs="Arial"/>
                <w:sz w:val="16"/>
                <w:szCs w:val="16"/>
                <w:lang w:eastAsia="es-ES"/>
              </w:rPr>
              <w:t>40</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val="es-ES" w:eastAsia="es-ES"/>
              </w:rPr>
            </w:pPr>
            <w:r w:rsidRPr="007226D7">
              <w:rPr>
                <w:rFonts w:cs="Arial"/>
                <w:sz w:val="16"/>
                <w:szCs w:val="16"/>
                <w:lang w:val="es-ES" w:eastAsia="es-ES"/>
              </w:rPr>
              <w:t>Carmen de la Legua Reynoso</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41,863</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2.12</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19,746.7</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54</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11°52'</w:t>
            </w:r>
            <w:proofErr w:type="gramStart"/>
            <w:r w:rsidRPr="007226D7">
              <w:rPr>
                <w:rFonts w:cs="Arial"/>
                <w:sz w:val="16"/>
                <w:szCs w:val="16"/>
                <w:lang w:eastAsia="es-ES"/>
              </w:rPr>
              <w:t>15</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77°07'</w:t>
            </w:r>
            <w:proofErr w:type="gramStart"/>
            <w:r w:rsidRPr="007226D7">
              <w:rPr>
                <w:rFonts w:cs="Arial"/>
                <w:sz w:val="16"/>
                <w:szCs w:val="16"/>
                <w:lang w:eastAsia="es-ES"/>
              </w:rPr>
              <w:t>27</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Bellavista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75,163</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4.56</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16,483.1</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34</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11°56'</w:t>
            </w:r>
            <w:proofErr w:type="gramStart"/>
            <w:r w:rsidRPr="007226D7">
              <w:rPr>
                <w:rFonts w:cs="Arial"/>
                <w:sz w:val="16"/>
                <w:szCs w:val="16"/>
                <w:lang w:eastAsia="es-ES"/>
              </w:rPr>
              <w:t>48</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77°02'</w:t>
            </w:r>
            <w:proofErr w:type="gramStart"/>
            <w:r w:rsidRPr="007226D7">
              <w:rPr>
                <w:rFonts w:cs="Arial"/>
                <w:sz w:val="16"/>
                <w:szCs w:val="16"/>
                <w:lang w:eastAsia="es-ES"/>
              </w:rPr>
              <w:t>48</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La Perla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61,698</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2.75</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22,435.6</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18</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11°51'</w:t>
            </w:r>
            <w:proofErr w:type="gramStart"/>
            <w:r w:rsidRPr="007226D7">
              <w:rPr>
                <w:rFonts w:cs="Arial"/>
                <w:sz w:val="16"/>
                <w:szCs w:val="16"/>
                <w:lang w:eastAsia="es-ES"/>
              </w:rPr>
              <w:t>06</w:t>
            </w:r>
            <w:proofErr w:type="gramEnd"/>
            <w:r w:rsidRPr="007226D7">
              <w:rPr>
                <w:rFonts w:cs="Arial"/>
                <w:sz w:val="16"/>
                <w:szCs w:val="16"/>
                <w:lang w:eastAsia="es-ES"/>
              </w:rPr>
              <w:t xml:space="preserve">" </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  77°02'</w:t>
            </w:r>
            <w:proofErr w:type="gramStart"/>
            <w:r w:rsidRPr="007226D7">
              <w:rPr>
                <w:rFonts w:cs="Arial"/>
                <w:sz w:val="16"/>
                <w:szCs w:val="16"/>
                <w:lang w:eastAsia="es-ES"/>
              </w:rPr>
              <w:t>11</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rPr>
            </w:pPr>
            <w:r w:rsidRPr="007226D7">
              <w:rPr>
                <w:rFonts w:cs="Arial"/>
                <w:color w:val="000000"/>
                <w:sz w:val="16"/>
                <w:szCs w:val="16"/>
              </w:rPr>
              <w:t xml:space="preserve"> Dist. San Miguel</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rPr>
            </w:pPr>
            <w:r w:rsidRPr="007226D7">
              <w:rPr>
                <w:rFonts w:cs="Arial"/>
                <w:color w:val="000000"/>
                <w:sz w:val="16"/>
                <w:szCs w:val="16"/>
              </w:rPr>
              <w:t>San Miguel</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rPr>
            </w:pPr>
            <w:r w:rsidRPr="007226D7">
              <w:rPr>
                <w:rFonts w:cs="Arial"/>
                <w:sz w:val="16"/>
                <w:szCs w:val="16"/>
              </w:rPr>
              <w:t>129,107</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rPr>
            </w:pPr>
            <w:r w:rsidRPr="007226D7">
              <w:rPr>
                <w:rFonts w:cs="Arial"/>
                <w:sz w:val="16"/>
                <w:szCs w:val="16"/>
              </w:rPr>
              <w:t>10.72</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rPr>
            </w:pPr>
            <w:r w:rsidRPr="007226D7">
              <w:rPr>
                <w:rFonts w:cs="Arial"/>
                <w:sz w:val="16"/>
                <w:szCs w:val="16"/>
              </w:rPr>
              <w:t>12,043.6</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rPr>
            </w:pPr>
            <w:r w:rsidRPr="007226D7">
              <w:rPr>
                <w:rFonts w:cs="Arial"/>
                <w:sz w:val="16"/>
                <w:szCs w:val="16"/>
              </w:rPr>
              <w:t>50</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rPr>
            </w:pPr>
            <w:r w:rsidRPr="007226D7">
              <w:rPr>
                <w:rFonts w:cs="Arial"/>
                <w:sz w:val="16"/>
                <w:szCs w:val="16"/>
              </w:rPr>
              <w:t>12°05'</w:t>
            </w:r>
            <w:proofErr w:type="gramStart"/>
            <w:r w:rsidRPr="007226D7">
              <w:rPr>
                <w:rFonts w:cs="Arial"/>
                <w:sz w:val="16"/>
                <w:szCs w:val="16"/>
              </w:rPr>
              <w:t>12</w:t>
            </w:r>
            <w:proofErr w:type="gramEnd"/>
            <w:r w:rsidRPr="007226D7">
              <w:rPr>
                <w:rFonts w:cs="Arial"/>
                <w:sz w:val="16"/>
                <w:szCs w:val="16"/>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rPr>
            </w:pPr>
            <w:r w:rsidRPr="007226D7">
              <w:rPr>
                <w:rFonts w:cs="Arial"/>
                <w:sz w:val="16"/>
                <w:szCs w:val="16"/>
              </w:rPr>
              <w:t>77°04'</w:t>
            </w:r>
            <w:proofErr w:type="gramStart"/>
            <w:r w:rsidRPr="007226D7">
              <w:rPr>
                <w:rFonts w:cs="Arial"/>
                <w:sz w:val="16"/>
                <w:szCs w:val="16"/>
              </w:rPr>
              <w:t>54</w:t>
            </w:r>
            <w:proofErr w:type="gramEnd"/>
            <w:r w:rsidRPr="007226D7">
              <w:rPr>
                <w:rFonts w:cs="Arial"/>
                <w:sz w:val="16"/>
                <w:szCs w:val="16"/>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Lima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299,493</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21.98</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13,625.7</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154</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12°02'</w:t>
            </w:r>
            <w:proofErr w:type="gramStart"/>
            <w:r w:rsidRPr="007226D7">
              <w:rPr>
                <w:rFonts w:cs="Arial"/>
                <w:sz w:val="16"/>
                <w:szCs w:val="16"/>
                <w:lang w:eastAsia="es-ES"/>
              </w:rPr>
              <w:t>36</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77°01'</w:t>
            </w:r>
            <w:proofErr w:type="gramStart"/>
            <w:r w:rsidRPr="007226D7">
              <w:rPr>
                <w:rFonts w:cs="Arial"/>
                <w:sz w:val="16"/>
                <w:szCs w:val="16"/>
                <w:lang w:eastAsia="es-ES"/>
              </w:rPr>
              <w:t>42</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Breña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81,909</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3.22</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25,437.6</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102</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12°03'</w:t>
            </w:r>
            <w:proofErr w:type="gramStart"/>
            <w:r w:rsidRPr="007226D7">
              <w:rPr>
                <w:rFonts w:cs="Arial"/>
                <w:sz w:val="16"/>
                <w:szCs w:val="16"/>
                <w:lang w:eastAsia="es-ES"/>
              </w:rPr>
              <w:t>10</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77°03'</w:t>
            </w:r>
            <w:proofErr w:type="gramStart"/>
            <w:r w:rsidRPr="007226D7">
              <w:rPr>
                <w:rFonts w:cs="Arial"/>
                <w:sz w:val="16"/>
                <w:szCs w:val="16"/>
                <w:lang w:eastAsia="es-ES"/>
              </w:rPr>
              <w:t>24</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Jesús María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66,171</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4.57</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14,479.4</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103</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12°04'</w:t>
            </w:r>
            <w:proofErr w:type="gramStart"/>
            <w:r w:rsidRPr="007226D7">
              <w:rPr>
                <w:rFonts w:cs="Arial"/>
                <w:sz w:val="16"/>
                <w:szCs w:val="16"/>
                <w:lang w:eastAsia="es-ES"/>
              </w:rPr>
              <w:t>03</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77°02'</w:t>
            </w:r>
            <w:proofErr w:type="gramStart"/>
            <w:r w:rsidRPr="007226D7">
              <w:rPr>
                <w:rFonts w:cs="Arial"/>
                <w:sz w:val="16"/>
                <w:szCs w:val="16"/>
                <w:lang w:eastAsia="es-ES"/>
              </w:rPr>
              <w:t>30</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La Victoria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192,724</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8.74</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22,050.8</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133</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12°03'</w:t>
            </w:r>
            <w:proofErr w:type="gramStart"/>
            <w:r w:rsidRPr="007226D7">
              <w:rPr>
                <w:rFonts w:cs="Arial"/>
                <w:sz w:val="16"/>
                <w:szCs w:val="16"/>
                <w:lang w:eastAsia="es-ES"/>
              </w:rPr>
              <w:t>54</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76°01'</w:t>
            </w:r>
            <w:proofErr w:type="gramStart"/>
            <w:r w:rsidRPr="007226D7">
              <w:rPr>
                <w:rFonts w:cs="Arial"/>
                <w:sz w:val="16"/>
                <w:szCs w:val="16"/>
                <w:lang w:eastAsia="es-ES"/>
              </w:rPr>
              <w:t>52</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El Agustino</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180,262</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12.54</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14,375.0</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197</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12°03'</w:t>
            </w:r>
            <w:proofErr w:type="gramStart"/>
            <w:r w:rsidRPr="007226D7">
              <w:rPr>
                <w:rFonts w:cs="Arial"/>
                <w:sz w:val="16"/>
                <w:szCs w:val="16"/>
                <w:lang w:eastAsia="es-ES"/>
              </w:rPr>
              <w:t>04</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76°59'</w:t>
            </w:r>
            <w:proofErr w:type="gramStart"/>
            <w:r w:rsidRPr="007226D7">
              <w:rPr>
                <w:rFonts w:cs="Arial"/>
                <w:sz w:val="16"/>
                <w:szCs w:val="16"/>
                <w:lang w:eastAsia="es-ES"/>
              </w:rPr>
              <w:t>54</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San Luis</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54,634</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3.49</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15,654.4</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175</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12°04'</w:t>
            </w:r>
            <w:proofErr w:type="gramStart"/>
            <w:r w:rsidRPr="007226D7">
              <w:rPr>
                <w:rFonts w:cs="Arial"/>
                <w:sz w:val="16"/>
                <w:szCs w:val="16"/>
                <w:lang w:eastAsia="es-ES"/>
              </w:rPr>
              <w:t>18</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76°59'</w:t>
            </w:r>
            <w:proofErr w:type="gramStart"/>
            <w:r w:rsidRPr="007226D7">
              <w:rPr>
                <w:rFonts w:cs="Arial"/>
                <w:sz w:val="16"/>
                <w:szCs w:val="16"/>
                <w:lang w:eastAsia="es-ES"/>
              </w:rPr>
              <w:t>12</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184,614</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10.69</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17,269.8</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195</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12°02'</w:t>
            </w:r>
            <w:proofErr w:type="gramStart"/>
            <w:r w:rsidRPr="007226D7">
              <w:rPr>
                <w:rFonts w:cs="Arial"/>
                <w:sz w:val="16"/>
                <w:szCs w:val="16"/>
                <w:lang w:eastAsia="es-ES"/>
              </w:rPr>
              <w:t>44</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76°57'</w:t>
            </w:r>
            <w:proofErr w:type="gramStart"/>
            <w:r w:rsidRPr="007226D7">
              <w:rPr>
                <w:rFonts w:cs="Arial"/>
                <w:sz w:val="16"/>
                <w:szCs w:val="16"/>
                <w:lang w:eastAsia="es-ES"/>
              </w:rPr>
              <w:t>09</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Vitarte</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478,278</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77.72</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6,153.9</w:t>
            </w:r>
          </w:p>
        </w:tc>
        <w:tc>
          <w:tcPr>
            <w:tcW w:w="392"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355</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12°01'</w:t>
            </w:r>
            <w:proofErr w:type="gramStart"/>
            <w:r w:rsidRPr="007226D7">
              <w:rPr>
                <w:rFonts w:cs="Arial"/>
                <w:sz w:val="16"/>
                <w:szCs w:val="16"/>
                <w:lang w:eastAsia="es-ES"/>
              </w:rPr>
              <w:t>18</w:t>
            </w:r>
            <w:proofErr w:type="gramEnd"/>
            <w:r w:rsidRPr="007226D7">
              <w:rPr>
                <w:rFonts w:cs="Arial"/>
                <w:sz w:val="16"/>
                <w:szCs w:val="16"/>
                <w:lang w:eastAsia="es-ES"/>
              </w:rPr>
              <w:t>"</w:t>
            </w:r>
          </w:p>
        </w:tc>
        <w:tc>
          <w:tcPr>
            <w:tcW w:w="558"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76°54'</w:t>
            </w:r>
            <w:proofErr w:type="gramStart"/>
            <w:r w:rsidRPr="007226D7">
              <w:rPr>
                <w:rFonts w:cs="Arial"/>
                <w:sz w:val="16"/>
                <w:szCs w:val="16"/>
                <w:lang w:eastAsia="es-ES"/>
              </w:rPr>
              <w:t>57</w:t>
            </w:r>
            <w:proofErr w:type="gramEnd"/>
            <w:r w:rsidRPr="007226D7">
              <w:rPr>
                <w:rFonts w:cs="Arial"/>
                <w:sz w:val="16"/>
                <w:szCs w:val="16"/>
                <w:lang w:eastAsia="es-ES"/>
              </w:rPr>
              <w:t>"</w:t>
            </w: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 xml:space="preserve"> Dpto. Lima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Lima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8,445,211</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34,801.59</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242.7</w:t>
            </w:r>
          </w:p>
        </w:tc>
        <w:tc>
          <w:tcPr>
            <w:tcW w:w="392"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c>
          <w:tcPr>
            <w:tcW w:w="558"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p>
        </w:tc>
        <w:tc>
          <w:tcPr>
            <w:tcW w:w="558"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sz w:val="16"/>
                <w:szCs w:val="16"/>
                <w:lang w:eastAsia="es-ES"/>
              </w:rPr>
            </w:pPr>
          </w:p>
        </w:tc>
      </w:tr>
      <w:tr w:rsidR="00B768A8" w:rsidRPr="007226D7" w:rsidTr="00B768A8">
        <w:trPr>
          <w:trHeight w:val="170"/>
        </w:trPr>
        <w:tc>
          <w:tcPr>
            <w:tcW w:w="1028" w:type="pct"/>
            <w:tcBorders>
              <w:top w:val="nil"/>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 xml:space="preserve"> Prov. Lima</w:t>
            </w:r>
          </w:p>
        </w:tc>
        <w:tc>
          <w:tcPr>
            <w:tcW w:w="794"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Lima</w:t>
            </w:r>
          </w:p>
        </w:tc>
        <w:tc>
          <w:tcPr>
            <w:tcW w:w="555"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7,605,742</w:t>
            </w:r>
          </w:p>
        </w:tc>
        <w:tc>
          <w:tcPr>
            <w:tcW w:w="556"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2,670.40</w:t>
            </w:r>
          </w:p>
        </w:tc>
        <w:tc>
          <w:tcPr>
            <w:tcW w:w="559" w:type="pct"/>
            <w:tcBorders>
              <w:top w:val="nil"/>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2,848.2</w:t>
            </w:r>
          </w:p>
        </w:tc>
        <w:tc>
          <w:tcPr>
            <w:tcW w:w="392"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c>
          <w:tcPr>
            <w:tcW w:w="558"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c>
          <w:tcPr>
            <w:tcW w:w="558" w:type="pct"/>
            <w:tcBorders>
              <w:top w:val="nil"/>
              <w:left w:val="nil"/>
              <w:bottom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r>
      <w:tr w:rsidR="00B768A8" w:rsidRPr="007226D7" w:rsidTr="00B768A8">
        <w:trPr>
          <w:trHeight w:val="170"/>
        </w:trPr>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 xml:space="preserve"> Prov. Callao</w:t>
            </w:r>
          </w:p>
        </w:tc>
        <w:tc>
          <w:tcPr>
            <w:tcW w:w="794" w:type="pct"/>
            <w:tcBorders>
              <w:top w:val="single" w:sz="4" w:space="0" w:color="auto"/>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rPr>
                <w:rFonts w:cs="Arial"/>
                <w:sz w:val="16"/>
                <w:szCs w:val="16"/>
                <w:lang w:eastAsia="es-ES"/>
              </w:rPr>
            </w:pPr>
            <w:r w:rsidRPr="007226D7">
              <w:rPr>
                <w:rFonts w:cs="Arial"/>
                <w:sz w:val="16"/>
                <w:szCs w:val="16"/>
                <w:lang w:eastAsia="es-ES"/>
              </w:rPr>
              <w:t>Callao</w:t>
            </w:r>
          </w:p>
        </w:tc>
        <w:tc>
          <w:tcPr>
            <w:tcW w:w="555" w:type="pct"/>
            <w:tcBorders>
              <w:top w:val="single" w:sz="4" w:space="0" w:color="auto"/>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876,877</w:t>
            </w:r>
          </w:p>
        </w:tc>
        <w:tc>
          <w:tcPr>
            <w:tcW w:w="556" w:type="pct"/>
            <w:tcBorders>
              <w:top w:val="single" w:sz="4" w:space="0" w:color="auto"/>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right"/>
              <w:rPr>
                <w:rFonts w:cs="Arial"/>
                <w:sz w:val="16"/>
                <w:szCs w:val="16"/>
                <w:lang w:eastAsia="es-ES"/>
              </w:rPr>
            </w:pPr>
            <w:r w:rsidRPr="007226D7">
              <w:rPr>
                <w:rFonts w:cs="Arial"/>
                <w:sz w:val="16"/>
                <w:szCs w:val="16"/>
                <w:lang w:eastAsia="es-ES"/>
              </w:rPr>
              <w:t>146.98</w:t>
            </w:r>
          </w:p>
        </w:tc>
        <w:tc>
          <w:tcPr>
            <w:tcW w:w="559" w:type="pct"/>
            <w:tcBorders>
              <w:top w:val="single" w:sz="4" w:space="0" w:color="auto"/>
              <w:left w:val="nil"/>
              <w:bottom w:val="single" w:sz="4" w:space="0" w:color="auto"/>
              <w:right w:val="single" w:sz="4" w:space="0" w:color="auto"/>
            </w:tcBorders>
            <w:shd w:val="clear" w:color="auto" w:fill="auto"/>
            <w:noWrap/>
            <w:vAlign w:val="center"/>
          </w:tcPr>
          <w:p w:rsidR="00B768A8" w:rsidRPr="007226D7" w:rsidRDefault="00B768A8" w:rsidP="00B768A8">
            <w:pPr>
              <w:spacing w:after="0" w:line="240" w:lineRule="auto"/>
              <w:jc w:val="center"/>
              <w:rPr>
                <w:rFonts w:cs="Arial"/>
                <w:sz w:val="16"/>
                <w:szCs w:val="16"/>
                <w:lang w:eastAsia="es-ES"/>
              </w:rPr>
            </w:pPr>
            <w:r w:rsidRPr="007226D7">
              <w:rPr>
                <w:rFonts w:cs="Arial"/>
                <w:sz w:val="16"/>
                <w:szCs w:val="16"/>
                <w:lang w:eastAsia="es-ES"/>
              </w:rPr>
              <w:t>5,966.0</w:t>
            </w:r>
          </w:p>
        </w:tc>
        <w:tc>
          <w:tcPr>
            <w:tcW w:w="392" w:type="pct"/>
            <w:tcBorders>
              <w:top w:val="nil"/>
              <w:left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c>
          <w:tcPr>
            <w:tcW w:w="558" w:type="pct"/>
            <w:tcBorders>
              <w:top w:val="nil"/>
              <w:left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c>
          <w:tcPr>
            <w:tcW w:w="558" w:type="pct"/>
            <w:tcBorders>
              <w:top w:val="nil"/>
              <w:left w:val="nil"/>
              <w:right w:val="nil"/>
            </w:tcBorders>
            <w:shd w:val="clear" w:color="auto" w:fill="auto"/>
            <w:noWrap/>
            <w:vAlign w:val="center"/>
          </w:tcPr>
          <w:p w:rsidR="00B768A8" w:rsidRPr="007226D7" w:rsidRDefault="00B768A8" w:rsidP="00B768A8">
            <w:pPr>
              <w:spacing w:after="0" w:line="240" w:lineRule="auto"/>
              <w:rPr>
                <w:rFonts w:cs="Arial"/>
                <w:color w:val="000000"/>
                <w:lang w:eastAsia="es-ES"/>
              </w:rPr>
            </w:pPr>
          </w:p>
        </w:tc>
      </w:tr>
      <w:tr w:rsidR="00B768A8" w:rsidRPr="007226D7" w:rsidTr="00B768A8">
        <w:trPr>
          <w:trHeight w:val="170"/>
        </w:trPr>
        <w:tc>
          <w:tcPr>
            <w:tcW w:w="5000" w:type="pct"/>
            <w:gridSpan w:val="8"/>
            <w:tcBorders>
              <w:top w:val="nil"/>
            </w:tcBorders>
            <w:shd w:val="clear" w:color="auto" w:fill="auto"/>
            <w:noWrap/>
            <w:vAlign w:val="center"/>
          </w:tcPr>
          <w:p w:rsidR="00B768A8" w:rsidRPr="007226D7" w:rsidRDefault="00B768A8" w:rsidP="00B768A8">
            <w:pPr>
              <w:spacing w:after="0" w:line="240" w:lineRule="auto"/>
              <w:rPr>
                <w:rFonts w:cs="Arial"/>
                <w:color w:val="000000"/>
                <w:sz w:val="14"/>
                <w:szCs w:val="14"/>
                <w:lang w:eastAsia="es-ES"/>
              </w:rPr>
            </w:pPr>
            <w:r w:rsidRPr="007226D7">
              <w:rPr>
                <w:rFonts w:cs="Arial"/>
                <w:color w:val="000000"/>
                <w:sz w:val="14"/>
                <w:szCs w:val="14"/>
                <w:lang w:eastAsia="es-ES"/>
              </w:rPr>
              <w:t>Fuente: INEI</w:t>
            </w:r>
          </w:p>
        </w:tc>
      </w:tr>
    </w:tbl>
    <w:p w:rsidR="00B768A8" w:rsidRPr="007226D7" w:rsidRDefault="00B768A8">
      <w:pPr>
        <w:spacing w:after="0" w:line="240" w:lineRule="auto"/>
        <w:jc w:val="left"/>
        <w:rPr>
          <w:lang w:val="es-ES"/>
        </w:rPr>
      </w:pPr>
      <w:r w:rsidRPr="007226D7">
        <w:rPr>
          <w:lang w:val="es-ES"/>
        </w:rPr>
        <w:br w:type="page"/>
      </w:r>
    </w:p>
    <w:p w:rsidR="0056369A" w:rsidRPr="007226D7" w:rsidRDefault="0056369A" w:rsidP="00B768A8">
      <w:pPr>
        <w:pStyle w:val="Heading5"/>
        <w:rPr>
          <w:lang w:val="es-ES"/>
        </w:rPr>
      </w:pPr>
      <w:r w:rsidRPr="007226D7">
        <w:rPr>
          <w:lang w:val="es-ES"/>
        </w:rPr>
        <w:lastRenderedPageBreak/>
        <w:t>Medio Físico</w:t>
      </w:r>
    </w:p>
    <w:p w:rsidR="0056369A" w:rsidRPr="007226D7" w:rsidRDefault="0056369A" w:rsidP="00B768A8">
      <w:pPr>
        <w:pStyle w:val="Heading6"/>
        <w:rPr>
          <w:lang w:val="es-ES"/>
        </w:rPr>
      </w:pPr>
      <w:r w:rsidRPr="007226D7">
        <w:rPr>
          <w:lang w:val="es-ES"/>
        </w:rPr>
        <w:t>Clima</w:t>
      </w:r>
    </w:p>
    <w:p w:rsidR="0056369A" w:rsidRPr="007226D7" w:rsidRDefault="0056369A" w:rsidP="0056369A">
      <w:pPr>
        <w:rPr>
          <w:lang w:val="es-ES"/>
        </w:rPr>
      </w:pPr>
      <w:r w:rsidRPr="007226D7">
        <w:rPr>
          <w:lang w:val="es-ES"/>
        </w:rPr>
        <w:t>El área del proyecto se encuentra en la ciudad de Lima, la misma que se ubica en la franja costera central del Perú, se caracteriza por la alta humedad relativa, aridez y la nubosidad casi todo el año. La masa de nubes se debe al fenómeno de inversión atmosférica causado por al corriente del Humboldt, que reduce los  grados la temperatura ambiente y reduce la temperatura del mar.</w:t>
      </w:r>
    </w:p>
    <w:p w:rsidR="0056369A" w:rsidRPr="007226D7" w:rsidRDefault="0056369A" w:rsidP="0056369A">
      <w:pPr>
        <w:rPr>
          <w:lang w:val="es-ES"/>
        </w:rPr>
      </w:pPr>
      <w:r w:rsidRPr="007226D7">
        <w:rPr>
          <w:lang w:val="es-ES"/>
        </w:rPr>
        <w:t>Los parámetros climatológicos más importantes considerados en el presente análisis son: temperatura media mensual, precipitación acumulada mensual, humedad relativa media mensual, dirección predominant</w:t>
      </w:r>
      <w:r w:rsidR="00B768A8" w:rsidRPr="007226D7">
        <w:rPr>
          <w:lang w:val="es-ES"/>
        </w:rPr>
        <w:t>e y velocidad media del viento.</w:t>
      </w:r>
    </w:p>
    <w:p w:rsidR="0056369A" w:rsidRPr="007226D7" w:rsidRDefault="0056369A" w:rsidP="0056369A">
      <w:pPr>
        <w:rPr>
          <w:lang w:val="es-ES"/>
        </w:rPr>
      </w:pPr>
      <w:r w:rsidRPr="007226D7">
        <w:rPr>
          <w:lang w:val="es-ES"/>
        </w:rPr>
        <w:t>La información meteorológica utilizada en este informe proviene de las estaciones climatológicas del Campo de Marte (distrito Jesús María 159 msnm) y Ñaña (distrito Lurigancho a 566 msnm), cuyos registros han sido reportados por el Servicio Nacional de Meteorología e Hidrología (SENAMHI); y de la estación del Aeropuerto Internacional Jorge Chávez (distrito del Callao a 163 msnm), cuyos resultados son reportados por CORPAC S.A.</w:t>
      </w:r>
    </w:p>
    <w:p w:rsidR="0056369A" w:rsidRPr="007226D7" w:rsidRDefault="00B768A8" w:rsidP="0056369A">
      <w:pPr>
        <w:rPr>
          <w:u w:val="single"/>
          <w:lang w:val="es-ES"/>
        </w:rPr>
      </w:pPr>
      <w:r w:rsidRPr="007226D7">
        <w:rPr>
          <w:u w:val="single"/>
          <w:lang w:val="es-ES"/>
        </w:rPr>
        <w:t>Temperatura</w:t>
      </w:r>
    </w:p>
    <w:p w:rsidR="0056369A" w:rsidRPr="007226D7" w:rsidRDefault="0056369A" w:rsidP="0056369A">
      <w:pPr>
        <w:rPr>
          <w:lang w:val="es-ES"/>
        </w:rPr>
      </w:pPr>
      <w:r w:rsidRPr="007226D7">
        <w:rPr>
          <w:lang w:val="es-ES"/>
        </w:rPr>
        <w:t>El clima en Lima es semicálido desértico, la temperatura promedio anual medida entre los años 2000 y 2010 en el departamento de Lima fue 19 ± 0.2ºC. En la ciudad de Lima los valores de temperatura son usualmente más altos cerca del litoral y disminuyen a medida que nos dirigimos hacia los distritos del Este de Lima, ya sea en época de invierno o verano.</w:t>
      </w:r>
    </w:p>
    <w:p w:rsidR="0056369A" w:rsidRPr="007226D7" w:rsidRDefault="0056369A" w:rsidP="0056369A">
      <w:pPr>
        <w:rPr>
          <w:lang w:val="es-ES"/>
        </w:rPr>
      </w:pPr>
      <w:r w:rsidRPr="007226D7">
        <w:rPr>
          <w:lang w:val="es-ES"/>
        </w:rPr>
        <w:t>En el período 2000 – 2006, la estación meteorológica del Aeropuerto Internacional Jorge Chávez, registró durante los meses de verano (diciembre-marzo) una temperatura mensual promedio de 22 ± 0.4ºC, mientras que en los meses de invierno (junio-setiembre) registró una temperatura mensual promedio de 16.6 ± 0.3ºC.</w:t>
      </w:r>
    </w:p>
    <w:p w:rsidR="0056369A" w:rsidRPr="007226D7" w:rsidRDefault="0056369A" w:rsidP="0056369A">
      <w:pPr>
        <w:rPr>
          <w:lang w:val="es-ES"/>
        </w:rPr>
      </w:pPr>
      <w:r w:rsidRPr="007226D7">
        <w:rPr>
          <w:lang w:val="es-ES"/>
        </w:rPr>
        <w:t>La estación meteorológica Campo de Marte, para el período 2000 - 2010, ha registrado en los meses de verano una temperatura mensual promedio de 22.5± 0.4ºC. Mientras que en los meses de invierno del período 2000-2009, al temperatura mensual promedio fue 16.2± 0.3ºC.</w:t>
      </w:r>
    </w:p>
    <w:p w:rsidR="0056369A" w:rsidRPr="007226D7" w:rsidRDefault="0056369A" w:rsidP="0056369A">
      <w:pPr>
        <w:rPr>
          <w:lang w:val="es-ES"/>
        </w:rPr>
      </w:pPr>
      <w:r w:rsidRPr="007226D7">
        <w:rPr>
          <w:lang w:val="es-ES"/>
        </w:rPr>
        <w:t>Finalmente, la estación meteorológica de Ñaña, para el periodo 2000 - 2009, ha registrado en los meses de verano una temperatura promedio mensual de 21.6± 0.4 ºC, mientras que en los meses</w:t>
      </w:r>
      <w:r w:rsidR="00B768A8" w:rsidRPr="007226D7">
        <w:rPr>
          <w:lang w:val="es-ES"/>
        </w:rPr>
        <w:t xml:space="preserve"> de invierno es de 17.6± 0.3ºC.</w:t>
      </w:r>
    </w:p>
    <w:p w:rsidR="0056369A" w:rsidRPr="007226D7" w:rsidRDefault="0056369A" w:rsidP="0056369A">
      <w:pPr>
        <w:rPr>
          <w:u w:val="single"/>
          <w:lang w:val="es-ES"/>
        </w:rPr>
      </w:pPr>
      <w:r w:rsidRPr="007226D7">
        <w:rPr>
          <w:u w:val="single"/>
          <w:lang w:val="es-ES"/>
        </w:rPr>
        <w:t>Precipitación</w:t>
      </w:r>
    </w:p>
    <w:p w:rsidR="0056369A" w:rsidRPr="007226D7" w:rsidRDefault="0056369A" w:rsidP="0056369A">
      <w:pPr>
        <w:rPr>
          <w:lang w:val="es-ES"/>
        </w:rPr>
      </w:pPr>
      <w:r w:rsidRPr="007226D7">
        <w:rPr>
          <w:lang w:val="es-ES"/>
        </w:rPr>
        <w:t>La precipitación pluvial en la ciudad de Lima varía de escasa a nula, generalmente se caracterizan por presentar lloviznas ligeras, en la siguiente tabla se muestra la precipitación total anual para el departamento d</w:t>
      </w:r>
      <w:r w:rsidR="00B768A8" w:rsidRPr="007226D7">
        <w:rPr>
          <w:lang w:val="es-ES"/>
        </w:rPr>
        <w:t>e Lima en el período 2000-2010.</w:t>
      </w:r>
    </w:p>
    <w:p w:rsidR="00B768A8" w:rsidRPr="007226D7" w:rsidRDefault="00B768A8" w:rsidP="00B768A8">
      <w:pPr>
        <w:spacing w:line="240" w:lineRule="auto"/>
        <w:jc w:val="center"/>
        <w:rPr>
          <w:b/>
          <w:sz w:val="16"/>
          <w:szCs w:val="16"/>
          <w:lang w:val="es-CO"/>
        </w:rPr>
      </w:pPr>
      <w:r w:rsidRPr="007226D7">
        <w:rPr>
          <w:b/>
          <w:sz w:val="16"/>
          <w:szCs w:val="16"/>
          <w:lang w:val="es-CO"/>
        </w:rPr>
        <w:t>Tabla 3.1-3. Precipitación Total Anual En El Departamento De Lima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691"/>
        <w:gridCol w:w="691"/>
        <w:gridCol w:w="691"/>
        <w:gridCol w:w="691"/>
        <w:gridCol w:w="693"/>
        <w:gridCol w:w="693"/>
        <w:gridCol w:w="693"/>
        <w:gridCol w:w="693"/>
        <w:gridCol w:w="693"/>
        <w:gridCol w:w="693"/>
        <w:gridCol w:w="693"/>
      </w:tblGrid>
      <w:tr w:rsidR="00B768A8" w:rsidRPr="007226D7" w:rsidTr="00B768A8">
        <w:trPr>
          <w:trHeight w:val="385"/>
          <w:jc w:val="center"/>
        </w:trPr>
        <w:tc>
          <w:tcPr>
            <w:tcW w:w="1472" w:type="dxa"/>
            <w:tcBorders>
              <w:top w:val="nil"/>
              <w:left w:val="nil"/>
              <w:bottom w:val="single" w:sz="4" w:space="0" w:color="auto"/>
              <w:right w:val="single" w:sz="4" w:space="0" w:color="auto"/>
            </w:tcBorders>
            <w:shd w:val="clear" w:color="auto" w:fill="auto"/>
            <w:vAlign w:val="center"/>
          </w:tcPr>
          <w:p w:rsidR="00B768A8" w:rsidRPr="007226D7" w:rsidRDefault="00B768A8" w:rsidP="00B768A8">
            <w:pPr>
              <w:spacing w:after="0" w:line="240" w:lineRule="auto"/>
              <w:jc w:val="center"/>
              <w:rPr>
                <w:rFonts w:cs="Arial"/>
                <w:sz w:val="20"/>
                <w:lang w:val="es-ES"/>
              </w:rPr>
            </w:pPr>
          </w:p>
        </w:tc>
        <w:tc>
          <w:tcPr>
            <w:tcW w:w="691" w:type="dxa"/>
            <w:tcBorders>
              <w:left w:val="single" w:sz="4" w:space="0" w:color="auto"/>
            </w:tcBorders>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2000</w:t>
            </w:r>
          </w:p>
        </w:tc>
        <w:tc>
          <w:tcPr>
            <w:tcW w:w="691"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2001</w:t>
            </w:r>
          </w:p>
        </w:tc>
        <w:tc>
          <w:tcPr>
            <w:tcW w:w="691"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2002</w:t>
            </w:r>
          </w:p>
        </w:tc>
        <w:tc>
          <w:tcPr>
            <w:tcW w:w="691"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2003</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2004</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2005</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2006</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2007</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2008</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2009</w:t>
            </w:r>
          </w:p>
        </w:tc>
        <w:tc>
          <w:tcPr>
            <w:tcW w:w="693" w:type="dxa"/>
            <w:shd w:val="clear" w:color="auto" w:fill="99CCFF"/>
            <w:vAlign w:val="center"/>
          </w:tcPr>
          <w:p w:rsidR="00B768A8" w:rsidRPr="007226D7" w:rsidRDefault="00B768A8" w:rsidP="00B768A8">
            <w:pPr>
              <w:spacing w:after="0" w:line="240" w:lineRule="auto"/>
              <w:jc w:val="center"/>
              <w:rPr>
                <w:rFonts w:cs="Arial"/>
                <w:sz w:val="20"/>
              </w:rPr>
            </w:pPr>
            <w:r w:rsidRPr="007226D7">
              <w:rPr>
                <w:rFonts w:cs="Arial"/>
                <w:sz w:val="20"/>
              </w:rPr>
              <w:t>2010</w:t>
            </w:r>
          </w:p>
        </w:tc>
      </w:tr>
      <w:tr w:rsidR="00B768A8" w:rsidRPr="007226D7" w:rsidTr="00B768A8">
        <w:trPr>
          <w:trHeight w:val="481"/>
          <w:jc w:val="center"/>
        </w:trPr>
        <w:tc>
          <w:tcPr>
            <w:tcW w:w="1472" w:type="dxa"/>
            <w:tcBorders>
              <w:top w:val="single" w:sz="4" w:space="0" w:color="auto"/>
            </w:tcBorders>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Precipitación anual (mm)</w:t>
            </w:r>
          </w:p>
        </w:tc>
        <w:tc>
          <w:tcPr>
            <w:tcW w:w="691"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8.0</w:t>
            </w:r>
          </w:p>
        </w:tc>
        <w:tc>
          <w:tcPr>
            <w:tcW w:w="691"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7.6</w:t>
            </w:r>
          </w:p>
        </w:tc>
        <w:tc>
          <w:tcPr>
            <w:tcW w:w="691"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10.3</w:t>
            </w:r>
          </w:p>
        </w:tc>
        <w:tc>
          <w:tcPr>
            <w:tcW w:w="691"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4.5</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3.0</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3.4</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2.9</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7.7</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9.4</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15.3</w:t>
            </w:r>
          </w:p>
        </w:tc>
        <w:tc>
          <w:tcPr>
            <w:tcW w:w="693" w:type="dxa"/>
            <w:shd w:val="clear" w:color="auto" w:fill="auto"/>
            <w:vAlign w:val="center"/>
          </w:tcPr>
          <w:p w:rsidR="00B768A8" w:rsidRPr="007226D7" w:rsidRDefault="00B768A8" w:rsidP="00B768A8">
            <w:pPr>
              <w:spacing w:after="0" w:line="240" w:lineRule="auto"/>
              <w:jc w:val="center"/>
              <w:rPr>
                <w:rFonts w:cs="Arial"/>
                <w:sz w:val="20"/>
                <w:lang w:eastAsia="en-US"/>
              </w:rPr>
            </w:pPr>
            <w:r w:rsidRPr="007226D7">
              <w:rPr>
                <w:rFonts w:cs="Arial"/>
                <w:sz w:val="20"/>
                <w:lang w:eastAsia="en-US"/>
              </w:rPr>
              <w:t>6.9</w:t>
            </w:r>
          </w:p>
        </w:tc>
      </w:tr>
    </w:tbl>
    <w:p w:rsidR="00B768A8" w:rsidRPr="007226D7" w:rsidRDefault="00B768A8" w:rsidP="00B768A8">
      <w:pPr>
        <w:spacing w:line="240" w:lineRule="auto"/>
        <w:rPr>
          <w:lang w:val="es-CO"/>
        </w:rPr>
      </w:pPr>
    </w:p>
    <w:p w:rsidR="0056369A" w:rsidRPr="007226D7" w:rsidRDefault="0056369A" w:rsidP="0056369A">
      <w:pPr>
        <w:rPr>
          <w:lang w:val="es-ES"/>
        </w:rPr>
      </w:pPr>
      <w:r w:rsidRPr="007226D7">
        <w:rPr>
          <w:lang w:val="es-ES"/>
        </w:rPr>
        <w:lastRenderedPageBreak/>
        <w:t xml:space="preserve">En la estación de invierno la provincia del Callao presenta frecuentemente llovizna, pudiendo ser de larga duración, pero siempre de poca intensidad, no sobrepasa de 1mm por hora. En la estación de verano, el Callao ocasionalmente presenta lluvias, como producto del paso de humedad de la vertiente oriental. </w:t>
      </w:r>
    </w:p>
    <w:p w:rsidR="0056369A" w:rsidRPr="007226D7" w:rsidRDefault="0056369A" w:rsidP="0056369A">
      <w:pPr>
        <w:rPr>
          <w:u w:val="single"/>
          <w:lang w:val="es-ES"/>
        </w:rPr>
      </w:pPr>
      <w:r w:rsidRPr="007226D7">
        <w:rPr>
          <w:u w:val="single"/>
          <w:lang w:val="es-ES"/>
        </w:rPr>
        <w:t>Humedad Relativa</w:t>
      </w:r>
    </w:p>
    <w:p w:rsidR="0056369A" w:rsidRPr="007226D7" w:rsidRDefault="0056369A" w:rsidP="0056369A">
      <w:pPr>
        <w:rPr>
          <w:lang w:val="es-ES"/>
        </w:rPr>
      </w:pPr>
      <w:r w:rsidRPr="007226D7">
        <w:rPr>
          <w:lang w:val="es-ES"/>
        </w:rPr>
        <w:t>La ciudad de Lima y Callao, por su proximidad al mar, presenta constante humedad. En las zonas cercanas al litoral los valores de humedad relativa son más altos y disminuyen en función a la altitud y distancia, hacia los distritos de la zona Este y Nor–Este.</w:t>
      </w:r>
    </w:p>
    <w:p w:rsidR="0056369A" w:rsidRPr="007226D7" w:rsidRDefault="0056369A" w:rsidP="0056369A">
      <w:pPr>
        <w:rPr>
          <w:lang w:val="es-ES"/>
        </w:rPr>
      </w:pPr>
      <w:r w:rsidRPr="007226D7">
        <w:rPr>
          <w:lang w:val="es-ES"/>
        </w:rPr>
        <w:t>Según el SENAMHI, los valores promedio anuales obtenidos para el departamento de Lima en el período 2000 y 2010 variaron desde 84% hasta 89%, con un promedio multianual de 85.7±1%.</w:t>
      </w:r>
    </w:p>
    <w:p w:rsidR="0056369A" w:rsidRPr="007226D7" w:rsidRDefault="0056369A" w:rsidP="0056369A">
      <w:pPr>
        <w:rPr>
          <w:lang w:val="es-ES"/>
        </w:rPr>
      </w:pPr>
      <w:r w:rsidRPr="007226D7">
        <w:rPr>
          <w:lang w:val="es-ES"/>
        </w:rPr>
        <w:t>La estación del Aeropuerto Jorge Chávez para el período 2002-2006 registró promedios mensuales de humedad relativa más bajos que el promedio departamental, alcanzando en los meses de verano una media de 80.6 ± 1.5%, y en los meses de invierno 84.2 ± 1.9%.</w:t>
      </w:r>
    </w:p>
    <w:p w:rsidR="0056369A" w:rsidRPr="007226D7" w:rsidRDefault="0056369A" w:rsidP="0056369A">
      <w:pPr>
        <w:rPr>
          <w:lang w:val="es-ES"/>
        </w:rPr>
      </w:pPr>
      <w:r w:rsidRPr="007226D7">
        <w:rPr>
          <w:lang w:val="es-ES"/>
        </w:rPr>
        <w:t>La estación del Campo de Marte, para el período 2000-2010 presenta registros de humedad relativa que indican que los promedios mensuales más bajos se alcanzaron en los meses de verano 80.8 ± 0.7%, mientras que en los meses de invierno se encuentra alrededor de 87.8 ± 0.8%.</w:t>
      </w:r>
    </w:p>
    <w:p w:rsidR="0056369A" w:rsidRPr="007226D7" w:rsidRDefault="0056369A" w:rsidP="0056369A">
      <w:pPr>
        <w:rPr>
          <w:lang w:val="es-ES"/>
        </w:rPr>
      </w:pPr>
      <w:r w:rsidRPr="007226D7">
        <w:rPr>
          <w:lang w:val="es-ES"/>
        </w:rPr>
        <w:t>En la estación Ñaña durante el período 2000-2009 se obtuvo un promedio mensual de humedad relativa durante los meses de verano de 87.5  ± 0.3% y durante los meses de invierno fue de 88.7  ± 0.4%.</w:t>
      </w:r>
    </w:p>
    <w:p w:rsidR="0056369A" w:rsidRPr="007226D7" w:rsidRDefault="0056369A" w:rsidP="0056369A">
      <w:pPr>
        <w:rPr>
          <w:u w:val="single"/>
          <w:lang w:val="es-ES"/>
        </w:rPr>
      </w:pPr>
      <w:r w:rsidRPr="007226D7">
        <w:rPr>
          <w:u w:val="single"/>
          <w:lang w:val="es-ES"/>
        </w:rPr>
        <w:t>Dirección del Viento</w:t>
      </w:r>
    </w:p>
    <w:p w:rsidR="0056369A" w:rsidRPr="007226D7" w:rsidRDefault="0056369A" w:rsidP="0056369A">
      <w:pPr>
        <w:rPr>
          <w:lang w:val="es-ES"/>
        </w:rPr>
      </w:pPr>
      <w:r w:rsidRPr="007226D7">
        <w:rPr>
          <w:lang w:val="es-ES"/>
        </w:rPr>
        <w:t>En la ciudad de Lima y Callao, la dirección predominante del viento es de Sur (S) y Suroeste (SW), y fluye desde la costa hacia el interior del continente, dirigiéndose hacia los valles que conforman las cuencas de los ríos Chillón, Rímac y Lurín. La velocidad media de viento es de 2 a 4m/s.</w:t>
      </w:r>
    </w:p>
    <w:p w:rsidR="0056369A" w:rsidRPr="007226D7" w:rsidRDefault="0056369A" w:rsidP="0056369A">
      <w:pPr>
        <w:rPr>
          <w:lang w:val="es-ES"/>
        </w:rPr>
      </w:pPr>
      <w:r w:rsidRPr="007226D7">
        <w:rPr>
          <w:lang w:val="es-ES"/>
        </w:rPr>
        <w:t xml:space="preserve">En la estación del Aeropuerto Jorge Chávez los vientos predominantes provienen del sur (S) y en menor proporción de sur-oeste (SW), con velocidades medias que varían entre 1.0 m/s y 4.0 m/s. </w:t>
      </w:r>
    </w:p>
    <w:p w:rsidR="0056369A" w:rsidRPr="007226D7" w:rsidRDefault="0056369A" w:rsidP="0056369A">
      <w:pPr>
        <w:rPr>
          <w:lang w:val="es-ES"/>
        </w:rPr>
      </w:pPr>
      <w:r w:rsidRPr="007226D7">
        <w:rPr>
          <w:lang w:val="es-ES"/>
        </w:rPr>
        <w:t>La estación del Campo de Marte, indica que la predominancia de los vientos es de sur oeste (SW) y en una mínima proporción de sur (S), con velocidades que varían entre 0.2 m/s a 9.0 m/s.</w:t>
      </w:r>
      <w:r w:rsidR="00B768A8" w:rsidRPr="007226D7">
        <w:rPr>
          <w:lang w:val="es-ES"/>
        </w:rPr>
        <w:t xml:space="preserve"> </w:t>
      </w:r>
    </w:p>
    <w:p w:rsidR="0056369A" w:rsidRPr="007226D7" w:rsidRDefault="0056369A" w:rsidP="0056369A">
      <w:pPr>
        <w:rPr>
          <w:lang w:val="es-ES"/>
        </w:rPr>
      </w:pPr>
      <w:r w:rsidRPr="007226D7">
        <w:rPr>
          <w:lang w:val="es-ES"/>
        </w:rPr>
        <w:t xml:space="preserve">La estación de Ñaña indica que la predominancia de los vientos es de sur-oeste (SW) con velocidades que </w:t>
      </w:r>
      <w:r w:rsidR="00B768A8" w:rsidRPr="007226D7">
        <w:rPr>
          <w:lang w:val="es-ES"/>
        </w:rPr>
        <w:t>varían entre 2.5 m/s a 4.0 m/s.</w:t>
      </w:r>
    </w:p>
    <w:p w:rsidR="0056369A" w:rsidRPr="007226D7" w:rsidRDefault="0056369A" w:rsidP="0056369A">
      <w:pPr>
        <w:rPr>
          <w:u w:val="single"/>
          <w:lang w:val="es-ES"/>
        </w:rPr>
      </w:pPr>
      <w:r w:rsidRPr="007226D7">
        <w:rPr>
          <w:u w:val="single"/>
          <w:lang w:val="es-ES"/>
        </w:rPr>
        <w:t>El Niño</w:t>
      </w:r>
    </w:p>
    <w:p w:rsidR="0056369A" w:rsidRPr="007226D7" w:rsidRDefault="0056369A" w:rsidP="0056369A">
      <w:pPr>
        <w:rPr>
          <w:lang w:val="es-ES"/>
        </w:rPr>
      </w:pPr>
      <w:r w:rsidRPr="007226D7">
        <w:rPr>
          <w:lang w:val="es-ES"/>
        </w:rPr>
        <w:t xml:space="preserve">El Niño es un fenómeno de oscilación climática que se repite cada cierta cantidad de años. En un año normal el Viento Tropical del Oeste baja hasta el Norte del Perú, más cuando el fenómeno de El Niño está presente, este viento tropical baja más hacia el sur y trae lluvias </w:t>
      </w:r>
      <w:r w:rsidRPr="007226D7">
        <w:rPr>
          <w:lang w:val="es-ES"/>
        </w:rPr>
        <w:lastRenderedPageBreak/>
        <w:t>bastante fuertes en los Andes Peruanos, lo cual incrementa peligrosamente el caudal de los ríos de la costa incluyendo el Río Rímac.</w:t>
      </w:r>
    </w:p>
    <w:p w:rsidR="0056369A" w:rsidRPr="007226D7" w:rsidRDefault="00B768A8" w:rsidP="00B768A8">
      <w:pPr>
        <w:jc w:val="center"/>
        <w:rPr>
          <w:lang w:val="es-ES"/>
        </w:rPr>
      </w:pPr>
      <w:r w:rsidRPr="007226D7">
        <w:rPr>
          <w:noProof/>
          <w:lang w:val="en-US" w:eastAsia="en-US"/>
        </w:rPr>
        <w:drawing>
          <wp:inline distT="0" distB="0" distL="0" distR="0" wp14:anchorId="11FDB89C" wp14:editId="4D9FE7A7">
            <wp:extent cx="3836035" cy="2172970"/>
            <wp:effectExtent l="0" t="0" r="0" b="0"/>
            <wp:docPr id="42"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36035" cy="2172970"/>
                    </a:xfrm>
                    <a:prstGeom prst="rect">
                      <a:avLst/>
                    </a:prstGeom>
                    <a:noFill/>
                    <a:ln>
                      <a:noFill/>
                    </a:ln>
                  </pic:spPr>
                </pic:pic>
              </a:graphicData>
            </a:graphic>
          </wp:inline>
        </w:drawing>
      </w:r>
    </w:p>
    <w:p w:rsidR="0056369A" w:rsidRPr="007226D7" w:rsidRDefault="0056369A" w:rsidP="00B768A8">
      <w:pPr>
        <w:pStyle w:val="Figuras"/>
      </w:pPr>
      <w:r w:rsidRPr="007226D7">
        <w:t>Figura 3.1-2 Dirección del viento predominante en la zona de lima-callao</w:t>
      </w:r>
      <w:r w:rsidR="00B768A8" w:rsidRPr="007226D7">
        <w:t xml:space="preserve"> </w:t>
      </w:r>
      <w:r w:rsidRPr="007226D7">
        <w:t>Fuente: Estudio de Saturación 2001, SWISSCONTACT/Comité de Aire Limpio de Lima – Callao.</w:t>
      </w:r>
    </w:p>
    <w:p w:rsidR="0056369A" w:rsidRPr="007226D7" w:rsidRDefault="0056369A" w:rsidP="00B768A8">
      <w:pPr>
        <w:pStyle w:val="Heading6"/>
        <w:rPr>
          <w:lang w:val="es-ES"/>
        </w:rPr>
      </w:pPr>
      <w:r w:rsidRPr="007226D7">
        <w:rPr>
          <w:lang w:val="es-ES"/>
        </w:rPr>
        <w:t>Geología</w:t>
      </w:r>
    </w:p>
    <w:p w:rsidR="0056369A" w:rsidRPr="007226D7" w:rsidRDefault="0056369A" w:rsidP="0056369A">
      <w:pPr>
        <w:rPr>
          <w:lang w:val="es-ES"/>
        </w:rPr>
      </w:pPr>
      <w:r w:rsidRPr="007226D7">
        <w:rPr>
          <w:lang w:val="es-ES"/>
        </w:rPr>
        <w:t>El área de influencia de la Línea 2 de la Red Básica del Metro de Lima, comprende materiales terrestres (macizos rocosos, materiales de cobertura) de diferentes orígenes y edades.</w:t>
      </w:r>
    </w:p>
    <w:p w:rsidR="0056369A" w:rsidRPr="007226D7" w:rsidRDefault="0056369A" w:rsidP="0056369A">
      <w:pPr>
        <w:rPr>
          <w:lang w:val="es-ES"/>
        </w:rPr>
      </w:pPr>
      <w:r w:rsidRPr="007226D7">
        <w:rPr>
          <w:lang w:val="es-ES"/>
        </w:rPr>
        <w:t>Los macizos rocosos mayormente están constituidos por rocas de origen ígneo (volcánico y piroclástico) reconocidas como el Volcánico Quilmana; la roca de origen sedimentario (secuencia clástica y no clástica) como las Formaciones Atocongo y Pamplona, y con edades del Cretáceo inferior y medio superior (Ki y Kms) del Mesozoico Medio; y por rocas ígneas plutónicas de composición intermedia como la tonalita diorita de la unidad Santa Rosa, y rocas de composición básica como gabro diorita y diorita de la unidad Patap de eda</w:t>
      </w:r>
      <w:r w:rsidR="00B768A8" w:rsidRPr="007226D7">
        <w:rPr>
          <w:lang w:val="es-ES"/>
        </w:rPr>
        <w:t>d de Cretáceo y Paleógeno (KP).</w:t>
      </w:r>
    </w:p>
    <w:p w:rsidR="0056369A" w:rsidRPr="007226D7" w:rsidRDefault="0056369A" w:rsidP="0056369A">
      <w:pPr>
        <w:rPr>
          <w:lang w:val="es-ES"/>
        </w:rPr>
      </w:pPr>
      <w:r w:rsidRPr="007226D7">
        <w:rPr>
          <w:lang w:val="es-ES"/>
        </w:rPr>
        <w:t>Los materiales de cobertura corresponden a los depósitos del cuaternario antiguo de origen aluvial, y del cuaternario holocénico de origen fluvial, aluvial, coluvio a</w:t>
      </w:r>
      <w:r w:rsidR="00B768A8" w:rsidRPr="007226D7">
        <w:rPr>
          <w:lang w:val="es-ES"/>
        </w:rPr>
        <w:t>luvial, eólico y antropogénico.</w:t>
      </w:r>
    </w:p>
    <w:p w:rsidR="0056369A" w:rsidRPr="007226D7" w:rsidRDefault="0056369A" w:rsidP="00B768A8">
      <w:pPr>
        <w:pStyle w:val="Heading6"/>
        <w:rPr>
          <w:lang w:val="es-ES"/>
        </w:rPr>
      </w:pPr>
      <w:r w:rsidRPr="007226D7">
        <w:rPr>
          <w:lang w:val="es-ES"/>
        </w:rPr>
        <w:t>Geomorfología</w:t>
      </w:r>
    </w:p>
    <w:p w:rsidR="0056369A" w:rsidRPr="007226D7" w:rsidRDefault="0056369A" w:rsidP="0056369A">
      <w:pPr>
        <w:rPr>
          <w:lang w:val="es-ES"/>
        </w:rPr>
      </w:pPr>
      <w:r w:rsidRPr="007226D7">
        <w:rPr>
          <w:lang w:val="es-ES"/>
        </w:rPr>
        <w:t>En el área de influencia del proyecto se presentan unidades geomorfológicas conformadas por relieves muy variados, dentro de los cuales se han identificado: llanuras planas, sistema de cerros bajos, llanuras inclinadas, elevaciones aisladas y dunas.</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Llanura plana (Planicie aluvial)</w:t>
      </w:r>
    </w:p>
    <w:p w:rsidR="0056369A" w:rsidRPr="007226D7" w:rsidRDefault="0056369A" w:rsidP="0056369A">
      <w:pPr>
        <w:rPr>
          <w:lang w:val="es-ES"/>
        </w:rPr>
      </w:pPr>
      <w:r w:rsidRPr="007226D7">
        <w:rPr>
          <w:lang w:val="es-ES"/>
        </w:rPr>
        <w:t>Son tipos de relieve que se encuentran en el área de influencia, formado por la depositación de los materiales acarreados por el río Rímac. Consiste en relieves que se caracteriza por la forma plana y un desarrollo longitudinal, con altitudes poco variables (0 a 350 msnm), y con gradientes que puede alcanzar el 20% a 3</w:t>
      </w:r>
      <w:r w:rsidR="00B768A8" w:rsidRPr="007226D7">
        <w:rPr>
          <w:lang w:val="es-ES"/>
        </w:rPr>
        <w:t>0%, en la dirección occidental.</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lastRenderedPageBreak/>
        <w:t>Llanura plana (Planicie de inundación)</w:t>
      </w:r>
    </w:p>
    <w:p w:rsidR="0056369A" w:rsidRPr="007226D7" w:rsidRDefault="0056369A" w:rsidP="0056369A">
      <w:pPr>
        <w:rPr>
          <w:lang w:val="es-ES"/>
        </w:rPr>
      </w:pPr>
      <w:r w:rsidRPr="007226D7">
        <w:rPr>
          <w:lang w:val="es-ES"/>
        </w:rPr>
        <w:t>Es un relieve que se encuentra en el área de influencia y ubicado a lo largo y próximo al cauce del río Rímac. Consiste en relieves de forma plana ondulada e inclinada con un desarrollo longitudinal, siendo mayor la superficie ubicada en la cercanía del borde litoral y con gradi</w:t>
      </w:r>
      <w:r w:rsidR="00B768A8" w:rsidRPr="007226D7">
        <w:rPr>
          <w:lang w:val="es-ES"/>
        </w:rPr>
        <w:t>entes que puede alcanzar el 5%.</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Sistemas de cerros bajos (Colinas)</w:t>
      </w:r>
    </w:p>
    <w:p w:rsidR="0056369A" w:rsidRPr="007226D7" w:rsidRDefault="0056369A" w:rsidP="0056369A">
      <w:pPr>
        <w:rPr>
          <w:lang w:val="es-ES"/>
        </w:rPr>
      </w:pPr>
      <w:r w:rsidRPr="007226D7">
        <w:rPr>
          <w:lang w:val="es-ES"/>
        </w:rPr>
        <w:t>Estos relieves ocupan gran parte del área de estudio, y corresponde a los primeros frentes del Flanco de la Cordillera de los Andes. Comprende relieves que se caracterizan por la forma que se encuentran limitados por taludes mixtos con pendientes suaves (en una relación V</w:t>
      </w:r>
      <w:proofErr w:type="gramStart"/>
      <w:r w:rsidRPr="007226D7">
        <w:rPr>
          <w:lang w:val="es-ES"/>
        </w:rPr>
        <w:t>:H</w:t>
      </w:r>
      <w:proofErr w:type="gramEnd"/>
      <w:r w:rsidRPr="007226D7">
        <w:rPr>
          <w:lang w:val="es-ES"/>
        </w:rPr>
        <w:t xml:space="preserve"> de 1:1 y 2:1), y altitudes que llegan hasta los 200 msnm (Cerro San Cosme) y en otros pueden alcanzar los 800 msnm como los cerros Hu</w:t>
      </w:r>
      <w:r w:rsidR="00B768A8" w:rsidRPr="007226D7">
        <w:rPr>
          <w:lang w:val="es-ES"/>
        </w:rPr>
        <w:t>aquerone en el distrito de Ate.</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 xml:space="preserve">Llanuras inclinadas (Glacis de acumulación) </w:t>
      </w:r>
    </w:p>
    <w:p w:rsidR="0056369A" w:rsidRPr="007226D7" w:rsidRDefault="0056369A" w:rsidP="0056369A">
      <w:pPr>
        <w:rPr>
          <w:lang w:val="es-ES"/>
        </w:rPr>
      </w:pPr>
      <w:r w:rsidRPr="007226D7">
        <w:rPr>
          <w:lang w:val="es-ES"/>
        </w:rPr>
        <w:t xml:space="preserve">Se extienden desde la planicie aluvial hasta el límite con los Cerros Bajos (cerros Huaquerone) y de las quebradas áridas. Comprende relieves que se caracterizan por la forma plana y ondulada con inclinaciones variables desde 10% al 20% como el relieve que rodea los cerros El Agustino y Huaquerone, y con altitudes que alcanzan los 202 -206 msnm en la vertiente septentrional de los cerros El Agustino mientras en la vertiente meridional la </w:t>
      </w:r>
      <w:r w:rsidR="00B768A8" w:rsidRPr="007226D7">
        <w:rPr>
          <w:lang w:val="es-ES"/>
        </w:rPr>
        <w:t>superficie alcanza 235-245msnm.</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 xml:space="preserve">Elevaciones aisladas (Monte isla) </w:t>
      </w:r>
    </w:p>
    <w:p w:rsidR="0056369A" w:rsidRPr="007226D7" w:rsidRDefault="0056369A" w:rsidP="0056369A">
      <w:pPr>
        <w:rPr>
          <w:lang w:val="es-ES"/>
        </w:rPr>
      </w:pPr>
      <w:r w:rsidRPr="007226D7">
        <w:rPr>
          <w:lang w:val="es-ES"/>
        </w:rPr>
        <w:t>Son relieves que se caracteriza por las altitudes bajas (200 msnm y 480msnm) y forma suave, irregular y algo accidentado como en los cerros San Cosme y el Agustino, rodeados por un relieve plana ubicados en los alrededores de la zona urbana del distrito de L</w:t>
      </w:r>
      <w:r w:rsidR="00B768A8" w:rsidRPr="007226D7">
        <w:rPr>
          <w:lang w:val="es-ES"/>
        </w:rPr>
        <w:t>a Victoria y El Agustino.</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Cauce</w:t>
      </w:r>
    </w:p>
    <w:p w:rsidR="0056369A" w:rsidRPr="007226D7" w:rsidRDefault="0056369A" w:rsidP="0056369A">
      <w:pPr>
        <w:rPr>
          <w:lang w:val="es-ES"/>
        </w:rPr>
      </w:pPr>
      <w:r w:rsidRPr="007226D7">
        <w:rPr>
          <w:lang w:val="es-ES"/>
        </w:rPr>
        <w:t>Se encuentra instalado en la planicie aluvial a través del cual el río Rímac drena un volumen de agua con carga de sólidos que arrastra desde la parte alta de los contrafuertes andinos. Comprende un relieve que se caracterizan por las dimensiones mayor en sentido longitudinal y un ancho de 50 a 100 metros, forma plana ondulada, con inclinaciones variables desde 5% a 10%.</w:t>
      </w:r>
    </w:p>
    <w:p w:rsidR="00B768A8" w:rsidRPr="007226D7" w:rsidRDefault="00B768A8" w:rsidP="0056369A">
      <w:pPr>
        <w:rPr>
          <w:u w:val="single"/>
          <w:lang w:val="es-ES"/>
        </w:rPr>
      </w:pPr>
    </w:p>
    <w:p w:rsidR="0056369A" w:rsidRPr="007226D7" w:rsidRDefault="0056369A" w:rsidP="0056369A">
      <w:pPr>
        <w:rPr>
          <w:u w:val="single"/>
          <w:lang w:val="es-ES"/>
        </w:rPr>
      </w:pPr>
      <w:r w:rsidRPr="007226D7">
        <w:rPr>
          <w:u w:val="single"/>
          <w:lang w:val="es-ES"/>
        </w:rPr>
        <w:t>Borde Litoral</w:t>
      </w:r>
    </w:p>
    <w:p w:rsidR="00B768A8" w:rsidRPr="007226D7" w:rsidRDefault="0056369A">
      <w:pPr>
        <w:spacing w:after="0" w:line="240" w:lineRule="auto"/>
        <w:jc w:val="left"/>
        <w:rPr>
          <w:lang w:val="es-ES"/>
        </w:rPr>
      </w:pPr>
      <w:r w:rsidRPr="007226D7">
        <w:rPr>
          <w:lang w:val="es-ES"/>
        </w:rPr>
        <w:t>Corresponde al límite del continente y el mar ubicado en el distrito del Callao. Comprende relieves que se caracterizan por la forma cóncava y mixta,</w:t>
      </w:r>
      <w:r w:rsidR="00B768A8" w:rsidRPr="007226D7">
        <w:rPr>
          <w:lang w:val="es-ES"/>
        </w:rPr>
        <w:t xml:space="preserve"> y con altitudes de 0 - 2 msnm.</w:t>
      </w:r>
      <w:r w:rsidR="00B768A8" w:rsidRPr="007226D7">
        <w:rPr>
          <w:lang w:val="es-ES"/>
        </w:rPr>
        <w:br w:type="page"/>
      </w:r>
    </w:p>
    <w:p w:rsidR="0056369A" w:rsidRPr="007226D7" w:rsidRDefault="0056369A" w:rsidP="00B768A8">
      <w:pPr>
        <w:pStyle w:val="Heading6"/>
        <w:rPr>
          <w:lang w:val="es-ES"/>
        </w:rPr>
      </w:pPr>
      <w:r w:rsidRPr="007226D7">
        <w:rPr>
          <w:lang w:val="es-ES"/>
        </w:rPr>
        <w:lastRenderedPageBreak/>
        <w:t>Fisiografía</w:t>
      </w:r>
    </w:p>
    <w:p w:rsidR="0056369A" w:rsidRPr="007226D7" w:rsidRDefault="0056369A" w:rsidP="0056369A">
      <w:pPr>
        <w:rPr>
          <w:lang w:val="es-ES"/>
        </w:rPr>
      </w:pPr>
      <w:r w:rsidRPr="007226D7">
        <w:rPr>
          <w:lang w:val="es-ES"/>
        </w:rPr>
        <w:t>En base al análisis fisiográfico, se ha determinado las geoformas que predominan en el área de estudio, las cuales son el resultado de la interacción de factores climáticos, litológicos, procesos erosivos y deposicionales, así como de fenómenos de origen tectónico, análisis que ha permitido identificar dos Grandes Paisajes:</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Planicies y Colinas compuestas por materiales aluviales y sedimentarios.</w:t>
      </w:r>
    </w:p>
    <w:p w:rsidR="0056369A" w:rsidRPr="007226D7" w:rsidRDefault="0056369A" w:rsidP="0056369A">
      <w:pPr>
        <w:rPr>
          <w:lang w:val="es-ES"/>
        </w:rPr>
      </w:pPr>
      <w:r w:rsidRPr="007226D7">
        <w:rPr>
          <w:lang w:val="es-ES"/>
        </w:rPr>
        <w:t>El método utilizado en la determinación de las diferentes formas de tierra, es el del Análisis Fisiográfico, que se fundamenta en la separación y delimitación de unidades naturales, basado en rasgos del paisaje identificables en las imágenes de satélite e información temática existente.</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Unidades fisiográficas</w:t>
      </w:r>
    </w:p>
    <w:p w:rsidR="0056369A" w:rsidRPr="007226D7" w:rsidRDefault="0056369A" w:rsidP="0056369A">
      <w:pPr>
        <w:rPr>
          <w:lang w:val="es-ES"/>
        </w:rPr>
      </w:pPr>
      <w:r w:rsidRPr="007226D7">
        <w:rPr>
          <w:lang w:val="es-ES"/>
        </w:rPr>
        <w:t>A continuación se presenta la descripción de las diferentes unidades fisiográficas identificadas en el ámbito de la zona de estudio:</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Gran Paisaje: Planicie</w:t>
      </w:r>
    </w:p>
    <w:p w:rsidR="0056369A" w:rsidRPr="007226D7" w:rsidRDefault="0056369A" w:rsidP="0056369A">
      <w:pPr>
        <w:rPr>
          <w:lang w:val="es-ES"/>
        </w:rPr>
      </w:pPr>
      <w:r w:rsidRPr="007226D7">
        <w:rPr>
          <w:lang w:val="es-ES"/>
        </w:rPr>
        <w:t>Esta unidad fisiográfica se caracteriza principalmente por su topografía de relieve plano, cuya pendiente varía entre 2 - 4%. Litológicamente se encuentran constituidos principalmente por la acumulación de materiales heterométricos, de origen aluvial, como productos de los procesos erosivos naturales físicos e hídricos en la cuenca baja del rio Rímac. Se ha identificado el siguiente paisaje:</w:t>
      </w:r>
    </w:p>
    <w:p w:rsidR="0056369A" w:rsidRPr="007226D7" w:rsidRDefault="0056369A" w:rsidP="006E6A64">
      <w:pPr>
        <w:pStyle w:val="ListParagraph"/>
        <w:numPr>
          <w:ilvl w:val="0"/>
          <w:numId w:val="19"/>
        </w:numPr>
        <w:rPr>
          <w:lang w:val="es-ES"/>
        </w:rPr>
      </w:pPr>
      <w:r w:rsidRPr="007226D7">
        <w:rPr>
          <w:lang w:val="es-ES"/>
        </w:rPr>
        <w:t>Paisaje Planicie Fluvial</w:t>
      </w:r>
    </w:p>
    <w:p w:rsidR="0056369A" w:rsidRPr="007226D7" w:rsidRDefault="0056369A" w:rsidP="00B768A8">
      <w:pPr>
        <w:pStyle w:val="ListParagraph"/>
        <w:ind w:left="720"/>
        <w:rPr>
          <w:lang w:val="es-ES"/>
        </w:rPr>
      </w:pPr>
      <w:r w:rsidRPr="007226D7">
        <w:rPr>
          <w:lang w:val="es-ES"/>
        </w:rPr>
        <w:t>Se caracteriza por presentar una litología conformada por materiales heterométricos gruesos, de variada composición litológica, que han sido transportados por la acción del agua, y posteriormente depositados en las partes bajas y fondos de valle. Se distribuye principalmente en ambas márgenes del río Rímac. Dentro de esta unidad se ha determinado el siguiente Subpaisaje:</w:t>
      </w:r>
    </w:p>
    <w:p w:rsidR="0056369A" w:rsidRPr="007226D7" w:rsidRDefault="0056369A" w:rsidP="006E6A64">
      <w:pPr>
        <w:pStyle w:val="ListParagraph"/>
        <w:numPr>
          <w:ilvl w:val="0"/>
          <w:numId w:val="19"/>
        </w:numPr>
        <w:rPr>
          <w:lang w:val="es-ES"/>
        </w:rPr>
      </w:pPr>
      <w:r w:rsidRPr="007226D7">
        <w:rPr>
          <w:lang w:val="es-ES"/>
        </w:rPr>
        <w:t>Subpaisaje: Cauce o lecho de río</w:t>
      </w:r>
    </w:p>
    <w:p w:rsidR="0056369A" w:rsidRPr="007226D7" w:rsidRDefault="0056369A" w:rsidP="00B768A8">
      <w:pPr>
        <w:pStyle w:val="ListParagraph"/>
        <w:ind w:left="720"/>
        <w:rPr>
          <w:lang w:val="es-ES"/>
        </w:rPr>
      </w:pPr>
      <w:r w:rsidRPr="007226D7">
        <w:rPr>
          <w:lang w:val="es-ES"/>
        </w:rPr>
        <w:t>Constituyen los terrenos por donde discurren las aguas del río Rímac, con pendientes menores al 2%, salvo algunos tramos donde se estrecha y éste aumenta. El lecho está constituido por sedimentos fluviales del Cuaternario, notándose abundante presencia de cantos y depósitos de arena, a manera de barras.</w:t>
      </w:r>
    </w:p>
    <w:p w:rsidR="0056369A" w:rsidRPr="007226D7" w:rsidRDefault="0056369A" w:rsidP="0056369A">
      <w:pPr>
        <w:rPr>
          <w:u w:val="single"/>
          <w:lang w:val="es-ES"/>
        </w:rPr>
      </w:pPr>
      <w:r w:rsidRPr="007226D7">
        <w:rPr>
          <w:u w:val="single"/>
          <w:lang w:val="es-ES"/>
        </w:rPr>
        <w:t>Gran Paisaje: Colinas</w:t>
      </w:r>
    </w:p>
    <w:p w:rsidR="0056369A" w:rsidRPr="007226D7" w:rsidRDefault="0056369A" w:rsidP="0056369A">
      <w:pPr>
        <w:rPr>
          <w:lang w:val="es-ES"/>
        </w:rPr>
      </w:pPr>
      <w:r w:rsidRPr="007226D7">
        <w:rPr>
          <w:lang w:val="es-ES"/>
        </w:rPr>
        <w:t>Esta unidad fisiográfica está dominada por aquellas tierras que en su conjunto está conformada por elevaciones prominentes, entre menores a 20 m y 300 m sobre el nivel de base local. Caracterizada por presentar una topografía abrupta, con relieves accidentados y pendientes fuertemente inclinados a empinados (8 -50%).</w:t>
      </w:r>
    </w:p>
    <w:p w:rsidR="0056369A" w:rsidRPr="007226D7" w:rsidRDefault="0056369A" w:rsidP="0056369A">
      <w:pPr>
        <w:rPr>
          <w:lang w:val="es-ES"/>
        </w:rPr>
      </w:pPr>
      <w:r w:rsidRPr="007226D7">
        <w:rPr>
          <w:lang w:val="es-ES"/>
        </w:rPr>
        <w:lastRenderedPageBreak/>
        <w:t>Estas formaciones fisiográficas, se han originado a partir de diferentes tipos de rocas sedimentarias, y se caracterizan por presentar una topografía accidentada, con pendientes moderadamente inclinadas a empinadas (08 - 50%), cuya altura de sus ondulaciones fluctúa entre los 20 m y 300 m sobre un nivel de base local.</w:t>
      </w:r>
    </w:p>
    <w:p w:rsidR="0056369A" w:rsidRPr="007226D7" w:rsidRDefault="0056369A" w:rsidP="0056369A">
      <w:pPr>
        <w:rPr>
          <w:lang w:val="es-ES"/>
        </w:rPr>
      </w:pPr>
      <w:r w:rsidRPr="007226D7">
        <w:rPr>
          <w:lang w:val="es-ES"/>
        </w:rPr>
        <w:t>Presenta una litología conformada por sedimentos marinos de variada litología, constituido principalmente por arenas finas, medias y gruesas, yeso, bentonita, sales, diatomitas, restos orgánicos mineralizados y otros; que se encuentran sometidos básicamente a la acción erosiva (halo y termoclastismo) de los agentes físicos corrosivos de la zona.</w:t>
      </w:r>
    </w:p>
    <w:p w:rsidR="0056369A" w:rsidRPr="007226D7" w:rsidRDefault="0056369A" w:rsidP="0056369A">
      <w:pPr>
        <w:rPr>
          <w:lang w:val="es-ES"/>
        </w:rPr>
      </w:pPr>
      <w:r w:rsidRPr="007226D7">
        <w:rPr>
          <w:lang w:val="es-ES"/>
        </w:rPr>
        <w:t>Por las condiciones de aridez del lugar, no se han desarrollado mayormente suelos, constituyendo básicamente depósitos de materiales misceláneos de rocas y arenas.</w:t>
      </w:r>
    </w:p>
    <w:p w:rsidR="0056369A" w:rsidRPr="007226D7" w:rsidRDefault="0056369A" w:rsidP="0056369A">
      <w:pPr>
        <w:rPr>
          <w:lang w:val="es-ES"/>
        </w:rPr>
      </w:pPr>
      <w:r w:rsidRPr="007226D7">
        <w:rPr>
          <w:lang w:val="es-ES"/>
        </w:rPr>
        <w:t>Se distribuye en forma dispersa en los flancos que rodean los valles de la costa y próximo al litoral. Dentro de esta unidad se han determinado los siguientes Subpaisajes:</w:t>
      </w:r>
    </w:p>
    <w:p w:rsidR="0056369A" w:rsidRPr="007226D7" w:rsidRDefault="0056369A" w:rsidP="006E6A64">
      <w:pPr>
        <w:pStyle w:val="ListParagraph"/>
        <w:numPr>
          <w:ilvl w:val="0"/>
          <w:numId w:val="19"/>
        </w:numPr>
        <w:rPr>
          <w:lang w:val="es-ES"/>
        </w:rPr>
      </w:pPr>
      <w:r w:rsidRPr="007226D7">
        <w:rPr>
          <w:lang w:val="es-ES"/>
        </w:rPr>
        <w:t>Subpaisaje: Colina Baja</w:t>
      </w:r>
    </w:p>
    <w:p w:rsidR="00B768A8" w:rsidRPr="007226D7" w:rsidRDefault="0056369A" w:rsidP="00B768A8">
      <w:pPr>
        <w:pStyle w:val="ListParagraph"/>
        <w:ind w:left="720"/>
        <w:rPr>
          <w:lang w:val="es-ES"/>
        </w:rPr>
      </w:pPr>
      <w:r w:rsidRPr="007226D7">
        <w:rPr>
          <w:lang w:val="es-ES"/>
        </w:rPr>
        <w:t>Esta unidad fisiográfica se caracteriza por presentar ondulaciones, cuya altura fluctúa entre los 20 m y 80 m sobre un nivel de base local, presenta de ligeras a moderadas disecciones, en algunos sectores los afloramientos presentan un fuerte intemperismo.</w:t>
      </w:r>
    </w:p>
    <w:p w:rsidR="0056369A" w:rsidRPr="007226D7" w:rsidRDefault="0056369A" w:rsidP="00B768A8">
      <w:pPr>
        <w:pStyle w:val="ListParagraph"/>
        <w:ind w:left="720"/>
        <w:rPr>
          <w:lang w:val="es-ES"/>
        </w:rPr>
      </w:pPr>
      <w:r w:rsidRPr="007226D7">
        <w:rPr>
          <w:lang w:val="es-ES"/>
        </w:rPr>
        <w:t>Dentro de esta unidad, de acuerdo al grado de inclinación de la pendiente de las formas de tierra identificadas, presentan un relieve Moderadamente empinado (15- 25%).</w:t>
      </w:r>
    </w:p>
    <w:p w:rsidR="0056369A" w:rsidRPr="007226D7" w:rsidRDefault="00B768A8" w:rsidP="006E6A64">
      <w:pPr>
        <w:pStyle w:val="ListParagraph"/>
        <w:numPr>
          <w:ilvl w:val="0"/>
          <w:numId w:val="19"/>
        </w:numPr>
        <w:rPr>
          <w:lang w:val="es-ES"/>
        </w:rPr>
      </w:pPr>
      <w:r w:rsidRPr="007226D7">
        <w:rPr>
          <w:lang w:val="es-ES"/>
        </w:rPr>
        <w:t>S</w:t>
      </w:r>
      <w:r w:rsidR="0056369A" w:rsidRPr="007226D7">
        <w:rPr>
          <w:lang w:val="es-ES"/>
        </w:rPr>
        <w:t>ubpaisaje: Colina Alta</w:t>
      </w:r>
    </w:p>
    <w:p w:rsidR="0056369A" w:rsidRPr="007226D7" w:rsidRDefault="0056369A" w:rsidP="00B768A8">
      <w:pPr>
        <w:pStyle w:val="ListParagraph"/>
        <w:ind w:left="720"/>
        <w:rPr>
          <w:lang w:val="es-ES"/>
        </w:rPr>
      </w:pPr>
      <w:r w:rsidRPr="007226D7">
        <w:rPr>
          <w:lang w:val="es-ES"/>
        </w:rPr>
        <w:t xml:space="preserve">Se caracteriza por presentar ondulaciones, cuya altura fluctúa entre los 80 m y 300 m sobre un nivel de base local, al igual que las colinas bajas. Presenta de ligeras a moderadas disecciones, en algunos sectores los afloramientos se encuentran sometidos a un fuerte intemperismo físico. </w:t>
      </w:r>
    </w:p>
    <w:p w:rsidR="0056369A" w:rsidRPr="007226D7" w:rsidRDefault="0056369A" w:rsidP="00B768A8">
      <w:pPr>
        <w:pStyle w:val="ListParagraph"/>
        <w:ind w:left="720"/>
        <w:rPr>
          <w:lang w:val="es-ES"/>
        </w:rPr>
      </w:pPr>
    </w:p>
    <w:p w:rsidR="0056369A" w:rsidRPr="007226D7" w:rsidRDefault="0056369A" w:rsidP="00B768A8">
      <w:pPr>
        <w:pStyle w:val="ListParagraph"/>
        <w:ind w:left="720"/>
        <w:rPr>
          <w:lang w:val="es-ES"/>
        </w:rPr>
      </w:pPr>
      <w:r w:rsidRPr="007226D7">
        <w:rPr>
          <w:lang w:val="es-ES"/>
        </w:rPr>
        <w:t>Dentro de esta unidad, de acuerdo al grado de inclinación de la pendiente de las formas de tierra, presentan un relieve empinado (25 - 50%).</w:t>
      </w:r>
    </w:p>
    <w:p w:rsidR="0056369A" w:rsidRPr="007226D7" w:rsidRDefault="0056369A" w:rsidP="00B768A8">
      <w:pPr>
        <w:pStyle w:val="Heading6"/>
        <w:rPr>
          <w:lang w:val="es-ES"/>
        </w:rPr>
      </w:pPr>
      <w:r w:rsidRPr="007226D7">
        <w:rPr>
          <w:lang w:val="es-ES"/>
        </w:rPr>
        <w:t>Componente Hídrico</w:t>
      </w:r>
    </w:p>
    <w:p w:rsidR="0056369A" w:rsidRPr="007226D7" w:rsidRDefault="0056369A" w:rsidP="0056369A">
      <w:pPr>
        <w:rPr>
          <w:u w:val="single"/>
          <w:lang w:val="es-ES"/>
        </w:rPr>
      </w:pPr>
      <w:r w:rsidRPr="007226D7">
        <w:rPr>
          <w:u w:val="single"/>
          <w:lang w:val="es-ES"/>
        </w:rPr>
        <w:t>Agua subterránea</w:t>
      </w:r>
    </w:p>
    <w:p w:rsidR="0056369A" w:rsidRPr="007226D7" w:rsidRDefault="0056369A" w:rsidP="0056369A">
      <w:pPr>
        <w:rPr>
          <w:lang w:val="es-ES"/>
        </w:rPr>
      </w:pPr>
      <w:r w:rsidRPr="007226D7">
        <w:rPr>
          <w:lang w:val="es-ES"/>
        </w:rPr>
        <w:t>El acuífero de Lima está conformado por los acuíferos de los valles Rímac y Chillón. El flujo de la napa del Chillón sigue la dirección noreste-suroeste y el flujo de la napa del Rímac va de este a oeste. Ambos se unen a la altura del aeropuerto Jorge Chávez y siguen luego una dirección este-oeste, hacia el mar.</w:t>
      </w:r>
    </w:p>
    <w:p w:rsidR="0056369A" w:rsidRPr="007226D7" w:rsidRDefault="0056369A" w:rsidP="0056369A">
      <w:pPr>
        <w:rPr>
          <w:lang w:val="es-ES"/>
        </w:rPr>
      </w:pPr>
      <w:r w:rsidRPr="007226D7">
        <w:rPr>
          <w:lang w:val="es-ES"/>
        </w:rPr>
        <w:t>La fuente actual de aguas subterráneas está constituida por el acuífero Rímac, el cual se alimenta de las filtraciones que se producen a través del lecho del río.</w:t>
      </w:r>
    </w:p>
    <w:p w:rsidR="0056369A" w:rsidRPr="007226D7" w:rsidRDefault="0056369A" w:rsidP="0056369A">
      <w:pPr>
        <w:rPr>
          <w:lang w:val="es-ES"/>
        </w:rPr>
      </w:pPr>
      <w:r w:rsidRPr="007226D7">
        <w:rPr>
          <w:lang w:val="es-ES"/>
        </w:rPr>
        <w:t xml:space="preserve">SEDAPAL realiza la extracción del agua del subsuelo mediante 333 pozos, ubicados en el área de Lima Metropolitana, y para el abastecimiento emplea el uso conjuntivo de fuente superficial y subterránea, lo cual contribuye a la conservación y recuperación de la napa freática. </w:t>
      </w:r>
    </w:p>
    <w:p w:rsidR="0056369A" w:rsidRPr="007226D7" w:rsidRDefault="0056369A" w:rsidP="0056369A">
      <w:pPr>
        <w:rPr>
          <w:lang w:val="es-ES"/>
        </w:rPr>
      </w:pPr>
      <w:r w:rsidRPr="007226D7">
        <w:rPr>
          <w:lang w:val="es-ES"/>
        </w:rPr>
        <w:lastRenderedPageBreak/>
        <w:t xml:space="preserve">De manera complementaria, podemos mencionar que, en total el reservorio acuífero de la Gran Lima (excluyendo al río Lurín) tiene una extensión aproximada de 390 km2. El espesor saturado del acuífero en la mayor parte del área está entre 100 m y 300 m, alcanzando mayores espesores (400-500 m) en la zona del Distrito de La Perla, sin embargo todo este espesor saturado no es aprovechable debido a su escasa o nula permeabilidad. </w:t>
      </w:r>
    </w:p>
    <w:p w:rsidR="0056369A" w:rsidRPr="007226D7" w:rsidRDefault="0056369A" w:rsidP="0056369A">
      <w:pPr>
        <w:rPr>
          <w:lang w:val="es-ES"/>
        </w:rPr>
      </w:pPr>
      <w:r w:rsidRPr="007226D7">
        <w:rPr>
          <w:lang w:val="es-ES"/>
        </w:rPr>
        <w:t>Los estudios básicos de ATA indican que el área urbana metropolitana de Lima y Callao, es influenciada por los ríos Rímac, Chillón y Lurín, los que condicionan la presencia del agua subterránea.</w:t>
      </w:r>
    </w:p>
    <w:p w:rsidR="0056369A" w:rsidRPr="007226D7" w:rsidRDefault="0056369A" w:rsidP="0056369A">
      <w:pPr>
        <w:rPr>
          <w:lang w:val="es-ES"/>
        </w:rPr>
      </w:pPr>
      <w:r w:rsidRPr="007226D7">
        <w:rPr>
          <w:lang w:val="es-ES"/>
        </w:rPr>
        <w:t xml:space="preserve">El acuífero de Lima metropolitana está constituido por materiales aluviales y deltaicos (gravas, arenas, limos y arcillas), sobre terrenos no muy permeables de naturaleza volcánico-sedimentaria y granítica. La extensión del acuífero es de 260 km², su espesor máximo no es conocido, estimándose entre 400m a 500 m. </w:t>
      </w:r>
    </w:p>
    <w:p w:rsidR="0056369A" w:rsidRPr="007226D7" w:rsidRDefault="0056369A" w:rsidP="0056369A">
      <w:pPr>
        <w:rPr>
          <w:lang w:val="es-ES"/>
        </w:rPr>
      </w:pPr>
      <w:r w:rsidRPr="007226D7">
        <w:rPr>
          <w:lang w:val="es-ES"/>
        </w:rPr>
        <w:t>En los terrenos aluviales del Rímac, además de su cono déltico, se tienen materiales detríticos (gravas, arenas, limos e intercalaciones arcillosas en las zonas costeras)  disminuyendo el tamaño del grano con la mayor cercanía al mar. Por su carácter permeable, la presencia de aguas subterráneas en estos terrenos es importante. La recarga procede, en su mayor parte de la infiltración de aguas superficiales (pérdidas directas del río o canales no revestidos), por infiltración de excedentes de riego y por pérdidas de las redes urbanas de abastecimiento o alcantarillado.</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Agua superficial</w:t>
      </w:r>
    </w:p>
    <w:p w:rsidR="0056369A" w:rsidRPr="007226D7" w:rsidRDefault="0056369A" w:rsidP="0056369A">
      <w:pPr>
        <w:rPr>
          <w:lang w:val="es-ES"/>
        </w:rPr>
      </w:pPr>
      <w:r w:rsidRPr="007226D7">
        <w:rPr>
          <w:lang w:val="es-ES"/>
        </w:rPr>
        <w:t>El principal curso de agua influencia el proyecto de la Línea 2 es el río Rímac, el mismo que tiene su origen en el nevado Paca de la vertiente occidental de la Cordillera de los Andes a una altitud máxima de aproximadamente 5,508 metros sobre el nivel del mar. La cuenca presenta 191 lagunas, originadas por la reducida pendiente. Entre los tributarios más importantes del Rímac se encuentran los ríos Santa Eulalia, San Mateo o Alto Rímac, Blanco y río Surco.</w:t>
      </w:r>
    </w:p>
    <w:p w:rsidR="0056369A" w:rsidRPr="007226D7" w:rsidRDefault="0056369A" w:rsidP="0056369A">
      <w:pPr>
        <w:rPr>
          <w:lang w:val="es-ES"/>
        </w:rPr>
      </w:pPr>
      <w:r w:rsidRPr="007226D7">
        <w:rPr>
          <w:lang w:val="es-ES"/>
        </w:rPr>
        <w:t>Esta cuenca tiene un área de 3,485 km2, una altitud media de 2,979 msnm y una pendiente media en el orden de 47%, del área total 2,237.2 km² es cuenca húmeda, donde se presentan precipitaciones significativas. A partir de Chosica hacia la desembocadura del río en el Océano Pacífico, incluyendo la quebrada Jicamarca se puede considerar como cuenca seca, donde sólo esporádicamente ocurren precipitaciones. Esta área tiene una extensión de 895.2 km².</w:t>
      </w:r>
    </w:p>
    <w:p w:rsidR="0056369A" w:rsidRPr="007226D7" w:rsidRDefault="0056369A" w:rsidP="0056369A">
      <w:pPr>
        <w:rPr>
          <w:lang w:val="es-ES"/>
        </w:rPr>
      </w:pPr>
      <w:r w:rsidRPr="007226D7">
        <w:rPr>
          <w:lang w:val="es-ES"/>
        </w:rPr>
        <w:t>La cuenca seca propia del río Rímac, entre Chosica y el mar tiene una extensión de 467.2 km² y una longitud del curso de agua de 56.9 km. Se pueden distinguir tres tramos bien definidos en este curso de agua: el primero entre Chosica y el ingreso de la Quebrada Jicamarca, tienen 21.5 km de longitud, con una pendiente de 2.4% y baja de los 966 a los 450 msnm. El segundo tramo, desde el ingreso de quebrada Jicamarca hasta la zona de La Menacho (ingreso del río Rímac a la ciudad de Lima), tiene 17.9 km., de longitud, con una pendiente de 1.4 por ciento y baja de los 450 a los 195 msnm. El tercer tramo, desde la Menacho hasta la desembocadura del río Rímac en el mar, va por la zona urbana de la ciudad de Lima y tiene 17.5 km., de longitud, con una pendiente</w:t>
      </w:r>
      <w:r w:rsidR="00B768A8" w:rsidRPr="007226D7">
        <w:rPr>
          <w:lang w:val="es-ES"/>
        </w:rPr>
        <w:t xml:space="preserve"> de 1.1% y baja de 195 a 0msnm.</w:t>
      </w:r>
    </w:p>
    <w:p w:rsidR="00B156D2" w:rsidRPr="007226D7" w:rsidRDefault="00B156D2" w:rsidP="0056369A">
      <w:pPr>
        <w:rPr>
          <w:lang w:val="es-ES"/>
        </w:rPr>
      </w:pPr>
    </w:p>
    <w:p w:rsidR="0056369A" w:rsidRPr="007226D7" w:rsidRDefault="0056369A" w:rsidP="00B768A8">
      <w:pPr>
        <w:pStyle w:val="Heading6"/>
        <w:rPr>
          <w:lang w:val="es-ES"/>
        </w:rPr>
      </w:pPr>
      <w:r w:rsidRPr="007226D7">
        <w:rPr>
          <w:lang w:val="es-ES"/>
        </w:rPr>
        <w:lastRenderedPageBreak/>
        <w:t>Sismicidad</w:t>
      </w:r>
    </w:p>
    <w:p w:rsidR="0056369A" w:rsidRPr="007226D7" w:rsidRDefault="0056369A" w:rsidP="0056369A">
      <w:pPr>
        <w:rPr>
          <w:lang w:val="es-ES"/>
        </w:rPr>
      </w:pPr>
      <w:r w:rsidRPr="007226D7">
        <w:rPr>
          <w:lang w:val="es-ES"/>
        </w:rPr>
        <w:t xml:space="preserve">En el Estudio de Vulnerabilidad y Riesgo Sísmico en Lima y Callao, CISMID-UNI 2005, se propone la zonificación sísmica el cual se presenta en la Figura 3.1-4, donde Lima Metropolitana se encuentra definida en cinco (5) zonas, y puede observarse que el trazo de la Línea Este-Oeste del Sistema Eléctrico atraviesa las Zona I, II y IV: </w:t>
      </w:r>
    </w:p>
    <w:p w:rsidR="0056369A" w:rsidRPr="007226D7" w:rsidRDefault="0056369A" w:rsidP="006E6A64">
      <w:pPr>
        <w:pStyle w:val="ListParagraph"/>
        <w:numPr>
          <w:ilvl w:val="0"/>
          <w:numId w:val="19"/>
        </w:numPr>
        <w:rPr>
          <w:lang w:val="es-ES"/>
        </w:rPr>
      </w:pPr>
      <w:r w:rsidRPr="007226D7">
        <w:rPr>
          <w:lang w:val="es-ES"/>
        </w:rPr>
        <w:t xml:space="preserve">Zona I </w:t>
      </w:r>
    </w:p>
    <w:p w:rsidR="0056369A" w:rsidRPr="007226D7" w:rsidRDefault="0056369A" w:rsidP="00B768A8">
      <w:pPr>
        <w:pStyle w:val="ListParagraph"/>
        <w:ind w:left="720"/>
        <w:rPr>
          <w:lang w:val="es-ES"/>
        </w:rPr>
      </w:pPr>
      <w:r w:rsidRPr="007226D7">
        <w:rPr>
          <w:lang w:val="es-ES"/>
        </w:rPr>
        <w:t>Suelo rígido, periodo de vibración natural de 0.1 segundo a 0.3 segundo, factor de amplificación S=1.0 y períod</w:t>
      </w:r>
      <w:r w:rsidR="00B768A8" w:rsidRPr="007226D7">
        <w:rPr>
          <w:lang w:val="es-ES"/>
        </w:rPr>
        <w:t>o natural del suelo Ts=0.4 seg.</w:t>
      </w:r>
    </w:p>
    <w:p w:rsidR="0056369A" w:rsidRPr="007226D7" w:rsidRDefault="0056369A" w:rsidP="006E6A64">
      <w:pPr>
        <w:pStyle w:val="ListParagraph"/>
        <w:numPr>
          <w:ilvl w:val="0"/>
          <w:numId w:val="19"/>
        </w:numPr>
        <w:rPr>
          <w:lang w:val="es-ES"/>
        </w:rPr>
      </w:pPr>
      <w:r w:rsidRPr="007226D7">
        <w:rPr>
          <w:lang w:val="es-ES"/>
        </w:rPr>
        <w:t xml:space="preserve">Zona II </w:t>
      </w:r>
    </w:p>
    <w:p w:rsidR="0056369A" w:rsidRPr="007226D7" w:rsidRDefault="0056369A" w:rsidP="00B768A8">
      <w:pPr>
        <w:pStyle w:val="ListParagraph"/>
        <w:ind w:left="720"/>
        <w:rPr>
          <w:lang w:val="es-ES"/>
        </w:rPr>
      </w:pPr>
      <w:r w:rsidRPr="007226D7">
        <w:rPr>
          <w:lang w:val="es-ES"/>
        </w:rPr>
        <w:t xml:space="preserve">Suelos granulares finos y suelos arcillosos, subyace la grava aluvial o grava coluvial, periodo de vibración natural de 0.3 segundo a 0.5 segundo, factor de amplificación S=1.2 y período natural del suelo Ts=0.6 segundo. </w:t>
      </w:r>
    </w:p>
    <w:p w:rsidR="0056369A" w:rsidRPr="007226D7" w:rsidRDefault="0056369A" w:rsidP="006E6A64">
      <w:pPr>
        <w:pStyle w:val="ListParagraph"/>
        <w:numPr>
          <w:ilvl w:val="0"/>
          <w:numId w:val="19"/>
        </w:numPr>
        <w:rPr>
          <w:lang w:val="es-ES"/>
        </w:rPr>
      </w:pPr>
      <w:r w:rsidRPr="007226D7">
        <w:rPr>
          <w:lang w:val="es-ES"/>
        </w:rPr>
        <w:t xml:space="preserve">Zona IV </w:t>
      </w:r>
    </w:p>
    <w:p w:rsidR="0056369A" w:rsidRPr="007226D7" w:rsidRDefault="0056369A" w:rsidP="00B768A8">
      <w:pPr>
        <w:pStyle w:val="ListParagraph"/>
        <w:ind w:left="720"/>
        <w:rPr>
          <w:lang w:val="es-ES"/>
        </w:rPr>
      </w:pPr>
      <w:r w:rsidRPr="007226D7">
        <w:rPr>
          <w:lang w:val="es-ES"/>
        </w:rPr>
        <w:t>Depósitos de rellenos sueltos desmontes heterogéneos, el comportamiento dinámico es incierto.</w:t>
      </w:r>
    </w:p>
    <w:p w:rsidR="00B768A8" w:rsidRPr="007226D7" w:rsidRDefault="00B768A8" w:rsidP="00B768A8">
      <w:pPr>
        <w:jc w:val="center"/>
        <w:rPr>
          <w:lang w:val="es-ES"/>
        </w:rPr>
      </w:pPr>
      <w:r w:rsidRPr="007226D7">
        <w:rPr>
          <w:noProof/>
          <w:lang w:val="en-US" w:eastAsia="en-US"/>
        </w:rPr>
        <w:drawing>
          <wp:inline distT="0" distB="0" distL="0" distR="0" wp14:anchorId="0A86C73D" wp14:editId="6F963344">
            <wp:extent cx="3978275" cy="4311015"/>
            <wp:effectExtent l="0" t="0" r="0" b="0"/>
            <wp:docPr id="43"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78275" cy="4311015"/>
                    </a:xfrm>
                    <a:prstGeom prst="rect">
                      <a:avLst/>
                    </a:prstGeom>
                    <a:noFill/>
                    <a:ln>
                      <a:noFill/>
                    </a:ln>
                  </pic:spPr>
                </pic:pic>
              </a:graphicData>
            </a:graphic>
          </wp:inline>
        </w:drawing>
      </w:r>
    </w:p>
    <w:p w:rsidR="0056369A" w:rsidRPr="007226D7" w:rsidRDefault="0056369A" w:rsidP="00B768A8">
      <w:pPr>
        <w:pStyle w:val="Figuras"/>
      </w:pPr>
      <w:r w:rsidRPr="007226D7">
        <w:t>Figura 3.1-3  Zonificación sísmica de Lima Metropolitana (Diseño de escenario sobre el impacto de un sismo de gran magnitud en Lima Metropolitana y Callao, Perú. APESEG-CISMID 2005</w:t>
      </w:r>
    </w:p>
    <w:p w:rsidR="0056369A" w:rsidRPr="007226D7" w:rsidRDefault="0056369A" w:rsidP="0056369A">
      <w:pPr>
        <w:rPr>
          <w:lang w:val="es-ES"/>
        </w:rPr>
      </w:pPr>
      <w:r w:rsidRPr="007226D7">
        <w:rPr>
          <w:lang w:val="es-ES"/>
        </w:rPr>
        <w:lastRenderedPageBreak/>
        <w:t>El área de estudio se encuentra en una zona de alta sismicidad donde los rasgos sismotectónicos están representados por la zona de interacción de las Placas Sudamericana y la Placa de Nazca, y las deformaciones corticales los cuales han producido las fallas en el continente.</w:t>
      </w:r>
    </w:p>
    <w:p w:rsidR="0056369A" w:rsidRPr="007226D7" w:rsidRDefault="0056369A" w:rsidP="0056369A">
      <w:pPr>
        <w:rPr>
          <w:lang w:val="es-ES"/>
        </w:rPr>
      </w:pPr>
      <w:r w:rsidRPr="007226D7">
        <w:rPr>
          <w:lang w:val="es-ES"/>
        </w:rPr>
        <w:t xml:space="preserve">Los registros históricos indican la ocurrencia de sismos destructores como El sismo del 18 de Abril de 1993, con intensidad de VI MM en Lima y V MM en Cañete y Chimbote. El sismo del 23 de Junio de 2001, con una magnitud de 8.4 Mw con intensidades máximas de VII y VIII MM que afecto la región sur y centro del Perú y en Camaná se produjo tsunamis con olas de 4 a 7m. </w:t>
      </w:r>
      <w:proofErr w:type="gramStart"/>
      <w:r w:rsidRPr="007226D7">
        <w:rPr>
          <w:lang w:val="es-ES"/>
        </w:rPr>
        <w:t>de</w:t>
      </w:r>
      <w:proofErr w:type="gramEnd"/>
      <w:r w:rsidRPr="007226D7">
        <w:rPr>
          <w:lang w:val="es-ES"/>
        </w:rPr>
        <w:t xml:space="preserve"> altura. El 15 de Agosto de 2007, con una magnitud Mw=8.0, con intensidades de VII MM en Pisco, Chincha y Cañete, de V y VI en Lima, VI en Yauyos y Huaytará, y de IV en Huaraz, Canta, Puquio y Chala.</w:t>
      </w:r>
    </w:p>
    <w:p w:rsidR="0056369A" w:rsidRPr="007226D7" w:rsidRDefault="0056369A" w:rsidP="00B768A8">
      <w:pPr>
        <w:pStyle w:val="Heading6"/>
        <w:rPr>
          <w:lang w:val="es-ES"/>
        </w:rPr>
      </w:pPr>
      <w:r w:rsidRPr="007226D7">
        <w:rPr>
          <w:lang w:val="es-ES"/>
        </w:rPr>
        <w:t>Suelo</w:t>
      </w:r>
    </w:p>
    <w:p w:rsidR="0056369A" w:rsidRPr="007226D7" w:rsidRDefault="0056369A" w:rsidP="0056369A">
      <w:pPr>
        <w:rPr>
          <w:lang w:val="es-ES"/>
        </w:rPr>
      </w:pPr>
      <w:r w:rsidRPr="007226D7">
        <w:rPr>
          <w:lang w:val="es-ES"/>
        </w:rPr>
        <w:t>Las características del suelo comprendido durante el recorrido de la Línea 2, según ATA, son:</w:t>
      </w:r>
    </w:p>
    <w:p w:rsidR="0056369A" w:rsidRPr="007226D7" w:rsidRDefault="0056369A" w:rsidP="006E6A64">
      <w:pPr>
        <w:pStyle w:val="ListParagraph"/>
        <w:numPr>
          <w:ilvl w:val="0"/>
          <w:numId w:val="19"/>
        </w:numPr>
        <w:rPr>
          <w:lang w:val="es-ES"/>
        </w:rPr>
      </w:pPr>
      <w:r w:rsidRPr="007226D7">
        <w:rPr>
          <w:lang w:val="es-ES"/>
        </w:rPr>
        <w:t>El suelo que predomina en toda la longitud del tramo I corresponde al típico suelo aluvial del cono de deyección del rio Rímac, grava pobremente gradada con arena y cantos rodados (GP).</w:t>
      </w:r>
    </w:p>
    <w:p w:rsidR="0056369A" w:rsidRPr="007226D7" w:rsidRDefault="0056369A" w:rsidP="006E6A64">
      <w:pPr>
        <w:pStyle w:val="ListParagraph"/>
        <w:numPr>
          <w:ilvl w:val="0"/>
          <w:numId w:val="19"/>
        </w:numPr>
        <w:rPr>
          <w:lang w:val="es-ES"/>
        </w:rPr>
      </w:pPr>
      <w:r w:rsidRPr="007226D7">
        <w:rPr>
          <w:lang w:val="es-ES"/>
        </w:rPr>
        <w:t>Existe agua subterránea en el tramo comprendido entre las calicatas C-1 (km 0+000) y C-11 (km2+063). El nivel freático alcanza una profundidad variable de 1,50 m hasta 9,50 m, aumentando la profundidad si nos alejamos del Puerto</w:t>
      </w:r>
    </w:p>
    <w:p w:rsidR="0056369A" w:rsidRPr="007226D7" w:rsidRDefault="0056369A" w:rsidP="00B768A8">
      <w:pPr>
        <w:pStyle w:val="Heading6"/>
        <w:rPr>
          <w:lang w:val="es-ES"/>
        </w:rPr>
      </w:pPr>
      <w:r w:rsidRPr="007226D7">
        <w:rPr>
          <w:lang w:val="es-ES"/>
        </w:rPr>
        <w:t>Sectorización de Suelos del Tramo I</w:t>
      </w:r>
    </w:p>
    <w:p w:rsidR="0056369A" w:rsidRPr="007226D7" w:rsidRDefault="0056369A" w:rsidP="0056369A">
      <w:pPr>
        <w:rPr>
          <w:lang w:val="es-ES"/>
        </w:rPr>
      </w:pPr>
      <w:r w:rsidRPr="007226D7">
        <w:rPr>
          <w:lang w:val="es-ES"/>
        </w:rPr>
        <w:t>En este tramo se distinguen 3 sectores, definidos en base a la investigación del subsuelo, según se muestra</w:t>
      </w:r>
      <w:r w:rsidR="00B768A8" w:rsidRPr="007226D7">
        <w:rPr>
          <w:lang w:val="es-ES"/>
        </w:rPr>
        <w:t xml:space="preserve"> en la tabla siguiente:</w:t>
      </w:r>
    </w:p>
    <w:p w:rsidR="0056369A" w:rsidRPr="007226D7" w:rsidRDefault="0056369A" w:rsidP="00B768A8">
      <w:pPr>
        <w:pStyle w:val="Figuras"/>
      </w:pPr>
      <w:r w:rsidRPr="007226D7">
        <w:t>Tabla 3.1-4 Sectorización Geotécnica</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5"/>
        <w:gridCol w:w="857"/>
        <w:gridCol w:w="1430"/>
        <w:gridCol w:w="1716"/>
        <w:gridCol w:w="2145"/>
        <w:gridCol w:w="1001"/>
      </w:tblGrid>
      <w:tr w:rsidR="002632F8" w:rsidRPr="007226D7" w:rsidTr="002733CF">
        <w:trPr>
          <w:trHeight w:hRule="exact" w:val="705"/>
          <w:tblHeader/>
          <w:jc w:val="center"/>
        </w:trPr>
        <w:tc>
          <w:tcPr>
            <w:tcW w:w="1735"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Tramo</w:t>
            </w:r>
          </w:p>
        </w:tc>
        <w:tc>
          <w:tcPr>
            <w:tcW w:w="857"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 xml:space="preserve">Sector </w:t>
            </w:r>
          </w:p>
        </w:tc>
        <w:tc>
          <w:tcPr>
            <w:tcW w:w="1430"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Progresivas</w:t>
            </w:r>
          </w:p>
          <w:p w:rsidR="002632F8" w:rsidRPr="007226D7" w:rsidRDefault="002632F8" w:rsidP="002733CF">
            <w:pPr>
              <w:pStyle w:val="Estilo4"/>
              <w:jc w:val="center"/>
              <w:rPr>
                <w:rFonts w:ascii="Arial" w:hAnsi="Arial"/>
                <w:sz w:val="16"/>
                <w:szCs w:val="16"/>
              </w:rPr>
            </w:pPr>
            <w:r w:rsidRPr="007226D7">
              <w:rPr>
                <w:rFonts w:ascii="Arial" w:hAnsi="Arial"/>
                <w:sz w:val="16"/>
                <w:szCs w:val="16"/>
              </w:rPr>
              <w:t>(km)</w:t>
            </w:r>
          </w:p>
        </w:tc>
        <w:tc>
          <w:tcPr>
            <w:tcW w:w="1716"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Suelos (SUCS) Predominantes</w:t>
            </w:r>
          </w:p>
        </w:tc>
        <w:tc>
          <w:tcPr>
            <w:tcW w:w="2145"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Parámetros Geotécnicos</w:t>
            </w:r>
          </w:p>
          <w:p w:rsidR="002632F8" w:rsidRPr="007226D7" w:rsidRDefault="002632F8" w:rsidP="002733CF">
            <w:pPr>
              <w:pStyle w:val="Estilo4"/>
              <w:jc w:val="center"/>
              <w:rPr>
                <w:rFonts w:ascii="Arial" w:hAnsi="Arial"/>
                <w:b/>
                <w:sz w:val="16"/>
                <w:szCs w:val="16"/>
              </w:rPr>
            </w:pPr>
            <w:r w:rsidRPr="007226D7">
              <w:rPr>
                <w:rFonts w:ascii="Arial" w:hAnsi="Arial"/>
                <w:b/>
                <w:sz w:val="16"/>
                <w:szCs w:val="16"/>
              </w:rPr>
              <w:t>Representativos</w:t>
            </w:r>
          </w:p>
        </w:tc>
        <w:tc>
          <w:tcPr>
            <w:tcW w:w="1001" w:type="dxa"/>
            <w:shd w:val="clear" w:color="auto" w:fill="99CCFF"/>
            <w:vAlign w:val="center"/>
          </w:tcPr>
          <w:p w:rsidR="002632F8" w:rsidRPr="007226D7" w:rsidRDefault="002632F8" w:rsidP="002733CF">
            <w:pPr>
              <w:pStyle w:val="Estilo4"/>
              <w:jc w:val="center"/>
              <w:rPr>
                <w:rFonts w:ascii="Arial" w:hAnsi="Arial"/>
                <w:b/>
                <w:sz w:val="16"/>
                <w:szCs w:val="16"/>
              </w:rPr>
            </w:pPr>
            <w:r w:rsidRPr="007226D7">
              <w:rPr>
                <w:rFonts w:ascii="Arial" w:hAnsi="Arial"/>
                <w:b/>
                <w:sz w:val="16"/>
                <w:szCs w:val="16"/>
              </w:rPr>
              <w:t>NF</w:t>
            </w:r>
          </w:p>
          <w:p w:rsidR="002632F8" w:rsidRPr="007226D7" w:rsidRDefault="002632F8" w:rsidP="002733CF">
            <w:pPr>
              <w:pStyle w:val="Estilo4"/>
              <w:jc w:val="center"/>
              <w:rPr>
                <w:rFonts w:ascii="Arial" w:hAnsi="Arial"/>
                <w:sz w:val="16"/>
                <w:szCs w:val="16"/>
              </w:rPr>
            </w:pPr>
            <w:r w:rsidRPr="007226D7">
              <w:rPr>
                <w:rFonts w:ascii="Arial" w:hAnsi="Arial"/>
                <w:sz w:val="16"/>
                <w:szCs w:val="16"/>
              </w:rPr>
              <w:t>(m)</w:t>
            </w:r>
          </w:p>
        </w:tc>
      </w:tr>
      <w:tr w:rsidR="002632F8" w:rsidRPr="007226D7" w:rsidTr="002733CF">
        <w:trPr>
          <w:trHeight w:hRule="exact" w:val="745"/>
          <w:jc w:val="center"/>
        </w:trPr>
        <w:tc>
          <w:tcPr>
            <w:tcW w:w="173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 xml:space="preserve">En </w:t>
            </w:r>
          </w:p>
          <w:p w:rsidR="002632F8" w:rsidRPr="007226D7" w:rsidRDefault="002632F8" w:rsidP="002733CF">
            <w:pPr>
              <w:pStyle w:val="Estilo4"/>
              <w:jc w:val="center"/>
              <w:rPr>
                <w:rFonts w:ascii="Arial" w:hAnsi="Arial"/>
                <w:sz w:val="16"/>
                <w:szCs w:val="16"/>
              </w:rPr>
            </w:pPr>
            <w:r w:rsidRPr="007226D7">
              <w:rPr>
                <w:rFonts w:ascii="Arial" w:hAnsi="Arial"/>
                <w:sz w:val="16"/>
                <w:szCs w:val="16"/>
              </w:rPr>
              <w:t>Trinchera Cubierta</w:t>
            </w:r>
          </w:p>
        </w:tc>
        <w:tc>
          <w:tcPr>
            <w:tcW w:w="857"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1</w:t>
            </w:r>
          </w:p>
        </w:tc>
        <w:tc>
          <w:tcPr>
            <w:tcW w:w="1430"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0+00 – 2+825</w:t>
            </w:r>
          </w:p>
        </w:tc>
        <w:tc>
          <w:tcPr>
            <w:tcW w:w="1716"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CL, ML</w:t>
            </w:r>
          </w:p>
        </w:tc>
        <w:tc>
          <w:tcPr>
            <w:tcW w:w="214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sym w:font="Symbol" w:char="F066"/>
            </w:r>
            <w:r w:rsidRPr="007226D7">
              <w:rPr>
                <w:rFonts w:ascii="Arial" w:hAnsi="Arial"/>
                <w:sz w:val="16"/>
                <w:szCs w:val="16"/>
              </w:rPr>
              <w:t>=18,1°</w:t>
            </w:r>
          </w:p>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t>c=0,35 kg/cm</w:t>
            </w:r>
            <w:r w:rsidRPr="007226D7">
              <w:rPr>
                <w:rFonts w:ascii="Arial" w:hAnsi="Arial"/>
                <w:sz w:val="16"/>
                <w:szCs w:val="16"/>
                <w:vertAlign w:val="superscript"/>
              </w:rPr>
              <w:t>2</w:t>
            </w:r>
          </w:p>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sym w:font="Symbol" w:char="F067"/>
            </w:r>
            <w:r w:rsidRPr="007226D7">
              <w:rPr>
                <w:rFonts w:ascii="Arial" w:hAnsi="Arial"/>
                <w:sz w:val="16"/>
                <w:szCs w:val="16"/>
              </w:rPr>
              <w:t>=1,6 ton/m</w:t>
            </w:r>
            <w:r w:rsidRPr="007226D7">
              <w:rPr>
                <w:rFonts w:ascii="Arial" w:hAnsi="Arial"/>
                <w:sz w:val="16"/>
                <w:szCs w:val="16"/>
                <w:vertAlign w:val="superscript"/>
              </w:rPr>
              <w:t>3</w:t>
            </w:r>
          </w:p>
        </w:tc>
        <w:tc>
          <w:tcPr>
            <w:tcW w:w="1001" w:type="dxa"/>
            <w:vAlign w:val="center"/>
          </w:tcPr>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t>3,00</w:t>
            </w:r>
          </w:p>
        </w:tc>
      </w:tr>
      <w:tr w:rsidR="002632F8" w:rsidRPr="007226D7" w:rsidTr="002733CF">
        <w:trPr>
          <w:trHeight w:hRule="exact" w:val="745"/>
          <w:jc w:val="center"/>
        </w:trPr>
        <w:tc>
          <w:tcPr>
            <w:tcW w:w="173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 xml:space="preserve">En </w:t>
            </w:r>
          </w:p>
          <w:p w:rsidR="002632F8" w:rsidRPr="007226D7" w:rsidRDefault="002632F8" w:rsidP="002733CF">
            <w:pPr>
              <w:pStyle w:val="Estilo4"/>
              <w:jc w:val="center"/>
              <w:rPr>
                <w:rFonts w:ascii="Arial" w:hAnsi="Arial"/>
                <w:sz w:val="16"/>
                <w:szCs w:val="16"/>
              </w:rPr>
            </w:pPr>
            <w:r w:rsidRPr="007226D7">
              <w:rPr>
                <w:rFonts w:ascii="Arial" w:hAnsi="Arial"/>
                <w:sz w:val="16"/>
                <w:szCs w:val="16"/>
              </w:rPr>
              <w:t>Trinchera Cubierta</w:t>
            </w:r>
          </w:p>
        </w:tc>
        <w:tc>
          <w:tcPr>
            <w:tcW w:w="857"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2</w:t>
            </w:r>
          </w:p>
        </w:tc>
        <w:tc>
          <w:tcPr>
            <w:tcW w:w="1430"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2+825 – 9+500</w:t>
            </w:r>
          </w:p>
        </w:tc>
        <w:tc>
          <w:tcPr>
            <w:tcW w:w="1716"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ML, SP-SM, SM</w:t>
            </w:r>
          </w:p>
        </w:tc>
        <w:tc>
          <w:tcPr>
            <w:tcW w:w="214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N</w:t>
            </w:r>
            <w:r w:rsidRPr="007226D7">
              <w:rPr>
                <w:rFonts w:ascii="Arial" w:hAnsi="Arial"/>
                <w:sz w:val="16"/>
                <w:szCs w:val="16"/>
                <w:vertAlign w:val="subscript"/>
              </w:rPr>
              <w:t>SPT</w:t>
            </w:r>
            <w:r w:rsidRPr="007226D7">
              <w:rPr>
                <w:rFonts w:ascii="Arial" w:hAnsi="Arial"/>
                <w:sz w:val="16"/>
                <w:szCs w:val="16"/>
              </w:rPr>
              <w:t>=16</w:t>
            </w:r>
          </w:p>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sym w:font="Symbol" w:char="F067"/>
            </w:r>
            <w:r w:rsidRPr="007226D7">
              <w:rPr>
                <w:rFonts w:ascii="Arial" w:hAnsi="Arial"/>
                <w:sz w:val="16"/>
                <w:szCs w:val="16"/>
              </w:rPr>
              <w:t>=1,7 ton/m</w:t>
            </w:r>
            <w:r w:rsidRPr="007226D7">
              <w:rPr>
                <w:rFonts w:ascii="Arial" w:hAnsi="Arial"/>
                <w:sz w:val="16"/>
                <w:szCs w:val="16"/>
                <w:vertAlign w:val="superscript"/>
              </w:rPr>
              <w:t>3</w:t>
            </w:r>
          </w:p>
        </w:tc>
        <w:tc>
          <w:tcPr>
            <w:tcW w:w="1001" w:type="dxa"/>
            <w:vAlign w:val="center"/>
          </w:tcPr>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t>--</w:t>
            </w:r>
          </w:p>
        </w:tc>
      </w:tr>
      <w:tr w:rsidR="002632F8" w:rsidRPr="007226D7" w:rsidTr="002733CF">
        <w:trPr>
          <w:trHeight w:hRule="exact" w:val="745"/>
          <w:jc w:val="center"/>
        </w:trPr>
        <w:tc>
          <w:tcPr>
            <w:tcW w:w="173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En</w:t>
            </w:r>
          </w:p>
          <w:p w:rsidR="002632F8" w:rsidRPr="007226D7" w:rsidRDefault="002632F8" w:rsidP="002733CF">
            <w:pPr>
              <w:pStyle w:val="Estilo4"/>
              <w:jc w:val="center"/>
              <w:rPr>
                <w:rFonts w:ascii="Arial" w:hAnsi="Arial"/>
                <w:sz w:val="16"/>
                <w:szCs w:val="16"/>
              </w:rPr>
            </w:pPr>
            <w:r w:rsidRPr="007226D7">
              <w:rPr>
                <w:rFonts w:ascii="Arial" w:hAnsi="Arial"/>
                <w:sz w:val="16"/>
                <w:szCs w:val="16"/>
              </w:rPr>
              <w:t>Subterráneo</w:t>
            </w:r>
          </w:p>
        </w:tc>
        <w:tc>
          <w:tcPr>
            <w:tcW w:w="857"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3</w:t>
            </w:r>
          </w:p>
        </w:tc>
        <w:tc>
          <w:tcPr>
            <w:tcW w:w="1430"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9+500 – 15+300</w:t>
            </w:r>
          </w:p>
        </w:tc>
        <w:tc>
          <w:tcPr>
            <w:tcW w:w="1716"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t>GP</w:t>
            </w:r>
          </w:p>
        </w:tc>
        <w:tc>
          <w:tcPr>
            <w:tcW w:w="2145" w:type="dxa"/>
            <w:vAlign w:val="center"/>
          </w:tcPr>
          <w:p w:rsidR="002632F8" w:rsidRPr="007226D7" w:rsidRDefault="002632F8" w:rsidP="002733CF">
            <w:pPr>
              <w:pStyle w:val="Estilo4"/>
              <w:jc w:val="center"/>
              <w:rPr>
                <w:rFonts w:ascii="Arial" w:hAnsi="Arial"/>
                <w:sz w:val="16"/>
                <w:szCs w:val="16"/>
              </w:rPr>
            </w:pPr>
            <w:r w:rsidRPr="007226D7">
              <w:rPr>
                <w:rFonts w:ascii="Arial" w:hAnsi="Arial"/>
                <w:sz w:val="16"/>
                <w:szCs w:val="16"/>
              </w:rPr>
              <w:sym w:font="Symbol" w:char="F066"/>
            </w:r>
            <w:r w:rsidRPr="007226D7">
              <w:rPr>
                <w:rFonts w:ascii="Arial" w:hAnsi="Arial"/>
                <w:sz w:val="16"/>
                <w:szCs w:val="16"/>
              </w:rPr>
              <w:t>=34°</w:t>
            </w:r>
          </w:p>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t>c=0,15 kg/cm</w:t>
            </w:r>
            <w:r w:rsidRPr="007226D7">
              <w:rPr>
                <w:rFonts w:ascii="Arial" w:hAnsi="Arial"/>
                <w:sz w:val="16"/>
                <w:szCs w:val="16"/>
                <w:vertAlign w:val="superscript"/>
              </w:rPr>
              <w:t>2</w:t>
            </w:r>
          </w:p>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sym w:font="Symbol" w:char="F067"/>
            </w:r>
            <w:r w:rsidRPr="007226D7">
              <w:rPr>
                <w:rFonts w:ascii="Arial" w:hAnsi="Arial"/>
                <w:sz w:val="16"/>
                <w:szCs w:val="16"/>
              </w:rPr>
              <w:t>=2,2 ton/m</w:t>
            </w:r>
            <w:r w:rsidRPr="007226D7">
              <w:rPr>
                <w:rFonts w:ascii="Arial" w:hAnsi="Arial"/>
                <w:sz w:val="16"/>
                <w:szCs w:val="16"/>
                <w:vertAlign w:val="superscript"/>
              </w:rPr>
              <w:t>3</w:t>
            </w:r>
          </w:p>
        </w:tc>
        <w:tc>
          <w:tcPr>
            <w:tcW w:w="1001" w:type="dxa"/>
            <w:vAlign w:val="center"/>
          </w:tcPr>
          <w:p w:rsidR="002632F8" w:rsidRPr="007226D7" w:rsidRDefault="002632F8" w:rsidP="002733CF">
            <w:pPr>
              <w:pStyle w:val="Estilo4"/>
              <w:jc w:val="center"/>
              <w:rPr>
                <w:rFonts w:ascii="Arial" w:hAnsi="Arial"/>
                <w:snapToGrid w:val="0"/>
                <w:sz w:val="16"/>
                <w:szCs w:val="16"/>
              </w:rPr>
            </w:pPr>
            <w:r w:rsidRPr="007226D7">
              <w:rPr>
                <w:rFonts w:ascii="Arial" w:hAnsi="Arial"/>
                <w:sz w:val="16"/>
                <w:szCs w:val="16"/>
              </w:rPr>
              <w:t>--</w:t>
            </w:r>
          </w:p>
        </w:tc>
      </w:tr>
    </w:tbl>
    <w:p w:rsidR="0056369A" w:rsidRPr="007226D7" w:rsidRDefault="0056369A" w:rsidP="0056369A">
      <w:pPr>
        <w:rPr>
          <w:lang w:val="es-ES"/>
        </w:rPr>
      </w:pPr>
    </w:p>
    <w:p w:rsidR="002632F8" w:rsidRPr="007226D7" w:rsidRDefault="0056369A">
      <w:pPr>
        <w:spacing w:after="0" w:line="240" w:lineRule="auto"/>
        <w:jc w:val="left"/>
        <w:rPr>
          <w:lang w:val="es-ES"/>
        </w:rPr>
      </w:pPr>
      <w:r w:rsidRPr="007226D7">
        <w:rPr>
          <w:lang w:val="es-ES"/>
        </w:rPr>
        <w:t>En el Tramo II, el suelo que predomina en toda la longitud del tramo corresponde al típico suelo aluvial del cono de deyección del río Rímac, grava pobremente gradada con arena y cantos rodados (GP). Esta característica del suelo ha imposibilitado la ejecución de ensayos de penetración din</w:t>
      </w:r>
      <w:r w:rsidR="002632F8" w:rsidRPr="007226D7">
        <w:rPr>
          <w:lang w:val="es-ES"/>
        </w:rPr>
        <w:t>ámica (SPT, ACP) en este tramo.</w:t>
      </w:r>
      <w:r w:rsidR="002632F8" w:rsidRPr="007226D7">
        <w:rPr>
          <w:lang w:val="es-ES"/>
        </w:rPr>
        <w:br w:type="page"/>
      </w:r>
    </w:p>
    <w:p w:rsidR="0056369A" w:rsidRPr="007226D7" w:rsidRDefault="0056369A" w:rsidP="002632F8">
      <w:pPr>
        <w:pStyle w:val="Heading5"/>
        <w:rPr>
          <w:lang w:val="es-ES"/>
        </w:rPr>
      </w:pPr>
      <w:r w:rsidRPr="007226D7">
        <w:rPr>
          <w:lang w:val="es-ES"/>
        </w:rPr>
        <w:lastRenderedPageBreak/>
        <w:t>Medio Biológico</w:t>
      </w:r>
    </w:p>
    <w:p w:rsidR="0056369A" w:rsidRPr="007226D7" w:rsidRDefault="0056369A" w:rsidP="0056369A">
      <w:pPr>
        <w:rPr>
          <w:lang w:val="es-ES"/>
        </w:rPr>
      </w:pPr>
      <w:r w:rsidRPr="007226D7">
        <w:rPr>
          <w:lang w:val="es-ES"/>
        </w:rPr>
        <w:t>Comprende la descripción de los componentes bióticos de vegetación y fauna silvestre, incluyendo las zonas de vida que abarca el área de influencia del proyecto de la Línea 2.</w:t>
      </w:r>
    </w:p>
    <w:p w:rsidR="0056369A" w:rsidRPr="007226D7" w:rsidRDefault="0056369A" w:rsidP="002632F8">
      <w:pPr>
        <w:pStyle w:val="Heading6"/>
        <w:rPr>
          <w:lang w:val="es-ES"/>
        </w:rPr>
      </w:pPr>
      <w:r w:rsidRPr="007226D7">
        <w:rPr>
          <w:lang w:val="es-ES"/>
        </w:rPr>
        <w:t>Flora</w:t>
      </w:r>
    </w:p>
    <w:p w:rsidR="0056369A" w:rsidRPr="007226D7" w:rsidRDefault="0056369A" w:rsidP="002632F8">
      <w:pPr>
        <w:pStyle w:val="Heading7"/>
        <w:rPr>
          <w:lang w:val="es-ES"/>
        </w:rPr>
      </w:pPr>
      <w:r w:rsidRPr="007226D7">
        <w:rPr>
          <w:lang w:val="es-ES"/>
        </w:rPr>
        <w:t>Áreas Verdes</w:t>
      </w:r>
    </w:p>
    <w:p w:rsidR="0056369A" w:rsidRPr="007226D7" w:rsidRDefault="0056369A" w:rsidP="0056369A">
      <w:pPr>
        <w:rPr>
          <w:lang w:val="es-ES"/>
        </w:rPr>
      </w:pPr>
      <w:r w:rsidRPr="007226D7">
        <w:rPr>
          <w:lang w:val="es-ES"/>
        </w:rPr>
        <w:t>La flora ubicada en el área de influencia directa del proyecto corresponde a flora introducida. Se ha podido identificar áreas verdes tales como Parques, Bermas Centrales y Laterales, Óvalos y etc.</w:t>
      </w:r>
    </w:p>
    <w:p w:rsidR="0056369A" w:rsidRPr="007226D7" w:rsidRDefault="0056369A" w:rsidP="0056369A">
      <w:pPr>
        <w:rPr>
          <w:lang w:val="es-ES"/>
        </w:rPr>
      </w:pPr>
      <w:r w:rsidRPr="007226D7">
        <w:rPr>
          <w:lang w:val="es-ES"/>
        </w:rPr>
        <w:t>Entre las bermas laterales y centrales importantes se tienen las ubicadas en la Av. Guardia Chalaca, Av. Oscar R. Benavides (Colonial), Av. Venezuela, Av. Faucett y Vía de Evitamiento.</w:t>
      </w:r>
    </w:p>
    <w:p w:rsidR="0056369A" w:rsidRPr="007226D7" w:rsidRDefault="0056369A" w:rsidP="0056369A">
      <w:pPr>
        <w:rPr>
          <w:lang w:val="es-ES"/>
        </w:rPr>
      </w:pPr>
      <w:r w:rsidRPr="007226D7">
        <w:rPr>
          <w:lang w:val="es-ES"/>
        </w:rPr>
        <w:t>En el recorrido de la Línea 2, se puede encontrar Parques importantes, los mismos que se muestran en el Tabla siguiente.</w:t>
      </w:r>
    </w:p>
    <w:p w:rsidR="0056369A" w:rsidRPr="007226D7" w:rsidRDefault="0056369A" w:rsidP="002632F8">
      <w:pPr>
        <w:pStyle w:val="Figuras"/>
      </w:pPr>
      <w:r w:rsidRPr="007226D7">
        <w:t>Tabla 3.1-5 Parques importantes en el área de influencia del Proyecto</w:t>
      </w:r>
    </w:p>
    <w:tbl>
      <w:tblPr>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3"/>
        <w:gridCol w:w="6827"/>
      </w:tblGrid>
      <w:tr w:rsidR="002632F8" w:rsidRPr="007226D7" w:rsidTr="002733CF">
        <w:trPr>
          <w:trHeight w:val="170"/>
          <w:tblHeader/>
          <w:jc w:val="center"/>
        </w:trPr>
        <w:tc>
          <w:tcPr>
            <w:tcW w:w="2143"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Parque</w:t>
            </w:r>
          </w:p>
        </w:tc>
        <w:tc>
          <w:tcPr>
            <w:tcW w:w="6827"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Ubicación Referencial</w:t>
            </w:r>
          </w:p>
        </w:tc>
      </w:tr>
      <w:tr w:rsidR="002632F8" w:rsidRPr="007226D7" w:rsidTr="002733CF">
        <w:trPr>
          <w:trHeight w:val="170"/>
          <w:jc w:val="center"/>
        </w:trPr>
        <w:tc>
          <w:tcPr>
            <w:tcW w:w="2143"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Católica</w:t>
            </w:r>
          </w:p>
        </w:tc>
        <w:tc>
          <w:tcPr>
            <w:tcW w:w="6827" w:type="dxa"/>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eastAsia="es-ES"/>
              </w:rPr>
              <w:t xml:space="preserve">Calle </w:t>
            </w:r>
            <w:proofErr w:type="gramStart"/>
            <w:r w:rsidRPr="007226D7">
              <w:rPr>
                <w:rFonts w:ascii="Arial Narrow" w:hAnsi="Arial Narrow" w:cs="Arial"/>
                <w:color w:val="000000"/>
                <w:sz w:val="20"/>
                <w:lang w:eastAsia="es-ES"/>
              </w:rPr>
              <w:t>5</w:t>
            </w:r>
            <w:proofErr w:type="gramEnd"/>
            <w:r w:rsidRPr="007226D7">
              <w:rPr>
                <w:rFonts w:ascii="Arial Narrow" w:hAnsi="Arial Narrow" w:cs="Arial"/>
                <w:color w:val="000000"/>
                <w:sz w:val="20"/>
                <w:lang w:eastAsia="es-ES"/>
              </w:rPr>
              <w:t xml:space="preserve"> de Calle Colina</w:t>
            </w:r>
          </w:p>
        </w:tc>
      </w:tr>
      <w:tr w:rsidR="002632F8" w:rsidRPr="0013314C" w:rsidTr="002733CF">
        <w:trPr>
          <w:trHeight w:val="170"/>
          <w:jc w:val="center"/>
        </w:trPr>
        <w:tc>
          <w:tcPr>
            <w:tcW w:w="2143"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ParqueYahuar Huaca</w:t>
            </w:r>
          </w:p>
        </w:tc>
        <w:tc>
          <w:tcPr>
            <w:tcW w:w="6827" w:type="dxa"/>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Altura cuadra 22 de Av. Guardia Chalaca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Virgen María Auxiliadora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34 de la Av. </w:t>
            </w:r>
            <w:r w:rsidRPr="007226D7">
              <w:rPr>
                <w:rFonts w:ascii="Arial Narrow" w:hAnsi="Arial Narrow" w:cs="Arial"/>
                <w:color w:val="000000"/>
                <w:sz w:val="20"/>
                <w:lang w:eastAsia="es-ES"/>
              </w:rPr>
              <w:t>Oscar R. Benavides (Colonial)</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 xml:space="preserve">Virgen </w:t>
            </w:r>
            <w:proofErr w:type="gramStart"/>
            <w:r w:rsidRPr="007226D7">
              <w:rPr>
                <w:rFonts w:ascii="Arial Narrow" w:hAnsi="Arial Narrow" w:cs="Arial"/>
                <w:color w:val="000000"/>
                <w:sz w:val="20"/>
                <w:lang w:eastAsia="es-ES"/>
              </w:rPr>
              <w:t>del Carmen</w:t>
            </w:r>
            <w:proofErr w:type="gramEnd"/>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5 de la Av. </w:t>
            </w:r>
            <w:r w:rsidRPr="007226D7">
              <w:rPr>
                <w:rFonts w:ascii="Arial Narrow" w:hAnsi="Arial Narrow" w:cs="Arial"/>
                <w:color w:val="000000"/>
                <w:sz w:val="20"/>
                <w:lang w:eastAsia="es-ES"/>
              </w:rPr>
              <w:t>Los Insurgentes</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Niño Divino</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10 de la Av. </w:t>
            </w:r>
            <w:r w:rsidRPr="007226D7">
              <w:rPr>
                <w:rFonts w:ascii="Arial Narrow" w:hAnsi="Arial Narrow" w:cs="Arial"/>
                <w:color w:val="000000"/>
                <w:sz w:val="20"/>
                <w:lang w:eastAsia="es-ES"/>
              </w:rPr>
              <w:t>Los Insurgentes</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Señor del Mar</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30 C, altura de la cuadra 10 de la Av. </w:t>
            </w:r>
            <w:r w:rsidRPr="007226D7">
              <w:rPr>
                <w:rFonts w:ascii="Arial Narrow" w:hAnsi="Arial Narrow" w:cs="Arial"/>
                <w:color w:val="000000"/>
                <w:sz w:val="20"/>
                <w:lang w:eastAsia="es-ES"/>
              </w:rPr>
              <w:t>Los Insurgentes</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Santa Rosa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18 de la Av. </w:t>
            </w:r>
            <w:r w:rsidRPr="007226D7">
              <w:rPr>
                <w:rFonts w:ascii="Arial Narrow" w:hAnsi="Arial Narrow" w:cs="Arial"/>
                <w:color w:val="000000"/>
                <w:sz w:val="20"/>
                <w:lang w:eastAsia="es-ES"/>
              </w:rPr>
              <w:t>Venezuela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Central</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19 de la Av. </w:t>
            </w:r>
            <w:r w:rsidRPr="007226D7">
              <w:rPr>
                <w:rFonts w:ascii="Arial Narrow" w:hAnsi="Arial Narrow" w:cs="Arial"/>
                <w:color w:val="000000"/>
                <w:sz w:val="20"/>
                <w:lang w:eastAsia="es-ES"/>
              </w:rPr>
              <w:t>Venezuela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Virgen de Fátima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Cucardas, altura de la cuadra 17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Simón Bolívar</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15 de la Av. </w:t>
            </w:r>
            <w:r w:rsidRPr="007226D7">
              <w:rPr>
                <w:rFonts w:ascii="Arial Narrow" w:hAnsi="Arial Narrow" w:cs="Arial"/>
                <w:color w:val="000000"/>
                <w:sz w:val="20"/>
                <w:lang w:eastAsia="es-ES"/>
              </w:rPr>
              <w:t>Faucett (Cruce con Av. Venezuela)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Elías Aguirre</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Elías Aguirre, altura de la cuadra 22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De la Cultura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de la Cultura, altura de la cuadra 19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Néstor Gambeta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Flamengos, altura de la cuadra 18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Virgen de Guadalupe</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Faisanes, altura de la cuadra 16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Amelia Dávila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Golondrinas, altura de la cuadra 16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Catalina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Calandrias, altura de la cuadra 17 de la Av. </w:t>
            </w:r>
            <w:r w:rsidRPr="007226D7">
              <w:rPr>
                <w:rFonts w:ascii="Arial Narrow" w:hAnsi="Arial Narrow" w:cs="Arial"/>
                <w:color w:val="000000"/>
                <w:sz w:val="20"/>
                <w:lang w:eastAsia="es-ES"/>
              </w:rPr>
              <w:t>Faucett</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Las Américas</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HermillioValdizán, altura de la cuadra 4 de la Av. </w:t>
            </w:r>
            <w:r w:rsidRPr="007226D7">
              <w:rPr>
                <w:rFonts w:ascii="Arial Narrow" w:hAnsi="Arial Narrow" w:cs="Arial"/>
                <w:color w:val="000000"/>
                <w:sz w:val="20"/>
                <w:lang w:eastAsia="es-ES"/>
              </w:rPr>
              <w:t>Santos Chocano</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Miguel Grau</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Cuadras 3 y 4 de Calla Cesar Vallejo, altura de la cuadra 3 y 4 de la Av. </w:t>
            </w:r>
            <w:r w:rsidRPr="007226D7">
              <w:rPr>
                <w:rFonts w:ascii="Arial Narrow" w:hAnsi="Arial Narrow" w:cs="Arial"/>
                <w:color w:val="000000"/>
                <w:sz w:val="20"/>
                <w:lang w:eastAsia="es-ES"/>
              </w:rPr>
              <w:t>Santos Chocano</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Quiñones</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52 de la Av. </w:t>
            </w:r>
            <w:r w:rsidRPr="007226D7">
              <w:rPr>
                <w:rFonts w:ascii="Arial Narrow" w:hAnsi="Arial Narrow" w:cs="Arial"/>
                <w:color w:val="000000"/>
                <w:sz w:val="20"/>
                <w:lang w:eastAsia="es-ES"/>
              </w:rPr>
              <w:t>Oscar R. Benavides (Colonial)</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Comprensión</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 de la Av. Santos Chocano</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Urubamba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Cuadra 5 de Calle Francisco Moreyra y Riglos, Altura de cuadra 3 de Av. </w:t>
            </w:r>
            <w:r w:rsidRPr="007226D7">
              <w:rPr>
                <w:rFonts w:ascii="Arial Narrow" w:hAnsi="Arial Narrow" w:cs="Arial"/>
                <w:color w:val="000000"/>
                <w:sz w:val="20"/>
                <w:lang w:eastAsia="es-ES"/>
              </w:rPr>
              <w:t>German Amézaga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Bertello</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eastAsia="es-ES"/>
              </w:rPr>
              <w:t>Cuadra 4 de Calle Ricardo Rivera Navarrete</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Sassone</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Calle Gino Saloom, Altura de la cuadra 16 de la Av. A. García y García</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 xml:space="preserve">Virgen </w:t>
            </w:r>
            <w:proofErr w:type="gramStart"/>
            <w:r w:rsidRPr="007226D7">
              <w:rPr>
                <w:rFonts w:ascii="Arial Narrow" w:hAnsi="Arial Narrow" w:cs="Arial"/>
                <w:color w:val="000000"/>
                <w:sz w:val="20"/>
                <w:lang w:eastAsia="es-ES"/>
              </w:rPr>
              <w:t>del Carmen</w:t>
            </w:r>
            <w:proofErr w:type="gramEnd"/>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Calle Teniente Carlos Moore, Altura de la cuadra 14 de la Av. A. García y García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García y Lastres</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Cuadra 12 de la Calle Arístides del Carpio Muñoz, altura de la cuadra 25 de la Av. </w:t>
            </w:r>
            <w:r w:rsidRPr="007226D7">
              <w:rPr>
                <w:rFonts w:ascii="Arial Narrow" w:hAnsi="Arial Narrow" w:cs="Arial"/>
                <w:color w:val="000000"/>
                <w:sz w:val="20"/>
                <w:lang w:eastAsia="es-ES"/>
              </w:rPr>
              <w:t>Oscar R. Benavides 8Colonial)</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Arias Schereiber</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14 de la Av. A. García y García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Gonzáles Olaechea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Augusto Gonzáles Olaechea, altura de la cuadra 28 de la Av. </w:t>
            </w:r>
            <w:r w:rsidRPr="007226D7">
              <w:rPr>
                <w:rFonts w:ascii="Arial Narrow" w:hAnsi="Arial Narrow" w:cs="Arial"/>
                <w:color w:val="000000"/>
                <w:sz w:val="20"/>
                <w:lang w:eastAsia="es-ES"/>
              </w:rPr>
              <w:t>Venezuela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Madrid</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Dinamarca, altura de la cuadra 13 de la Av. </w:t>
            </w:r>
            <w:r w:rsidRPr="007226D7">
              <w:rPr>
                <w:rFonts w:ascii="Arial Narrow" w:hAnsi="Arial Narrow" w:cs="Arial"/>
                <w:color w:val="000000"/>
                <w:sz w:val="20"/>
                <w:lang w:eastAsia="es-ES"/>
              </w:rPr>
              <w:t>Naciones Unidas</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Matto de Turner</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Clorinda Matto de Turner, altura de la cuadra 14 de la Av. </w:t>
            </w:r>
            <w:r w:rsidRPr="007226D7">
              <w:rPr>
                <w:rFonts w:ascii="Arial Narrow" w:hAnsi="Arial Narrow" w:cs="Arial"/>
                <w:color w:val="000000"/>
                <w:sz w:val="20"/>
                <w:lang w:eastAsia="es-ES"/>
              </w:rPr>
              <w:t>Naciones Unidas</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Echenique</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Altura de la cuadra 5 de la Av. </w:t>
            </w:r>
            <w:r w:rsidRPr="007226D7">
              <w:rPr>
                <w:rFonts w:ascii="Arial Narrow" w:hAnsi="Arial Narrow" w:cs="Arial"/>
                <w:color w:val="000000"/>
                <w:sz w:val="20"/>
                <w:lang w:eastAsia="es-ES"/>
              </w:rPr>
              <w:t>Tingo María</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Murillo</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10 de la Av. Arica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lastRenderedPageBreak/>
              <w:t>Pariacoto</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Calle 4 de la Calle Pariacoto, altura de la cuadra 6 de la Av. </w:t>
            </w:r>
            <w:r w:rsidRPr="007226D7">
              <w:rPr>
                <w:rFonts w:ascii="Arial Narrow" w:hAnsi="Arial Narrow" w:cs="Arial"/>
                <w:color w:val="000000"/>
                <w:sz w:val="20"/>
                <w:lang w:eastAsia="es-ES"/>
              </w:rPr>
              <w:t>Zorritos</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Juana Alarco Dammert</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14 de la Av. Garcilaso de la Vega (Wilson)</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De Lima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Entre las cuadras 15 y 18 de la Av. Garcilaso de la Vega (Wilson)</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Cervantes</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8 de la AV. 28 de Julio</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Bélgica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 de la Av. Arequipa</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Washington</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5 de la Av. Arequipa</w:t>
            </w:r>
          </w:p>
        </w:tc>
      </w:tr>
      <w:tr w:rsidR="002632F8" w:rsidRPr="007226D7"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De la Reserva</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la Cuadra 4 y 8 de la Av. </w:t>
            </w:r>
            <w:r w:rsidRPr="007226D7">
              <w:rPr>
                <w:rFonts w:ascii="Arial Narrow" w:hAnsi="Arial Narrow" w:cs="Arial"/>
                <w:color w:val="000000"/>
                <w:sz w:val="20"/>
                <w:lang w:eastAsia="es-ES"/>
              </w:rPr>
              <w:t>Arequipa</w:t>
            </w:r>
          </w:p>
        </w:tc>
      </w:tr>
      <w:tr w:rsidR="002632F8" w:rsidRPr="0013314C" w:rsidTr="002733CF">
        <w:trPr>
          <w:trHeight w:val="170"/>
          <w:jc w:val="center"/>
        </w:trPr>
        <w:tc>
          <w:tcPr>
            <w:tcW w:w="2143"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Velarde</w:t>
            </w:r>
          </w:p>
        </w:tc>
        <w:tc>
          <w:tcPr>
            <w:tcW w:w="6827" w:type="dxa"/>
            <w:tcBorders>
              <w:top w:val="single" w:sz="4" w:space="0" w:color="auto"/>
              <w:left w:val="single" w:sz="4" w:space="0" w:color="auto"/>
              <w:bottom w:val="single" w:sz="4" w:space="0" w:color="auto"/>
              <w:right w:val="single" w:sz="4" w:space="0" w:color="auto"/>
            </w:tcBorders>
            <w:vAlign w:val="center"/>
          </w:tcPr>
          <w:p w:rsidR="002632F8" w:rsidRPr="007226D7" w:rsidRDefault="002632F8" w:rsidP="002733CF">
            <w:pPr>
              <w:autoSpaceDE w:val="0"/>
              <w:autoSpaceDN w:val="0"/>
              <w:adjustRightInd w:val="0"/>
              <w:spacing w:after="0" w:line="240" w:lineRule="auto"/>
              <w:rPr>
                <w:rFonts w:ascii="Arial Narrow" w:hAnsi="Arial Narrow" w:cs="Arial"/>
                <w:color w:val="000000"/>
                <w:sz w:val="20"/>
                <w:lang w:val="es-ES" w:eastAsia="es-ES"/>
              </w:rPr>
            </w:pPr>
            <w:r w:rsidRPr="007226D7">
              <w:rPr>
                <w:rFonts w:ascii="Arial Narrow" w:hAnsi="Arial Narrow" w:cs="Arial"/>
                <w:color w:val="000000"/>
                <w:sz w:val="20"/>
                <w:lang w:val="es-ES" w:eastAsia="es-ES"/>
              </w:rPr>
              <w:t>Calle Hernán Velarde, atura de la cuadra 10 de la Av. 28 de Julio</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 el recorrido de la Línea 2, se puede encontrar otras áreas verdes de importancia, tales como óvalos, plazas y jardines. En la Tabla siguiente se indican las áreas en mención.</w:t>
      </w:r>
    </w:p>
    <w:p w:rsidR="002632F8" w:rsidRPr="007226D7" w:rsidRDefault="002632F8" w:rsidP="002632F8">
      <w:pPr>
        <w:pStyle w:val="Figuras"/>
      </w:pPr>
      <w:bookmarkStart w:id="22" w:name="_Toc334026215"/>
      <w:r w:rsidRPr="007226D7">
        <w:t>Tabla 3.1-6  Otras áreas verdes importantes en el área de influencia del Proyecto</w:t>
      </w:r>
      <w:bookmarkEnd w:id="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4"/>
        <w:gridCol w:w="4866"/>
      </w:tblGrid>
      <w:tr w:rsidR="002632F8" w:rsidRPr="007226D7" w:rsidTr="002733CF">
        <w:trPr>
          <w:trHeight w:val="170"/>
          <w:tblHeader/>
          <w:jc w:val="center"/>
        </w:trPr>
        <w:tc>
          <w:tcPr>
            <w:tcW w:w="3454"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Otros</w:t>
            </w:r>
          </w:p>
        </w:tc>
        <w:tc>
          <w:tcPr>
            <w:tcW w:w="4866"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Ubicación Referencial</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proofErr w:type="gramStart"/>
            <w:r w:rsidRPr="007226D7">
              <w:rPr>
                <w:rFonts w:ascii="Arial Narrow" w:hAnsi="Arial Narrow" w:cs="Arial"/>
                <w:color w:val="000000"/>
                <w:sz w:val="20"/>
                <w:lang w:eastAsia="es-ES"/>
              </w:rPr>
              <w:t>Plaza</w:t>
            </w:r>
            <w:proofErr w:type="gramEnd"/>
            <w:r w:rsidRPr="007226D7">
              <w:rPr>
                <w:rFonts w:ascii="Arial Narrow" w:hAnsi="Arial Narrow" w:cs="Arial"/>
                <w:color w:val="000000"/>
                <w:sz w:val="20"/>
                <w:lang w:eastAsia="es-ES"/>
              </w:rPr>
              <w:t xml:space="preserve"> Garibaldi</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Av. Guardia Chalaca Cuadra 3</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proofErr w:type="gramStart"/>
            <w:r w:rsidRPr="007226D7">
              <w:rPr>
                <w:rFonts w:ascii="Arial Narrow" w:hAnsi="Arial Narrow" w:cs="Arial"/>
                <w:color w:val="000000"/>
                <w:sz w:val="20"/>
                <w:lang w:eastAsia="es-ES"/>
              </w:rPr>
              <w:t>Plaza</w:t>
            </w:r>
            <w:proofErr w:type="gramEnd"/>
            <w:r w:rsidRPr="007226D7">
              <w:rPr>
                <w:rFonts w:ascii="Arial Narrow" w:hAnsi="Arial Narrow" w:cs="Arial"/>
                <w:color w:val="000000"/>
                <w:sz w:val="20"/>
                <w:lang w:eastAsia="es-ES"/>
              </w:rPr>
              <w:t xml:space="preserve"> Fanning (Obelisco del Callao)</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cuadra 6 y 7 de Av. </w:t>
            </w:r>
            <w:r w:rsidRPr="007226D7">
              <w:rPr>
                <w:rFonts w:ascii="Arial Narrow" w:hAnsi="Arial Narrow" w:cs="Arial"/>
                <w:color w:val="000000"/>
                <w:sz w:val="20"/>
                <w:lang w:eastAsia="es-ES"/>
              </w:rPr>
              <w:t>Argentina</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Jardines del Cementerio Británico</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7 de Av. Carlos de los Heros</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del Colegio San Antonio de Varones</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cuadra 15 y 19 de Av. </w:t>
            </w:r>
            <w:r w:rsidRPr="007226D7">
              <w:rPr>
                <w:rFonts w:ascii="Arial Narrow" w:hAnsi="Arial Narrow" w:cs="Arial"/>
                <w:color w:val="000000"/>
                <w:sz w:val="20"/>
                <w:lang w:eastAsia="es-ES"/>
              </w:rPr>
              <w:t>Guardia Chalaca</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Ovalo Saloom</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24 de la Av. Guardia Chalaca</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del Hospital Centro Médico Naval</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40 de la Av. Venezuela</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proofErr w:type="gramStart"/>
            <w:r w:rsidRPr="007226D7">
              <w:rPr>
                <w:rFonts w:ascii="Arial Narrow" w:hAnsi="Arial Narrow" w:cs="Arial"/>
                <w:color w:val="000000"/>
                <w:sz w:val="20"/>
                <w:lang w:eastAsia="es-ES"/>
              </w:rPr>
              <w:t>Plaza</w:t>
            </w:r>
            <w:proofErr w:type="gramEnd"/>
            <w:r w:rsidRPr="007226D7">
              <w:rPr>
                <w:rFonts w:ascii="Arial Narrow" w:hAnsi="Arial Narrow" w:cs="Arial"/>
                <w:color w:val="000000"/>
                <w:sz w:val="20"/>
                <w:lang w:eastAsia="es-ES"/>
              </w:rPr>
              <w:t xml:space="preserve"> Bolognesi</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 de la Av. Arica</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Campo de Marte</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cuadra 1 y 5 de la Av. </w:t>
            </w:r>
            <w:r w:rsidRPr="007226D7">
              <w:rPr>
                <w:rFonts w:ascii="Arial Narrow" w:hAnsi="Arial Narrow" w:cs="Arial"/>
                <w:color w:val="000000"/>
                <w:sz w:val="20"/>
                <w:lang w:eastAsia="es-ES"/>
              </w:rPr>
              <w:t>Salaverry</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proofErr w:type="gramStart"/>
            <w:r w:rsidRPr="007226D7">
              <w:rPr>
                <w:rFonts w:ascii="Arial Narrow" w:hAnsi="Arial Narrow" w:cs="Arial"/>
                <w:color w:val="000000"/>
                <w:sz w:val="20"/>
                <w:lang w:eastAsia="es-ES"/>
              </w:rPr>
              <w:t>Plaza</w:t>
            </w:r>
            <w:proofErr w:type="gramEnd"/>
            <w:r w:rsidRPr="007226D7">
              <w:rPr>
                <w:rFonts w:ascii="Arial Narrow" w:hAnsi="Arial Narrow" w:cs="Arial"/>
                <w:color w:val="000000"/>
                <w:sz w:val="20"/>
                <w:lang w:eastAsia="es-ES"/>
              </w:rPr>
              <w:t xml:space="preserve"> Manco Capac</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13 de la Av. 28 de Julio</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del Hospital San Juan de Dios</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16 de la Av. Nicolás Ayllón</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Áreas verdes del Trébol</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Cuadra 25 y 26 de la Av. </w:t>
            </w:r>
            <w:r w:rsidRPr="007226D7">
              <w:rPr>
                <w:rFonts w:ascii="Arial Narrow" w:hAnsi="Arial Narrow" w:cs="Arial"/>
                <w:color w:val="000000"/>
                <w:sz w:val="20"/>
                <w:lang w:eastAsia="es-ES"/>
              </w:rPr>
              <w:t>Nicolás Ayllón</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 la Urbanización 27 de abril</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7 de la Av. Nicolás Ayllón</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 xml:space="preserve">Jardines </w:t>
            </w:r>
            <w:proofErr w:type="gramStart"/>
            <w:r w:rsidRPr="007226D7">
              <w:rPr>
                <w:rFonts w:ascii="Arial Narrow" w:hAnsi="Arial Narrow" w:cs="Arial"/>
                <w:color w:val="000000"/>
                <w:sz w:val="20"/>
                <w:lang w:eastAsia="es-ES"/>
              </w:rPr>
              <w:t xml:space="preserve">del </w:t>
            </w:r>
            <w:proofErr w:type="gramEnd"/>
            <w:r w:rsidRPr="007226D7">
              <w:rPr>
                <w:rFonts w:ascii="Arial Narrow" w:hAnsi="Arial Narrow" w:cs="Arial"/>
                <w:color w:val="000000"/>
                <w:sz w:val="20"/>
                <w:lang w:eastAsia="es-ES"/>
              </w:rPr>
              <w:t>Hospital Valdizán</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Km 3 de la Carretera Central</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 la Unidad Vecinal N° 3</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cuadra 4 a 8 de la Av. </w:t>
            </w:r>
            <w:r w:rsidRPr="007226D7">
              <w:rPr>
                <w:rFonts w:ascii="Arial Narrow" w:hAnsi="Arial Narrow" w:cs="Arial"/>
                <w:color w:val="000000"/>
                <w:sz w:val="20"/>
                <w:lang w:eastAsia="es-ES"/>
              </w:rPr>
              <w:t>Germán Amézaga</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 xml:space="preserve">Jardines de </w:t>
            </w:r>
            <w:proofErr w:type="gramStart"/>
            <w:r w:rsidRPr="007226D7">
              <w:rPr>
                <w:rFonts w:ascii="Arial Narrow" w:hAnsi="Arial Narrow" w:cs="Arial"/>
                <w:color w:val="000000"/>
                <w:sz w:val="20"/>
                <w:lang w:eastAsia="es-ES"/>
              </w:rPr>
              <w:t xml:space="preserve">la </w:t>
            </w:r>
            <w:proofErr w:type="gramEnd"/>
            <w:r w:rsidRPr="007226D7">
              <w:rPr>
                <w:rFonts w:ascii="Arial Narrow" w:hAnsi="Arial Narrow" w:cs="Arial"/>
                <w:color w:val="000000"/>
                <w:sz w:val="20"/>
                <w:lang w:eastAsia="es-ES"/>
              </w:rPr>
              <w:t>UNMSM</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las cuadras 34 y 36 de la Av. </w:t>
            </w:r>
            <w:r w:rsidRPr="007226D7">
              <w:rPr>
                <w:rFonts w:ascii="Arial Narrow" w:hAnsi="Arial Narrow" w:cs="Arial"/>
                <w:color w:val="000000"/>
                <w:sz w:val="20"/>
                <w:lang w:eastAsia="es-ES"/>
              </w:rPr>
              <w:t>Venezuela</w:t>
            </w:r>
          </w:p>
        </w:tc>
      </w:tr>
      <w:tr w:rsidR="002632F8" w:rsidRPr="007226D7"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 la unidad Vecinal Mirones</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val="es-ES" w:eastAsia="es-ES"/>
              </w:rPr>
              <w:t xml:space="preserve">Entre cuadra 20 a 22 de la Av. </w:t>
            </w:r>
            <w:r w:rsidRPr="007226D7">
              <w:rPr>
                <w:rFonts w:ascii="Arial Narrow" w:hAnsi="Arial Narrow" w:cs="Arial"/>
                <w:color w:val="000000"/>
                <w:sz w:val="20"/>
                <w:lang w:eastAsia="es-ES"/>
              </w:rPr>
              <w:t>Oscar R. Benavides (Colonial)</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 la Urb. Palomino</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32 de la Av. Venezuela</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del Ministerio de Transportes y Comunicaciones</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Cuadra 13 de la Av. Zorritos</w:t>
            </w:r>
          </w:p>
        </w:tc>
      </w:tr>
      <w:tr w:rsidR="002632F8" w:rsidRPr="0013314C" w:rsidTr="002733CF">
        <w:trPr>
          <w:trHeight w:val="170"/>
          <w:jc w:val="center"/>
        </w:trPr>
        <w:tc>
          <w:tcPr>
            <w:tcW w:w="3454"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Jardines de la Municipalidad de Ate</w:t>
            </w:r>
          </w:p>
        </w:tc>
        <w:tc>
          <w:tcPr>
            <w:tcW w:w="4866"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val="es-ES" w:eastAsia="es-ES"/>
              </w:rPr>
            </w:pPr>
            <w:r w:rsidRPr="007226D7">
              <w:rPr>
                <w:rFonts w:ascii="Arial Narrow" w:hAnsi="Arial Narrow" w:cs="Arial"/>
                <w:color w:val="000000"/>
                <w:sz w:val="20"/>
                <w:lang w:val="es-ES" w:eastAsia="es-ES"/>
              </w:rPr>
              <w:t>Km 6 de la Carretera Central</w:t>
            </w:r>
          </w:p>
        </w:tc>
      </w:tr>
    </w:tbl>
    <w:p w:rsidR="0056369A" w:rsidRPr="007226D7" w:rsidRDefault="0056369A" w:rsidP="0056369A">
      <w:pPr>
        <w:rPr>
          <w:lang w:val="es-ES"/>
        </w:rPr>
      </w:pPr>
    </w:p>
    <w:p w:rsidR="0056369A" w:rsidRPr="007226D7" w:rsidRDefault="0056369A" w:rsidP="002632F8">
      <w:pPr>
        <w:pStyle w:val="Heading7"/>
        <w:rPr>
          <w:lang w:val="es-ES"/>
        </w:rPr>
      </w:pPr>
      <w:r w:rsidRPr="007226D7">
        <w:rPr>
          <w:lang w:val="es-ES"/>
        </w:rPr>
        <w:t>Especies identificadas</w:t>
      </w:r>
    </w:p>
    <w:p w:rsidR="0056369A" w:rsidRPr="007226D7" w:rsidRDefault="0056369A" w:rsidP="0056369A">
      <w:pPr>
        <w:rPr>
          <w:lang w:val="es-ES"/>
        </w:rPr>
      </w:pPr>
      <w:r w:rsidRPr="007226D7">
        <w:rPr>
          <w:lang w:val="es-ES"/>
        </w:rPr>
        <w:t xml:space="preserve">Las áreas verdes descritas en el ítem anterior, se encuentran conformadas por especies arbustivas, arbóreas, florales y </w:t>
      </w:r>
      <w:r w:rsidR="00E41450" w:rsidRPr="007226D7">
        <w:rPr>
          <w:lang w:val="es-ES"/>
        </w:rPr>
        <w:t>herbáceas. Asimismo</w:t>
      </w:r>
      <w:r w:rsidRPr="007226D7">
        <w:rPr>
          <w:lang w:val="es-ES"/>
        </w:rPr>
        <w:t xml:space="preserve">, parte de las áreas verdes las conforman especies halófitas tales como </w:t>
      </w:r>
      <w:r w:rsidR="00E41450" w:rsidRPr="007226D7">
        <w:rPr>
          <w:lang w:val="es-ES"/>
        </w:rPr>
        <w:t>cactus. Entre</w:t>
      </w:r>
      <w:r w:rsidRPr="007226D7">
        <w:rPr>
          <w:lang w:val="es-ES"/>
        </w:rPr>
        <w:t xml:space="preserve"> las principales especies arbóreas y arbustivas encontradas</w:t>
      </w:r>
      <w:r w:rsidR="002632F8" w:rsidRPr="007226D7">
        <w:rPr>
          <w:lang w:val="es-ES"/>
        </w:rPr>
        <w:t>, se encuentran las siguientes:</w:t>
      </w:r>
    </w:p>
    <w:p w:rsidR="00B156D2" w:rsidRPr="007226D7" w:rsidRDefault="00B156D2" w:rsidP="0056369A">
      <w:pPr>
        <w:rPr>
          <w:lang w:val="es-ES"/>
        </w:rPr>
      </w:pPr>
    </w:p>
    <w:p w:rsidR="00B156D2" w:rsidRPr="007226D7" w:rsidRDefault="00B156D2" w:rsidP="0056369A">
      <w:pPr>
        <w:rPr>
          <w:lang w:val="es-ES"/>
        </w:rPr>
      </w:pPr>
    </w:p>
    <w:p w:rsidR="00B156D2" w:rsidRPr="007226D7" w:rsidRDefault="00B156D2" w:rsidP="0056369A">
      <w:pPr>
        <w:rPr>
          <w:lang w:val="es-ES"/>
        </w:rPr>
      </w:pPr>
    </w:p>
    <w:p w:rsidR="00B156D2" w:rsidRPr="007226D7" w:rsidRDefault="00B156D2" w:rsidP="0056369A">
      <w:pPr>
        <w:rPr>
          <w:lang w:val="es-ES"/>
        </w:rPr>
      </w:pPr>
    </w:p>
    <w:p w:rsidR="00B156D2" w:rsidRPr="007226D7" w:rsidRDefault="00B156D2" w:rsidP="0056369A">
      <w:pPr>
        <w:rPr>
          <w:lang w:val="es-ES"/>
        </w:rPr>
      </w:pPr>
    </w:p>
    <w:p w:rsidR="0056369A" w:rsidRPr="007226D7" w:rsidRDefault="0056369A" w:rsidP="00947A5E">
      <w:pPr>
        <w:pStyle w:val="Figuras"/>
        <w:spacing w:after="120"/>
      </w:pPr>
      <w:r w:rsidRPr="007226D7">
        <w:lastRenderedPageBreak/>
        <w:t>Tabla 3.1-7 Especies Identificadas - Flora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8"/>
        <w:gridCol w:w="2341"/>
      </w:tblGrid>
      <w:tr w:rsidR="002632F8" w:rsidRPr="007226D7" w:rsidTr="002733CF">
        <w:trPr>
          <w:trHeight w:val="97"/>
          <w:jc w:val="center"/>
        </w:trPr>
        <w:tc>
          <w:tcPr>
            <w:tcW w:w="2588"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Nombre científico</w:t>
            </w:r>
          </w:p>
        </w:tc>
        <w:tc>
          <w:tcPr>
            <w:tcW w:w="2341"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color w:val="000000"/>
                <w:sz w:val="20"/>
                <w:lang w:eastAsia="es-ES"/>
              </w:rPr>
            </w:pPr>
            <w:r w:rsidRPr="007226D7">
              <w:rPr>
                <w:rFonts w:ascii="Arial Narrow" w:hAnsi="Arial Narrow" w:cs="Arial"/>
                <w:b/>
                <w:bCs/>
                <w:color w:val="000000"/>
                <w:sz w:val="20"/>
                <w:lang w:eastAsia="es-ES"/>
              </w:rPr>
              <w:t>Nombre común</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Eriobotryajaponica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Níspero</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Eucalyptusglobulus</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Eucalipto</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Chorisiaspeciosa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Ceibo</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Delonix regia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Ponciana</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Cupresusmacrocarpa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Ciprés</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Casuarina cunninghamiana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Casuarina</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Chrysalidocarpuslutescens</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Palmera hawaiana</w:t>
            </w:r>
          </w:p>
        </w:tc>
      </w:tr>
      <w:tr w:rsidR="002632F8" w:rsidRPr="007226D7" w:rsidTr="002733CF">
        <w:trPr>
          <w:trHeight w:val="273"/>
          <w:jc w:val="center"/>
        </w:trPr>
        <w:tc>
          <w:tcPr>
            <w:tcW w:w="2588"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i/>
                <w:iCs/>
                <w:color w:val="000000"/>
                <w:sz w:val="20"/>
                <w:lang w:eastAsia="es-ES"/>
              </w:rPr>
              <w:t>Araucaria excelsa</w:t>
            </w:r>
          </w:p>
        </w:tc>
        <w:tc>
          <w:tcPr>
            <w:tcW w:w="2341"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color w:val="000000"/>
                <w:sz w:val="20"/>
                <w:lang w:eastAsia="es-ES"/>
              </w:rPr>
            </w:pPr>
            <w:r w:rsidRPr="007226D7">
              <w:rPr>
                <w:rFonts w:ascii="Arial Narrow" w:hAnsi="Arial Narrow" w:cs="Arial"/>
                <w:color w:val="000000"/>
                <w:sz w:val="20"/>
                <w:lang w:eastAsia="es-ES"/>
              </w:rPr>
              <w:t>Araucaria</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Cabe indicar que en el área de influencia del proyecto no se encuentran especies amenazada o protegida según el Ministerio del Ambiente (Ex INRENA) y la IUCN.</w:t>
      </w:r>
    </w:p>
    <w:p w:rsidR="0056369A" w:rsidRPr="007226D7" w:rsidRDefault="0056369A" w:rsidP="002632F8">
      <w:pPr>
        <w:pStyle w:val="Heading6"/>
        <w:rPr>
          <w:lang w:val="es-ES"/>
        </w:rPr>
      </w:pPr>
      <w:r w:rsidRPr="007226D7">
        <w:rPr>
          <w:lang w:val="es-ES"/>
        </w:rPr>
        <w:t>Fauna</w:t>
      </w:r>
    </w:p>
    <w:p w:rsidR="0056369A" w:rsidRPr="007226D7" w:rsidRDefault="0056369A" w:rsidP="0056369A">
      <w:pPr>
        <w:rPr>
          <w:lang w:val="es-ES"/>
        </w:rPr>
      </w:pPr>
      <w:r w:rsidRPr="007226D7">
        <w:rPr>
          <w:lang w:val="es-ES"/>
        </w:rPr>
        <w:t>En el área de influencia del proyecto se han podido encontrar especies de aves y roedores.</w:t>
      </w:r>
    </w:p>
    <w:p w:rsidR="0056369A" w:rsidRPr="007226D7" w:rsidRDefault="0056369A" w:rsidP="0056369A">
      <w:pPr>
        <w:rPr>
          <w:lang w:val="es-ES"/>
        </w:rPr>
      </w:pPr>
      <w:r w:rsidRPr="007226D7">
        <w:rPr>
          <w:lang w:val="es-ES"/>
        </w:rPr>
        <w:t>Entre las especies encontradas se tienen:</w:t>
      </w:r>
    </w:p>
    <w:p w:rsidR="00947A5E" w:rsidRPr="007226D7" w:rsidRDefault="00947A5E" w:rsidP="00947A5E">
      <w:pPr>
        <w:spacing w:after="0"/>
        <w:rPr>
          <w:lang w:val="es-ES"/>
        </w:rPr>
      </w:pPr>
    </w:p>
    <w:p w:rsidR="0056369A" w:rsidRPr="007226D7" w:rsidRDefault="0056369A" w:rsidP="00947A5E">
      <w:pPr>
        <w:pStyle w:val="Figuras"/>
        <w:spacing w:before="0" w:after="120"/>
      </w:pPr>
      <w:r w:rsidRPr="007226D7">
        <w:t>Tabla 3.1-8  Especies Identificadas - Fauna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2"/>
        <w:gridCol w:w="2519"/>
      </w:tblGrid>
      <w:tr w:rsidR="002632F8" w:rsidRPr="007226D7" w:rsidTr="002733CF">
        <w:trPr>
          <w:trHeight w:val="264"/>
          <w:tblHeader/>
          <w:jc w:val="center"/>
        </w:trPr>
        <w:tc>
          <w:tcPr>
            <w:tcW w:w="2152"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b/>
                <w:bCs/>
                <w:color w:val="000000"/>
                <w:sz w:val="20"/>
                <w:lang w:eastAsia="es-ES"/>
              </w:rPr>
            </w:pPr>
            <w:r w:rsidRPr="007226D7">
              <w:rPr>
                <w:rFonts w:ascii="Arial Narrow" w:hAnsi="Arial Narrow" w:cs="Arial"/>
                <w:b/>
                <w:bCs/>
                <w:color w:val="000000"/>
                <w:sz w:val="20"/>
                <w:lang w:eastAsia="es-ES"/>
              </w:rPr>
              <w:t>Nombre científico</w:t>
            </w:r>
          </w:p>
        </w:tc>
        <w:tc>
          <w:tcPr>
            <w:tcW w:w="2519" w:type="dxa"/>
            <w:shd w:val="clear" w:color="auto" w:fill="BFBFBF" w:themeFill="background1" w:themeFillShade="BF"/>
            <w:vAlign w:val="center"/>
          </w:tcPr>
          <w:p w:rsidR="002632F8" w:rsidRPr="007226D7" w:rsidRDefault="002632F8" w:rsidP="002733CF">
            <w:pPr>
              <w:autoSpaceDE w:val="0"/>
              <w:autoSpaceDN w:val="0"/>
              <w:adjustRightInd w:val="0"/>
              <w:spacing w:after="0" w:line="240" w:lineRule="auto"/>
              <w:jc w:val="center"/>
              <w:rPr>
                <w:rFonts w:ascii="Arial Narrow" w:hAnsi="Arial Narrow" w:cs="Arial"/>
                <w:b/>
                <w:bCs/>
                <w:color w:val="000000"/>
                <w:sz w:val="20"/>
                <w:lang w:eastAsia="es-ES"/>
              </w:rPr>
            </w:pPr>
            <w:r w:rsidRPr="007226D7">
              <w:rPr>
                <w:rFonts w:ascii="Arial Narrow" w:hAnsi="Arial Narrow" w:cs="Arial"/>
                <w:b/>
                <w:bCs/>
                <w:color w:val="000000"/>
                <w:sz w:val="20"/>
                <w:lang w:eastAsia="es-ES"/>
              </w:rPr>
              <w:t>Nombre Común</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b/>
                <w:iCs/>
                <w:color w:val="000000"/>
                <w:sz w:val="20"/>
                <w:lang w:eastAsia="es-ES"/>
              </w:rPr>
              <w:t>AVES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Buteopolyosoma</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Aguilucho variable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Falco sparverius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Cernícalo americano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Crotophagasulcirostris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Guardacaballo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Rhodopisvesper</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Colibrí de oasis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Columbina cruziana</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Tortolita peruana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Mimuslongicaudatus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Chisco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Pygochelidoncyanoleuca</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Golondrina Santa Rosita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Molothrusbonariensis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Tordo</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Pyrocephalusrubinus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Petirojo</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Troglodytesaedon</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Cucarachero común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b/>
                <w:i/>
                <w:iCs/>
                <w:color w:val="000000"/>
                <w:sz w:val="20"/>
                <w:lang w:eastAsia="es-ES"/>
              </w:rPr>
              <w:t>ROEDORES</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 xml:space="preserve">Rattus norvegicus </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Rata gris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 xml:space="preserve">Rattus rattus </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Rata negra </w:t>
            </w:r>
          </w:p>
        </w:tc>
      </w:tr>
      <w:tr w:rsidR="002632F8" w:rsidRPr="007226D7" w:rsidTr="002733CF">
        <w:trPr>
          <w:trHeight w:val="250"/>
          <w:jc w:val="center"/>
        </w:trPr>
        <w:tc>
          <w:tcPr>
            <w:tcW w:w="2152"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
                <w:iCs/>
                <w:color w:val="000000"/>
                <w:sz w:val="20"/>
                <w:lang w:eastAsia="es-ES"/>
              </w:rPr>
            </w:pPr>
            <w:r w:rsidRPr="007226D7">
              <w:rPr>
                <w:rFonts w:ascii="Arial Narrow" w:hAnsi="Arial Narrow" w:cs="Arial"/>
                <w:i/>
                <w:iCs/>
                <w:color w:val="000000"/>
                <w:sz w:val="20"/>
                <w:lang w:eastAsia="es-ES"/>
              </w:rPr>
              <w:t xml:space="preserve">Mus musculus </w:t>
            </w:r>
          </w:p>
        </w:tc>
        <w:tc>
          <w:tcPr>
            <w:tcW w:w="2519" w:type="dxa"/>
            <w:vAlign w:val="center"/>
          </w:tcPr>
          <w:p w:rsidR="002632F8" w:rsidRPr="007226D7" w:rsidRDefault="002632F8" w:rsidP="002733CF">
            <w:pPr>
              <w:autoSpaceDE w:val="0"/>
              <w:autoSpaceDN w:val="0"/>
              <w:adjustRightInd w:val="0"/>
              <w:spacing w:after="0" w:line="240" w:lineRule="auto"/>
              <w:jc w:val="left"/>
              <w:rPr>
                <w:rFonts w:ascii="Arial Narrow" w:hAnsi="Arial Narrow" w:cs="Arial"/>
                <w:iCs/>
                <w:color w:val="000000"/>
                <w:sz w:val="20"/>
                <w:lang w:eastAsia="es-ES"/>
              </w:rPr>
            </w:pPr>
            <w:r w:rsidRPr="007226D7">
              <w:rPr>
                <w:rFonts w:ascii="Arial Narrow" w:hAnsi="Arial Narrow" w:cs="Arial"/>
                <w:iCs/>
                <w:color w:val="000000"/>
                <w:sz w:val="20"/>
                <w:lang w:eastAsia="es-ES"/>
              </w:rPr>
              <w:t xml:space="preserve">Ratón </w:t>
            </w:r>
          </w:p>
        </w:tc>
      </w:tr>
    </w:tbl>
    <w:p w:rsidR="0056369A" w:rsidRPr="007226D7" w:rsidRDefault="0056369A" w:rsidP="0056369A">
      <w:pPr>
        <w:rPr>
          <w:lang w:val="es-ES"/>
        </w:rPr>
      </w:pPr>
    </w:p>
    <w:p w:rsidR="002632F8" w:rsidRPr="007226D7" w:rsidRDefault="0056369A">
      <w:pPr>
        <w:spacing w:after="0" w:line="240" w:lineRule="auto"/>
        <w:jc w:val="left"/>
        <w:rPr>
          <w:lang w:val="es-ES"/>
        </w:rPr>
      </w:pPr>
      <w:r w:rsidRPr="007226D7">
        <w:rPr>
          <w:lang w:val="es-ES"/>
        </w:rPr>
        <w:t>Cabe indicar que en el área de influencia del proyecto no se encuentran especies amenazada o protegida según el Ministerio del Ambiente (Ex INRENA) y la IUCN.</w:t>
      </w:r>
      <w:r w:rsidR="002632F8" w:rsidRPr="007226D7">
        <w:rPr>
          <w:lang w:val="es-ES"/>
        </w:rPr>
        <w:br w:type="page"/>
      </w:r>
    </w:p>
    <w:p w:rsidR="0056369A" w:rsidRPr="007226D7" w:rsidRDefault="0056369A" w:rsidP="002528B6">
      <w:pPr>
        <w:pStyle w:val="Heading4"/>
        <w:rPr>
          <w:lang w:val="es-ES"/>
        </w:rPr>
      </w:pPr>
      <w:r w:rsidRPr="007226D7">
        <w:rPr>
          <w:lang w:val="es-ES"/>
        </w:rPr>
        <w:lastRenderedPageBreak/>
        <w:t>Características económicas</w:t>
      </w:r>
    </w:p>
    <w:p w:rsidR="0056369A" w:rsidRPr="007226D7" w:rsidRDefault="0056369A" w:rsidP="002528B6">
      <w:pPr>
        <w:pStyle w:val="Heading5"/>
        <w:rPr>
          <w:lang w:val="es-ES"/>
        </w:rPr>
      </w:pPr>
      <w:r w:rsidRPr="007226D7">
        <w:rPr>
          <w:lang w:val="es-ES"/>
        </w:rPr>
        <w:t>La Pea y la situación de empleo</w:t>
      </w:r>
    </w:p>
    <w:p w:rsidR="002528B6" w:rsidRPr="007226D7" w:rsidRDefault="0056369A" w:rsidP="0056369A">
      <w:pPr>
        <w:rPr>
          <w:lang w:val="es-ES"/>
        </w:rPr>
      </w:pPr>
      <w:r w:rsidRPr="007226D7">
        <w:rPr>
          <w:lang w:val="es-ES"/>
        </w:rPr>
        <w:t>La PEA a nivel del departamento de Lima para el año 2007 asciende a 3</w:t>
      </w:r>
      <w:proofErr w:type="gramStart"/>
      <w:r w:rsidRPr="007226D7">
        <w:rPr>
          <w:lang w:val="es-ES"/>
        </w:rPr>
        <w:t>,744,947</w:t>
      </w:r>
      <w:proofErr w:type="gramEnd"/>
      <w:r w:rsidRPr="007226D7">
        <w:rPr>
          <w:lang w:val="es-ES"/>
        </w:rPr>
        <w:t xml:space="preserve"> personas de las cuales el 96.4% (3,611,300) está ocupada y el 3.6% (133,647) está desocupada. </w:t>
      </w:r>
    </w:p>
    <w:p w:rsidR="0056369A" w:rsidRPr="007226D7" w:rsidRDefault="0056369A" w:rsidP="0056369A">
      <w:pPr>
        <w:rPr>
          <w:lang w:val="es-ES"/>
        </w:rPr>
      </w:pPr>
      <w:r w:rsidRPr="007226D7">
        <w:rPr>
          <w:lang w:val="es-ES"/>
        </w:rPr>
        <w:t>A nivel de la provincia de Lima el 96.4% (3</w:t>
      </w:r>
      <w:proofErr w:type="gramStart"/>
      <w:r w:rsidRPr="007226D7">
        <w:rPr>
          <w:lang w:val="es-ES"/>
        </w:rPr>
        <w:t>,274,973</w:t>
      </w:r>
      <w:proofErr w:type="gramEnd"/>
      <w:r w:rsidRPr="007226D7">
        <w:rPr>
          <w:lang w:val="es-ES"/>
        </w:rPr>
        <w:t>) se encuentra ocupada y en la provincia del Callao el 95.6% (350,505) está ocupada. Con respecto a los distritos del área de influencia el 96.3% (973,569) se encuentra ocupada y el 3.7% (36,965) se encuentra desocupada.</w:t>
      </w:r>
    </w:p>
    <w:p w:rsidR="00504F25" w:rsidRPr="007226D7" w:rsidRDefault="00504F25" w:rsidP="00463ABF">
      <w:pPr>
        <w:spacing w:after="0" w:line="240" w:lineRule="auto"/>
        <w:rPr>
          <w:lang w:val="es-ES"/>
        </w:rPr>
      </w:pPr>
    </w:p>
    <w:tbl>
      <w:tblPr>
        <w:tblW w:w="5750" w:type="dxa"/>
        <w:tblInd w:w="1630" w:type="dxa"/>
        <w:tblCellMar>
          <w:left w:w="70" w:type="dxa"/>
          <w:right w:w="70" w:type="dxa"/>
        </w:tblCellMar>
        <w:tblLook w:val="04A0" w:firstRow="1" w:lastRow="0" w:firstColumn="1" w:lastColumn="0" w:noHBand="0" w:noVBand="1"/>
      </w:tblPr>
      <w:tblGrid>
        <w:gridCol w:w="2926"/>
        <w:gridCol w:w="852"/>
        <w:gridCol w:w="1120"/>
        <w:gridCol w:w="852"/>
      </w:tblGrid>
      <w:tr w:rsidR="00504F25" w:rsidRPr="0013314C" w:rsidTr="002733CF">
        <w:trPr>
          <w:trHeight w:val="170"/>
        </w:trPr>
        <w:tc>
          <w:tcPr>
            <w:tcW w:w="5750" w:type="dxa"/>
            <w:gridSpan w:val="4"/>
            <w:tcBorders>
              <w:top w:val="nil"/>
              <w:left w:val="nil"/>
              <w:bottom w:val="nil"/>
              <w:right w:val="nil"/>
            </w:tcBorders>
            <w:shd w:val="clear" w:color="auto" w:fill="auto"/>
            <w:noWrap/>
            <w:vAlign w:val="center"/>
          </w:tcPr>
          <w:p w:rsidR="00504F25" w:rsidRPr="007226D7" w:rsidRDefault="00504F25"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3.1-9  Distribución de la Pea 2007</w:t>
            </w:r>
          </w:p>
        </w:tc>
      </w:tr>
      <w:tr w:rsidR="00504F25" w:rsidRPr="007226D7" w:rsidTr="002733CF">
        <w:trPr>
          <w:trHeight w:val="170"/>
        </w:trPr>
        <w:tc>
          <w:tcPr>
            <w:tcW w:w="2926" w:type="dxa"/>
            <w:tcBorders>
              <w:top w:val="single" w:sz="4" w:space="0" w:color="auto"/>
              <w:left w:val="single" w:sz="4" w:space="0" w:color="auto"/>
              <w:bottom w:val="single" w:sz="4" w:space="0" w:color="auto"/>
              <w:right w:val="nil"/>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Lugar</w:t>
            </w:r>
          </w:p>
        </w:tc>
        <w:tc>
          <w:tcPr>
            <w:tcW w:w="852"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Ocupada</w:t>
            </w:r>
          </w:p>
        </w:tc>
        <w:tc>
          <w:tcPr>
            <w:tcW w:w="1120" w:type="dxa"/>
            <w:tcBorders>
              <w:top w:val="single" w:sz="4" w:space="0" w:color="auto"/>
              <w:left w:val="nil"/>
              <w:bottom w:val="single" w:sz="4" w:space="0" w:color="auto"/>
              <w:right w:val="nil"/>
            </w:tcBorders>
            <w:shd w:val="clear" w:color="000000" w:fill="99CCFF"/>
            <w:noWrap/>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Desocupada</w:t>
            </w:r>
          </w:p>
        </w:tc>
        <w:tc>
          <w:tcPr>
            <w:tcW w:w="852"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Total</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bottom"/>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Dpto. Lima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3,611,300</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133,647</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3,744,947</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bottom"/>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3,274,973</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120,969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3,395,942</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bottom"/>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350,505</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16,201</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366,706</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168,708</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7,932</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176,640</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17,347</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684</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18,031</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30,290</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1,350</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31,640</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25,532</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1,273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26,805</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58,885</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2,249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61,134</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127,692</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4,648</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132,340</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36,422</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1,610</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38,032</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30,159</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1,109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31,268</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88,216</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2,829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91,045</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78,265</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2,606</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80,871</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25,476</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801</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26,277</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82,914</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3,091</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86,005</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203,663</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6,783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210,446</w:t>
            </w:r>
          </w:p>
        </w:tc>
      </w:tr>
      <w:tr w:rsidR="00504F25" w:rsidRPr="007226D7" w:rsidTr="002733CF">
        <w:trPr>
          <w:trHeight w:val="170"/>
        </w:trPr>
        <w:tc>
          <w:tcPr>
            <w:tcW w:w="2926"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Área de influencia</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973,569</w:t>
            </w:r>
          </w:p>
        </w:tc>
        <w:tc>
          <w:tcPr>
            <w:tcW w:w="1120"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36,965</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1,010,534</w:t>
            </w:r>
          </w:p>
        </w:tc>
      </w:tr>
      <w:tr w:rsidR="00504F25" w:rsidRPr="0013314C" w:rsidTr="002733CF">
        <w:trPr>
          <w:trHeight w:val="170"/>
        </w:trPr>
        <w:tc>
          <w:tcPr>
            <w:tcW w:w="5750" w:type="dxa"/>
            <w:gridSpan w:val="4"/>
            <w:tcBorders>
              <w:top w:val="nil"/>
              <w:left w:val="nil"/>
              <w:bottom w:val="nil"/>
              <w:right w:val="nil"/>
            </w:tcBorders>
            <w:shd w:val="clear" w:color="auto" w:fill="auto"/>
            <w:noWrap/>
            <w:vAlign w:val="center"/>
          </w:tcPr>
          <w:p w:rsidR="00504F25" w:rsidRPr="007226D7" w:rsidRDefault="00504F25" w:rsidP="002733CF">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2528B6" w:rsidRPr="007226D7" w:rsidRDefault="002528B6" w:rsidP="0056369A">
      <w:pPr>
        <w:rPr>
          <w:lang w:val="es-ES"/>
        </w:rPr>
      </w:pPr>
    </w:p>
    <w:p w:rsidR="0056369A" w:rsidRPr="007226D7" w:rsidRDefault="0056369A" w:rsidP="0056369A">
      <w:pPr>
        <w:rPr>
          <w:lang w:val="es-ES"/>
        </w:rPr>
      </w:pPr>
      <w:r w:rsidRPr="007226D7">
        <w:rPr>
          <w:lang w:val="es-ES"/>
        </w:rPr>
        <w:t>En los distritos de la zona del proyecto, el 44.8% de la PEA ocupada presenta la ocupación de empleado, el 15.2% es obrero, el 32.6% realiza trabajos independientes, el 2.0% es empleador o patrono, el 2.1% es trabajador familiar no remunerado y el 3.4% es trabajador del hogar.</w:t>
      </w:r>
    </w:p>
    <w:tbl>
      <w:tblPr>
        <w:tblW w:w="4961" w:type="dxa"/>
        <w:tblInd w:w="2055" w:type="dxa"/>
        <w:tblLayout w:type="fixed"/>
        <w:tblCellMar>
          <w:left w:w="70" w:type="dxa"/>
          <w:right w:w="70" w:type="dxa"/>
        </w:tblCellMar>
        <w:tblLook w:val="04A0" w:firstRow="1" w:lastRow="0" w:firstColumn="1" w:lastColumn="0" w:noHBand="0" w:noVBand="1"/>
      </w:tblPr>
      <w:tblGrid>
        <w:gridCol w:w="3234"/>
        <w:gridCol w:w="1019"/>
        <w:gridCol w:w="708"/>
      </w:tblGrid>
      <w:tr w:rsidR="00504F25" w:rsidRPr="0013314C" w:rsidTr="002733CF">
        <w:trPr>
          <w:trHeight w:val="170"/>
        </w:trPr>
        <w:tc>
          <w:tcPr>
            <w:tcW w:w="4961" w:type="dxa"/>
            <w:gridSpan w:val="3"/>
            <w:tcBorders>
              <w:top w:val="nil"/>
              <w:left w:val="nil"/>
              <w:bottom w:val="single" w:sz="4" w:space="0" w:color="auto"/>
              <w:right w:val="nil"/>
            </w:tcBorders>
            <w:shd w:val="clear" w:color="auto" w:fill="auto"/>
            <w:noWrap/>
            <w:vAlign w:val="center"/>
          </w:tcPr>
          <w:p w:rsidR="00504F25" w:rsidRPr="007226D7" w:rsidRDefault="00504F25"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3.1-10 Categoría de Ocupación de la Población del Área de Estudio - 2007</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rPr>
                <w:rFonts w:cs="Arial"/>
                <w:b/>
                <w:bCs/>
                <w:sz w:val="16"/>
                <w:szCs w:val="16"/>
                <w:lang w:eastAsia="es-ES"/>
              </w:rPr>
            </w:pPr>
            <w:r w:rsidRPr="007226D7">
              <w:rPr>
                <w:rFonts w:cs="Arial"/>
                <w:b/>
                <w:bCs/>
                <w:sz w:val="16"/>
                <w:szCs w:val="16"/>
                <w:lang w:eastAsia="es-ES"/>
              </w:rPr>
              <w:t>Concepto</w:t>
            </w:r>
          </w:p>
        </w:tc>
        <w:tc>
          <w:tcPr>
            <w:tcW w:w="1019"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Personas</w:t>
            </w:r>
          </w:p>
        </w:tc>
        <w:tc>
          <w:tcPr>
            <w:tcW w:w="708"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Empleado</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435,753</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44.8</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Obrero</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148,372</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15.2</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Trabajador independiente</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317,390</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32.6</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Empleador o patrono</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18,994</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2.0</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Trabajador familiar </w:t>
            </w:r>
            <w:proofErr w:type="gramStart"/>
            <w:r w:rsidRPr="007226D7">
              <w:rPr>
                <w:rFonts w:cs="Arial"/>
                <w:sz w:val="16"/>
                <w:szCs w:val="16"/>
                <w:lang w:eastAsia="es-ES"/>
              </w:rPr>
              <w:t>no</w:t>
            </w:r>
            <w:proofErr w:type="gramEnd"/>
            <w:r w:rsidRPr="007226D7">
              <w:rPr>
                <w:rFonts w:cs="Arial"/>
                <w:sz w:val="16"/>
                <w:szCs w:val="16"/>
                <w:lang w:eastAsia="es-ES"/>
              </w:rPr>
              <w:t xml:space="preserve"> remunerado</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20,165</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2.1</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000000" w:fill="FFFFFF"/>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Trabajador </w:t>
            </w:r>
            <w:proofErr w:type="gramStart"/>
            <w:r w:rsidRPr="007226D7">
              <w:rPr>
                <w:rFonts w:cs="Arial"/>
                <w:sz w:val="16"/>
                <w:szCs w:val="16"/>
                <w:lang w:eastAsia="es-ES"/>
              </w:rPr>
              <w:t xml:space="preserve">del </w:t>
            </w:r>
            <w:proofErr w:type="gramEnd"/>
            <w:r w:rsidRPr="007226D7">
              <w:rPr>
                <w:rFonts w:cs="Arial"/>
                <w:sz w:val="16"/>
                <w:szCs w:val="16"/>
                <w:lang w:eastAsia="es-ES"/>
              </w:rPr>
              <w:t>hogar</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32,895</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3.4</w:t>
            </w:r>
          </w:p>
        </w:tc>
      </w:tr>
      <w:tr w:rsidR="00504F25" w:rsidRPr="007226D7" w:rsidTr="002733CF">
        <w:trPr>
          <w:trHeight w:val="170"/>
        </w:trPr>
        <w:tc>
          <w:tcPr>
            <w:tcW w:w="3234"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b/>
                <w:bCs/>
                <w:sz w:val="16"/>
                <w:szCs w:val="16"/>
                <w:lang w:eastAsia="es-ES"/>
              </w:rPr>
            </w:pPr>
            <w:r w:rsidRPr="007226D7">
              <w:rPr>
                <w:rFonts w:cs="Arial"/>
                <w:b/>
                <w:bCs/>
                <w:sz w:val="16"/>
                <w:szCs w:val="16"/>
                <w:lang w:eastAsia="es-ES"/>
              </w:rPr>
              <w:t>Total</w:t>
            </w:r>
          </w:p>
        </w:tc>
        <w:tc>
          <w:tcPr>
            <w:tcW w:w="10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sz w:val="16"/>
                <w:szCs w:val="16"/>
              </w:rPr>
            </w:pPr>
            <w:r w:rsidRPr="007226D7">
              <w:rPr>
                <w:rFonts w:cs="Arial"/>
                <w:b/>
                <w:bCs/>
                <w:sz w:val="16"/>
                <w:szCs w:val="16"/>
              </w:rPr>
              <w:t>973,569</w:t>
            </w:r>
          </w:p>
        </w:tc>
        <w:tc>
          <w:tcPr>
            <w:tcW w:w="708"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100.0</w:t>
            </w:r>
          </w:p>
        </w:tc>
      </w:tr>
      <w:tr w:rsidR="00504F25" w:rsidRPr="0013314C" w:rsidTr="002733CF">
        <w:trPr>
          <w:trHeight w:val="170"/>
        </w:trPr>
        <w:tc>
          <w:tcPr>
            <w:tcW w:w="4961" w:type="dxa"/>
            <w:gridSpan w:val="3"/>
            <w:tcBorders>
              <w:top w:val="single" w:sz="4" w:space="0" w:color="auto"/>
              <w:left w:val="nil"/>
              <w:bottom w:val="nil"/>
              <w:right w:val="nil"/>
            </w:tcBorders>
            <w:shd w:val="clear" w:color="auto" w:fill="auto"/>
            <w:noWrap/>
            <w:vAlign w:val="center"/>
          </w:tcPr>
          <w:p w:rsidR="00504F25" w:rsidRPr="007226D7" w:rsidRDefault="00504F25" w:rsidP="002733CF">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504F25" w:rsidRPr="007226D7" w:rsidRDefault="00504F25">
      <w:pPr>
        <w:spacing w:after="0" w:line="240" w:lineRule="auto"/>
        <w:jc w:val="left"/>
        <w:rPr>
          <w:lang w:val="es-ES"/>
        </w:rPr>
      </w:pPr>
    </w:p>
    <w:p w:rsidR="0056369A" w:rsidRPr="007226D7" w:rsidRDefault="0056369A" w:rsidP="002528B6">
      <w:pPr>
        <w:pStyle w:val="Heading5"/>
        <w:rPr>
          <w:lang w:val="es-ES"/>
        </w:rPr>
      </w:pPr>
      <w:r w:rsidRPr="007226D7">
        <w:rPr>
          <w:lang w:val="es-ES"/>
        </w:rPr>
        <w:t>Actividad económica</w:t>
      </w:r>
    </w:p>
    <w:p w:rsidR="0056369A" w:rsidRPr="007226D7" w:rsidRDefault="0056369A" w:rsidP="0056369A">
      <w:pPr>
        <w:rPr>
          <w:lang w:val="es-ES"/>
        </w:rPr>
      </w:pPr>
      <w:r w:rsidRPr="007226D7">
        <w:rPr>
          <w:lang w:val="es-ES"/>
        </w:rPr>
        <w:t>Las actividades económicas de la zona de influencia se desarrollan a través de medianas y grandes empresas, Pymes, y sector informal. Las medianas y grandes empresas se dedican principalmente a la actividad industrial y de servicios. Las Pymes se han convertido en la principal fuente de empleo, presenta un crecimiento desordenado, debido a la falta de una adecuada asistencia técnica para su desarrollo moderno y eficiente. Las actividades económicas se caracterizan por su diversidad, con predominio del comercio y servicio sobre lo productivo.</w:t>
      </w:r>
    </w:p>
    <w:p w:rsidR="0056369A" w:rsidRPr="007226D7" w:rsidRDefault="0056369A" w:rsidP="0056369A">
      <w:pPr>
        <w:rPr>
          <w:lang w:val="es-ES"/>
        </w:rPr>
      </w:pPr>
      <w:r w:rsidRPr="007226D7">
        <w:rPr>
          <w:lang w:val="es-ES"/>
        </w:rPr>
        <w:lastRenderedPageBreak/>
        <w:t>El sector primario está caracterizado por la producción agrícola, ganadera, caza, selvicultura y la minería. En los distritos del área de influencia para el año 2007 el 1.3% de la PEA ocupada está dedicada al sector primario, cuya mayor proporción (2.1%) se encuentra en el distrito de Bellavista.</w:t>
      </w:r>
    </w:p>
    <w:p w:rsidR="0056369A" w:rsidRPr="007226D7" w:rsidRDefault="0056369A" w:rsidP="0056369A">
      <w:pPr>
        <w:rPr>
          <w:lang w:val="es-ES"/>
        </w:rPr>
      </w:pPr>
      <w:r w:rsidRPr="007226D7">
        <w:rPr>
          <w:lang w:val="es-ES"/>
        </w:rPr>
        <w:t>El sector secundario comprende las actividades de la industria manufacturera y construcción, en los distritos del área de influencia el 18.4% está dedicada a actividades del sector secundario, teniendo el distrito de Ate una mayor proporción (23.4%). El sector terciario está conformada por el comercio y servicios, y representa el mayor porcentaje de población dedicada a este sector con el 80.4% de la PEA ocupada, siendo el distrito del Jesús María el de mayor proporción (90.4%).</w:t>
      </w:r>
    </w:p>
    <w:p w:rsidR="00463ABF" w:rsidRPr="007226D7" w:rsidRDefault="00463ABF" w:rsidP="0056369A">
      <w:pPr>
        <w:rPr>
          <w:lang w:val="es-ES"/>
        </w:rPr>
      </w:pPr>
    </w:p>
    <w:tbl>
      <w:tblPr>
        <w:tblW w:w="0" w:type="auto"/>
        <w:jc w:val="center"/>
        <w:tblCellMar>
          <w:left w:w="70" w:type="dxa"/>
          <w:right w:w="70" w:type="dxa"/>
        </w:tblCellMar>
        <w:tblLook w:val="04A0" w:firstRow="1" w:lastRow="0" w:firstColumn="1" w:lastColumn="0" w:noHBand="0" w:noVBand="1"/>
      </w:tblPr>
      <w:tblGrid>
        <w:gridCol w:w="2675"/>
        <w:gridCol w:w="1026"/>
        <w:gridCol w:w="516"/>
        <w:gridCol w:w="1186"/>
        <w:gridCol w:w="566"/>
        <w:gridCol w:w="1134"/>
        <w:gridCol w:w="567"/>
        <w:gridCol w:w="919"/>
      </w:tblGrid>
      <w:tr w:rsidR="00504F25" w:rsidRPr="0013314C" w:rsidTr="00463ABF">
        <w:trPr>
          <w:trHeight w:val="198"/>
          <w:jc w:val="center"/>
        </w:trPr>
        <w:tc>
          <w:tcPr>
            <w:tcW w:w="0" w:type="auto"/>
            <w:gridSpan w:val="8"/>
            <w:tcBorders>
              <w:top w:val="nil"/>
              <w:left w:val="nil"/>
              <w:bottom w:val="single" w:sz="4" w:space="0" w:color="auto"/>
              <w:right w:val="nil"/>
            </w:tcBorders>
            <w:shd w:val="clear" w:color="auto" w:fill="auto"/>
            <w:noWrap/>
            <w:vAlign w:val="center"/>
          </w:tcPr>
          <w:p w:rsidR="00504F25" w:rsidRPr="007226D7" w:rsidRDefault="00504F25"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3.1-11  Pea Ocupada por Condición de Actividad - 2007</w:t>
            </w:r>
          </w:p>
        </w:tc>
      </w:tr>
      <w:tr w:rsidR="00504F25" w:rsidRPr="007226D7" w:rsidTr="00463ABF">
        <w:trPr>
          <w:trHeight w:val="198"/>
          <w:jc w:val="center"/>
        </w:trPr>
        <w:tc>
          <w:tcPr>
            <w:tcW w:w="0" w:type="auto"/>
            <w:tcBorders>
              <w:top w:val="nil"/>
              <w:left w:val="single" w:sz="4" w:space="0" w:color="auto"/>
              <w:bottom w:val="single" w:sz="4" w:space="0" w:color="auto"/>
              <w:right w:val="nil"/>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Lugar</w:t>
            </w:r>
          </w:p>
        </w:tc>
        <w:tc>
          <w:tcPr>
            <w:tcW w:w="1026" w:type="dxa"/>
            <w:tcBorders>
              <w:top w:val="nil"/>
              <w:left w:val="single" w:sz="4" w:space="0" w:color="auto"/>
              <w:bottom w:val="single" w:sz="4" w:space="0" w:color="auto"/>
              <w:right w:val="single" w:sz="4" w:space="0" w:color="auto"/>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Sector Primario</w:t>
            </w:r>
          </w:p>
        </w:tc>
        <w:tc>
          <w:tcPr>
            <w:tcW w:w="516" w:type="dxa"/>
            <w:tcBorders>
              <w:top w:val="nil"/>
              <w:left w:val="nil"/>
              <w:bottom w:val="single" w:sz="4" w:space="0" w:color="auto"/>
              <w:right w:val="nil"/>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w:t>
            </w:r>
          </w:p>
        </w:tc>
        <w:tc>
          <w:tcPr>
            <w:tcW w:w="1186" w:type="dxa"/>
            <w:tcBorders>
              <w:top w:val="nil"/>
              <w:left w:val="single" w:sz="4" w:space="0" w:color="auto"/>
              <w:bottom w:val="single" w:sz="4" w:space="0" w:color="auto"/>
              <w:right w:val="single" w:sz="4" w:space="0" w:color="auto"/>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Sector Secundario</w:t>
            </w:r>
          </w:p>
        </w:tc>
        <w:tc>
          <w:tcPr>
            <w:tcW w:w="566" w:type="dxa"/>
            <w:tcBorders>
              <w:top w:val="nil"/>
              <w:left w:val="nil"/>
              <w:bottom w:val="single" w:sz="4" w:space="0" w:color="auto"/>
              <w:right w:val="nil"/>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w:t>
            </w:r>
          </w:p>
        </w:tc>
        <w:tc>
          <w:tcPr>
            <w:tcW w:w="1134" w:type="dxa"/>
            <w:tcBorders>
              <w:top w:val="nil"/>
              <w:left w:val="single" w:sz="4" w:space="0" w:color="auto"/>
              <w:bottom w:val="single" w:sz="4" w:space="0" w:color="auto"/>
              <w:right w:val="single" w:sz="4" w:space="0" w:color="auto"/>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Sector Terciario</w:t>
            </w:r>
          </w:p>
        </w:tc>
        <w:tc>
          <w:tcPr>
            <w:tcW w:w="567" w:type="dxa"/>
            <w:tcBorders>
              <w:top w:val="nil"/>
              <w:left w:val="nil"/>
              <w:bottom w:val="single" w:sz="4" w:space="0" w:color="auto"/>
              <w:right w:val="nil"/>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w:t>
            </w:r>
          </w:p>
        </w:tc>
        <w:tc>
          <w:tcPr>
            <w:tcW w:w="919" w:type="dxa"/>
            <w:tcBorders>
              <w:top w:val="nil"/>
              <w:left w:val="single" w:sz="4" w:space="0" w:color="auto"/>
              <w:bottom w:val="single" w:sz="4" w:space="0" w:color="auto"/>
              <w:right w:val="single" w:sz="4" w:space="0" w:color="auto"/>
            </w:tcBorders>
            <w:shd w:val="clear" w:color="000000" w:fill="99CCFF"/>
            <w:vAlign w:val="center"/>
          </w:tcPr>
          <w:p w:rsidR="00504F25" w:rsidRPr="007226D7" w:rsidRDefault="00504F25" w:rsidP="002733CF">
            <w:pPr>
              <w:spacing w:after="0" w:line="240" w:lineRule="auto"/>
              <w:jc w:val="center"/>
              <w:rPr>
                <w:rFonts w:cs="Arial"/>
                <w:b/>
                <w:bCs/>
                <w:sz w:val="16"/>
                <w:szCs w:val="16"/>
                <w:lang w:eastAsia="es-ES"/>
              </w:rPr>
            </w:pPr>
            <w:r w:rsidRPr="007226D7">
              <w:rPr>
                <w:rFonts w:cs="Arial"/>
                <w:b/>
                <w:bCs/>
                <w:sz w:val="16"/>
                <w:szCs w:val="16"/>
                <w:lang w:eastAsia="es-ES"/>
              </w:rPr>
              <w:t>Total</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Dpto. Lima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166,525</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4.6</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691,379</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19.1</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2,753,396</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76.2</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3,611,300</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48,732</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1.5</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652,174</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19.9</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2,574,067</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78.6</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3,274,973</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6,402</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1.8</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67,994</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19.4</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276,109</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78.8</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350,505</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3,291</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2.0</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30,452</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18.1</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134,965</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80.0</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168,708</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140</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0.8</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3,824</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22.0</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13,383</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77.1</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17,347</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622</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2.1</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3,857</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12.7</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25,811</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85.2</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30,290</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247</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1.0</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3,025</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11.8</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22,260</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87.2</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25,532</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685</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1.2</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6,353</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10.8</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51,847</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rPr>
            </w:pPr>
            <w:r w:rsidRPr="007226D7">
              <w:rPr>
                <w:rFonts w:cs="Arial"/>
                <w:sz w:val="16"/>
                <w:szCs w:val="16"/>
              </w:rPr>
              <w:t>88.0</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rPr>
            </w:pPr>
            <w:r w:rsidRPr="007226D7">
              <w:rPr>
                <w:rFonts w:cs="Arial"/>
                <w:sz w:val="16"/>
                <w:szCs w:val="16"/>
              </w:rPr>
              <w:t>58,885</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1,048</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0.8</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19,482</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15.3</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107,162</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83.9</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127,692</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363</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1.0</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5,423</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14.9</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30,636</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84.1</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36,422</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375</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1.2</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2,530</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8.4</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27,254</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90.4</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30,159</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670</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0.8</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16,646</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18.9</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70,900</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80.4</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88,216</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645</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0.8</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16,899</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21.6</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60,721</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77.6</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78,265</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291</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1.1</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3,540</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13.9</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21,645</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85.0</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25,476</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853</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1.0</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19,125</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23.1</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62,936</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75.9</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82,914</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3,093</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1.5</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47,674</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23.4</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152,896</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sz w:val="16"/>
                <w:szCs w:val="16"/>
                <w:lang w:eastAsia="es-ES"/>
              </w:rPr>
            </w:pPr>
            <w:r w:rsidRPr="007226D7">
              <w:rPr>
                <w:rFonts w:cs="Arial"/>
                <w:sz w:val="16"/>
                <w:szCs w:val="16"/>
                <w:lang w:eastAsia="es-ES"/>
              </w:rPr>
              <w:t>75.1</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sz w:val="16"/>
                <w:szCs w:val="16"/>
                <w:lang w:eastAsia="es-ES"/>
              </w:rPr>
            </w:pPr>
            <w:r w:rsidRPr="007226D7">
              <w:rPr>
                <w:rFonts w:cs="Arial"/>
                <w:sz w:val="16"/>
                <w:szCs w:val="16"/>
                <w:lang w:eastAsia="es-ES"/>
              </w:rPr>
              <w:t>203,663</w:t>
            </w:r>
          </w:p>
        </w:tc>
      </w:tr>
      <w:tr w:rsidR="00504F25" w:rsidRPr="007226D7" w:rsidTr="00463ABF">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Área de influencia</w:t>
            </w:r>
          </w:p>
        </w:tc>
        <w:tc>
          <w:tcPr>
            <w:tcW w:w="102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12,323</w:t>
            </w:r>
          </w:p>
        </w:tc>
        <w:tc>
          <w:tcPr>
            <w:tcW w:w="51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1.3</w:t>
            </w:r>
          </w:p>
        </w:tc>
        <w:tc>
          <w:tcPr>
            <w:tcW w:w="118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178,830</w:t>
            </w:r>
          </w:p>
        </w:tc>
        <w:tc>
          <w:tcPr>
            <w:tcW w:w="56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18.4</w:t>
            </w:r>
          </w:p>
        </w:tc>
        <w:tc>
          <w:tcPr>
            <w:tcW w:w="113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782,416</w:t>
            </w:r>
          </w:p>
        </w:tc>
        <w:tc>
          <w:tcPr>
            <w:tcW w:w="567"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80.4</w:t>
            </w:r>
          </w:p>
        </w:tc>
        <w:tc>
          <w:tcPr>
            <w:tcW w:w="9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sz w:val="16"/>
                <w:szCs w:val="16"/>
              </w:rPr>
            </w:pPr>
            <w:r w:rsidRPr="007226D7">
              <w:rPr>
                <w:rFonts w:cs="Arial"/>
                <w:b/>
                <w:bCs/>
                <w:sz w:val="16"/>
                <w:szCs w:val="16"/>
              </w:rPr>
              <w:t>973,569</w:t>
            </w:r>
          </w:p>
        </w:tc>
      </w:tr>
      <w:tr w:rsidR="00504F25" w:rsidRPr="0013314C" w:rsidTr="00463ABF">
        <w:trPr>
          <w:trHeight w:val="198"/>
          <w:jc w:val="center"/>
        </w:trPr>
        <w:tc>
          <w:tcPr>
            <w:tcW w:w="0" w:type="auto"/>
            <w:gridSpan w:val="8"/>
            <w:tcBorders>
              <w:top w:val="single" w:sz="4" w:space="0" w:color="auto"/>
              <w:left w:val="nil"/>
              <w:bottom w:val="nil"/>
              <w:right w:val="nil"/>
            </w:tcBorders>
            <w:shd w:val="clear" w:color="auto" w:fill="auto"/>
            <w:noWrap/>
            <w:vAlign w:val="center"/>
          </w:tcPr>
          <w:p w:rsidR="00504F25" w:rsidRPr="007226D7" w:rsidRDefault="00504F25" w:rsidP="002733CF">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Según el censo nacional económico 2008 en los distritos del área de influencia del proyecto se registraron un total de 150,352 establecimientos generadores de viajes tales, como hospitales, centros educativos, centros comerciales, financieros,  agencias de transporte interprovincial, etc., las mismas que se han incrementado en 88,513 establecimientos con respecto al año 1994. Los distritos de Lima (51,960) establecimientos y La Victoria (35,308 establecimientos) concentran el mayor número de establecimientos y el distrito de Ate (253%) ha presentado la mayor  va</w:t>
      </w:r>
      <w:r w:rsidR="00504F25" w:rsidRPr="007226D7">
        <w:rPr>
          <w:lang w:val="es-ES"/>
        </w:rPr>
        <w:t>riación porcentual intercensal.</w:t>
      </w:r>
    </w:p>
    <w:p w:rsidR="00504F25" w:rsidRPr="007226D7" w:rsidRDefault="00504F25" w:rsidP="0056369A">
      <w:pPr>
        <w:rPr>
          <w:lang w:val="es-ES"/>
        </w:rPr>
      </w:pPr>
    </w:p>
    <w:p w:rsidR="00504F25" w:rsidRPr="007226D7" w:rsidRDefault="00504F25">
      <w:pPr>
        <w:spacing w:after="0" w:line="240" w:lineRule="auto"/>
        <w:jc w:val="left"/>
        <w:rPr>
          <w:lang w:val="es-ES"/>
        </w:rPr>
      </w:pPr>
      <w:r w:rsidRPr="007226D7">
        <w:rPr>
          <w:lang w:val="es-ES"/>
        </w:rPr>
        <w:br w:type="page"/>
      </w:r>
    </w:p>
    <w:tbl>
      <w:tblPr>
        <w:tblW w:w="6375" w:type="dxa"/>
        <w:tblInd w:w="1346" w:type="dxa"/>
        <w:tblCellMar>
          <w:left w:w="70" w:type="dxa"/>
          <w:right w:w="70" w:type="dxa"/>
        </w:tblCellMar>
        <w:tblLook w:val="04A0" w:firstRow="1" w:lastRow="0" w:firstColumn="1" w:lastColumn="0" w:noHBand="0" w:noVBand="1"/>
      </w:tblPr>
      <w:tblGrid>
        <w:gridCol w:w="2975"/>
        <w:gridCol w:w="1013"/>
        <w:gridCol w:w="769"/>
        <w:gridCol w:w="906"/>
        <w:gridCol w:w="712"/>
      </w:tblGrid>
      <w:tr w:rsidR="00504F25" w:rsidRPr="0013314C" w:rsidTr="00463ABF">
        <w:trPr>
          <w:trHeight w:val="198"/>
        </w:trPr>
        <w:tc>
          <w:tcPr>
            <w:tcW w:w="6375" w:type="dxa"/>
            <w:gridSpan w:val="5"/>
            <w:tcBorders>
              <w:top w:val="nil"/>
              <w:left w:val="nil"/>
              <w:bottom w:val="single" w:sz="4" w:space="0" w:color="auto"/>
              <w:right w:val="nil"/>
            </w:tcBorders>
            <w:shd w:val="clear" w:color="auto" w:fill="auto"/>
            <w:noWrap/>
            <w:vAlign w:val="center"/>
          </w:tcPr>
          <w:p w:rsidR="00504F25" w:rsidRPr="007226D7" w:rsidRDefault="00504F25"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lastRenderedPageBreak/>
              <w:t>Tabla</w:t>
            </w:r>
            <w:r w:rsidRPr="007226D7">
              <w:rPr>
                <w:rFonts w:cs="Arial"/>
                <w:b/>
                <w:bCs/>
                <w:color w:val="000000"/>
                <w:sz w:val="16"/>
                <w:szCs w:val="16"/>
                <w:lang w:val="es-ES" w:eastAsia="es-ES"/>
              </w:rPr>
              <w:t xml:space="preserve"> 3.1-12  Número de Establecimientos según Distrito</w:t>
            </w:r>
          </w:p>
        </w:tc>
      </w:tr>
      <w:tr w:rsidR="00504F25" w:rsidRPr="007226D7" w:rsidTr="00463ABF">
        <w:trPr>
          <w:trHeight w:val="198"/>
        </w:trPr>
        <w:tc>
          <w:tcPr>
            <w:tcW w:w="2975" w:type="dxa"/>
            <w:vMerge w:val="restart"/>
            <w:tcBorders>
              <w:top w:val="nil"/>
              <w:left w:val="single" w:sz="4" w:space="0" w:color="auto"/>
              <w:bottom w:val="single" w:sz="4" w:space="0" w:color="auto"/>
              <w:right w:val="single" w:sz="4" w:space="0" w:color="auto"/>
            </w:tcBorders>
            <w:shd w:val="clear" w:color="000000" w:fill="99CCFF"/>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Lugar</w:t>
            </w:r>
          </w:p>
        </w:tc>
        <w:tc>
          <w:tcPr>
            <w:tcW w:w="1782" w:type="dxa"/>
            <w:gridSpan w:val="2"/>
            <w:tcBorders>
              <w:top w:val="single" w:sz="4" w:space="0" w:color="auto"/>
              <w:left w:val="nil"/>
              <w:bottom w:val="single" w:sz="4" w:space="0" w:color="auto"/>
              <w:right w:val="single" w:sz="4" w:space="0" w:color="000000"/>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N° de Establecimientos</w:t>
            </w:r>
          </w:p>
        </w:tc>
        <w:tc>
          <w:tcPr>
            <w:tcW w:w="1618" w:type="dxa"/>
            <w:gridSpan w:val="2"/>
            <w:tcBorders>
              <w:top w:val="single" w:sz="4" w:space="0" w:color="auto"/>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 xml:space="preserve">Var. % </w:t>
            </w:r>
          </w:p>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Intercensal</w:t>
            </w:r>
          </w:p>
        </w:tc>
      </w:tr>
      <w:tr w:rsidR="00504F25" w:rsidRPr="007226D7" w:rsidTr="00463ABF">
        <w:trPr>
          <w:trHeight w:val="198"/>
        </w:trPr>
        <w:tc>
          <w:tcPr>
            <w:tcW w:w="2975" w:type="dxa"/>
            <w:vMerge/>
            <w:tcBorders>
              <w:top w:val="nil"/>
              <w:left w:val="single" w:sz="4" w:space="0" w:color="auto"/>
              <w:bottom w:val="single" w:sz="4" w:space="0" w:color="auto"/>
              <w:right w:val="single" w:sz="4" w:space="0" w:color="auto"/>
            </w:tcBorders>
            <w:vAlign w:val="center"/>
          </w:tcPr>
          <w:p w:rsidR="00504F25" w:rsidRPr="007226D7" w:rsidRDefault="00504F25" w:rsidP="002733CF">
            <w:pPr>
              <w:spacing w:after="0" w:line="240" w:lineRule="auto"/>
              <w:rPr>
                <w:rFonts w:cs="Arial"/>
                <w:b/>
                <w:bCs/>
                <w:color w:val="000000"/>
                <w:sz w:val="16"/>
                <w:szCs w:val="16"/>
                <w:lang w:eastAsia="es-ES"/>
              </w:rPr>
            </w:pPr>
          </w:p>
        </w:tc>
        <w:tc>
          <w:tcPr>
            <w:tcW w:w="1013"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1993-1994</w:t>
            </w:r>
          </w:p>
        </w:tc>
        <w:tc>
          <w:tcPr>
            <w:tcW w:w="769"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2008</w:t>
            </w:r>
          </w:p>
        </w:tc>
        <w:tc>
          <w:tcPr>
            <w:tcW w:w="906"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Absoluto</w:t>
            </w:r>
          </w:p>
        </w:tc>
        <w:tc>
          <w:tcPr>
            <w:tcW w:w="712"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Dpto. Lima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163,341</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370,390</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207,049</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126.8%</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139,106</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342,374</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203,268</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146.1%</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10,540</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25,959</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15,419</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146.3%</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6,523</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13,496</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6,973</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106.9%</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800</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1,293</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493</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61.6%</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997</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2,011</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1,014</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101.7%</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664</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950</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286</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43.1%</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2,216</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3,687</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1,471</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66.4%</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20,100</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51,960</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31,860</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158.5%</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3,237</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3,951</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714</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22.1%</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2,646</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4,739</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2,093</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79.1%</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12,566</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35,308</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22,742</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181.0%</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2,545</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4,941</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2,396</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94.1%</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2,082</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2,803</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721</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34.6%</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2,040</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6,053</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4,013</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196.7%</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5,423</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19,160</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13,737</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253.3%</w:t>
            </w:r>
          </w:p>
        </w:tc>
      </w:tr>
      <w:tr w:rsidR="00504F25" w:rsidRPr="007226D7" w:rsidTr="00463ABF">
        <w:trPr>
          <w:trHeight w:val="198"/>
        </w:trPr>
        <w:tc>
          <w:tcPr>
            <w:tcW w:w="2975"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 Distritos</w:t>
            </w:r>
          </w:p>
        </w:tc>
        <w:tc>
          <w:tcPr>
            <w:tcW w:w="1013"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61,839</w:t>
            </w:r>
          </w:p>
        </w:tc>
        <w:tc>
          <w:tcPr>
            <w:tcW w:w="76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150,352</w:t>
            </w:r>
          </w:p>
        </w:tc>
        <w:tc>
          <w:tcPr>
            <w:tcW w:w="906"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88,513</w:t>
            </w:r>
          </w:p>
        </w:tc>
        <w:tc>
          <w:tcPr>
            <w:tcW w:w="71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143.1%</w:t>
            </w:r>
          </w:p>
        </w:tc>
      </w:tr>
      <w:tr w:rsidR="00504F25" w:rsidRPr="0013314C" w:rsidTr="00463ABF">
        <w:trPr>
          <w:trHeight w:val="198"/>
        </w:trPr>
        <w:tc>
          <w:tcPr>
            <w:tcW w:w="6375" w:type="dxa"/>
            <w:gridSpan w:val="5"/>
            <w:tcBorders>
              <w:top w:val="single" w:sz="4" w:space="0" w:color="auto"/>
              <w:left w:val="nil"/>
              <w:bottom w:val="nil"/>
              <w:right w:val="nil"/>
            </w:tcBorders>
            <w:shd w:val="clear" w:color="auto" w:fill="auto"/>
            <w:vAlign w:val="center"/>
          </w:tcPr>
          <w:p w:rsidR="00504F25" w:rsidRPr="007226D7" w:rsidRDefault="00504F25"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INEI - Perú: IV CENSO NACIONAL ECONÓMICO 2008</w:t>
            </w:r>
          </w:p>
        </w:tc>
      </w:tr>
    </w:tbl>
    <w:p w:rsidR="00504F25" w:rsidRPr="007226D7" w:rsidRDefault="00504F25" w:rsidP="0056369A">
      <w:pPr>
        <w:rPr>
          <w:lang w:val="es-ES"/>
        </w:rPr>
      </w:pPr>
    </w:p>
    <w:p w:rsidR="0056369A" w:rsidRPr="007226D7" w:rsidRDefault="0056369A" w:rsidP="0056369A">
      <w:pPr>
        <w:rPr>
          <w:lang w:val="es-ES"/>
        </w:rPr>
      </w:pPr>
      <w:r w:rsidRPr="007226D7">
        <w:rPr>
          <w:lang w:val="es-ES"/>
        </w:rPr>
        <w:t>Con respecto a los sectores económicos, el sector servicios representa el 87.1% del total de establecimientos en los distritos del área de influencia, el cual ha registrado un total de 131,017 establecimientos.</w:t>
      </w:r>
    </w:p>
    <w:p w:rsidR="00463ABF" w:rsidRPr="007226D7" w:rsidRDefault="00463ABF" w:rsidP="0056369A">
      <w:pPr>
        <w:rPr>
          <w:lang w:val="es-ES"/>
        </w:rPr>
      </w:pPr>
    </w:p>
    <w:tbl>
      <w:tblPr>
        <w:tblW w:w="6839" w:type="dxa"/>
        <w:tblInd w:w="1063" w:type="dxa"/>
        <w:tblCellMar>
          <w:left w:w="70" w:type="dxa"/>
          <w:right w:w="70" w:type="dxa"/>
        </w:tblCellMar>
        <w:tblLook w:val="04A0" w:firstRow="1" w:lastRow="0" w:firstColumn="1" w:lastColumn="0" w:noHBand="0" w:noVBand="1"/>
      </w:tblPr>
      <w:tblGrid>
        <w:gridCol w:w="2943"/>
        <w:gridCol w:w="914"/>
        <w:gridCol w:w="1411"/>
        <w:gridCol w:w="852"/>
        <w:gridCol w:w="719"/>
      </w:tblGrid>
      <w:tr w:rsidR="00504F25" w:rsidRPr="0013314C" w:rsidTr="00463ABF">
        <w:trPr>
          <w:trHeight w:val="198"/>
        </w:trPr>
        <w:tc>
          <w:tcPr>
            <w:tcW w:w="6839" w:type="dxa"/>
            <w:gridSpan w:val="5"/>
            <w:tcBorders>
              <w:top w:val="nil"/>
              <w:left w:val="nil"/>
              <w:bottom w:val="single" w:sz="4" w:space="0" w:color="auto"/>
              <w:right w:val="nil"/>
            </w:tcBorders>
            <w:shd w:val="clear" w:color="auto" w:fill="auto"/>
            <w:noWrap/>
            <w:vAlign w:val="center"/>
          </w:tcPr>
          <w:p w:rsidR="00504F25" w:rsidRPr="007226D7" w:rsidRDefault="00504F25"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3.1-13  Establecimientos por Sectores Económicos</w:t>
            </w:r>
          </w:p>
        </w:tc>
      </w:tr>
      <w:tr w:rsidR="00504F25" w:rsidRPr="007226D7" w:rsidTr="00463ABF">
        <w:trPr>
          <w:trHeight w:val="198"/>
        </w:trPr>
        <w:tc>
          <w:tcPr>
            <w:tcW w:w="2943" w:type="dxa"/>
            <w:vMerge w:val="restart"/>
            <w:tcBorders>
              <w:top w:val="nil"/>
              <w:left w:val="single" w:sz="4" w:space="0" w:color="auto"/>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Lugar</w:t>
            </w:r>
          </w:p>
        </w:tc>
        <w:tc>
          <w:tcPr>
            <w:tcW w:w="3177" w:type="dxa"/>
            <w:gridSpan w:val="3"/>
            <w:tcBorders>
              <w:top w:val="single" w:sz="4" w:space="0" w:color="auto"/>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Sector Económico</w:t>
            </w:r>
          </w:p>
        </w:tc>
        <w:tc>
          <w:tcPr>
            <w:tcW w:w="719" w:type="dxa"/>
            <w:vMerge w:val="restart"/>
            <w:tcBorders>
              <w:top w:val="nil"/>
              <w:left w:val="single" w:sz="4" w:space="0" w:color="auto"/>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w:t>
            </w:r>
          </w:p>
        </w:tc>
      </w:tr>
      <w:tr w:rsidR="00504F25" w:rsidRPr="007226D7" w:rsidTr="00463ABF">
        <w:trPr>
          <w:trHeight w:val="198"/>
        </w:trPr>
        <w:tc>
          <w:tcPr>
            <w:tcW w:w="2943" w:type="dxa"/>
            <w:vMerge/>
            <w:tcBorders>
              <w:top w:val="nil"/>
              <w:left w:val="single" w:sz="4" w:space="0" w:color="auto"/>
              <w:bottom w:val="single" w:sz="4" w:space="0" w:color="auto"/>
              <w:right w:val="single" w:sz="4" w:space="0" w:color="auto"/>
            </w:tcBorders>
            <w:vAlign w:val="center"/>
          </w:tcPr>
          <w:p w:rsidR="00504F25" w:rsidRPr="007226D7" w:rsidRDefault="00504F25" w:rsidP="002733CF">
            <w:pPr>
              <w:spacing w:after="0" w:line="240" w:lineRule="auto"/>
              <w:rPr>
                <w:rFonts w:cs="Arial"/>
                <w:b/>
                <w:bCs/>
                <w:color w:val="000000"/>
                <w:sz w:val="16"/>
                <w:szCs w:val="16"/>
                <w:lang w:eastAsia="es-ES"/>
              </w:rPr>
            </w:pPr>
          </w:p>
        </w:tc>
        <w:tc>
          <w:tcPr>
            <w:tcW w:w="914"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Extractivo</w:t>
            </w:r>
          </w:p>
        </w:tc>
        <w:tc>
          <w:tcPr>
            <w:tcW w:w="1411"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Transformación</w:t>
            </w:r>
          </w:p>
        </w:tc>
        <w:tc>
          <w:tcPr>
            <w:tcW w:w="852" w:type="dxa"/>
            <w:tcBorders>
              <w:top w:val="nil"/>
              <w:left w:val="nil"/>
              <w:bottom w:val="single" w:sz="4" w:space="0" w:color="auto"/>
              <w:right w:val="single" w:sz="4" w:space="0" w:color="auto"/>
            </w:tcBorders>
            <w:shd w:val="clear" w:color="000000" w:fill="99CCFF"/>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Servicios</w:t>
            </w:r>
          </w:p>
        </w:tc>
        <w:tc>
          <w:tcPr>
            <w:tcW w:w="719" w:type="dxa"/>
            <w:vMerge/>
            <w:tcBorders>
              <w:top w:val="nil"/>
              <w:left w:val="single" w:sz="4" w:space="0" w:color="auto"/>
              <w:bottom w:val="single" w:sz="4" w:space="0" w:color="auto"/>
              <w:right w:val="single" w:sz="4" w:space="0" w:color="auto"/>
            </w:tcBorders>
            <w:vAlign w:val="center"/>
          </w:tcPr>
          <w:p w:rsidR="00504F25" w:rsidRPr="007226D7" w:rsidRDefault="00504F25" w:rsidP="002733CF">
            <w:pPr>
              <w:spacing w:after="0" w:line="240" w:lineRule="auto"/>
              <w:rPr>
                <w:rFonts w:cs="Arial"/>
                <w:b/>
                <w:bCs/>
                <w:color w:val="000000"/>
                <w:sz w:val="16"/>
                <w:szCs w:val="16"/>
                <w:lang w:eastAsia="es-ES"/>
              </w:rPr>
            </w:pP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Dpto. Lima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1,835</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37,426</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331,129</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370,390</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1,139</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35,870</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305,365</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342,374</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272</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1,873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23,814</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25,959</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246</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1,003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12,247</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13,496</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121</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1,171</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1,293</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1,866</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2,011</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55</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893</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950</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15</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329</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3,343</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rPr>
            </w:pPr>
            <w:r w:rsidRPr="007226D7">
              <w:rPr>
                <w:rFonts w:cs="Arial"/>
                <w:color w:val="000000"/>
                <w:sz w:val="16"/>
                <w:szCs w:val="16"/>
              </w:rPr>
              <w:t>3,687</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27</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6,506</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45,427</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51,960</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545</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3,405</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3,951</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8</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273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4,458</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4,739</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6,628</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28,675</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35,308</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382</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4,559</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4,941</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402</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2,401</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2,803</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598</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5,455</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6,053</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11</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2,032</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17,117</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19,160</w:t>
            </w:r>
          </w:p>
        </w:tc>
      </w:tr>
      <w:tr w:rsidR="00504F25" w:rsidRPr="007226D7" w:rsidTr="00463ABF">
        <w:trPr>
          <w:trHeight w:val="198"/>
        </w:trPr>
        <w:tc>
          <w:tcPr>
            <w:tcW w:w="2943" w:type="dxa"/>
            <w:tcBorders>
              <w:top w:val="nil"/>
              <w:left w:val="single" w:sz="4" w:space="0" w:color="auto"/>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 Distritos</w:t>
            </w:r>
          </w:p>
        </w:tc>
        <w:tc>
          <w:tcPr>
            <w:tcW w:w="914"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322</w:t>
            </w:r>
          </w:p>
        </w:tc>
        <w:tc>
          <w:tcPr>
            <w:tcW w:w="1411"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19,013</w:t>
            </w:r>
          </w:p>
        </w:tc>
        <w:tc>
          <w:tcPr>
            <w:tcW w:w="852"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131,017</w:t>
            </w:r>
          </w:p>
        </w:tc>
        <w:tc>
          <w:tcPr>
            <w:tcW w:w="719" w:type="dxa"/>
            <w:tcBorders>
              <w:top w:val="nil"/>
              <w:left w:val="nil"/>
              <w:bottom w:val="single" w:sz="4" w:space="0" w:color="auto"/>
              <w:right w:val="single" w:sz="4" w:space="0" w:color="auto"/>
            </w:tcBorders>
            <w:shd w:val="clear" w:color="auto" w:fill="auto"/>
            <w:noWrap/>
            <w:vAlign w:val="center"/>
          </w:tcPr>
          <w:p w:rsidR="00504F25" w:rsidRPr="007226D7" w:rsidRDefault="00504F25" w:rsidP="002733CF">
            <w:pPr>
              <w:spacing w:after="0" w:line="240" w:lineRule="auto"/>
              <w:jc w:val="right"/>
              <w:rPr>
                <w:rFonts w:cs="Arial"/>
                <w:b/>
                <w:bCs/>
                <w:color w:val="000000"/>
                <w:sz w:val="16"/>
                <w:szCs w:val="16"/>
              </w:rPr>
            </w:pPr>
            <w:r w:rsidRPr="007226D7">
              <w:rPr>
                <w:rFonts w:cs="Arial"/>
                <w:b/>
                <w:bCs/>
                <w:color w:val="000000"/>
                <w:sz w:val="16"/>
                <w:szCs w:val="16"/>
              </w:rPr>
              <w:t>150,352</w:t>
            </w:r>
          </w:p>
        </w:tc>
      </w:tr>
      <w:tr w:rsidR="00504F25" w:rsidRPr="0013314C" w:rsidTr="00463ABF">
        <w:trPr>
          <w:trHeight w:val="198"/>
        </w:trPr>
        <w:tc>
          <w:tcPr>
            <w:tcW w:w="6839" w:type="dxa"/>
            <w:gridSpan w:val="5"/>
            <w:tcBorders>
              <w:top w:val="single" w:sz="4" w:space="0" w:color="auto"/>
              <w:left w:val="nil"/>
              <w:bottom w:val="nil"/>
              <w:right w:val="nil"/>
            </w:tcBorders>
            <w:shd w:val="clear" w:color="auto" w:fill="auto"/>
            <w:vAlign w:val="center"/>
          </w:tcPr>
          <w:p w:rsidR="00504F25" w:rsidRPr="007226D7" w:rsidRDefault="00504F25"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INEI - Perú: IV CENSO NACIONAL ECONÓMICO 2008</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 la Tabla siguiente se resume distrito por distrito, los principales centros de importancia económica que residen en el área del proyecto.</w:t>
      </w: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947A5E" w:rsidP="00947A5E">
      <w:pPr>
        <w:jc w:val="center"/>
        <w:rPr>
          <w:lang w:val="es-ES"/>
        </w:rPr>
      </w:pPr>
      <w:r w:rsidRPr="007226D7">
        <w:rPr>
          <w:rFonts w:cs="Arial"/>
          <w:b/>
          <w:bCs/>
          <w:sz w:val="16"/>
          <w:szCs w:val="16"/>
          <w:lang w:val="es-ES" w:eastAsia="es-ES"/>
        </w:rPr>
        <w:lastRenderedPageBreak/>
        <w:t>Tabla</w:t>
      </w:r>
      <w:r w:rsidRPr="007226D7">
        <w:rPr>
          <w:rFonts w:cs="Arial"/>
          <w:b/>
          <w:bCs/>
          <w:color w:val="000000"/>
          <w:sz w:val="16"/>
          <w:szCs w:val="16"/>
          <w:lang w:val="es-ES" w:eastAsia="es-ES"/>
        </w:rPr>
        <w:t xml:space="preserve"> 3.1-14  Principales Centros Económicos</w:t>
      </w:r>
    </w:p>
    <w:tbl>
      <w:tblPr>
        <w:tblW w:w="94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7967"/>
      </w:tblGrid>
      <w:tr w:rsidR="00504F25" w:rsidRPr="007226D7" w:rsidTr="002733CF">
        <w:trPr>
          <w:trHeight w:val="170"/>
          <w:jc w:val="center"/>
        </w:trPr>
        <w:tc>
          <w:tcPr>
            <w:tcW w:w="1470" w:type="dxa"/>
            <w:shd w:val="clear" w:color="auto" w:fill="99CCFF"/>
            <w:noWrap/>
          </w:tcPr>
          <w:p w:rsidR="00504F25" w:rsidRPr="007226D7" w:rsidRDefault="00504F25" w:rsidP="002733CF">
            <w:pPr>
              <w:spacing w:after="0" w:line="240" w:lineRule="auto"/>
              <w:jc w:val="left"/>
              <w:rPr>
                <w:rFonts w:cs="Arial"/>
                <w:b/>
                <w:bCs/>
                <w:color w:val="000000"/>
                <w:sz w:val="16"/>
                <w:szCs w:val="16"/>
                <w:lang w:eastAsia="en-US"/>
              </w:rPr>
            </w:pPr>
            <w:r w:rsidRPr="007226D7">
              <w:rPr>
                <w:rFonts w:cs="Arial"/>
                <w:b/>
                <w:bCs/>
                <w:color w:val="000000"/>
                <w:sz w:val="16"/>
                <w:szCs w:val="16"/>
                <w:lang w:eastAsia="en-US"/>
              </w:rPr>
              <w:t>Distritos</w:t>
            </w:r>
          </w:p>
        </w:tc>
        <w:tc>
          <w:tcPr>
            <w:tcW w:w="7967" w:type="dxa"/>
            <w:shd w:val="clear" w:color="auto" w:fill="99CCFF"/>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Centro</w:t>
            </w:r>
            <w:r w:rsidR="00947A5E" w:rsidRPr="007226D7">
              <w:rPr>
                <w:rFonts w:cs="Arial"/>
                <w:b/>
                <w:bCs/>
                <w:color w:val="000000"/>
                <w:sz w:val="16"/>
                <w:szCs w:val="16"/>
                <w:lang w:eastAsia="en-US"/>
              </w:rPr>
              <w:t>s</w:t>
            </w:r>
            <w:r w:rsidRPr="007226D7">
              <w:rPr>
                <w:rFonts w:cs="Arial"/>
                <w:b/>
                <w:bCs/>
                <w:color w:val="000000"/>
                <w:sz w:val="16"/>
                <w:szCs w:val="16"/>
                <w:lang w:eastAsia="en-US"/>
              </w:rPr>
              <w:t xml:space="preserve"> Económicos</w:t>
            </w:r>
          </w:p>
        </w:tc>
      </w:tr>
      <w:tr w:rsidR="00504F25" w:rsidRPr="007226D7"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Ate Vitarte</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Mercado de Ceres</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Centro Comercial "Las Brisas de Ate"</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Parques industriales "El Asesor" y "Huaycan"</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Establecimientos industriales: Plaza VEA, la Curacao, Elektra</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Estación Terrestre de Yerbateros</w:t>
            </w:r>
          </w:p>
        </w:tc>
      </w:tr>
      <w:tr w:rsidR="00504F25" w:rsidRPr="0013314C"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proofErr w:type="gramStart"/>
            <w:r w:rsidRPr="007226D7">
              <w:rPr>
                <w:rFonts w:cs="Arial"/>
                <w:b/>
                <w:bCs/>
                <w:color w:val="000000"/>
                <w:sz w:val="16"/>
                <w:szCs w:val="16"/>
                <w:lang w:eastAsia="en-US"/>
              </w:rPr>
              <w:t xml:space="preserve">Santa </w:t>
            </w:r>
            <w:proofErr w:type="gramEnd"/>
            <w:r w:rsidRPr="007226D7">
              <w:rPr>
                <w:rFonts w:cs="Arial"/>
                <w:b/>
                <w:bCs/>
                <w:color w:val="000000"/>
                <w:sz w:val="16"/>
                <w:szCs w:val="16"/>
                <w:lang w:eastAsia="en-US"/>
              </w:rPr>
              <w:t>Anita</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Mercado de Productores de Santa Anita</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Conglomerado comercial en el Ovalo de Santa Anita</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Mercado Mayorista MAKRO</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Conglomerados financieros: Banco de Crédito, Scotiabank, Continental, Interbank, Banco de la Nación, Banco del Trabajo, Financiero</w:t>
            </w:r>
          </w:p>
        </w:tc>
      </w:tr>
      <w:tr w:rsidR="00504F25" w:rsidRPr="007226D7" w:rsidTr="002733CF">
        <w:trPr>
          <w:trHeight w:val="170"/>
          <w:jc w:val="center"/>
        </w:trPr>
        <w:tc>
          <w:tcPr>
            <w:tcW w:w="1470" w:type="dxa"/>
            <w:shd w:val="clear" w:color="auto" w:fill="auto"/>
            <w:noWrap/>
          </w:tcPr>
          <w:p w:rsidR="00504F25" w:rsidRPr="007226D7" w:rsidRDefault="00504F25" w:rsidP="00504F25">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San Luis</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Establecimientos de la salud</w:t>
            </w:r>
          </w:p>
        </w:tc>
      </w:tr>
      <w:tr w:rsidR="00504F25" w:rsidRPr="007226D7"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El Agustino</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Hipermercado Totus</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Conglomerados minoristas: carrocerías, abarrotes, agrícolas, etc.</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Empresas de Transportes Interprovinciales</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Centro Comercial "Larco Mar"</w:t>
            </w:r>
          </w:p>
        </w:tc>
      </w:tr>
      <w:tr w:rsidR="00504F25" w:rsidRPr="007226D7"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La Victoria</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Mercado Mayorista de Frutas</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Mercado de productores de Frutas</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Conglomerado comerciales: bicicletas, repuestos, agencias, funerarias, ropa</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Emporio comercial de Gamarra</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Establecimientos de la salud</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Agencia de Transporte interprovinciales</w:t>
            </w:r>
          </w:p>
        </w:tc>
      </w:tr>
      <w:tr w:rsidR="00504F25" w:rsidRPr="0013314C"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Lima Cercado</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Centro comerciales: " El Rey del calzado", "Señor de Luren", "Siglo XXI", "El mundo de Importación", "Polvos Azules", "El Hueco", "Roggero", "Polvos Grau", "Consorcio Grau", "Galería Apecosur", "Fronteras Unidas de Grau".</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 xml:space="preserve">Centro Comercial "Real </w:t>
            </w:r>
            <w:proofErr w:type="gramStart"/>
            <w:r w:rsidRPr="007226D7">
              <w:rPr>
                <w:rFonts w:eastAsia="Calibri" w:cs="Arial"/>
                <w:color w:val="000000"/>
                <w:sz w:val="16"/>
                <w:szCs w:val="16"/>
                <w:lang w:eastAsia="en-US"/>
              </w:rPr>
              <w:t>Plaza</w:t>
            </w:r>
            <w:proofErr w:type="gramEnd"/>
            <w:r w:rsidRPr="007226D7">
              <w:rPr>
                <w:rFonts w:eastAsia="Calibri" w:cs="Arial"/>
                <w:color w:val="000000"/>
                <w:sz w:val="16"/>
                <w:szCs w:val="16"/>
                <w:lang w:eastAsia="en-US"/>
              </w:rPr>
              <w:t>"</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Empresas de Transportes Interprovinciales</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Establecimientos culturales y de enseñanza</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Agencias bancarias: Banco de Crédito, Scotiabank, Continental, Interbank, Banco del Trabajo, Financiero</w:t>
            </w:r>
          </w:p>
        </w:tc>
      </w:tr>
      <w:tr w:rsidR="00504F25" w:rsidRPr="007226D7" w:rsidTr="002733CF">
        <w:trPr>
          <w:trHeight w:val="170"/>
          <w:jc w:val="center"/>
        </w:trPr>
        <w:tc>
          <w:tcPr>
            <w:tcW w:w="1470" w:type="dxa"/>
            <w:vMerge w:val="restart"/>
            <w:shd w:val="clear" w:color="auto" w:fill="auto"/>
            <w:noWrap/>
          </w:tcPr>
          <w:p w:rsidR="00504F25" w:rsidRPr="007226D7" w:rsidRDefault="00504F25" w:rsidP="002733CF">
            <w:pPr>
              <w:spacing w:after="0" w:line="240" w:lineRule="auto"/>
              <w:jc w:val="center"/>
              <w:rPr>
                <w:rFonts w:cs="Arial"/>
                <w:b/>
                <w:bCs/>
                <w:color w:val="000000"/>
                <w:sz w:val="16"/>
                <w:szCs w:val="16"/>
                <w:lang w:eastAsia="en-US"/>
              </w:rPr>
            </w:pPr>
            <w:r w:rsidRPr="007226D7">
              <w:rPr>
                <w:rFonts w:cs="Arial"/>
                <w:b/>
                <w:bCs/>
                <w:color w:val="000000"/>
                <w:sz w:val="16"/>
                <w:szCs w:val="16"/>
                <w:lang w:eastAsia="en-US"/>
              </w:rPr>
              <w:t>Breña</w:t>
            </w: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Establecimientos de la salud</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Conglomerados comerciales: Metro, Plaza VEA</w:t>
            </w:r>
          </w:p>
        </w:tc>
      </w:tr>
      <w:tr w:rsidR="00504F25" w:rsidRPr="0013314C"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spacing w:after="0" w:line="240" w:lineRule="auto"/>
              <w:jc w:val="left"/>
              <w:rPr>
                <w:rFonts w:eastAsia="Calibri" w:cs="Arial"/>
                <w:color w:val="000000"/>
                <w:sz w:val="16"/>
                <w:szCs w:val="16"/>
                <w:lang w:val="es-ES" w:eastAsia="en-US"/>
              </w:rPr>
            </w:pPr>
            <w:r w:rsidRPr="007226D7">
              <w:rPr>
                <w:rFonts w:eastAsia="Calibri" w:cs="Arial"/>
                <w:color w:val="000000"/>
                <w:sz w:val="16"/>
                <w:szCs w:val="16"/>
                <w:lang w:val="es-ES" w:eastAsia="en-US"/>
              </w:rPr>
              <w:t>Agencias bancarias: Banco de Crédito, Scotiabank, Continental</w:t>
            </w:r>
          </w:p>
        </w:tc>
      </w:tr>
      <w:tr w:rsidR="00504F25" w:rsidRPr="007226D7" w:rsidTr="002733CF">
        <w:trPr>
          <w:trHeight w:val="170"/>
          <w:jc w:val="center"/>
        </w:trPr>
        <w:tc>
          <w:tcPr>
            <w:tcW w:w="1470" w:type="dxa"/>
            <w:vMerge/>
            <w:shd w:val="clear" w:color="auto" w:fill="auto"/>
          </w:tcPr>
          <w:p w:rsidR="00504F25" w:rsidRPr="007226D7" w:rsidRDefault="00504F25" w:rsidP="002733CF">
            <w:pPr>
              <w:spacing w:after="0" w:line="240" w:lineRule="auto"/>
              <w:jc w:val="left"/>
              <w:rPr>
                <w:rFonts w:cs="Arial"/>
                <w:b/>
                <w:bCs/>
                <w:color w:val="000000"/>
                <w:sz w:val="16"/>
                <w:szCs w:val="16"/>
                <w:lang w:val="es-ES" w:eastAsia="en-US"/>
              </w:rPr>
            </w:pPr>
          </w:p>
        </w:tc>
        <w:tc>
          <w:tcPr>
            <w:tcW w:w="7967" w:type="dxa"/>
            <w:shd w:val="clear" w:color="auto" w:fill="auto"/>
            <w:noWrap/>
          </w:tcPr>
          <w:p w:rsidR="00504F25" w:rsidRPr="007226D7" w:rsidRDefault="00504F25" w:rsidP="002733CF">
            <w:pPr>
              <w:keepNext/>
              <w:spacing w:after="0" w:line="240" w:lineRule="auto"/>
              <w:jc w:val="left"/>
              <w:rPr>
                <w:rFonts w:eastAsia="Calibri" w:cs="Arial"/>
                <w:color w:val="000000"/>
                <w:sz w:val="16"/>
                <w:szCs w:val="16"/>
                <w:lang w:eastAsia="en-US"/>
              </w:rPr>
            </w:pPr>
            <w:r w:rsidRPr="007226D7">
              <w:rPr>
                <w:rFonts w:eastAsia="Calibri" w:cs="Arial"/>
                <w:color w:val="000000"/>
                <w:sz w:val="16"/>
                <w:szCs w:val="16"/>
                <w:lang w:eastAsia="en-US"/>
              </w:rPr>
              <w:t>Empresas de Transportes Interprovinciales</w:t>
            </w:r>
          </w:p>
        </w:tc>
      </w:tr>
    </w:tbl>
    <w:p w:rsidR="00504F25" w:rsidRPr="007226D7" w:rsidRDefault="00504F25" w:rsidP="0056369A">
      <w:pPr>
        <w:rPr>
          <w:lang w:val="es-ES"/>
        </w:rPr>
      </w:pPr>
    </w:p>
    <w:p w:rsidR="0056369A" w:rsidRPr="007226D7" w:rsidRDefault="0056369A" w:rsidP="003D4691">
      <w:pPr>
        <w:pStyle w:val="Heading5"/>
        <w:rPr>
          <w:lang w:val="es-ES"/>
        </w:rPr>
      </w:pPr>
      <w:r w:rsidRPr="007226D7">
        <w:rPr>
          <w:lang w:val="es-ES"/>
        </w:rPr>
        <w:t>PBI</w:t>
      </w:r>
    </w:p>
    <w:p w:rsidR="0056369A" w:rsidRPr="007226D7" w:rsidRDefault="0056369A" w:rsidP="0056369A">
      <w:pPr>
        <w:rPr>
          <w:lang w:val="es-ES"/>
        </w:rPr>
      </w:pPr>
      <w:r w:rsidRPr="007226D7">
        <w:rPr>
          <w:lang w:val="es-ES"/>
        </w:rPr>
        <w:t>Durante el periodo 2001-2010 el Producto Bruto Interno ha crecido en promedio 6.3% anual, obteniéndose un PBI per cápita de S/ 5,868 a precios constantes de 1994. (Ver Tabla 3.1-15)</w:t>
      </w:r>
    </w:p>
    <w:tbl>
      <w:tblPr>
        <w:tblpPr w:leftFromText="141" w:rightFromText="141" w:vertAnchor="text" w:horzAnchor="margin" w:tblpY="228"/>
        <w:tblW w:w="9156" w:type="dxa"/>
        <w:tblCellMar>
          <w:left w:w="70" w:type="dxa"/>
          <w:right w:w="70" w:type="dxa"/>
        </w:tblCellMar>
        <w:tblLook w:val="04A0" w:firstRow="1" w:lastRow="0" w:firstColumn="1" w:lastColumn="0" w:noHBand="0" w:noVBand="1"/>
      </w:tblPr>
      <w:tblGrid>
        <w:gridCol w:w="1032"/>
        <w:gridCol w:w="993"/>
        <w:gridCol w:w="1158"/>
        <w:gridCol w:w="806"/>
        <w:gridCol w:w="738"/>
        <w:gridCol w:w="993"/>
        <w:gridCol w:w="1146"/>
        <w:gridCol w:w="834"/>
        <w:gridCol w:w="750"/>
        <w:gridCol w:w="706"/>
      </w:tblGrid>
      <w:tr w:rsidR="003D4691" w:rsidRPr="0013314C" w:rsidTr="003D4691">
        <w:trPr>
          <w:trHeight w:val="170"/>
        </w:trPr>
        <w:tc>
          <w:tcPr>
            <w:tcW w:w="9156" w:type="dxa"/>
            <w:gridSpan w:val="10"/>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b/>
                <w:bCs/>
                <w:sz w:val="16"/>
                <w:szCs w:val="16"/>
                <w:lang w:val="es-ES" w:eastAsia="es-ES"/>
              </w:rPr>
            </w:pPr>
            <w:r w:rsidRPr="007226D7">
              <w:rPr>
                <w:rFonts w:cs="Arial"/>
                <w:b/>
                <w:bCs/>
                <w:sz w:val="16"/>
                <w:szCs w:val="16"/>
                <w:lang w:val="es-ES" w:eastAsia="es-ES"/>
              </w:rPr>
              <w:t>Tabla 3.1-15 Lima: Valor Agregado Bruto y su Participación en el PBI Nacional 2001-2010</w:t>
            </w:r>
          </w:p>
        </w:tc>
      </w:tr>
      <w:tr w:rsidR="003D4691" w:rsidRPr="007226D7" w:rsidTr="003D4691">
        <w:trPr>
          <w:trHeight w:val="170"/>
        </w:trPr>
        <w:tc>
          <w:tcPr>
            <w:tcW w:w="9156" w:type="dxa"/>
            <w:gridSpan w:val="10"/>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(A Precios Constantes de 1994)</w:t>
            </w:r>
          </w:p>
        </w:tc>
      </w:tr>
      <w:tr w:rsidR="003D4691" w:rsidRPr="007226D7" w:rsidTr="003D4691">
        <w:trPr>
          <w:trHeight w:val="227"/>
        </w:trPr>
        <w:tc>
          <w:tcPr>
            <w:tcW w:w="1032" w:type="dxa"/>
            <w:vMerge w:val="restart"/>
            <w:tcBorders>
              <w:top w:val="single" w:sz="4" w:space="0" w:color="auto"/>
              <w:left w:val="single" w:sz="4" w:space="0" w:color="auto"/>
              <w:bottom w:val="nil"/>
              <w:right w:val="single" w:sz="4" w:space="0" w:color="auto"/>
            </w:tcBorders>
            <w:shd w:val="clear" w:color="000000" w:fill="99CCFF"/>
            <w:noWrap/>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Año</w:t>
            </w:r>
          </w:p>
        </w:tc>
        <w:tc>
          <w:tcPr>
            <w:tcW w:w="3695" w:type="dxa"/>
            <w:gridSpan w:val="4"/>
            <w:tcBorders>
              <w:top w:val="single" w:sz="4" w:space="0" w:color="auto"/>
              <w:left w:val="nil"/>
              <w:bottom w:val="single" w:sz="4" w:space="0" w:color="auto"/>
              <w:right w:val="nil"/>
            </w:tcBorders>
            <w:shd w:val="clear" w:color="000000" w:fill="99CCFF"/>
            <w:noWrap/>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Perú</w:t>
            </w:r>
          </w:p>
        </w:tc>
        <w:tc>
          <w:tcPr>
            <w:tcW w:w="4429" w:type="dxa"/>
            <w:gridSpan w:val="5"/>
            <w:tcBorders>
              <w:top w:val="single" w:sz="4" w:space="0" w:color="auto"/>
              <w:left w:val="single" w:sz="4" w:space="0" w:color="auto"/>
              <w:bottom w:val="single" w:sz="4" w:space="0" w:color="auto"/>
              <w:right w:val="single" w:sz="4" w:space="0" w:color="000000"/>
            </w:tcBorders>
            <w:shd w:val="clear" w:color="000000" w:fill="99CCFF"/>
            <w:noWrap/>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Lima</w:t>
            </w:r>
          </w:p>
        </w:tc>
      </w:tr>
      <w:tr w:rsidR="003D4691" w:rsidRPr="007226D7" w:rsidTr="003D4691">
        <w:trPr>
          <w:trHeight w:val="227"/>
        </w:trPr>
        <w:tc>
          <w:tcPr>
            <w:tcW w:w="1032" w:type="dxa"/>
            <w:vMerge/>
            <w:tcBorders>
              <w:top w:val="single" w:sz="4" w:space="0" w:color="auto"/>
              <w:left w:val="single" w:sz="4" w:space="0" w:color="auto"/>
              <w:bottom w:val="nil"/>
              <w:right w:val="single" w:sz="4" w:space="0" w:color="auto"/>
            </w:tcBorders>
            <w:vAlign w:val="center"/>
          </w:tcPr>
          <w:p w:rsidR="003D4691" w:rsidRPr="007226D7" w:rsidRDefault="003D4691" w:rsidP="003D4691">
            <w:pPr>
              <w:spacing w:after="0" w:line="240" w:lineRule="auto"/>
              <w:rPr>
                <w:rFonts w:cs="Arial"/>
                <w:b/>
                <w:bCs/>
                <w:sz w:val="16"/>
                <w:szCs w:val="16"/>
                <w:lang w:eastAsia="es-ES"/>
              </w:rPr>
            </w:pPr>
          </w:p>
        </w:tc>
        <w:tc>
          <w:tcPr>
            <w:tcW w:w="993"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Población Miles de Hab.</w:t>
            </w:r>
          </w:p>
        </w:tc>
        <w:tc>
          <w:tcPr>
            <w:tcW w:w="1158"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val="es-ES" w:eastAsia="es-ES"/>
              </w:rPr>
            </w:pPr>
            <w:r w:rsidRPr="007226D7">
              <w:rPr>
                <w:rFonts w:cs="Arial"/>
                <w:b/>
                <w:bCs/>
                <w:sz w:val="16"/>
                <w:szCs w:val="16"/>
                <w:lang w:val="es-ES" w:eastAsia="es-ES"/>
              </w:rPr>
              <w:t>PBI         Miles de S/. del 94</w:t>
            </w:r>
          </w:p>
        </w:tc>
        <w:tc>
          <w:tcPr>
            <w:tcW w:w="806"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PBI          Per cápita</w:t>
            </w:r>
          </w:p>
        </w:tc>
        <w:tc>
          <w:tcPr>
            <w:tcW w:w="738"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Variac.  %</w:t>
            </w:r>
          </w:p>
        </w:tc>
        <w:tc>
          <w:tcPr>
            <w:tcW w:w="993"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Población Miles de Hab.</w:t>
            </w:r>
          </w:p>
        </w:tc>
        <w:tc>
          <w:tcPr>
            <w:tcW w:w="1146"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val="es-ES" w:eastAsia="es-ES"/>
              </w:rPr>
            </w:pPr>
            <w:r w:rsidRPr="007226D7">
              <w:rPr>
                <w:rFonts w:cs="Arial"/>
                <w:b/>
                <w:bCs/>
                <w:sz w:val="16"/>
                <w:szCs w:val="16"/>
                <w:lang w:val="es-ES" w:eastAsia="es-ES"/>
              </w:rPr>
              <w:t>V.A.B         Miles de S/. del 94</w:t>
            </w:r>
          </w:p>
        </w:tc>
        <w:tc>
          <w:tcPr>
            <w:tcW w:w="834"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proofErr w:type="gramStart"/>
            <w:r w:rsidRPr="007226D7">
              <w:rPr>
                <w:rFonts w:cs="Arial"/>
                <w:b/>
                <w:bCs/>
                <w:sz w:val="16"/>
                <w:szCs w:val="16"/>
                <w:lang w:eastAsia="es-ES"/>
              </w:rPr>
              <w:t>V.A.B</w:t>
            </w:r>
            <w:proofErr w:type="gramEnd"/>
            <w:r w:rsidRPr="007226D7">
              <w:rPr>
                <w:rFonts w:cs="Arial"/>
                <w:b/>
                <w:bCs/>
                <w:sz w:val="16"/>
                <w:szCs w:val="16"/>
                <w:lang w:eastAsia="es-ES"/>
              </w:rPr>
              <w:t xml:space="preserve">         Per cápita</w:t>
            </w:r>
          </w:p>
        </w:tc>
        <w:tc>
          <w:tcPr>
            <w:tcW w:w="750"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Variac.  %</w:t>
            </w:r>
          </w:p>
        </w:tc>
        <w:tc>
          <w:tcPr>
            <w:tcW w:w="706" w:type="dxa"/>
            <w:tcBorders>
              <w:top w:val="nil"/>
              <w:left w:val="nil"/>
              <w:bottom w:val="single" w:sz="4" w:space="0" w:color="auto"/>
              <w:right w:val="single" w:sz="4" w:space="0" w:color="auto"/>
            </w:tcBorders>
            <w:shd w:val="clear" w:color="000000" w:fill="99CCFF"/>
            <w:vAlign w:val="center"/>
          </w:tcPr>
          <w:p w:rsidR="003D4691" w:rsidRPr="007226D7" w:rsidRDefault="003D4691" w:rsidP="003D4691">
            <w:pPr>
              <w:spacing w:after="0" w:line="240" w:lineRule="auto"/>
              <w:jc w:val="center"/>
              <w:rPr>
                <w:rFonts w:cs="Arial"/>
                <w:b/>
                <w:bCs/>
                <w:sz w:val="16"/>
                <w:szCs w:val="16"/>
                <w:lang w:eastAsia="es-ES"/>
              </w:rPr>
            </w:pPr>
            <w:r w:rsidRPr="007226D7">
              <w:rPr>
                <w:rFonts w:cs="Arial"/>
                <w:b/>
                <w:bCs/>
                <w:sz w:val="16"/>
                <w:szCs w:val="16"/>
                <w:lang w:eastAsia="es-ES"/>
              </w:rPr>
              <w:t>Partic.  %</w:t>
            </w:r>
          </w:p>
        </w:tc>
      </w:tr>
      <w:tr w:rsidR="003D4691" w:rsidRPr="007226D7" w:rsidTr="003D4691">
        <w:trPr>
          <w:trHeight w:val="227"/>
        </w:trPr>
        <w:tc>
          <w:tcPr>
            <w:tcW w:w="1032" w:type="dxa"/>
            <w:tcBorders>
              <w:top w:val="single" w:sz="4" w:space="0" w:color="auto"/>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2001</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26,347</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121,317,087</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4,605</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 </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8,147</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56,250,024</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6,904</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 </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46.4</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2002</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26,522</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127,407,427</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4,804</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5.0</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8,196</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58,409,932</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7,126</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3.8</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45.8</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2003</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26,697</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132,544,850</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4,965</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4.0</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8,245</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60,541,005</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7,342</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3.6</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45.7</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2004</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26,874</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139,141,351</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5,177</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5.0</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8,295</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63,640,092</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7,672</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5.1</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45.7</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2005</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27,052</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148,639,991</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5,495</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6.8</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8,345</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68,042,728</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8,154</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6.9</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45.8</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2006</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27,232</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160,145,464</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5,881</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7.7</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8,395</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74,159,330</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8,834</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9.0</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46.3</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2007</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27,412</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174,348,006</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6,360</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8.9</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8,445</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82,029,344</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9,713</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10.6</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47.0</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2008</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27,594</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191,366,582</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6,935</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9.8</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8,496</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90,968,508</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10,707</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10.9</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47.5</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2009</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27,777</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192,993,822</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6,948</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0.9</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8,547</w:t>
            </w:r>
          </w:p>
        </w:tc>
        <w:tc>
          <w:tcPr>
            <w:tcW w:w="1146"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91,346,760</w:t>
            </w:r>
          </w:p>
        </w:tc>
        <w:tc>
          <w:tcPr>
            <w:tcW w:w="834"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10,688</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0.4</w:t>
            </w:r>
          </w:p>
        </w:tc>
        <w:tc>
          <w:tcPr>
            <w:tcW w:w="706"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47.3</w:t>
            </w:r>
          </w:p>
        </w:tc>
      </w:tr>
      <w:tr w:rsidR="003D4691" w:rsidRPr="007226D7" w:rsidTr="003D4691">
        <w:trPr>
          <w:trHeight w:val="227"/>
        </w:trPr>
        <w:tc>
          <w:tcPr>
            <w:tcW w:w="1032"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2010</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27,961</w:t>
            </w:r>
          </w:p>
        </w:tc>
        <w:tc>
          <w:tcPr>
            <w:tcW w:w="1158" w:type="dxa"/>
            <w:tcBorders>
              <w:top w:val="nil"/>
              <w:left w:val="nil"/>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209,886,154</w:t>
            </w:r>
          </w:p>
        </w:tc>
        <w:tc>
          <w:tcPr>
            <w:tcW w:w="806"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7,506</w:t>
            </w:r>
          </w:p>
        </w:tc>
        <w:tc>
          <w:tcPr>
            <w:tcW w:w="738" w:type="dxa"/>
            <w:tcBorders>
              <w:top w:val="nil"/>
              <w:left w:val="single" w:sz="4" w:space="0" w:color="auto"/>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8.8</w:t>
            </w:r>
          </w:p>
        </w:tc>
        <w:tc>
          <w:tcPr>
            <w:tcW w:w="993" w:type="dxa"/>
            <w:tcBorders>
              <w:top w:val="nil"/>
              <w:left w:val="nil"/>
              <w:bottom w:val="nil"/>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8,598</w:t>
            </w:r>
          </w:p>
        </w:tc>
        <w:tc>
          <w:tcPr>
            <w:tcW w:w="1146" w:type="dxa"/>
            <w:tcBorders>
              <w:top w:val="nil"/>
              <w:left w:val="nil"/>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color w:val="000000"/>
                <w:sz w:val="16"/>
                <w:szCs w:val="16"/>
                <w:lang w:eastAsia="es-ES"/>
              </w:rPr>
            </w:pPr>
            <w:r w:rsidRPr="007226D7">
              <w:rPr>
                <w:rFonts w:cs="Arial"/>
                <w:color w:val="000000"/>
                <w:sz w:val="16"/>
                <w:szCs w:val="16"/>
                <w:lang w:eastAsia="es-ES"/>
              </w:rPr>
              <w:t>100,445,690</w:t>
            </w:r>
          </w:p>
        </w:tc>
        <w:tc>
          <w:tcPr>
            <w:tcW w:w="834" w:type="dxa"/>
            <w:tcBorders>
              <w:top w:val="nil"/>
              <w:left w:val="single" w:sz="4" w:space="0" w:color="auto"/>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11,682</w:t>
            </w:r>
          </w:p>
        </w:tc>
        <w:tc>
          <w:tcPr>
            <w:tcW w:w="750" w:type="dxa"/>
            <w:tcBorders>
              <w:top w:val="nil"/>
              <w:left w:val="single" w:sz="4" w:space="0" w:color="auto"/>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10.0</w:t>
            </w:r>
          </w:p>
        </w:tc>
        <w:tc>
          <w:tcPr>
            <w:tcW w:w="706" w:type="dxa"/>
            <w:tcBorders>
              <w:top w:val="nil"/>
              <w:left w:val="single" w:sz="4" w:space="0" w:color="auto"/>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47.9</w:t>
            </w:r>
          </w:p>
        </w:tc>
      </w:tr>
      <w:tr w:rsidR="003D4691" w:rsidRPr="007226D7" w:rsidTr="003D4691">
        <w:trPr>
          <w:trHeight w:val="227"/>
        </w:trPr>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Prom. 01-10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 </w:t>
            </w:r>
          </w:p>
        </w:tc>
        <w:tc>
          <w:tcPr>
            <w:tcW w:w="1158" w:type="dxa"/>
            <w:tcBorders>
              <w:top w:val="nil"/>
              <w:left w:val="nil"/>
              <w:bottom w:val="nil"/>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159,779,073</w:t>
            </w: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5,868</w:t>
            </w:r>
          </w:p>
        </w:tc>
        <w:tc>
          <w:tcPr>
            <w:tcW w:w="738" w:type="dxa"/>
            <w:tcBorders>
              <w:top w:val="single" w:sz="4" w:space="0" w:color="auto"/>
              <w:left w:val="nil"/>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8,371</w:t>
            </w:r>
          </w:p>
        </w:tc>
        <w:tc>
          <w:tcPr>
            <w:tcW w:w="1146" w:type="dxa"/>
            <w:tcBorders>
              <w:top w:val="nil"/>
              <w:left w:val="nil"/>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74,583,341</w:t>
            </w:r>
          </w:p>
        </w:tc>
        <w:tc>
          <w:tcPr>
            <w:tcW w:w="834" w:type="dxa"/>
            <w:tcBorders>
              <w:top w:val="nil"/>
              <w:left w:val="single" w:sz="4" w:space="0" w:color="auto"/>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8,882</w:t>
            </w:r>
          </w:p>
        </w:tc>
        <w:tc>
          <w:tcPr>
            <w:tcW w:w="750" w:type="dxa"/>
            <w:tcBorders>
              <w:top w:val="single" w:sz="4" w:space="0" w:color="auto"/>
              <w:left w:val="single" w:sz="4" w:space="0" w:color="auto"/>
              <w:bottom w:val="single" w:sz="4" w:space="0" w:color="auto"/>
              <w:right w:val="nil"/>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6.7</w:t>
            </w:r>
          </w:p>
        </w:tc>
        <w:tc>
          <w:tcPr>
            <w:tcW w:w="706" w:type="dxa"/>
            <w:tcBorders>
              <w:top w:val="nil"/>
              <w:left w:val="single" w:sz="4" w:space="0" w:color="auto"/>
              <w:bottom w:val="single" w:sz="4" w:space="0" w:color="auto"/>
              <w:right w:val="single" w:sz="4" w:space="0" w:color="auto"/>
            </w:tcBorders>
            <w:shd w:val="clear" w:color="auto" w:fill="auto"/>
            <w:noWrap/>
            <w:vAlign w:val="center"/>
          </w:tcPr>
          <w:p w:rsidR="003D4691" w:rsidRPr="007226D7" w:rsidRDefault="003D4691" w:rsidP="003D4691">
            <w:pPr>
              <w:spacing w:after="0" w:line="240" w:lineRule="auto"/>
              <w:jc w:val="center"/>
              <w:rPr>
                <w:rFonts w:cs="Arial"/>
                <w:sz w:val="16"/>
                <w:szCs w:val="16"/>
                <w:lang w:eastAsia="es-ES"/>
              </w:rPr>
            </w:pPr>
            <w:r w:rsidRPr="007226D7">
              <w:rPr>
                <w:rFonts w:cs="Arial"/>
                <w:sz w:val="16"/>
                <w:szCs w:val="16"/>
                <w:lang w:eastAsia="es-ES"/>
              </w:rPr>
              <w:t>46.5</w:t>
            </w:r>
          </w:p>
        </w:tc>
      </w:tr>
      <w:tr w:rsidR="003D4691" w:rsidRPr="007226D7" w:rsidTr="003D4691">
        <w:trPr>
          <w:trHeight w:val="227"/>
        </w:trPr>
        <w:tc>
          <w:tcPr>
            <w:tcW w:w="9156" w:type="dxa"/>
            <w:gridSpan w:val="10"/>
            <w:tcBorders>
              <w:top w:val="single" w:sz="4" w:space="0" w:color="auto"/>
              <w:left w:val="nil"/>
              <w:bottom w:val="nil"/>
              <w:right w:val="nil"/>
            </w:tcBorders>
            <w:shd w:val="clear" w:color="auto" w:fill="auto"/>
            <w:noWrap/>
            <w:vAlign w:val="center"/>
          </w:tcPr>
          <w:p w:rsidR="003D4691" w:rsidRPr="007226D7" w:rsidRDefault="003D4691" w:rsidP="003D4691">
            <w:pPr>
              <w:spacing w:after="0" w:line="240" w:lineRule="auto"/>
              <w:rPr>
                <w:rFonts w:cs="Arial"/>
                <w:sz w:val="14"/>
                <w:szCs w:val="14"/>
                <w:lang w:eastAsia="es-ES"/>
              </w:rPr>
            </w:pPr>
            <w:r w:rsidRPr="007226D7">
              <w:rPr>
                <w:rFonts w:cs="Arial"/>
                <w:sz w:val="14"/>
                <w:szCs w:val="14"/>
                <w:lang w:eastAsia="es-ES"/>
              </w:rPr>
              <w:t xml:space="preserve">  Fuente: INEI</w:t>
            </w:r>
          </w:p>
        </w:tc>
      </w:tr>
    </w:tbl>
    <w:p w:rsidR="003D4691" w:rsidRPr="007226D7" w:rsidRDefault="003D4691" w:rsidP="0056369A">
      <w:pPr>
        <w:rPr>
          <w:lang w:val="es-ES"/>
        </w:rPr>
      </w:pPr>
    </w:p>
    <w:p w:rsidR="003D4691" w:rsidRPr="007226D7" w:rsidRDefault="0056369A" w:rsidP="00463ABF">
      <w:pPr>
        <w:rPr>
          <w:lang w:val="es-ES"/>
        </w:rPr>
      </w:pPr>
      <w:r w:rsidRPr="007226D7">
        <w:rPr>
          <w:lang w:val="es-ES"/>
        </w:rPr>
        <w:lastRenderedPageBreak/>
        <w:t>El Valor Agregado Bruto de la Producción del departamento de Lima representa el 46.5% del PBI nacional, obteniéndose un crecimiento promedio anual del 6.7% durante el periodo 2001-2010. El VAB per cápita de Lima es de S/. 8,882 a precios constantes de 1994, el cual se encuentra por encima del promedio del PBI per cápita nacional. (Ver Figuras siguientes)</w:t>
      </w:r>
    </w:p>
    <w:p w:rsidR="00463ABF" w:rsidRPr="007226D7" w:rsidRDefault="00463ABF" w:rsidP="00463ABF">
      <w:pPr>
        <w:rPr>
          <w:lang w:val="es-ES"/>
        </w:rPr>
      </w:pPr>
    </w:p>
    <w:p w:rsidR="0056369A" w:rsidRPr="007226D7" w:rsidRDefault="003D4691" w:rsidP="0056369A">
      <w:pPr>
        <w:rPr>
          <w:lang w:val="es-ES"/>
        </w:rPr>
      </w:pPr>
      <w:r w:rsidRPr="007226D7">
        <w:rPr>
          <w:noProof/>
          <w:lang w:val="en-US" w:eastAsia="en-US"/>
        </w:rPr>
        <w:drawing>
          <wp:inline distT="0" distB="0" distL="0" distR="0" wp14:anchorId="5C79F944" wp14:editId="4E5C8C0E">
            <wp:extent cx="2731135" cy="1591310"/>
            <wp:effectExtent l="0" t="0" r="0" b="0"/>
            <wp:docPr id="44"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1135" cy="1591310"/>
                    </a:xfrm>
                    <a:prstGeom prst="rect">
                      <a:avLst/>
                    </a:prstGeom>
                    <a:noFill/>
                    <a:ln>
                      <a:noFill/>
                    </a:ln>
                  </pic:spPr>
                </pic:pic>
              </a:graphicData>
            </a:graphic>
          </wp:inline>
        </w:drawing>
      </w:r>
      <w:r w:rsidRPr="007226D7">
        <w:rPr>
          <w:noProof/>
          <w:lang w:val="en-US" w:eastAsia="en-US"/>
        </w:rPr>
        <w:drawing>
          <wp:inline distT="0" distB="0" distL="0" distR="0" wp14:anchorId="4F75D392" wp14:editId="764263C0">
            <wp:extent cx="2826385" cy="1638935"/>
            <wp:effectExtent l="0" t="0" r="0" b="0"/>
            <wp:docPr id="45"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6385" cy="1638935"/>
                    </a:xfrm>
                    <a:prstGeom prst="rect">
                      <a:avLst/>
                    </a:prstGeom>
                    <a:noFill/>
                    <a:ln>
                      <a:noFill/>
                    </a:ln>
                  </pic:spPr>
                </pic:pic>
              </a:graphicData>
            </a:graphic>
          </wp:inline>
        </w:drawing>
      </w:r>
    </w:p>
    <w:p w:rsidR="0056369A" w:rsidRPr="007226D7" w:rsidRDefault="0056369A" w:rsidP="003D4691">
      <w:pPr>
        <w:pStyle w:val="Figuras"/>
      </w:pPr>
      <w:r w:rsidRPr="007226D7">
        <w:t>Figura 3.1-4</w:t>
      </w:r>
      <w:r w:rsidR="003D4691" w:rsidRPr="007226D7">
        <w:tab/>
      </w:r>
      <w:r w:rsidR="003D4691" w:rsidRPr="007226D7">
        <w:tab/>
      </w:r>
      <w:r w:rsidR="003D4691" w:rsidRPr="007226D7">
        <w:tab/>
      </w:r>
      <w:r w:rsidR="003D4691" w:rsidRPr="007226D7">
        <w:tab/>
      </w:r>
      <w:r w:rsidRPr="007226D7">
        <w:tab/>
        <w:t>Figura 3.1-5</w:t>
      </w:r>
    </w:p>
    <w:p w:rsidR="0056369A" w:rsidRPr="007226D7" w:rsidRDefault="0056369A" w:rsidP="0056369A">
      <w:pPr>
        <w:rPr>
          <w:lang w:val="es-ES"/>
        </w:rPr>
      </w:pPr>
    </w:p>
    <w:p w:rsidR="0056369A" w:rsidRPr="007226D7" w:rsidRDefault="0056369A" w:rsidP="0056369A">
      <w:pPr>
        <w:rPr>
          <w:lang w:val="es-ES"/>
        </w:rPr>
      </w:pPr>
      <w:r w:rsidRPr="007226D7">
        <w:rPr>
          <w:lang w:val="es-ES"/>
        </w:rPr>
        <w:t>Respecto a la estructura del VAB de Lima durante el año 2010 tenemos que el  comercio representa el 19.9%, le sigue manufactura 18.4%, transportes y comunicaciones 11.0%, construcción 5.6%, agricultura, caza y silvicultura representa el 3.3%, electricidad y agua 1.9% y otros servicios 39.8%. (Ver Figura siguiente)</w:t>
      </w:r>
    </w:p>
    <w:p w:rsidR="003D4691" w:rsidRPr="007226D7" w:rsidRDefault="003D4691" w:rsidP="0056369A">
      <w:pPr>
        <w:rPr>
          <w:lang w:val="es-ES"/>
        </w:rPr>
      </w:pPr>
    </w:p>
    <w:p w:rsidR="0056369A" w:rsidRPr="007226D7" w:rsidRDefault="003D4691" w:rsidP="003D4691">
      <w:pPr>
        <w:jc w:val="center"/>
        <w:rPr>
          <w:lang w:val="es-ES"/>
        </w:rPr>
      </w:pPr>
      <w:r w:rsidRPr="007226D7">
        <w:rPr>
          <w:noProof/>
          <w:lang w:val="en-US" w:eastAsia="en-US"/>
        </w:rPr>
        <w:drawing>
          <wp:inline distT="0" distB="0" distL="0" distR="0" wp14:anchorId="6BF9A32D" wp14:editId="62F5DAE0">
            <wp:extent cx="3230245" cy="1935480"/>
            <wp:effectExtent l="0" t="0" r="0" b="0"/>
            <wp:docPr id="46"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0245" cy="1935480"/>
                    </a:xfrm>
                    <a:prstGeom prst="rect">
                      <a:avLst/>
                    </a:prstGeom>
                    <a:noFill/>
                    <a:ln>
                      <a:noFill/>
                    </a:ln>
                  </pic:spPr>
                </pic:pic>
              </a:graphicData>
            </a:graphic>
          </wp:inline>
        </w:drawing>
      </w:r>
    </w:p>
    <w:p w:rsidR="0056369A" w:rsidRPr="007226D7" w:rsidRDefault="0056369A" w:rsidP="003D4691">
      <w:pPr>
        <w:pStyle w:val="Figuras"/>
      </w:pPr>
      <w:r w:rsidRPr="007226D7">
        <w:t xml:space="preserve"> Figura 3.1-6</w:t>
      </w:r>
    </w:p>
    <w:p w:rsidR="003D4691" w:rsidRPr="007226D7" w:rsidRDefault="003D4691">
      <w:pPr>
        <w:spacing w:after="0" w:line="240" w:lineRule="auto"/>
        <w:jc w:val="left"/>
        <w:rPr>
          <w:lang w:val="es-ES"/>
        </w:rPr>
      </w:pPr>
      <w:r w:rsidRPr="007226D7">
        <w:rPr>
          <w:lang w:val="es-ES"/>
        </w:rPr>
        <w:br w:type="page"/>
      </w:r>
    </w:p>
    <w:p w:rsidR="0056369A" w:rsidRPr="007226D7" w:rsidRDefault="0056369A" w:rsidP="003D4691">
      <w:pPr>
        <w:pStyle w:val="Heading5"/>
        <w:rPr>
          <w:lang w:val="es-ES"/>
        </w:rPr>
      </w:pPr>
      <w:r w:rsidRPr="007226D7">
        <w:rPr>
          <w:lang w:val="es-ES"/>
        </w:rPr>
        <w:lastRenderedPageBreak/>
        <w:t>Turismo</w:t>
      </w:r>
    </w:p>
    <w:p w:rsidR="0056369A" w:rsidRPr="007226D7" w:rsidRDefault="0056369A" w:rsidP="0056369A">
      <w:pPr>
        <w:rPr>
          <w:lang w:val="es-ES"/>
        </w:rPr>
      </w:pPr>
      <w:r w:rsidRPr="007226D7">
        <w:rPr>
          <w:lang w:val="es-ES"/>
        </w:rPr>
        <w:t>De acuerdo a la información proporcionada por CORPAC S.A. el número de pasajeros que transportan de y hacia Lima es de 2,665.3 miles de pasajeros como promedio anual del periodo 2000-2010, observándose un crecimiento en este periodo de 9.2% promedio anual llegándose en el año 2010 a transportar 4,976.9 miles de pasajeros (Ver Tabla 3.1-16)</w:t>
      </w:r>
    </w:p>
    <w:tbl>
      <w:tblPr>
        <w:tblW w:w="5746" w:type="pct"/>
        <w:tblInd w:w="-497" w:type="dxa"/>
        <w:tblCellMar>
          <w:left w:w="70" w:type="dxa"/>
          <w:right w:w="70" w:type="dxa"/>
        </w:tblCellMar>
        <w:tblLook w:val="04A0" w:firstRow="1" w:lastRow="0" w:firstColumn="1" w:lastColumn="0" w:noHBand="0" w:noVBand="1"/>
      </w:tblPr>
      <w:tblGrid>
        <w:gridCol w:w="1694"/>
        <w:gridCol w:w="838"/>
        <w:gridCol w:w="838"/>
        <w:gridCol w:w="838"/>
        <w:gridCol w:w="838"/>
        <w:gridCol w:w="838"/>
        <w:gridCol w:w="838"/>
        <w:gridCol w:w="838"/>
        <w:gridCol w:w="838"/>
        <w:gridCol w:w="838"/>
        <w:gridCol w:w="838"/>
        <w:gridCol w:w="838"/>
      </w:tblGrid>
      <w:tr w:rsidR="003D4691" w:rsidRPr="0013314C" w:rsidTr="002733CF">
        <w:trPr>
          <w:trHeight w:val="227"/>
        </w:trPr>
        <w:tc>
          <w:tcPr>
            <w:tcW w:w="5000" w:type="pct"/>
            <w:gridSpan w:val="12"/>
            <w:tcBorders>
              <w:top w:val="nil"/>
              <w:left w:val="nil"/>
              <w:bottom w:val="single" w:sz="4" w:space="0" w:color="auto"/>
              <w:right w:val="nil"/>
            </w:tcBorders>
            <w:shd w:val="clear" w:color="auto" w:fill="auto"/>
            <w:noWrap/>
            <w:vAlign w:val="center"/>
          </w:tcPr>
          <w:p w:rsidR="003D4691" w:rsidRPr="007226D7" w:rsidRDefault="003D4691"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3.1-16 Pasajeros Transportados en Compañías Aéreas 2000-2010</w:t>
            </w:r>
          </w:p>
        </w:tc>
      </w:tr>
      <w:tr w:rsidR="003D4691" w:rsidRPr="007226D7" w:rsidTr="002733CF">
        <w:trPr>
          <w:trHeight w:val="227"/>
        </w:trPr>
        <w:tc>
          <w:tcPr>
            <w:tcW w:w="776" w:type="pct"/>
            <w:tcBorders>
              <w:top w:val="nil"/>
              <w:left w:val="single" w:sz="4" w:space="0" w:color="auto"/>
              <w:bottom w:val="nil"/>
              <w:right w:val="nil"/>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Ruta Ida y Vuelta</w:t>
            </w:r>
          </w:p>
        </w:tc>
        <w:tc>
          <w:tcPr>
            <w:tcW w:w="384" w:type="pct"/>
            <w:tcBorders>
              <w:top w:val="nil"/>
              <w:left w:val="single" w:sz="4" w:space="0" w:color="auto"/>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2000</w:t>
            </w:r>
          </w:p>
        </w:tc>
        <w:tc>
          <w:tcPr>
            <w:tcW w:w="384" w:type="pct"/>
            <w:tcBorders>
              <w:top w:val="nil"/>
              <w:left w:val="nil"/>
              <w:bottom w:val="nil"/>
              <w:right w:val="nil"/>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2001</w:t>
            </w:r>
          </w:p>
        </w:tc>
        <w:tc>
          <w:tcPr>
            <w:tcW w:w="384" w:type="pct"/>
            <w:tcBorders>
              <w:top w:val="nil"/>
              <w:left w:val="single" w:sz="4" w:space="0" w:color="auto"/>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2002</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2003</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2004</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2005</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2006</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2007</w:t>
            </w:r>
          </w:p>
        </w:tc>
        <w:tc>
          <w:tcPr>
            <w:tcW w:w="384" w:type="pct"/>
            <w:tcBorders>
              <w:top w:val="nil"/>
              <w:left w:val="nil"/>
              <w:bottom w:val="single" w:sz="4" w:space="0" w:color="auto"/>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2008</w:t>
            </w:r>
          </w:p>
        </w:tc>
        <w:tc>
          <w:tcPr>
            <w:tcW w:w="384" w:type="pct"/>
            <w:tcBorders>
              <w:top w:val="nil"/>
              <w:left w:val="nil"/>
              <w:bottom w:val="nil"/>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2009</w:t>
            </w:r>
          </w:p>
        </w:tc>
        <w:tc>
          <w:tcPr>
            <w:tcW w:w="384" w:type="pct"/>
            <w:tcBorders>
              <w:top w:val="nil"/>
              <w:left w:val="nil"/>
              <w:bottom w:val="single" w:sz="4" w:space="0" w:color="auto"/>
              <w:right w:val="single" w:sz="4" w:space="0" w:color="auto"/>
            </w:tcBorders>
            <w:shd w:val="clear" w:color="000000" w:fill="99CCFF"/>
            <w:noWrap/>
            <w:vAlign w:val="center"/>
          </w:tcPr>
          <w:p w:rsidR="003D4691" w:rsidRPr="007226D7" w:rsidRDefault="003D4691" w:rsidP="002733CF">
            <w:pPr>
              <w:spacing w:after="0" w:line="240" w:lineRule="auto"/>
              <w:jc w:val="center"/>
              <w:rPr>
                <w:rFonts w:cs="Arial"/>
                <w:b/>
                <w:bCs/>
                <w:sz w:val="14"/>
                <w:szCs w:val="14"/>
                <w:lang w:eastAsia="es-ES"/>
              </w:rPr>
            </w:pPr>
            <w:r w:rsidRPr="007226D7">
              <w:rPr>
                <w:rFonts w:cs="Arial"/>
                <w:b/>
                <w:bCs/>
                <w:sz w:val="14"/>
                <w:szCs w:val="14"/>
                <w:lang w:eastAsia="es-ES"/>
              </w:rPr>
              <w:t>2010</w:t>
            </w:r>
          </w:p>
        </w:tc>
      </w:tr>
      <w:tr w:rsidR="003D4691" w:rsidRPr="007226D7" w:rsidTr="002733CF">
        <w:trPr>
          <w:trHeight w:val="227"/>
        </w:trPr>
        <w:tc>
          <w:tcPr>
            <w:tcW w:w="7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D4691" w:rsidRPr="007226D7" w:rsidRDefault="003D4691" w:rsidP="002733CF">
            <w:pPr>
              <w:spacing w:after="0" w:line="240" w:lineRule="auto"/>
              <w:rPr>
                <w:rFonts w:cs="Arial"/>
                <w:b/>
                <w:bCs/>
                <w:sz w:val="14"/>
                <w:szCs w:val="14"/>
                <w:lang w:eastAsia="es-ES"/>
              </w:rPr>
            </w:pPr>
            <w:r w:rsidRPr="007226D7">
              <w:rPr>
                <w:rFonts w:cs="Arial"/>
                <w:b/>
                <w:bCs/>
                <w:sz w:val="14"/>
                <w:szCs w:val="14"/>
                <w:lang w:eastAsia="es-ES"/>
              </w:rPr>
              <w:t>Total Pasajeros</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2,271,807</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2,029,551</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1,975,947</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2,050,295</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2,230,661</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2,085,340</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2,689,174</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3,381,920</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3,855,452</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4,152,023</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5,311,801</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b/>
                <w:bCs/>
                <w:sz w:val="14"/>
                <w:szCs w:val="14"/>
                <w:lang w:eastAsia="es-ES"/>
              </w:rPr>
            </w:pPr>
            <w:r w:rsidRPr="007226D7">
              <w:rPr>
                <w:rFonts w:cs="Arial"/>
                <w:b/>
                <w:bCs/>
                <w:sz w:val="14"/>
                <w:szCs w:val="14"/>
                <w:lang w:eastAsia="es-ES"/>
              </w:rPr>
              <w:t>Variación</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 </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-10.7%</w:t>
            </w:r>
          </w:p>
        </w:tc>
        <w:tc>
          <w:tcPr>
            <w:tcW w:w="384" w:type="pct"/>
            <w:tcBorders>
              <w:top w:val="nil"/>
              <w:left w:val="nil"/>
              <w:bottom w:val="nil"/>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-2.6%</w:t>
            </w:r>
          </w:p>
        </w:tc>
        <w:tc>
          <w:tcPr>
            <w:tcW w:w="384" w:type="pct"/>
            <w:tcBorders>
              <w:top w:val="nil"/>
              <w:left w:val="single" w:sz="4" w:space="0" w:color="auto"/>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3.8%</w:t>
            </w:r>
          </w:p>
        </w:tc>
        <w:tc>
          <w:tcPr>
            <w:tcW w:w="384" w:type="pct"/>
            <w:tcBorders>
              <w:top w:val="nil"/>
              <w:left w:val="nil"/>
              <w:bottom w:val="nil"/>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8.8%</w:t>
            </w:r>
          </w:p>
        </w:tc>
        <w:tc>
          <w:tcPr>
            <w:tcW w:w="384" w:type="pct"/>
            <w:tcBorders>
              <w:top w:val="nil"/>
              <w:left w:val="single" w:sz="4" w:space="0" w:color="auto"/>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-6.5%</w:t>
            </w:r>
          </w:p>
        </w:tc>
        <w:tc>
          <w:tcPr>
            <w:tcW w:w="384" w:type="pct"/>
            <w:tcBorders>
              <w:top w:val="nil"/>
              <w:left w:val="nil"/>
              <w:bottom w:val="nil"/>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29.0%</w:t>
            </w:r>
          </w:p>
        </w:tc>
        <w:tc>
          <w:tcPr>
            <w:tcW w:w="384" w:type="pct"/>
            <w:tcBorders>
              <w:top w:val="nil"/>
              <w:left w:val="single" w:sz="4" w:space="0" w:color="auto"/>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25.8%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43.4%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22.8%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57.1%</w:t>
            </w:r>
          </w:p>
        </w:tc>
      </w:tr>
      <w:tr w:rsidR="003D4691" w:rsidRPr="007226D7" w:rsidTr="002733CF">
        <w:trPr>
          <w:trHeight w:val="227"/>
        </w:trPr>
        <w:tc>
          <w:tcPr>
            <w:tcW w:w="7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D4691" w:rsidRPr="007226D7" w:rsidRDefault="003D4691" w:rsidP="002733CF">
            <w:pPr>
              <w:spacing w:after="0" w:line="240" w:lineRule="auto"/>
              <w:rPr>
                <w:rFonts w:cs="Arial"/>
                <w:b/>
                <w:bCs/>
                <w:sz w:val="14"/>
                <w:szCs w:val="14"/>
                <w:lang w:eastAsia="es-ES"/>
              </w:rPr>
            </w:pPr>
            <w:r w:rsidRPr="007226D7">
              <w:rPr>
                <w:rFonts w:cs="Arial"/>
                <w:b/>
                <w:bCs/>
                <w:sz w:val="14"/>
                <w:szCs w:val="14"/>
                <w:lang w:eastAsia="es-ES"/>
              </w:rPr>
              <w:t>Pasajeros Ruta Lima</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2,059,126</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1,853,263</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1,768,447</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1,846,015</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2,023,229</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1,898,608</w:t>
            </w:r>
          </w:p>
        </w:tc>
        <w:tc>
          <w:tcPr>
            <w:tcW w:w="384" w:type="pct"/>
            <w:tcBorders>
              <w:top w:val="single" w:sz="4" w:space="0" w:color="auto"/>
              <w:left w:val="nil"/>
              <w:bottom w:val="single" w:sz="4" w:space="0" w:color="auto"/>
              <w:right w:val="nil"/>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2,454,286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3,138,160</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3,498,672</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3,801,108</w:t>
            </w:r>
          </w:p>
        </w:tc>
        <w:tc>
          <w:tcPr>
            <w:tcW w:w="384" w:type="pct"/>
            <w:tcBorders>
              <w:top w:val="single" w:sz="4" w:space="0" w:color="auto"/>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4,976,965</w:t>
            </w:r>
          </w:p>
        </w:tc>
      </w:tr>
      <w:tr w:rsidR="003D4691" w:rsidRPr="007226D7" w:rsidTr="002733CF">
        <w:trPr>
          <w:trHeight w:val="227"/>
        </w:trPr>
        <w:tc>
          <w:tcPr>
            <w:tcW w:w="776" w:type="pct"/>
            <w:tcBorders>
              <w:top w:val="nil"/>
              <w:left w:val="single" w:sz="4" w:space="0" w:color="auto"/>
              <w:bottom w:val="single" w:sz="4" w:space="0" w:color="auto"/>
              <w:right w:val="single" w:sz="4" w:space="0" w:color="auto"/>
            </w:tcBorders>
            <w:shd w:val="clear" w:color="auto" w:fill="auto"/>
            <w:noWrap/>
            <w:vAlign w:val="center"/>
          </w:tcPr>
          <w:p w:rsidR="003D4691" w:rsidRPr="007226D7" w:rsidRDefault="003D4691" w:rsidP="002733CF">
            <w:pPr>
              <w:spacing w:after="0" w:line="240" w:lineRule="auto"/>
              <w:rPr>
                <w:rFonts w:cs="Arial"/>
                <w:b/>
                <w:bCs/>
                <w:sz w:val="14"/>
                <w:szCs w:val="14"/>
                <w:lang w:eastAsia="es-ES"/>
              </w:rPr>
            </w:pPr>
            <w:r w:rsidRPr="007226D7">
              <w:rPr>
                <w:rFonts w:cs="Arial"/>
                <w:b/>
                <w:bCs/>
                <w:sz w:val="14"/>
                <w:szCs w:val="14"/>
                <w:lang w:eastAsia="es-ES"/>
              </w:rPr>
              <w:t>Variación</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 </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-10.0%</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-4.6%</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4.4%</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9.6%</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-6.2%</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29.3%</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27.9%</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11.5%</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8.6% </w:t>
            </w:r>
          </w:p>
        </w:tc>
        <w:tc>
          <w:tcPr>
            <w:tcW w:w="384" w:type="pct"/>
            <w:tcBorders>
              <w:top w:val="nil"/>
              <w:left w:val="nil"/>
              <w:bottom w:val="single" w:sz="4" w:space="0" w:color="auto"/>
              <w:right w:val="single" w:sz="4" w:space="0" w:color="auto"/>
            </w:tcBorders>
            <w:shd w:val="clear" w:color="auto" w:fill="auto"/>
            <w:vAlign w:val="center"/>
          </w:tcPr>
          <w:p w:rsidR="003D4691" w:rsidRPr="007226D7" w:rsidRDefault="003D4691" w:rsidP="002733CF">
            <w:pPr>
              <w:spacing w:after="0" w:line="240" w:lineRule="auto"/>
              <w:jc w:val="right"/>
              <w:rPr>
                <w:rFonts w:cs="Arial"/>
                <w:b/>
                <w:bCs/>
                <w:sz w:val="14"/>
                <w:szCs w:val="14"/>
                <w:lang w:eastAsia="es-ES"/>
              </w:rPr>
            </w:pPr>
            <w:r w:rsidRPr="007226D7">
              <w:rPr>
                <w:rFonts w:cs="Arial"/>
                <w:b/>
                <w:bCs/>
                <w:sz w:val="14"/>
                <w:szCs w:val="14"/>
                <w:lang w:eastAsia="es-ES"/>
              </w:rPr>
              <w:t>42.3%</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Cusco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589,683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543,415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516,055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562,967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660,184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662,539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779,426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976,230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1,069,567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1,115,118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1,297,641</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Arequipa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284,747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260,299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238,304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250,129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272,487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274,272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391,914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535,040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499,831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526,229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869,633</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Iquitos</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263,926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250,188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233,682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227,918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242,580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202,988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300,881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338,629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351,231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395,598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518,327</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Piura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145,197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125,064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119,446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107,898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126,386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138,155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158,451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214,966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249,015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290,505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394,151</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Juliaca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108,072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74,023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87,413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92,720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105,643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120,465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122,797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140,773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164,006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168,475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184,387</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Trujillo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131,017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111,573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108,978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103,842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109,695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91,817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112,986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165,523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207,353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201,266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263,214</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Pucallpa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91,899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83,352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86,263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83,485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80,192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38,502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89,463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190,655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195,171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180,353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227,503</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Tarapoto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101,755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98,728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89,754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82,869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92,835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83,850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127,824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166,459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187,825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191,611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259,550</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Chiclayo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111,485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95,570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95,326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91,451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100,729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92,620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113,084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144,818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171,704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199,626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271,716</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Tacna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124,920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122,735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111,157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105,350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101,837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85,987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104,649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99,258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145,685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163,708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234,774</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Puerto Maldonado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39,687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39,643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49,137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55,110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63,511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65,332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56,067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75,222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85,377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108,120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112,932</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Cajamarca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11,710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27,670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18,503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49,010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57,684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95,142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126,386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176,146</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Tumbes</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30,813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42,290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32,932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39,321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36,643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42,081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30,189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16,247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34,517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77,224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91,330</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Ayacucho</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24,215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6,383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12,346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9,092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3,584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4,290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24,836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35,941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50,222</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Andahuaylas</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6,250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5,285</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11,714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11,776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13,518</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Talara</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7,711</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7,057</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1,342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2,983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148</w:t>
            </w:r>
          </w:p>
        </w:tc>
      </w:tr>
      <w:tr w:rsidR="003D4691" w:rsidRPr="007226D7" w:rsidTr="002733CF">
        <w:trPr>
          <w:trHeight w:val="227"/>
        </w:trPr>
        <w:tc>
          <w:tcPr>
            <w:tcW w:w="776" w:type="pct"/>
            <w:tcBorders>
              <w:top w:val="nil"/>
              <w:left w:val="single" w:sz="4" w:space="0" w:color="auto"/>
              <w:bottom w:val="nil"/>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Yurimaguas</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2,939</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2,912</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13</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27</w:t>
            </w:r>
          </w:p>
        </w:tc>
      </w:tr>
      <w:tr w:rsidR="003D4691" w:rsidRPr="007226D7" w:rsidTr="002733CF">
        <w:trPr>
          <w:trHeight w:val="227"/>
        </w:trPr>
        <w:tc>
          <w:tcPr>
            <w:tcW w:w="776" w:type="pct"/>
            <w:tcBorders>
              <w:top w:val="nil"/>
              <w:left w:val="single" w:sz="4" w:space="0" w:color="auto"/>
              <w:bottom w:val="single" w:sz="4" w:space="0" w:color="auto"/>
              <w:right w:val="single" w:sz="4" w:space="0" w:color="auto"/>
            </w:tcBorders>
            <w:shd w:val="clear" w:color="auto" w:fill="auto"/>
            <w:noWrap/>
            <w:vAlign w:val="center"/>
          </w:tcPr>
          <w:p w:rsidR="003D4691" w:rsidRPr="007226D7" w:rsidRDefault="003D4691" w:rsidP="002733CF">
            <w:pPr>
              <w:spacing w:after="0" w:line="240" w:lineRule="auto"/>
              <w:rPr>
                <w:rFonts w:cs="Arial"/>
                <w:sz w:val="14"/>
                <w:szCs w:val="14"/>
                <w:lang w:eastAsia="es-ES"/>
              </w:rPr>
            </w:pPr>
            <w:r w:rsidRPr="007226D7">
              <w:rPr>
                <w:rFonts w:cs="Arial"/>
                <w:sz w:val="14"/>
                <w:szCs w:val="14"/>
                <w:lang w:eastAsia="es-ES"/>
              </w:rPr>
              <w:t>Otras rutas</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0</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24</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4,348</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6,176</w:t>
            </w:r>
          </w:p>
        </w:tc>
        <w:tc>
          <w:tcPr>
            <w:tcW w:w="384" w:type="pct"/>
            <w:tcBorders>
              <w:top w:val="nil"/>
              <w:left w:val="nil"/>
              <w:bottom w:val="nil"/>
              <w:right w:val="single" w:sz="4" w:space="0" w:color="auto"/>
            </w:tcBorders>
            <w:shd w:val="clear" w:color="auto" w:fill="auto"/>
            <w:vAlign w:val="center"/>
          </w:tcPr>
          <w:p w:rsidR="003D4691" w:rsidRPr="007226D7" w:rsidRDefault="003D4691" w:rsidP="002733CF">
            <w:pPr>
              <w:spacing w:after="0" w:line="240" w:lineRule="auto"/>
              <w:jc w:val="right"/>
              <w:rPr>
                <w:rFonts w:cs="Arial"/>
                <w:sz w:val="14"/>
                <w:szCs w:val="14"/>
                <w:lang w:eastAsia="es-ES"/>
              </w:rPr>
            </w:pPr>
            <w:r w:rsidRPr="007226D7">
              <w:rPr>
                <w:rFonts w:cs="Arial"/>
                <w:sz w:val="14"/>
                <w:szCs w:val="14"/>
                <w:lang w:eastAsia="es-ES"/>
              </w:rPr>
              <w:t>11,746</w:t>
            </w:r>
          </w:p>
        </w:tc>
      </w:tr>
      <w:tr w:rsidR="003D4691" w:rsidRPr="0013314C" w:rsidTr="002733CF">
        <w:trPr>
          <w:trHeight w:val="227"/>
        </w:trPr>
        <w:tc>
          <w:tcPr>
            <w:tcW w:w="5000" w:type="pct"/>
            <w:gridSpan w:val="12"/>
            <w:tcBorders>
              <w:top w:val="single" w:sz="4" w:space="0" w:color="auto"/>
              <w:left w:val="nil"/>
              <w:bottom w:val="nil"/>
              <w:right w:val="nil"/>
            </w:tcBorders>
            <w:shd w:val="clear" w:color="auto" w:fill="auto"/>
            <w:noWrap/>
            <w:vAlign w:val="center"/>
          </w:tcPr>
          <w:p w:rsidR="003D4691" w:rsidRPr="007226D7" w:rsidRDefault="003D4691" w:rsidP="002733CF">
            <w:pPr>
              <w:spacing w:after="0" w:line="240" w:lineRule="auto"/>
              <w:rPr>
                <w:rFonts w:cs="Arial"/>
                <w:sz w:val="14"/>
                <w:szCs w:val="14"/>
                <w:lang w:val="es-ES" w:eastAsia="es-ES"/>
              </w:rPr>
            </w:pPr>
            <w:r w:rsidRPr="007226D7">
              <w:rPr>
                <w:rFonts w:cs="Arial"/>
                <w:sz w:val="14"/>
                <w:szCs w:val="14"/>
                <w:lang w:val="es-ES" w:eastAsia="es-ES"/>
              </w:rPr>
              <w:t>Nota: Se considera los principales aeropuertos incluyendo los administrados por el consorcio Aeropuertos del Perú (ADP) desde Diciembre 2006. </w:t>
            </w:r>
          </w:p>
        </w:tc>
      </w:tr>
      <w:tr w:rsidR="003D4691" w:rsidRPr="0013314C" w:rsidTr="002733CF">
        <w:trPr>
          <w:trHeight w:val="227"/>
        </w:trPr>
        <w:tc>
          <w:tcPr>
            <w:tcW w:w="5000" w:type="pct"/>
            <w:gridSpan w:val="12"/>
            <w:tcBorders>
              <w:top w:val="nil"/>
              <w:left w:val="nil"/>
              <w:bottom w:val="nil"/>
              <w:right w:val="nil"/>
            </w:tcBorders>
            <w:shd w:val="clear" w:color="auto" w:fill="auto"/>
            <w:noWrap/>
            <w:vAlign w:val="center"/>
          </w:tcPr>
          <w:p w:rsidR="003D4691" w:rsidRPr="007226D7" w:rsidRDefault="003D4691" w:rsidP="002733CF">
            <w:pPr>
              <w:spacing w:after="0" w:line="240" w:lineRule="auto"/>
              <w:rPr>
                <w:rFonts w:cs="Arial"/>
                <w:sz w:val="14"/>
                <w:szCs w:val="14"/>
                <w:lang w:val="es-ES" w:eastAsia="es-ES"/>
              </w:rPr>
            </w:pPr>
            <w:r w:rsidRPr="007226D7">
              <w:rPr>
                <w:rFonts w:cs="Arial"/>
                <w:sz w:val="14"/>
                <w:szCs w:val="14"/>
                <w:lang w:val="es-ES" w:eastAsia="es-ES"/>
              </w:rPr>
              <w:t>Fuente: Corporación Peruana de Aeropuertos y Aviación Comercial S.A. </w:t>
            </w:r>
            <w:r w:rsidRPr="007226D7">
              <w:rPr>
                <w:rFonts w:cs="Arial"/>
                <w:sz w:val="14"/>
                <w:szCs w:val="14"/>
                <w:lang w:val="es-ES" w:eastAsia="es-ES"/>
              </w:rPr>
              <w:softHyphen/>
              <w:t> Área  de Planeamiento y Proyectos / Estadística.</w:t>
            </w:r>
          </w:p>
        </w:tc>
      </w:tr>
    </w:tbl>
    <w:p w:rsidR="0056369A" w:rsidRPr="007226D7" w:rsidRDefault="0056369A" w:rsidP="0056369A">
      <w:pPr>
        <w:rPr>
          <w:lang w:val="es-ES"/>
        </w:rPr>
      </w:pPr>
      <w:r w:rsidRPr="007226D7">
        <w:rPr>
          <w:lang w:val="es-ES"/>
        </w:rPr>
        <w:tab/>
      </w:r>
    </w:p>
    <w:p w:rsidR="0056369A" w:rsidRPr="007226D7" w:rsidRDefault="0056369A" w:rsidP="0056369A">
      <w:pPr>
        <w:rPr>
          <w:lang w:val="es-ES"/>
        </w:rPr>
      </w:pPr>
      <w:r w:rsidRPr="007226D7">
        <w:rPr>
          <w:lang w:val="es-ES"/>
        </w:rPr>
        <w:t>Los distritos del área de estudio cuentan con actividades turísticas, unas más que otras, de acuerdo a sus recursos y atractivos turísticos.</w:t>
      </w:r>
    </w:p>
    <w:p w:rsidR="0056369A" w:rsidRPr="007226D7" w:rsidRDefault="0056369A" w:rsidP="0056369A">
      <w:pPr>
        <w:rPr>
          <w:lang w:val="es-ES"/>
        </w:rPr>
      </w:pPr>
      <w:r w:rsidRPr="007226D7">
        <w:rPr>
          <w:lang w:val="es-ES"/>
        </w:rPr>
        <w:t>Ate cuenta con centros comerciales y zonas arqueológicas como Los Montículos de Huaycán, Huaycán de Pariachi, La Quebrada Seca, además del Museo de Sitio de Puruchuco y el Estadio Monumental.</w:t>
      </w:r>
    </w:p>
    <w:p w:rsidR="0056369A" w:rsidRPr="007226D7" w:rsidRDefault="0056369A" w:rsidP="0056369A">
      <w:pPr>
        <w:rPr>
          <w:lang w:val="es-ES"/>
        </w:rPr>
      </w:pPr>
      <w:r w:rsidRPr="007226D7">
        <w:rPr>
          <w:lang w:val="es-ES"/>
        </w:rPr>
        <w:t>Santa Anita no cuenta con mucha actividad turística pero posee zonas arqueológicas como las huacas Perales y Bellavista, sin embargo, estas no cuentan con el apoyo municipal ni de las entidades del estado para su promoción.</w:t>
      </w:r>
    </w:p>
    <w:p w:rsidR="0056369A" w:rsidRPr="007226D7" w:rsidRDefault="0056369A" w:rsidP="0056369A">
      <w:pPr>
        <w:rPr>
          <w:lang w:val="es-ES"/>
        </w:rPr>
      </w:pPr>
      <w:r w:rsidRPr="007226D7">
        <w:rPr>
          <w:lang w:val="es-ES"/>
        </w:rPr>
        <w:t>En el Agustino cuenta con el Proyecto Malecón Río Verde, Ovalo de la Paz, Programa Habitacional “Los Parques de El Agustino”, Alameda “Las Floristas”, Bulevar República y la zona arqueológica Cerro Quiróz. No hay mucho flujo turístico.</w:t>
      </w:r>
    </w:p>
    <w:p w:rsidR="0056369A" w:rsidRPr="007226D7" w:rsidRDefault="0056369A" w:rsidP="0056369A">
      <w:pPr>
        <w:rPr>
          <w:lang w:val="es-ES"/>
        </w:rPr>
      </w:pPr>
      <w:r w:rsidRPr="007226D7">
        <w:rPr>
          <w:lang w:val="es-ES"/>
        </w:rPr>
        <w:t>San Luis se caracteriza por sus parques como el Parque Horacio Patiño Cruzatti, el Parque de los Novios, la Villa Deportiva Nacional, los sitios arqueológicos Túpac Amaru A y B y la Biblioteca Municipal de San Luis “Ciro Alegría”.</w:t>
      </w:r>
    </w:p>
    <w:p w:rsidR="0056369A" w:rsidRPr="007226D7" w:rsidRDefault="0056369A" w:rsidP="0056369A">
      <w:pPr>
        <w:rPr>
          <w:lang w:val="es-ES"/>
        </w:rPr>
      </w:pPr>
      <w:r w:rsidRPr="007226D7">
        <w:rPr>
          <w:lang w:val="es-ES"/>
        </w:rPr>
        <w:lastRenderedPageBreak/>
        <w:t>En la Victoria se puede encontrar la Huaca Santa Catalina y Balconcillo, la Iglesia Nuestra Señora de Las Victorias, la Sala de Encuentro "María Reiche", el Emporio Comercial de Gamarra y restaurantes.</w:t>
      </w:r>
    </w:p>
    <w:p w:rsidR="0056369A" w:rsidRPr="007226D7" w:rsidRDefault="0056369A" w:rsidP="0056369A">
      <w:pPr>
        <w:rPr>
          <w:lang w:val="es-ES"/>
        </w:rPr>
      </w:pPr>
      <w:r w:rsidRPr="007226D7">
        <w:rPr>
          <w:lang w:val="es-ES"/>
        </w:rPr>
        <w:t>Breña se caracteriza por iglesias como la Basílica María Auxiliadora, Parroquia Nuestra Señora de los Desamparados, instituciones educativas como el Colegio María Auxiliadora, Colegio Salesiano, Colegio Mariano Melgar, Colegio Chino, Canal 13 y plazas como la Plaza Bolognesi.</w:t>
      </w:r>
    </w:p>
    <w:p w:rsidR="0056369A" w:rsidRPr="007226D7" w:rsidRDefault="0056369A" w:rsidP="0056369A">
      <w:pPr>
        <w:rPr>
          <w:lang w:val="es-ES"/>
        </w:rPr>
      </w:pPr>
      <w:r w:rsidRPr="007226D7">
        <w:rPr>
          <w:lang w:val="es-ES"/>
        </w:rPr>
        <w:t>El Cercado de Lima cuenta con diversos atractivos turísticos como la Catedral de Lima, la Plaza de Armas, el Convento San Francisco, el Convento Santo Domingo, el Santuario Santa Rosa de Lima, la Plaza San Martín y el Parque de la Reserva, entre otros.</w:t>
      </w:r>
    </w:p>
    <w:p w:rsidR="0056369A" w:rsidRPr="007226D7" w:rsidRDefault="0056369A" w:rsidP="0056369A">
      <w:pPr>
        <w:rPr>
          <w:lang w:val="es-ES"/>
        </w:rPr>
      </w:pPr>
      <w:r w:rsidRPr="007226D7">
        <w:rPr>
          <w:lang w:val="es-ES"/>
        </w:rPr>
        <w:t>San Miguel se caracteriza por el Boulevard Bertolotto (recientemente inaugurado), el Parque de las Leyendas, Discotecas y Centros Comerciales.</w:t>
      </w:r>
    </w:p>
    <w:p w:rsidR="0056369A" w:rsidRPr="007226D7" w:rsidRDefault="0056369A" w:rsidP="0056369A">
      <w:pPr>
        <w:rPr>
          <w:lang w:val="es-ES"/>
        </w:rPr>
      </w:pPr>
      <w:r w:rsidRPr="007226D7">
        <w:rPr>
          <w:lang w:val="es-ES"/>
        </w:rPr>
        <w:t>Bellavista atrae a sus visitantes por sus iglesias como la Parroquia San José, la Capilla Nuestra Sra. de la Reconciliación, la Parroquia San Antonio de Padua, la Parroquia San Pedro, la Parroquia San Pablo, la Iglesia de la Virgen de Carmen de la Legua y la Parroquia Sagrada Familia.</w:t>
      </w:r>
    </w:p>
    <w:p w:rsidR="0056369A" w:rsidRPr="007226D7" w:rsidRDefault="0056369A" w:rsidP="0056369A">
      <w:pPr>
        <w:rPr>
          <w:lang w:val="es-ES"/>
        </w:rPr>
      </w:pPr>
      <w:r w:rsidRPr="007226D7">
        <w:rPr>
          <w:lang w:val="es-ES"/>
        </w:rPr>
        <w:t>Lo más destacado en La Perla es el Museo Santuario Coronel Leoncio Prado (Centro Educativo Leoncio Prado).</w:t>
      </w:r>
    </w:p>
    <w:p w:rsidR="0056369A" w:rsidRPr="007226D7" w:rsidRDefault="0056369A" w:rsidP="0056369A">
      <w:pPr>
        <w:rPr>
          <w:lang w:val="es-ES"/>
        </w:rPr>
      </w:pPr>
      <w:r w:rsidRPr="007226D7">
        <w:rPr>
          <w:lang w:val="es-ES"/>
        </w:rPr>
        <w:t>El Cercado del Callao cuenta con atractivos como la Iglesia Matriz, la Iglesia Santa Rosa, la Fortaleza del Real Felipe, Clubes Sociales, la Bahía del Callao y Playa Cantolao, entre otros.</w:t>
      </w:r>
    </w:p>
    <w:p w:rsidR="0056369A" w:rsidRPr="007226D7" w:rsidRDefault="0056369A" w:rsidP="0056369A">
      <w:pPr>
        <w:rPr>
          <w:lang w:val="es-ES"/>
        </w:rPr>
      </w:pPr>
      <w:r w:rsidRPr="007226D7">
        <w:rPr>
          <w:lang w:val="es-ES"/>
        </w:rPr>
        <w:t>En Carmen de la legua, sus principales atractivos son el Santuario de la Legua y Piscina Municipal.</w:t>
      </w:r>
    </w:p>
    <w:p w:rsidR="0056369A" w:rsidRPr="007226D7" w:rsidRDefault="0056369A" w:rsidP="0056369A">
      <w:pPr>
        <w:rPr>
          <w:lang w:val="es-ES"/>
        </w:rPr>
      </w:pPr>
      <w:r w:rsidRPr="007226D7">
        <w:rPr>
          <w:lang w:val="es-ES"/>
        </w:rPr>
        <w:t xml:space="preserve">En líneas generales se observa que el turismo en su mayoría es local y en menor medida es externa. El flujo turístico aumenta en fechas de fiestas como semana santa, fiestas patrias, navidad y en verano. Se expenden productos alusivos a lugares turísticos. Se cuenta con todos los servicios relacionados al turismo; internet, transporte, restaurantes, hoteles, entre otros. </w:t>
      </w:r>
    </w:p>
    <w:p w:rsidR="0056369A" w:rsidRPr="007226D7" w:rsidRDefault="0056369A" w:rsidP="0056369A">
      <w:pPr>
        <w:rPr>
          <w:lang w:val="es-ES"/>
        </w:rPr>
      </w:pPr>
      <w:r w:rsidRPr="007226D7">
        <w:rPr>
          <w:lang w:val="es-ES"/>
        </w:rPr>
        <w:t>No se ha identificado usos específicamente turísticos de la vía, que es más usada como acceso a los lugares turísticos, pero no hay avenidas que sea en sí un lugar turístico.</w:t>
      </w: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463ABF" w:rsidRPr="007226D7" w:rsidRDefault="00463ABF" w:rsidP="0056369A">
      <w:pPr>
        <w:rPr>
          <w:lang w:val="es-ES"/>
        </w:rPr>
      </w:pPr>
    </w:p>
    <w:p w:rsidR="0056369A" w:rsidRPr="007226D7" w:rsidRDefault="00463ABF" w:rsidP="00463ABF">
      <w:pPr>
        <w:spacing w:after="60" w:line="240" w:lineRule="auto"/>
        <w:jc w:val="center"/>
        <w:rPr>
          <w:b/>
          <w:sz w:val="16"/>
          <w:szCs w:val="16"/>
          <w:lang w:val="es-ES"/>
        </w:rPr>
      </w:pPr>
      <w:r w:rsidRPr="007226D7">
        <w:rPr>
          <w:b/>
          <w:sz w:val="16"/>
          <w:szCs w:val="16"/>
          <w:lang w:val="es-ES"/>
        </w:rPr>
        <w:lastRenderedPageBreak/>
        <w:t>Tabla 3.1-17  Recursos y Atractivos Turísticos</w:t>
      </w:r>
    </w:p>
    <w:tbl>
      <w:tblPr>
        <w:tblW w:w="48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2"/>
        <w:gridCol w:w="3760"/>
        <w:gridCol w:w="1869"/>
        <w:gridCol w:w="2608"/>
      </w:tblGrid>
      <w:tr w:rsidR="003D4691" w:rsidRPr="007226D7" w:rsidTr="00463ABF">
        <w:trPr>
          <w:trHeight w:val="170"/>
          <w:tblHeader/>
          <w:jc w:val="center"/>
        </w:trPr>
        <w:tc>
          <w:tcPr>
            <w:tcW w:w="557" w:type="pct"/>
            <w:shd w:val="clear" w:color="auto" w:fill="99CCFF"/>
            <w:vAlign w:val="center"/>
          </w:tcPr>
          <w:p w:rsidR="003D4691" w:rsidRPr="007226D7" w:rsidRDefault="003D4691" w:rsidP="002733CF">
            <w:pPr>
              <w:pStyle w:val="ListParagraph"/>
              <w:spacing w:after="0" w:line="240" w:lineRule="auto"/>
              <w:jc w:val="center"/>
              <w:rPr>
                <w:rFonts w:ascii="Arial Narrow" w:hAnsi="Arial Narrow" w:cs="Arial"/>
                <w:b/>
                <w:sz w:val="20"/>
              </w:rPr>
            </w:pPr>
            <w:r w:rsidRPr="007226D7">
              <w:rPr>
                <w:rFonts w:ascii="Arial Narrow" w:hAnsi="Arial Narrow" w:cs="Arial"/>
                <w:b/>
                <w:sz w:val="20"/>
              </w:rPr>
              <w:t>Distritos</w:t>
            </w:r>
          </w:p>
        </w:tc>
        <w:tc>
          <w:tcPr>
            <w:tcW w:w="2028" w:type="pct"/>
            <w:shd w:val="clear" w:color="auto" w:fill="99CCFF"/>
            <w:vAlign w:val="center"/>
          </w:tcPr>
          <w:p w:rsidR="003D4691" w:rsidRPr="007226D7" w:rsidRDefault="003D4691" w:rsidP="002733CF">
            <w:pPr>
              <w:pStyle w:val="ListParagraph"/>
              <w:spacing w:after="0" w:line="240" w:lineRule="auto"/>
              <w:jc w:val="center"/>
              <w:rPr>
                <w:rFonts w:ascii="Arial Narrow" w:hAnsi="Arial Narrow" w:cs="Arial"/>
                <w:b/>
                <w:sz w:val="20"/>
              </w:rPr>
            </w:pPr>
            <w:r w:rsidRPr="007226D7">
              <w:rPr>
                <w:rFonts w:ascii="Arial Narrow" w:hAnsi="Arial Narrow" w:cs="Arial"/>
                <w:b/>
                <w:sz w:val="20"/>
              </w:rPr>
              <w:t>Recursos y</w:t>
            </w:r>
          </w:p>
          <w:p w:rsidR="003D4691" w:rsidRPr="007226D7" w:rsidRDefault="003D4691" w:rsidP="002733CF">
            <w:pPr>
              <w:tabs>
                <w:tab w:val="num" w:pos="720"/>
                <w:tab w:val="left" w:pos="1440"/>
                <w:tab w:val="left" w:pos="1620"/>
                <w:tab w:val="left" w:pos="2160"/>
                <w:tab w:val="left" w:pos="2700"/>
              </w:tabs>
              <w:spacing w:after="0" w:line="240" w:lineRule="auto"/>
              <w:jc w:val="center"/>
              <w:rPr>
                <w:rFonts w:ascii="Arial Narrow" w:hAnsi="Arial Narrow" w:cs="Arial"/>
                <w:b/>
                <w:sz w:val="20"/>
              </w:rPr>
            </w:pPr>
            <w:proofErr w:type="gramStart"/>
            <w:r w:rsidRPr="007226D7">
              <w:rPr>
                <w:rFonts w:ascii="Arial Narrow" w:hAnsi="Arial Narrow" w:cs="Arial"/>
                <w:b/>
                <w:sz w:val="20"/>
              </w:rPr>
              <w:t>atractivos</w:t>
            </w:r>
            <w:proofErr w:type="gramEnd"/>
          </w:p>
        </w:tc>
        <w:tc>
          <w:tcPr>
            <w:tcW w:w="1008" w:type="pct"/>
            <w:shd w:val="clear" w:color="auto" w:fill="99CCFF"/>
            <w:vAlign w:val="center"/>
          </w:tcPr>
          <w:p w:rsidR="003D4691" w:rsidRPr="007226D7" w:rsidRDefault="003D4691" w:rsidP="002733CF">
            <w:pPr>
              <w:tabs>
                <w:tab w:val="num" w:pos="720"/>
                <w:tab w:val="left" w:pos="1440"/>
                <w:tab w:val="left" w:pos="1620"/>
                <w:tab w:val="left" w:pos="2160"/>
                <w:tab w:val="left" w:pos="2700"/>
              </w:tabs>
              <w:spacing w:after="0" w:line="240" w:lineRule="auto"/>
              <w:jc w:val="center"/>
              <w:rPr>
                <w:rFonts w:ascii="Arial Narrow" w:hAnsi="Arial Narrow" w:cs="Arial"/>
                <w:b/>
                <w:sz w:val="20"/>
                <w:lang w:val="es-ES"/>
              </w:rPr>
            </w:pPr>
            <w:r w:rsidRPr="007226D7">
              <w:rPr>
                <w:rFonts w:ascii="Arial Narrow" w:hAnsi="Arial Narrow" w:cs="Arial"/>
                <w:b/>
                <w:sz w:val="20"/>
                <w:lang w:val="es-ES"/>
              </w:rPr>
              <w:t>Flujos turísticos ¿Quiénes y cuantos vienen?</w:t>
            </w:r>
          </w:p>
        </w:tc>
        <w:tc>
          <w:tcPr>
            <w:tcW w:w="1407" w:type="pct"/>
            <w:shd w:val="clear" w:color="auto" w:fill="99CCFF"/>
            <w:vAlign w:val="center"/>
          </w:tcPr>
          <w:p w:rsidR="003D4691" w:rsidRPr="007226D7" w:rsidRDefault="003D4691" w:rsidP="002733CF">
            <w:pPr>
              <w:tabs>
                <w:tab w:val="num" w:pos="720"/>
                <w:tab w:val="left" w:pos="1440"/>
                <w:tab w:val="left" w:pos="1620"/>
                <w:tab w:val="left" w:pos="2160"/>
                <w:tab w:val="left" w:pos="2700"/>
              </w:tabs>
              <w:spacing w:after="0" w:line="240" w:lineRule="auto"/>
              <w:jc w:val="center"/>
              <w:rPr>
                <w:rFonts w:ascii="Arial Narrow" w:hAnsi="Arial Narrow" w:cs="Arial"/>
                <w:b/>
                <w:sz w:val="20"/>
              </w:rPr>
            </w:pPr>
            <w:r w:rsidRPr="007226D7">
              <w:rPr>
                <w:rFonts w:ascii="Arial Narrow" w:hAnsi="Arial Narrow" w:cs="Arial"/>
                <w:b/>
                <w:sz w:val="20"/>
              </w:rPr>
              <w:t>Productos y servicios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Ate</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8C61F3">
              <w:rPr>
                <w:rFonts w:ascii="Arial Narrow" w:hAnsi="Arial Narrow" w:cs="Arial"/>
                <w:sz w:val="20"/>
                <w:lang w:val="pt-BR"/>
              </w:rPr>
              <w:t xml:space="preserve">Centro tradicional, Centros comerciales, Zonas arqueológicas. </w:t>
            </w:r>
            <w:r w:rsidRPr="007226D7">
              <w:rPr>
                <w:rFonts w:ascii="Arial Narrow" w:hAnsi="Arial Narrow" w:cs="Arial"/>
                <w:sz w:val="20"/>
                <w:lang w:val="es-ES"/>
              </w:rPr>
              <w:t>Montículos de Huaycán, Huaycán de Pariachi, Quebrada Seca, Museo de Sitio de Puruchuco, Estadio Monumental</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Se expenden productos alusivos a lugares turísticos. Se cuenta con todos los servicios relacionados al turismo; internet, transporte, restaurantes, hoteles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proofErr w:type="gramStart"/>
            <w:r w:rsidRPr="007226D7">
              <w:rPr>
                <w:rFonts w:ascii="Arial Narrow" w:hAnsi="Arial Narrow" w:cs="Arial"/>
                <w:bCs/>
                <w:color w:val="000000"/>
                <w:sz w:val="20"/>
              </w:rPr>
              <w:t xml:space="preserve">Santa </w:t>
            </w:r>
            <w:proofErr w:type="gramEnd"/>
            <w:r w:rsidRPr="007226D7">
              <w:rPr>
                <w:rFonts w:ascii="Arial Narrow" w:hAnsi="Arial Narrow" w:cs="Arial"/>
                <w:bCs/>
                <w:color w:val="000000"/>
                <w:sz w:val="20"/>
              </w:rPr>
              <w:t>Anita</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Zonas arqueológicas como las huacas Perales y Bellavista</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El Agustino</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Proyecto Malecón Río Verde, Ovalo de la Paz, Programa Habitacional “Los Parques de El Agustino”, Alameda “Las Floristas”, Bulevar República, zona arqueológica Cerro Quiróz</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San Luis</w:t>
            </w:r>
          </w:p>
        </w:tc>
        <w:tc>
          <w:tcPr>
            <w:tcW w:w="2028" w:type="pct"/>
            <w:vAlign w:val="center"/>
          </w:tcPr>
          <w:p w:rsidR="003D4691" w:rsidRPr="008C61F3"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b/>
                <w:sz w:val="20"/>
              </w:rPr>
            </w:pPr>
            <w:r w:rsidRPr="008C61F3">
              <w:rPr>
                <w:rStyle w:val="Strong"/>
                <w:rFonts w:ascii="Arial Narrow" w:hAnsi="Arial Narrow" w:cs="Arial"/>
                <w:b w:val="0"/>
                <w:sz w:val="20"/>
              </w:rPr>
              <w:t>Parque Horacio Patiño Cruzatti, Parque de los Novios, Villa deportiva Nacional, Sitios arqueológicos Túpac Amaru A y B, Biblioteca Municipal de San Luis “Ciro Alegría</w:t>
            </w:r>
            <w:proofErr w:type="gramStart"/>
            <w:r w:rsidRPr="008C61F3">
              <w:rPr>
                <w:rStyle w:val="Strong"/>
                <w:rFonts w:ascii="Arial Narrow" w:hAnsi="Arial Narrow" w:cs="Arial"/>
                <w:b w:val="0"/>
                <w:sz w:val="20"/>
              </w:rPr>
              <w:t>”</w:t>
            </w:r>
            <w:proofErr w:type="gramEnd"/>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La Victoria</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Huaca Santa Catalina y Balconcillo, iglesia Nuestra Señora de Las Victorias, Sala de Encuentro "María Reiche", emporio comercial de Gamarra, restaurantes</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 restaurantes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Breña</w:t>
            </w:r>
          </w:p>
        </w:tc>
        <w:tc>
          <w:tcPr>
            <w:tcW w:w="2028" w:type="pct"/>
            <w:vAlign w:val="center"/>
          </w:tcPr>
          <w:p w:rsidR="003D4691" w:rsidRPr="008C61F3"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rPr>
            </w:pPr>
            <w:r w:rsidRPr="008C61F3">
              <w:rPr>
                <w:rFonts w:ascii="Arial Narrow" w:hAnsi="Arial Narrow" w:cs="Arial"/>
                <w:sz w:val="20"/>
              </w:rPr>
              <w:t xml:space="preserve">Basílica María Auxiliadora, Parroquia Nuestra Señora de los Desamparados, Colegio María Auxiliadora, Colegio Salesiano, Colegio Mariano Melgar, Colegio Chino, Canal 13, </w:t>
            </w:r>
            <w:proofErr w:type="gramStart"/>
            <w:r w:rsidRPr="008C61F3">
              <w:rPr>
                <w:rFonts w:ascii="Arial Narrow" w:hAnsi="Arial Narrow" w:cs="Arial"/>
                <w:sz w:val="20"/>
              </w:rPr>
              <w:t>Plaza</w:t>
            </w:r>
            <w:proofErr w:type="gramEnd"/>
            <w:r w:rsidRPr="008C61F3">
              <w:rPr>
                <w:rFonts w:ascii="Arial Narrow" w:hAnsi="Arial Narrow" w:cs="Arial"/>
                <w:sz w:val="20"/>
              </w:rPr>
              <w:t xml:space="preserve"> Bolognesi</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 restaurantes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Cercado de Lima</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 xml:space="preserve">Catedral de Lima, Plaza de Armas, Convento San Francisco, Convento Santo Domingo, Santuario Santa Rosa de Lima, Plaza San Martín, Parque de la Reserva, </w:t>
            </w:r>
          </w:p>
        </w:tc>
        <w:tc>
          <w:tcPr>
            <w:tcW w:w="1008" w:type="pct"/>
            <w:vAlign w:val="center"/>
          </w:tcPr>
          <w:p w:rsidR="003D4691" w:rsidRPr="007226D7" w:rsidRDefault="003D4691" w:rsidP="002733CF">
            <w:pPr>
              <w:spacing w:after="0" w:line="240" w:lineRule="auto"/>
              <w:jc w:val="left"/>
              <w:rPr>
                <w:rFonts w:ascii="Arial Narrow" w:hAnsi="Arial Narrow" w:cs="Arial"/>
                <w:sz w:val="20"/>
                <w:lang w:val="es-ES"/>
              </w:rPr>
            </w:pPr>
            <w:r w:rsidRPr="007226D7">
              <w:rPr>
                <w:rFonts w:ascii="Arial Narrow" w:hAnsi="Arial Narrow" w:cs="Arial"/>
                <w:sz w:val="20"/>
                <w:lang w:val="es-ES"/>
              </w:rPr>
              <w:t>Flujo permanente generalmente turismo interno y externo atraídos por el centro histórico</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Se expenden productos alusivos a lugares turísticos. Se cuenta con todos los servicios relacionados al turismo; internet, transporte, restaurantes, hoteles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San Miguel</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Boulevard Bertolotto, Parque de las Leyendas, Discotecas, Centros Comerciales</w:t>
            </w:r>
          </w:p>
        </w:tc>
        <w:tc>
          <w:tcPr>
            <w:tcW w:w="1008" w:type="pct"/>
            <w:vAlign w:val="center"/>
          </w:tcPr>
          <w:p w:rsidR="003D4691" w:rsidRPr="007226D7" w:rsidRDefault="003D4691" w:rsidP="002733CF">
            <w:pPr>
              <w:spacing w:after="0" w:line="240" w:lineRule="auto"/>
              <w:jc w:val="left"/>
              <w:rPr>
                <w:rFonts w:ascii="Arial Narrow" w:hAnsi="Arial Narrow" w:cs="Arial"/>
                <w:sz w:val="20"/>
                <w:lang w:val="es-ES"/>
              </w:rPr>
            </w:pPr>
            <w:r w:rsidRPr="007226D7">
              <w:rPr>
                <w:rFonts w:ascii="Arial Narrow" w:hAnsi="Arial Narrow" w:cs="Arial"/>
                <w:sz w:val="20"/>
                <w:lang w:val="es-ES"/>
              </w:rPr>
              <w:t>Flujo permanente generalmente turismo interno atraídos por lugares de diversión</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Se expenden productos alusivos a lugares turísticos. Se cuenta con todos los servicios relacionados al turismo; internet, transporte, restaurantes, hoteles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Bellavista</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Parroquia San José, Capilla Nuestra Sra. de la Reconciliación, Parroquia San Antonio de Padua, Parroquia San Pedro, Parroquia San Pablo, Iglesia de la Virgen de Carmen de la Legua, Parroquia Sagrada Familia</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 restaurantes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La Perla</w:t>
            </w:r>
          </w:p>
        </w:tc>
        <w:tc>
          <w:tcPr>
            <w:tcW w:w="2028" w:type="pct"/>
            <w:shd w:val="clear" w:color="auto" w:fill="auto"/>
            <w:vAlign w:val="center"/>
          </w:tcPr>
          <w:p w:rsidR="003D4691" w:rsidRPr="007226D7" w:rsidRDefault="00B45290" w:rsidP="002733CF">
            <w:pPr>
              <w:tabs>
                <w:tab w:val="num" w:pos="720"/>
                <w:tab w:val="left" w:pos="1440"/>
                <w:tab w:val="left" w:pos="1620"/>
                <w:tab w:val="left" w:pos="2160"/>
                <w:tab w:val="left" w:pos="2700"/>
              </w:tabs>
              <w:spacing w:after="0" w:line="240" w:lineRule="auto"/>
              <w:jc w:val="left"/>
              <w:rPr>
                <w:rFonts w:ascii="Arial Narrow" w:hAnsi="Arial Narrow" w:cs="Arial"/>
                <w:sz w:val="20"/>
              </w:rPr>
            </w:pPr>
            <w:hyperlink r:id="rId33" w:history="1">
              <w:r w:rsidR="003D4691" w:rsidRPr="007226D7">
                <w:rPr>
                  <w:rStyle w:val="Hyperlink"/>
                  <w:rFonts w:ascii="Arial Narrow" w:hAnsi="Arial Narrow" w:cs="Arial"/>
                  <w:color w:val="auto"/>
                  <w:sz w:val="20"/>
                  <w:u w:val="none"/>
                </w:rPr>
                <w:t>Museo Santuario Coronel Leoncio Prado (Centro Educativo Leoncio Prado)</w:t>
              </w:r>
            </w:hyperlink>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 restaurantes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rPr>
            </w:pPr>
            <w:r w:rsidRPr="007226D7">
              <w:rPr>
                <w:rFonts w:ascii="Arial Narrow" w:hAnsi="Arial Narrow" w:cs="Arial"/>
                <w:bCs/>
                <w:color w:val="000000"/>
                <w:sz w:val="20"/>
              </w:rPr>
              <w:t xml:space="preserve">Cercado </w:t>
            </w:r>
            <w:proofErr w:type="gramStart"/>
            <w:r w:rsidRPr="007226D7">
              <w:rPr>
                <w:rFonts w:ascii="Arial Narrow" w:hAnsi="Arial Narrow" w:cs="Arial"/>
                <w:bCs/>
                <w:color w:val="000000"/>
                <w:sz w:val="20"/>
              </w:rPr>
              <w:t>del</w:t>
            </w:r>
            <w:proofErr w:type="gramEnd"/>
            <w:r w:rsidRPr="007226D7">
              <w:rPr>
                <w:rFonts w:ascii="Arial Narrow" w:hAnsi="Arial Narrow" w:cs="Arial"/>
                <w:bCs/>
                <w:color w:val="000000"/>
                <w:sz w:val="20"/>
              </w:rPr>
              <w:t xml:space="preserve"> Callao</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Iglesia Matriz, Iglesia Santa Rosa, Fortaleza del Real Felipe, Clubes Sociales, Bahía del Callao, Playa Cantolao,</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Se expenden productos alusivos a lugares turísticos. Se cuenta con todos los servicios relacionados al turismo; internet, transporte, restaurantes, hoteles</w:t>
            </w:r>
          </w:p>
        </w:tc>
      </w:tr>
      <w:tr w:rsidR="003D4691" w:rsidRPr="0013314C" w:rsidTr="00463ABF">
        <w:trPr>
          <w:trHeight w:val="170"/>
          <w:jc w:val="center"/>
        </w:trPr>
        <w:tc>
          <w:tcPr>
            <w:tcW w:w="557" w:type="pct"/>
            <w:vAlign w:val="center"/>
          </w:tcPr>
          <w:p w:rsidR="003D4691" w:rsidRPr="007226D7" w:rsidRDefault="003D4691" w:rsidP="002733CF">
            <w:pPr>
              <w:spacing w:after="0" w:line="240" w:lineRule="auto"/>
              <w:jc w:val="center"/>
              <w:rPr>
                <w:rFonts w:ascii="Arial Narrow" w:hAnsi="Arial Narrow" w:cs="Arial"/>
                <w:bCs/>
                <w:color w:val="000000"/>
                <w:sz w:val="20"/>
                <w:lang w:val="es-ES"/>
              </w:rPr>
            </w:pPr>
            <w:r w:rsidRPr="007226D7">
              <w:rPr>
                <w:rFonts w:ascii="Arial Narrow" w:hAnsi="Arial Narrow" w:cs="Arial"/>
                <w:bCs/>
                <w:color w:val="000000"/>
                <w:sz w:val="20"/>
                <w:lang w:val="es-ES"/>
              </w:rPr>
              <w:t>Carmen de la Legua - Reynoso</w:t>
            </w:r>
          </w:p>
        </w:tc>
        <w:tc>
          <w:tcPr>
            <w:tcW w:w="202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rPr>
            </w:pPr>
            <w:r w:rsidRPr="007226D7">
              <w:rPr>
                <w:rFonts w:ascii="Arial Narrow" w:hAnsi="Arial Narrow" w:cs="Arial"/>
                <w:snapToGrid w:val="0"/>
                <w:color w:val="000000"/>
                <w:sz w:val="20"/>
              </w:rPr>
              <w:t>Santuario de la Legua, Piscina Municipal</w:t>
            </w:r>
          </w:p>
        </w:tc>
        <w:tc>
          <w:tcPr>
            <w:tcW w:w="1008"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Poco flujo turístico, generalmente turismo local</w:t>
            </w:r>
          </w:p>
        </w:tc>
        <w:tc>
          <w:tcPr>
            <w:tcW w:w="1407" w:type="pct"/>
            <w:vAlign w:val="center"/>
          </w:tcPr>
          <w:p w:rsidR="003D4691" w:rsidRPr="007226D7" w:rsidRDefault="003D4691" w:rsidP="002733CF">
            <w:pPr>
              <w:tabs>
                <w:tab w:val="num" w:pos="720"/>
                <w:tab w:val="left" w:pos="1440"/>
                <w:tab w:val="left" w:pos="1620"/>
                <w:tab w:val="left" w:pos="2160"/>
                <w:tab w:val="left" w:pos="2700"/>
              </w:tabs>
              <w:spacing w:after="0" w:line="240" w:lineRule="auto"/>
              <w:jc w:val="left"/>
              <w:rPr>
                <w:rFonts w:ascii="Arial Narrow" w:hAnsi="Arial Narrow" w:cs="Arial"/>
                <w:sz w:val="20"/>
                <w:lang w:val="es-ES"/>
              </w:rPr>
            </w:pPr>
            <w:r w:rsidRPr="007226D7">
              <w:rPr>
                <w:rFonts w:ascii="Arial Narrow" w:hAnsi="Arial Narrow" w:cs="Arial"/>
                <w:sz w:val="20"/>
                <w:lang w:val="es-ES"/>
              </w:rPr>
              <w:t>Hay productos y servicios como transporte, hoteles, internet, restaurantes</w:t>
            </w:r>
          </w:p>
        </w:tc>
      </w:tr>
    </w:tbl>
    <w:p w:rsidR="0056369A" w:rsidRPr="007226D7" w:rsidRDefault="0073326C" w:rsidP="0056369A">
      <w:pPr>
        <w:rPr>
          <w:sz w:val="16"/>
          <w:szCs w:val="16"/>
          <w:lang w:val="es-ES"/>
        </w:rPr>
      </w:pPr>
      <w:r w:rsidRPr="007226D7">
        <w:rPr>
          <w:lang w:val="es-ES"/>
        </w:rPr>
        <w:t xml:space="preserve">  </w:t>
      </w:r>
      <w:r w:rsidRPr="007226D7">
        <w:rPr>
          <w:sz w:val="16"/>
          <w:szCs w:val="16"/>
          <w:lang w:val="es-ES"/>
        </w:rPr>
        <w:t>Fuente: “</w:t>
      </w:r>
      <w:r w:rsidR="00E41450" w:rsidRPr="007226D7">
        <w:rPr>
          <w:sz w:val="16"/>
          <w:szCs w:val="16"/>
          <w:lang w:val="es-ES"/>
        </w:rPr>
        <w:t>Construcción</w:t>
      </w:r>
      <w:r w:rsidRPr="007226D7">
        <w:rPr>
          <w:sz w:val="16"/>
          <w:szCs w:val="16"/>
          <w:lang w:val="es-ES"/>
        </w:rPr>
        <w:t xml:space="preserve"> Corredor Vial de Transporte Público Masivo Este – Oeste </w:t>
      </w:r>
      <w:proofErr w:type="gramStart"/>
      <w:r w:rsidRPr="007226D7">
        <w:rPr>
          <w:sz w:val="16"/>
          <w:szCs w:val="16"/>
          <w:lang w:val="es-ES"/>
        </w:rPr>
        <w:t>“ -</w:t>
      </w:r>
      <w:proofErr w:type="gramEnd"/>
      <w:r w:rsidRPr="007226D7">
        <w:rPr>
          <w:sz w:val="16"/>
          <w:szCs w:val="16"/>
          <w:lang w:val="es-ES"/>
        </w:rPr>
        <w:t>2011</w:t>
      </w:r>
    </w:p>
    <w:p w:rsidR="0056369A" w:rsidRPr="007226D7" w:rsidRDefault="0056369A" w:rsidP="003D4691">
      <w:pPr>
        <w:pStyle w:val="Heading4"/>
        <w:rPr>
          <w:lang w:val="es-ES"/>
        </w:rPr>
      </w:pPr>
      <w:r w:rsidRPr="007226D7">
        <w:rPr>
          <w:lang w:val="es-ES"/>
        </w:rPr>
        <w:lastRenderedPageBreak/>
        <w:t>Características socioculturales</w:t>
      </w:r>
    </w:p>
    <w:p w:rsidR="0056369A" w:rsidRPr="007226D7" w:rsidRDefault="0056369A" w:rsidP="003D4691">
      <w:pPr>
        <w:pStyle w:val="Heading5"/>
        <w:rPr>
          <w:lang w:val="es-ES"/>
        </w:rPr>
      </w:pPr>
      <w:r w:rsidRPr="007226D7">
        <w:rPr>
          <w:lang w:val="es-ES"/>
        </w:rPr>
        <w:t>Características demográficas</w:t>
      </w:r>
    </w:p>
    <w:p w:rsidR="0056369A" w:rsidRPr="007226D7" w:rsidRDefault="0056369A" w:rsidP="003D4691">
      <w:pPr>
        <w:pStyle w:val="Heading6"/>
        <w:rPr>
          <w:lang w:val="es-ES"/>
        </w:rPr>
      </w:pPr>
      <w:r w:rsidRPr="007226D7">
        <w:rPr>
          <w:lang w:val="es-ES"/>
        </w:rPr>
        <w:t>Estimaciones de la población del área de influencia</w:t>
      </w:r>
    </w:p>
    <w:p w:rsidR="0056369A" w:rsidRPr="007226D7" w:rsidRDefault="0056369A" w:rsidP="0056369A">
      <w:pPr>
        <w:rPr>
          <w:lang w:val="es-ES"/>
        </w:rPr>
      </w:pPr>
      <w:r w:rsidRPr="007226D7">
        <w:rPr>
          <w:lang w:val="es-ES"/>
        </w:rPr>
        <w:t>De acuerdo a las estimaciones realizadas por el INEI</w:t>
      </w:r>
      <w:r w:rsidR="00EA591A" w:rsidRPr="007226D7">
        <w:rPr>
          <w:rFonts w:cs="Arial"/>
          <w:vertAlign w:val="superscript"/>
        </w:rPr>
        <w:footnoteReference w:id="2"/>
      </w:r>
      <w:r w:rsidRPr="007226D7">
        <w:rPr>
          <w:lang w:val="es-ES"/>
        </w:rPr>
        <w:t xml:space="preserve">  la población total del área de influencia en el año 2012 asciende a 2,384 miles de personas, estimando que para el año 2015 se incremente a 2,412 miles de personas. En la tabla siguiente se muestra la población del área de influencia por grupos de edad en el año 2012 donde la población menor de 30 años representa el 50.5% y la población de 60 años a más representa el 11.4%.</w:t>
      </w:r>
    </w:p>
    <w:tbl>
      <w:tblPr>
        <w:tblW w:w="10040" w:type="dxa"/>
        <w:tblInd w:w="-214" w:type="dxa"/>
        <w:tblCellMar>
          <w:left w:w="70" w:type="dxa"/>
          <w:right w:w="70" w:type="dxa"/>
        </w:tblCellMar>
        <w:tblLook w:val="04A0" w:firstRow="1" w:lastRow="0" w:firstColumn="1" w:lastColumn="0" w:noHBand="0" w:noVBand="1"/>
      </w:tblPr>
      <w:tblGrid>
        <w:gridCol w:w="2500"/>
        <w:gridCol w:w="880"/>
        <w:gridCol w:w="740"/>
        <w:gridCol w:w="740"/>
        <w:gridCol w:w="740"/>
        <w:gridCol w:w="740"/>
        <w:gridCol w:w="740"/>
        <w:gridCol w:w="740"/>
        <w:gridCol w:w="740"/>
        <w:gridCol w:w="740"/>
        <w:gridCol w:w="740"/>
      </w:tblGrid>
      <w:tr w:rsidR="00E33444" w:rsidRPr="0013314C" w:rsidTr="002733CF">
        <w:trPr>
          <w:trHeight w:val="170"/>
        </w:trPr>
        <w:tc>
          <w:tcPr>
            <w:tcW w:w="10040" w:type="dxa"/>
            <w:gridSpan w:val="11"/>
            <w:tcBorders>
              <w:top w:val="nil"/>
              <w:left w:val="nil"/>
              <w:bottom w:val="single" w:sz="4" w:space="0" w:color="auto"/>
              <w:right w:val="nil"/>
            </w:tcBorders>
            <w:shd w:val="clear" w:color="auto" w:fill="auto"/>
            <w:noWrap/>
            <w:vAlign w:val="center"/>
            <w:hideMark/>
          </w:tcPr>
          <w:p w:rsidR="00E33444" w:rsidRPr="007226D7" w:rsidRDefault="00E33444" w:rsidP="002733CF">
            <w:pPr>
              <w:spacing w:after="0" w:line="240" w:lineRule="auto"/>
              <w:jc w:val="center"/>
              <w:rPr>
                <w:rFonts w:cs="Arial"/>
                <w:b/>
                <w:bCs/>
                <w:sz w:val="16"/>
                <w:szCs w:val="16"/>
                <w:lang w:val="es-MX" w:eastAsia="es-MX"/>
              </w:rPr>
            </w:pPr>
            <w:r w:rsidRPr="007226D7">
              <w:rPr>
                <w:rFonts w:cs="Arial"/>
                <w:b/>
                <w:bCs/>
                <w:sz w:val="16"/>
                <w:szCs w:val="16"/>
                <w:lang w:val="es-MX" w:eastAsia="es-MX"/>
              </w:rPr>
              <w:t>Tabla  3.1-18 Población Proyectada para el Período 2012 por Grupos de Edad</w:t>
            </w:r>
          </w:p>
        </w:tc>
      </w:tr>
      <w:tr w:rsidR="00E33444" w:rsidRPr="007226D7" w:rsidTr="002733CF">
        <w:trPr>
          <w:trHeight w:val="170"/>
        </w:trPr>
        <w:tc>
          <w:tcPr>
            <w:tcW w:w="2500" w:type="dxa"/>
            <w:vMerge w:val="restart"/>
            <w:tcBorders>
              <w:top w:val="nil"/>
              <w:left w:val="single" w:sz="4" w:space="0" w:color="auto"/>
              <w:bottom w:val="single" w:sz="4" w:space="0" w:color="auto"/>
              <w:right w:val="single" w:sz="4" w:space="0" w:color="auto"/>
            </w:tcBorders>
            <w:shd w:val="clear" w:color="000000" w:fill="99CCFF"/>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eastAsia="es-MX"/>
              </w:rPr>
              <w:t xml:space="preserve">Distritos </w:t>
            </w:r>
          </w:p>
        </w:tc>
        <w:tc>
          <w:tcPr>
            <w:tcW w:w="880" w:type="dxa"/>
            <w:vMerge w:val="restart"/>
            <w:tcBorders>
              <w:top w:val="nil"/>
              <w:left w:val="single" w:sz="4" w:space="0" w:color="auto"/>
              <w:bottom w:val="single" w:sz="4" w:space="0" w:color="000000"/>
              <w:right w:val="single" w:sz="4" w:space="0" w:color="auto"/>
            </w:tcBorders>
            <w:shd w:val="clear" w:color="000000" w:fill="99CCFF"/>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Total</w:t>
            </w:r>
          </w:p>
        </w:tc>
        <w:tc>
          <w:tcPr>
            <w:tcW w:w="6660" w:type="dxa"/>
            <w:gridSpan w:val="9"/>
            <w:tcBorders>
              <w:top w:val="single" w:sz="4" w:space="0" w:color="auto"/>
              <w:left w:val="nil"/>
              <w:bottom w:val="single" w:sz="4" w:space="0" w:color="auto"/>
              <w:right w:val="single" w:sz="4" w:space="0" w:color="000000"/>
            </w:tcBorders>
            <w:shd w:val="clear" w:color="000000" w:fill="99CCFF"/>
            <w:noWrap/>
            <w:vAlign w:val="center"/>
            <w:hideMark/>
          </w:tcPr>
          <w:p w:rsidR="00E33444" w:rsidRPr="007226D7" w:rsidRDefault="00E33444" w:rsidP="002733CF">
            <w:pPr>
              <w:spacing w:after="0" w:line="240" w:lineRule="auto"/>
              <w:jc w:val="center"/>
              <w:rPr>
                <w:rFonts w:cs="Arial"/>
                <w:b/>
                <w:bCs/>
                <w:sz w:val="16"/>
                <w:szCs w:val="16"/>
                <w:lang w:val="es-MX" w:eastAsia="es-MX"/>
              </w:rPr>
            </w:pPr>
            <w:r w:rsidRPr="007226D7">
              <w:rPr>
                <w:rFonts w:cs="Arial"/>
                <w:b/>
                <w:bCs/>
                <w:sz w:val="16"/>
                <w:szCs w:val="16"/>
                <w:lang w:val="es-MX" w:eastAsia="es-MX"/>
              </w:rPr>
              <w:t>Grupos de Edad</w:t>
            </w:r>
          </w:p>
        </w:tc>
      </w:tr>
      <w:tr w:rsidR="00E33444" w:rsidRPr="007226D7" w:rsidTr="002733CF">
        <w:trPr>
          <w:trHeight w:val="170"/>
        </w:trPr>
        <w:tc>
          <w:tcPr>
            <w:tcW w:w="2500" w:type="dxa"/>
            <w:vMerge/>
            <w:tcBorders>
              <w:top w:val="nil"/>
              <w:left w:val="single" w:sz="4" w:space="0" w:color="auto"/>
              <w:bottom w:val="single" w:sz="4" w:space="0" w:color="auto"/>
              <w:right w:val="single" w:sz="4" w:space="0" w:color="auto"/>
            </w:tcBorders>
            <w:vAlign w:val="center"/>
            <w:hideMark/>
          </w:tcPr>
          <w:p w:rsidR="00E33444" w:rsidRPr="007226D7" w:rsidRDefault="00E33444" w:rsidP="002733CF">
            <w:pPr>
              <w:spacing w:after="0" w:line="240" w:lineRule="auto"/>
              <w:jc w:val="left"/>
              <w:rPr>
                <w:rFonts w:cs="Arial"/>
                <w:b/>
                <w:bCs/>
                <w:color w:val="000000"/>
                <w:sz w:val="16"/>
                <w:szCs w:val="16"/>
                <w:lang w:val="es-MX" w:eastAsia="es-MX"/>
              </w:rPr>
            </w:pPr>
          </w:p>
        </w:tc>
        <w:tc>
          <w:tcPr>
            <w:tcW w:w="880" w:type="dxa"/>
            <w:vMerge/>
            <w:tcBorders>
              <w:top w:val="nil"/>
              <w:left w:val="single" w:sz="4" w:space="0" w:color="auto"/>
              <w:bottom w:val="single" w:sz="4" w:space="0" w:color="000000"/>
              <w:right w:val="single" w:sz="4" w:space="0" w:color="auto"/>
            </w:tcBorders>
            <w:vAlign w:val="center"/>
            <w:hideMark/>
          </w:tcPr>
          <w:p w:rsidR="00E33444" w:rsidRPr="007226D7" w:rsidRDefault="00E33444" w:rsidP="002733CF">
            <w:pPr>
              <w:spacing w:after="0" w:line="240" w:lineRule="auto"/>
              <w:jc w:val="left"/>
              <w:rPr>
                <w:rFonts w:cs="Arial"/>
                <w:b/>
                <w:bCs/>
                <w:color w:val="000000"/>
                <w:sz w:val="16"/>
                <w:szCs w:val="16"/>
                <w:lang w:val="es-MX" w:eastAsia="es-MX"/>
              </w:rPr>
            </w:pP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0-9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 xml:space="preserve"> 10-19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20-29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30-39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40-49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50-59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60-69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70-79</w:t>
            </w:r>
          </w:p>
        </w:tc>
        <w:tc>
          <w:tcPr>
            <w:tcW w:w="740"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4"/>
                <w:szCs w:val="14"/>
                <w:lang w:val="es-MX" w:eastAsia="es-MX"/>
              </w:rPr>
            </w:pPr>
            <w:r w:rsidRPr="007226D7">
              <w:rPr>
                <w:rFonts w:cs="Arial"/>
                <w:b/>
                <w:bCs/>
                <w:color w:val="000000"/>
                <w:sz w:val="14"/>
                <w:szCs w:val="14"/>
                <w:lang w:eastAsia="es-ES"/>
              </w:rPr>
              <w:t>80 y más</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Ate Vitarte</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573,948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107,177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110,717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114,043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91,359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66,265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43,821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24,032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12,043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4,491</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proofErr w:type="gramStart"/>
            <w:r w:rsidRPr="007226D7">
              <w:rPr>
                <w:rFonts w:cs="Arial"/>
                <w:color w:val="000000"/>
                <w:sz w:val="16"/>
                <w:szCs w:val="16"/>
                <w:lang w:eastAsia="es-MX"/>
              </w:rPr>
              <w:t xml:space="preserve">Santa </w:t>
            </w:r>
            <w:proofErr w:type="gramEnd"/>
            <w:r w:rsidRPr="007226D7">
              <w:rPr>
                <w:rFonts w:cs="Arial"/>
                <w:color w:val="000000"/>
                <w:sz w:val="16"/>
                <w:szCs w:val="16"/>
                <w:lang w:eastAsia="es-MX"/>
              </w:rPr>
              <w:t>Anita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213,561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37,538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37,072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46,258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35,824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22,792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17,219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10,559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4,661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1,638</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San Luis</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57,368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8,302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8,952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10,438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9,816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7,328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4,974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4,140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2,515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903</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El Agustino</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189,924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33,670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35,571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35,683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29,135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23,433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15,632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9,160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5,649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1,991</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La Victoria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182,552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26,763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29,899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33,367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27,275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22,856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18,032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12,203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8,658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3,499</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Breña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79,456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10,232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11,974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12,634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11,566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11,016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9,109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6,182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4,569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2,174</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Jesús María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71,364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7,228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9,073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11,190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10,799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9,626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9,081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6,648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5,090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2,629</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Cercado De Lima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286,849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39,650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45,003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47,420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43,902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38,852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30,343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20,920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14,800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5,959</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San Miguel</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135,086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16,843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19,366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21,574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21,279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18,879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15,467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11,095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7,457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3,126</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La Perla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60,886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7,304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7,848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9,097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10,037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8,609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7,253</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5,768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3,577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1,393</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Bellavista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74,287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9,358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10,164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10,499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12,100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11,104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8,016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6,625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4,541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1,880</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Carmen de la Legua</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42,065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6,336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6,272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7,220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7,567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5,499</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3,967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2,800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1,740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664</w:t>
            </w:r>
          </w:p>
        </w:tc>
      </w:tr>
      <w:tr w:rsidR="00E33444" w:rsidRPr="007226D7" w:rsidTr="002733CF">
        <w:trPr>
          <w:trHeight w:val="170"/>
        </w:trPr>
        <w:tc>
          <w:tcPr>
            <w:tcW w:w="250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rPr>
                <w:rFonts w:cs="Arial"/>
                <w:color w:val="000000"/>
                <w:sz w:val="16"/>
                <w:szCs w:val="16"/>
                <w:lang w:val="es-MX" w:eastAsia="es-MX"/>
              </w:rPr>
            </w:pPr>
            <w:r w:rsidRPr="007226D7">
              <w:rPr>
                <w:rFonts w:cs="Arial"/>
                <w:color w:val="000000"/>
                <w:sz w:val="16"/>
                <w:szCs w:val="16"/>
                <w:lang w:eastAsia="es-MX"/>
              </w:rPr>
              <w:t>Cercado Del Callao</w:t>
            </w:r>
          </w:p>
        </w:tc>
        <w:tc>
          <w:tcPr>
            <w:tcW w:w="88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eastAsia="es-MX"/>
              </w:rPr>
              <w:t>417,622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61,061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65,266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75,201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69,151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55,076</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45,287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27,032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14,031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color w:val="000000"/>
                <w:sz w:val="16"/>
                <w:szCs w:val="16"/>
                <w:lang w:val="es-MX" w:eastAsia="es-MX"/>
              </w:rPr>
            </w:pPr>
            <w:r w:rsidRPr="007226D7">
              <w:rPr>
                <w:rFonts w:cs="Arial"/>
                <w:color w:val="000000"/>
                <w:sz w:val="16"/>
                <w:szCs w:val="16"/>
                <w:lang w:val="es-MX" w:eastAsia="es-MX"/>
              </w:rPr>
              <w:t>5,517</w:t>
            </w:r>
          </w:p>
        </w:tc>
      </w:tr>
      <w:tr w:rsidR="00E33444" w:rsidRPr="007226D7" w:rsidTr="002733CF">
        <w:trPr>
          <w:trHeight w:val="170"/>
        </w:trPr>
        <w:tc>
          <w:tcPr>
            <w:tcW w:w="2500" w:type="dxa"/>
            <w:tcBorders>
              <w:top w:val="nil"/>
              <w:left w:val="single" w:sz="4" w:space="0" w:color="auto"/>
              <w:bottom w:val="single" w:sz="4" w:space="0" w:color="auto"/>
              <w:right w:val="nil"/>
            </w:tcBorders>
            <w:shd w:val="clear" w:color="auto" w:fill="auto"/>
            <w:vAlign w:val="center"/>
            <w:hideMark/>
          </w:tcPr>
          <w:p w:rsidR="00E33444" w:rsidRPr="007226D7" w:rsidRDefault="00E33444" w:rsidP="002733CF">
            <w:pPr>
              <w:spacing w:after="0" w:line="240" w:lineRule="auto"/>
              <w:jc w:val="left"/>
              <w:rPr>
                <w:rFonts w:cs="Arial"/>
                <w:b/>
                <w:bCs/>
                <w:color w:val="000000"/>
                <w:sz w:val="16"/>
                <w:szCs w:val="16"/>
                <w:lang w:val="es-MX" w:eastAsia="es-MX"/>
              </w:rPr>
            </w:pPr>
            <w:r w:rsidRPr="007226D7">
              <w:rPr>
                <w:rFonts w:cs="Arial"/>
                <w:b/>
                <w:bCs/>
                <w:color w:val="000000"/>
                <w:sz w:val="16"/>
                <w:szCs w:val="16"/>
                <w:lang w:eastAsia="es-MX"/>
              </w:rPr>
              <w:t>Total</w:t>
            </w:r>
          </w:p>
        </w:tc>
        <w:tc>
          <w:tcPr>
            <w:tcW w:w="880" w:type="dxa"/>
            <w:tcBorders>
              <w:top w:val="nil"/>
              <w:left w:val="single" w:sz="4" w:space="0" w:color="auto"/>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eastAsia="es-MX"/>
              </w:rPr>
              <w:t>2,384,968</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371,462</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397,177</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434,624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379,810</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301,335</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228,201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147,164</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89,331</w:t>
            </w:r>
          </w:p>
        </w:tc>
        <w:tc>
          <w:tcPr>
            <w:tcW w:w="740" w:type="dxa"/>
            <w:tcBorders>
              <w:top w:val="nil"/>
              <w:left w:val="nil"/>
              <w:bottom w:val="single" w:sz="4" w:space="0" w:color="auto"/>
              <w:right w:val="single" w:sz="4" w:space="0" w:color="auto"/>
            </w:tcBorders>
            <w:shd w:val="clear" w:color="auto" w:fill="auto"/>
            <w:vAlign w:val="center"/>
            <w:hideMark/>
          </w:tcPr>
          <w:p w:rsidR="00E33444" w:rsidRPr="007226D7" w:rsidRDefault="00E33444" w:rsidP="002733CF">
            <w:pPr>
              <w:spacing w:after="0" w:line="240" w:lineRule="auto"/>
              <w:jc w:val="center"/>
              <w:rPr>
                <w:rFonts w:cs="Arial"/>
                <w:b/>
                <w:bCs/>
                <w:color w:val="000000"/>
                <w:sz w:val="16"/>
                <w:szCs w:val="16"/>
                <w:lang w:val="es-MX" w:eastAsia="es-MX"/>
              </w:rPr>
            </w:pPr>
            <w:r w:rsidRPr="007226D7">
              <w:rPr>
                <w:rFonts w:cs="Arial"/>
                <w:b/>
                <w:bCs/>
                <w:color w:val="000000"/>
                <w:sz w:val="16"/>
                <w:szCs w:val="16"/>
                <w:lang w:val="es-MX" w:eastAsia="es-MX"/>
              </w:rPr>
              <w:t>35,864</w:t>
            </w:r>
          </w:p>
        </w:tc>
      </w:tr>
      <w:tr w:rsidR="00E33444" w:rsidRPr="007226D7" w:rsidTr="002733CF">
        <w:trPr>
          <w:trHeight w:val="170"/>
        </w:trPr>
        <w:tc>
          <w:tcPr>
            <w:tcW w:w="10040" w:type="dxa"/>
            <w:gridSpan w:val="11"/>
            <w:tcBorders>
              <w:top w:val="single" w:sz="4" w:space="0" w:color="auto"/>
              <w:left w:val="nil"/>
              <w:bottom w:val="nil"/>
              <w:right w:val="nil"/>
            </w:tcBorders>
            <w:shd w:val="clear" w:color="auto" w:fill="auto"/>
            <w:vAlign w:val="center"/>
            <w:hideMark/>
          </w:tcPr>
          <w:p w:rsidR="00E33444" w:rsidRPr="007226D7" w:rsidRDefault="00E33444" w:rsidP="002733CF">
            <w:pPr>
              <w:spacing w:after="0" w:line="240" w:lineRule="auto"/>
              <w:jc w:val="left"/>
              <w:rPr>
                <w:rFonts w:cs="Arial"/>
                <w:color w:val="000000"/>
                <w:sz w:val="14"/>
                <w:szCs w:val="14"/>
                <w:lang w:val="es-MX" w:eastAsia="es-MX"/>
              </w:rPr>
            </w:pPr>
            <w:r w:rsidRPr="007226D7">
              <w:rPr>
                <w:rFonts w:cs="Arial"/>
                <w:color w:val="000000"/>
                <w:sz w:val="14"/>
                <w:szCs w:val="14"/>
                <w:lang w:val="es-MX" w:eastAsia="es-MX"/>
              </w:rPr>
              <w:t>Fuente: INEI</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 la tabla siguiente se muestran las proyecciones de la población del área de influencia para el periodo 2012-2015, en donde se observa que la población de los distritos de Ate, Jesús María, San Luis, San Miguel y Santa Anita presentan una reducción en su población y respecto a los distritos de Lima, Ate, La Victoria, Callao, Carmen de la Legua Reynoso, Bellavista y La Perla aumentan su población.</w:t>
      </w:r>
    </w:p>
    <w:p w:rsidR="00E33444" w:rsidRPr="007226D7" w:rsidRDefault="00E33444" w:rsidP="0056369A">
      <w:pPr>
        <w:rPr>
          <w:lang w:val="es-ES"/>
        </w:rPr>
      </w:pPr>
    </w:p>
    <w:tbl>
      <w:tblPr>
        <w:tblW w:w="6120" w:type="dxa"/>
        <w:jc w:val="center"/>
        <w:tblCellMar>
          <w:left w:w="70" w:type="dxa"/>
          <w:right w:w="70" w:type="dxa"/>
        </w:tblCellMar>
        <w:tblLook w:val="04A0" w:firstRow="1" w:lastRow="0" w:firstColumn="1" w:lastColumn="0" w:noHBand="0" w:noVBand="1"/>
      </w:tblPr>
      <w:tblGrid>
        <w:gridCol w:w="2712"/>
        <w:gridCol w:w="852"/>
        <w:gridCol w:w="852"/>
        <w:gridCol w:w="852"/>
        <w:gridCol w:w="852"/>
      </w:tblGrid>
      <w:tr w:rsidR="00E33444" w:rsidRPr="0013314C" w:rsidTr="00E33444">
        <w:trPr>
          <w:trHeight w:val="170"/>
          <w:jc w:val="center"/>
        </w:trPr>
        <w:tc>
          <w:tcPr>
            <w:tcW w:w="6120" w:type="dxa"/>
            <w:gridSpan w:val="5"/>
            <w:tcBorders>
              <w:bottom w:val="single" w:sz="4" w:space="0" w:color="000000"/>
            </w:tcBorders>
            <w:shd w:val="clear" w:color="000000" w:fill="auto"/>
            <w:vAlign w:val="center"/>
            <w:hideMark/>
          </w:tcPr>
          <w:p w:rsidR="00E33444" w:rsidRPr="007226D7" w:rsidRDefault="00E33444" w:rsidP="00E33444">
            <w:pPr>
              <w:spacing w:after="0" w:line="240" w:lineRule="auto"/>
              <w:jc w:val="center"/>
              <w:rPr>
                <w:rFonts w:cs="Arial"/>
                <w:lang w:val="es-ES"/>
              </w:rPr>
            </w:pPr>
            <w:r w:rsidRPr="007226D7">
              <w:rPr>
                <w:rFonts w:cs="Arial"/>
                <w:b/>
                <w:bCs/>
                <w:color w:val="000000"/>
                <w:sz w:val="16"/>
                <w:szCs w:val="16"/>
                <w:lang w:val="es-ES" w:eastAsia="es-ES"/>
              </w:rPr>
              <w:t>Tabla  3.1-19  Población Proyectada para el Período 2012-2015</w:t>
            </w:r>
          </w:p>
        </w:tc>
      </w:tr>
      <w:tr w:rsidR="00E33444" w:rsidRPr="007226D7" w:rsidTr="002733CF">
        <w:trPr>
          <w:trHeight w:val="170"/>
          <w:jc w:val="center"/>
        </w:trPr>
        <w:tc>
          <w:tcPr>
            <w:tcW w:w="2712" w:type="dxa"/>
            <w:vMerge w:val="restart"/>
            <w:tcBorders>
              <w:top w:val="single" w:sz="4" w:space="0" w:color="auto"/>
              <w:left w:val="single" w:sz="4" w:space="0" w:color="auto"/>
              <w:bottom w:val="single" w:sz="4" w:space="0" w:color="000000"/>
              <w:right w:val="nil"/>
            </w:tcBorders>
            <w:shd w:val="clear" w:color="000000" w:fill="99CCFF"/>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Distrito</w:t>
            </w:r>
          </w:p>
        </w:tc>
        <w:tc>
          <w:tcPr>
            <w:tcW w:w="3408" w:type="dxa"/>
            <w:gridSpan w:val="4"/>
            <w:tcBorders>
              <w:top w:val="single" w:sz="4" w:space="0" w:color="auto"/>
              <w:left w:val="single" w:sz="4" w:space="0" w:color="auto"/>
              <w:bottom w:val="single" w:sz="4" w:space="0" w:color="auto"/>
              <w:right w:val="single" w:sz="4" w:space="0" w:color="000000"/>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 xml:space="preserve">Población proyectada </w:t>
            </w:r>
            <w:proofErr w:type="gramStart"/>
            <w:r w:rsidRPr="007226D7">
              <w:rPr>
                <w:rFonts w:cs="Arial"/>
                <w:b/>
                <w:bCs/>
                <w:color w:val="000000"/>
                <w:sz w:val="16"/>
                <w:szCs w:val="16"/>
                <w:lang w:eastAsia="es-ES"/>
              </w:rPr>
              <w:t>al</w:t>
            </w:r>
            <w:proofErr w:type="gramEnd"/>
            <w:r w:rsidRPr="007226D7">
              <w:rPr>
                <w:rFonts w:cs="Arial"/>
                <w:b/>
                <w:bCs/>
                <w:color w:val="000000"/>
                <w:sz w:val="16"/>
                <w:szCs w:val="16"/>
                <w:lang w:eastAsia="es-ES"/>
              </w:rPr>
              <w:t>:</w:t>
            </w:r>
          </w:p>
        </w:tc>
      </w:tr>
      <w:tr w:rsidR="00E33444" w:rsidRPr="007226D7" w:rsidTr="002733CF">
        <w:trPr>
          <w:trHeight w:val="170"/>
          <w:jc w:val="center"/>
        </w:trPr>
        <w:tc>
          <w:tcPr>
            <w:tcW w:w="2712" w:type="dxa"/>
            <w:vMerge/>
            <w:tcBorders>
              <w:top w:val="single" w:sz="4" w:space="0" w:color="auto"/>
              <w:left w:val="single" w:sz="4" w:space="0" w:color="auto"/>
              <w:bottom w:val="single" w:sz="4" w:space="0" w:color="000000"/>
              <w:right w:val="nil"/>
            </w:tcBorders>
            <w:vAlign w:val="center"/>
            <w:hideMark/>
          </w:tcPr>
          <w:p w:rsidR="00E33444" w:rsidRPr="007226D7" w:rsidRDefault="00E33444" w:rsidP="002733CF">
            <w:pPr>
              <w:spacing w:after="0" w:line="240" w:lineRule="auto"/>
              <w:jc w:val="left"/>
              <w:rPr>
                <w:rFonts w:cs="Arial"/>
                <w:b/>
                <w:bCs/>
                <w:color w:val="000000"/>
                <w:sz w:val="16"/>
                <w:szCs w:val="16"/>
                <w:lang w:eastAsia="es-ES"/>
              </w:rPr>
            </w:pPr>
          </w:p>
        </w:tc>
        <w:tc>
          <w:tcPr>
            <w:tcW w:w="852" w:type="dxa"/>
            <w:tcBorders>
              <w:top w:val="nil"/>
              <w:left w:val="single" w:sz="4" w:space="0" w:color="auto"/>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2012</w:t>
            </w:r>
          </w:p>
        </w:tc>
        <w:tc>
          <w:tcPr>
            <w:tcW w:w="852" w:type="dxa"/>
            <w:tcBorders>
              <w:top w:val="nil"/>
              <w:left w:val="nil"/>
              <w:bottom w:val="single" w:sz="4" w:space="0" w:color="auto"/>
              <w:right w:val="nil"/>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2013</w:t>
            </w:r>
          </w:p>
        </w:tc>
        <w:tc>
          <w:tcPr>
            <w:tcW w:w="852" w:type="dxa"/>
            <w:tcBorders>
              <w:top w:val="nil"/>
              <w:left w:val="single" w:sz="4" w:space="0" w:color="auto"/>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2014</w:t>
            </w:r>
          </w:p>
        </w:tc>
        <w:tc>
          <w:tcPr>
            <w:tcW w:w="852" w:type="dxa"/>
            <w:tcBorders>
              <w:top w:val="nil"/>
              <w:left w:val="nil"/>
              <w:bottom w:val="single" w:sz="4" w:space="0" w:color="auto"/>
              <w:right w:val="single" w:sz="4" w:space="0" w:color="auto"/>
            </w:tcBorders>
            <w:shd w:val="clear" w:color="000000" w:fill="99CC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2015</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Lima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286,849</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281,861</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276,857</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271,814</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Ate</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573,948</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592,345</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611,082</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630,085</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Breña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79,456</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78,291</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77,116</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75,925</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El Agustino</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189,924</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190,474</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190,961</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191,365</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Jesús María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71,364</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71,439</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71,514</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71,589</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La Victoria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182,552</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178,958</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175,372</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171,779</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San Luis</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57,368</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57,454</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57,530</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57,600</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San Miguel</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135,086</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135,226</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135,366</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135,506</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213,561</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218,486</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223,447</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228,422</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Callao</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417,622</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414,249</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410,640</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406,889</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Bellavista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74,287</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73,489</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72,665</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71,833</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val="es-ES" w:eastAsia="es-ES"/>
              </w:rPr>
            </w:pPr>
            <w:r w:rsidRPr="007226D7">
              <w:rPr>
                <w:rFonts w:cs="Arial"/>
                <w:color w:val="000000"/>
                <w:sz w:val="16"/>
                <w:szCs w:val="16"/>
                <w:lang w:val="es-ES" w:eastAsia="es-ES"/>
              </w:rPr>
              <w:t>Carmen de la Legua Reynoso</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42,065</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41,756</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41,431</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41,100</w:t>
            </w:r>
          </w:p>
        </w:tc>
      </w:tr>
      <w:tr w:rsidR="00E33444" w:rsidRPr="007226D7" w:rsidTr="002733CF">
        <w:trPr>
          <w:trHeight w:val="170"/>
          <w:jc w:val="center"/>
        </w:trPr>
        <w:tc>
          <w:tcPr>
            <w:tcW w:w="2712" w:type="dxa"/>
            <w:tcBorders>
              <w:top w:val="nil"/>
              <w:left w:val="single" w:sz="4" w:space="0" w:color="auto"/>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6"/>
                <w:szCs w:val="16"/>
                <w:lang w:eastAsia="es-ES"/>
              </w:rPr>
            </w:pPr>
            <w:r w:rsidRPr="007226D7">
              <w:rPr>
                <w:rFonts w:cs="Arial"/>
                <w:color w:val="000000"/>
                <w:sz w:val="16"/>
                <w:szCs w:val="16"/>
                <w:lang w:eastAsia="es-ES"/>
              </w:rPr>
              <w:t>La Perla</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60,886</w:t>
            </w:r>
          </w:p>
        </w:tc>
        <w:tc>
          <w:tcPr>
            <w:tcW w:w="852" w:type="dxa"/>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60,211</w:t>
            </w:r>
          </w:p>
        </w:tc>
        <w:tc>
          <w:tcPr>
            <w:tcW w:w="852" w:type="dxa"/>
            <w:tcBorders>
              <w:top w:val="nil"/>
              <w:left w:val="single" w:sz="4" w:space="0" w:color="auto"/>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59,518</w:t>
            </w:r>
          </w:p>
        </w:tc>
        <w:tc>
          <w:tcPr>
            <w:tcW w:w="852" w:type="dxa"/>
            <w:tcBorders>
              <w:top w:val="nil"/>
              <w:left w:val="nil"/>
              <w:bottom w:val="nil"/>
              <w:right w:val="single" w:sz="4" w:space="0" w:color="auto"/>
            </w:tcBorders>
            <w:shd w:val="clear" w:color="000000" w:fill="FFFFFF"/>
            <w:noWrap/>
            <w:vAlign w:val="center"/>
            <w:hideMark/>
          </w:tcPr>
          <w:p w:rsidR="00E33444" w:rsidRPr="007226D7" w:rsidRDefault="00E33444"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58,817</w:t>
            </w:r>
          </w:p>
        </w:tc>
      </w:tr>
      <w:tr w:rsidR="00E33444" w:rsidRPr="007226D7" w:rsidTr="002733CF">
        <w:trPr>
          <w:trHeight w:val="170"/>
          <w:jc w:val="center"/>
        </w:trPr>
        <w:tc>
          <w:tcPr>
            <w:tcW w:w="2712" w:type="dxa"/>
            <w:tcBorders>
              <w:top w:val="single" w:sz="4" w:space="0" w:color="auto"/>
              <w:left w:val="single" w:sz="4" w:space="0" w:color="auto"/>
              <w:bottom w:val="single" w:sz="4" w:space="0" w:color="auto"/>
              <w:right w:val="nil"/>
            </w:tcBorders>
            <w:shd w:val="clear" w:color="000000" w:fill="FFFFFF"/>
            <w:noWrap/>
            <w:vAlign w:val="center"/>
            <w:hideMark/>
          </w:tcPr>
          <w:p w:rsidR="00E33444" w:rsidRPr="007226D7" w:rsidRDefault="00E33444"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3444" w:rsidRPr="007226D7" w:rsidRDefault="00E33444" w:rsidP="002733CF">
            <w:pPr>
              <w:spacing w:after="0" w:line="240" w:lineRule="auto"/>
              <w:jc w:val="right"/>
              <w:rPr>
                <w:rFonts w:cs="Arial"/>
                <w:b/>
                <w:bCs/>
                <w:color w:val="000000"/>
                <w:sz w:val="16"/>
                <w:szCs w:val="16"/>
                <w:lang w:eastAsia="es-ES"/>
              </w:rPr>
            </w:pPr>
            <w:r w:rsidRPr="007226D7">
              <w:rPr>
                <w:rFonts w:cs="Arial"/>
                <w:b/>
                <w:bCs/>
                <w:color w:val="000000"/>
                <w:sz w:val="16"/>
                <w:szCs w:val="16"/>
                <w:lang w:eastAsia="es-ES"/>
              </w:rPr>
              <w:t>2,384,968</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E33444" w:rsidRPr="007226D7" w:rsidRDefault="00E33444" w:rsidP="002733CF">
            <w:pPr>
              <w:spacing w:after="0" w:line="240" w:lineRule="auto"/>
              <w:jc w:val="right"/>
              <w:rPr>
                <w:rFonts w:cs="Arial"/>
                <w:b/>
                <w:bCs/>
                <w:color w:val="000000"/>
                <w:sz w:val="16"/>
                <w:szCs w:val="16"/>
                <w:lang w:eastAsia="es-ES"/>
              </w:rPr>
            </w:pPr>
            <w:r w:rsidRPr="007226D7">
              <w:rPr>
                <w:rFonts w:cs="Arial"/>
                <w:b/>
                <w:bCs/>
                <w:color w:val="000000"/>
                <w:sz w:val="16"/>
                <w:szCs w:val="16"/>
                <w:lang w:eastAsia="es-ES"/>
              </w:rPr>
              <w:t>2,394,239</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E33444" w:rsidRPr="007226D7" w:rsidRDefault="00E33444" w:rsidP="002733CF">
            <w:pPr>
              <w:spacing w:after="0" w:line="240" w:lineRule="auto"/>
              <w:jc w:val="right"/>
              <w:rPr>
                <w:rFonts w:cs="Arial"/>
                <w:b/>
                <w:bCs/>
                <w:color w:val="000000"/>
                <w:sz w:val="16"/>
                <w:szCs w:val="16"/>
                <w:lang w:eastAsia="es-ES"/>
              </w:rPr>
            </w:pPr>
            <w:r w:rsidRPr="007226D7">
              <w:rPr>
                <w:rFonts w:cs="Arial"/>
                <w:b/>
                <w:bCs/>
                <w:color w:val="000000"/>
                <w:sz w:val="16"/>
                <w:szCs w:val="16"/>
                <w:lang w:eastAsia="es-ES"/>
              </w:rPr>
              <w:t>2,403,499</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E33444" w:rsidRPr="007226D7" w:rsidRDefault="00E33444" w:rsidP="002733CF">
            <w:pPr>
              <w:spacing w:after="0" w:line="240" w:lineRule="auto"/>
              <w:jc w:val="right"/>
              <w:rPr>
                <w:rFonts w:cs="Arial"/>
                <w:b/>
                <w:bCs/>
                <w:color w:val="000000"/>
                <w:sz w:val="16"/>
                <w:szCs w:val="16"/>
                <w:lang w:eastAsia="es-ES"/>
              </w:rPr>
            </w:pPr>
            <w:r w:rsidRPr="007226D7">
              <w:rPr>
                <w:rFonts w:cs="Arial"/>
                <w:b/>
                <w:bCs/>
                <w:color w:val="000000"/>
                <w:sz w:val="16"/>
                <w:szCs w:val="16"/>
                <w:lang w:eastAsia="es-ES"/>
              </w:rPr>
              <w:t>2,412,724</w:t>
            </w:r>
          </w:p>
        </w:tc>
      </w:tr>
      <w:tr w:rsidR="00E33444" w:rsidRPr="007226D7" w:rsidTr="002733CF">
        <w:trPr>
          <w:trHeight w:val="170"/>
          <w:jc w:val="center"/>
        </w:trPr>
        <w:tc>
          <w:tcPr>
            <w:tcW w:w="6120" w:type="dxa"/>
            <w:gridSpan w:val="5"/>
            <w:tcBorders>
              <w:top w:val="nil"/>
              <w:left w:val="nil"/>
              <w:bottom w:val="nil"/>
              <w:right w:val="nil"/>
            </w:tcBorders>
            <w:shd w:val="clear" w:color="000000" w:fill="FFFFFF"/>
            <w:noWrap/>
            <w:vAlign w:val="center"/>
            <w:hideMark/>
          </w:tcPr>
          <w:p w:rsidR="00E33444" w:rsidRPr="007226D7" w:rsidRDefault="00E33444" w:rsidP="002733CF">
            <w:pPr>
              <w:spacing w:after="0" w:line="240" w:lineRule="auto"/>
              <w:jc w:val="left"/>
              <w:rPr>
                <w:rFonts w:cs="Arial"/>
                <w:color w:val="000000"/>
                <w:sz w:val="14"/>
                <w:szCs w:val="14"/>
                <w:lang w:eastAsia="es-ES"/>
              </w:rPr>
            </w:pPr>
            <w:r w:rsidRPr="007226D7">
              <w:rPr>
                <w:rFonts w:cs="Arial"/>
                <w:color w:val="000000"/>
                <w:sz w:val="14"/>
                <w:szCs w:val="14"/>
                <w:lang w:eastAsia="es-ES"/>
              </w:rPr>
              <w:t>Fuente: INEI</w:t>
            </w:r>
          </w:p>
        </w:tc>
      </w:tr>
    </w:tbl>
    <w:p w:rsidR="0056369A" w:rsidRPr="007226D7" w:rsidRDefault="0056369A" w:rsidP="00EA591A">
      <w:pPr>
        <w:pStyle w:val="Heading6"/>
        <w:rPr>
          <w:lang w:val="es-ES"/>
        </w:rPr>
      </w:pPr>
      <w:r w:rsidRPr="007226D7">
        <w:rPr>
          <w:lang w:val="es-ES"/>
        </w:rPr>
        <w:lastRenderedPageBreak/>
        <w:t>Composición de la población según sexo</w:t>
      </w:r>
    </w:p>
    <w:p w:rsidR="0056369A" w:rsidRPr="007226D7" w:rsidRDefault="0056369A" w:rsidP="0056369A">
      <w:pPr>
        <w:rPr>
          <w:lang w:val="es-ES"/>
        </w:rPr>
      </w:pPr>
      <w:r w:rsidRPr="007226D7">
        <w:rPr>
          <w:lang w:val="es-ES"/>
        </w:rPr>
        <w:t>La composición de la población según sexo en los distritos del área de influencia  es de 1</w:t>
      </w:r>
      <w:proofErr w:type="gramStart"/>
      <w:r w:rsidRPr="007226D7">
        <w:rPr>
          <w:lang w:val="es-ES"/>
        </w:rPr>
        <w:t>,103,487</w:t>
      </w:r>
      <w:proofErr w:type="gramEnd"/>
      <w:r w:rsidRPr="007226D7">
        <w:rPr>
          <w:lang w:val="es-ES"/>
        </w:rPr>
        <w:t xml:space="preserve"> (48.8%) varones y 1,158,317 (51.2%) mujeres, siendo el porcentaje de hombres ligeramente menor de esta última. Esta composición permite establecer que la relación de hombres y mujeres tiene un índice de 0.96 lo que indica que por cada 100 mujeres existen 95 hombres. (Ver Tabla 3.1-20)</w:t>
      </w:r>
    </w:p>
    <w:tbl>
      <w:tblPr>
        <w:tblW w:w="5560" w:type="dxa"/>
        <w:tblInd w:w="2055" w:type="dxa"/>
        <w:tblCellMar>
          <w:left w:w="70" w:type="dxa"/>
          <w:right w:w="70" w:type="dxa"/>
        </w:tblCellMar>
        <w:tblLook w:val="04A0" w:firstRow="1" w:lastRow="0" w:firstColumn="1" w:lastColumn="0" w:noHBand="0" w:noVBand="1"/>
      </w:tblPr>
      <w:tblGrid>
        <w:gridCol w:w="2977"/>
        <w:gridCol w:w="861"/>
        <w:gridCol w:w="861"/>
        <w:gridCol w:w="861"/>
      </w:tblGrid>
      <w:tr w:rsidR="00EA591A" w:rsidRPr="007226D7" w:rsidTr="002733CF">
        <w:trPr>
          <w:trHeight w:val="227"/>
        </w:trPr>
        <w:tc>
          <w:tcPr>
            <w:tcW w:w="5560" w:type="dxa"/>
            <w:gridSpan w:val="4"/>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b/>
                <w:bCs/>
                <w:color w:val="000000"/>
                <w:sz w:val="16"/>
                <w:szCs w:val="16"/>
                <w:lang w:eastAsia="es-ES"/>
              </w:rPr>
            </w:pPr>
          </w:p>
          <w:p w:rsidR="00EA591A" w:rsidRPr="007226D7" w:rsidRDefault="00EA591A" w:rsidP="002733CF">
            <w:pPr>
              <w:spacing w:after="0" w:line="240" w:lineRule="auto"/>
              <w:jc w:val="center"/>
              <w:rPr>
                <w:rFonts w:cs="Arial"/>
                <w:b/>
                <w:bCs/>
                <w:color w:val="000000"/>
                <w:sz w:val="16"/>
                <w:szCs w:val="16"/>
                <w:lang w:eastAsia="es-ES"/>
              </w:rPr>
            </w:pPr>
          </w:p>
        </w:tc>
      </w:tr>
      <w:tr w:rsidR="00EA591A" w:rsidRPr="0013314C" w:rsidTr="002733CF">
        <w:trPr>
          <w:trHeight w:val="227"/>
        </w:trPr>
        <w:tc>
          <w:tcPr>
            <w:tcW w:w="5560" w:type="dxa"/>
            <w:gridSpan w:val="4"/>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b/>
                <w:bCs/>
                <w:color w:val="000000"/>
                <w:sz w:val="16"/>
                <w:szCs w:val="16"/>
                <w:lang w:val="es-ES" w:eastAsia="es-ES"/>
              </w:rPr>
            </w:pPr>
            <w:r w:rsidRPr="007226D7">
              <w:rPr>
                <w:rFonts w:cs="Arial"/>
                <w:b/>
                <w:bCs/>
                <w:color w:val="000000"/>
                <w:sz w:val="16"/>
                <w:szCs w:val="16"/>
                <w:lang w:val="es-ES" w:eastAsia="es-ES"/>
              </w:rPr>
              <w:t>Tabla 3.1-20  Estructura de la Población Según Sexo- 2007</w:t>
            </w:r>
          </w:p>
        </w:tc>
      </w:tr>
      <w:tr w:rsidR="00EA591A" w:rsidRPr="007226D7" w:rsidTr="002733CF">
        <w:trPr>
          <w:trHeight w:val="227"/>
        </w:trPr>
        <w:tc>
          <w:tcPr>
            <w:tcW w:w="2977" w:type="dxa"/>
            <w:tcBorders>
              <w:top w:val="single" w:sz="4" w:space="0" w:color="auto"/>
              <w:left w:val="single" w:sz="4" w:space="0" w:color="auto"/>
              <w:bottom w:val="single" w:sz="4" w:space="0" w:color="auto"/>
              <w:right w:val="nil"/>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Ubicación</w:t>
            </w:r>
          </w:p>
        </w:tc>
        <w:tc>
          <w:tcPr>
            <w:tcW w:w="861"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w:t>
            </w:r>
          </w:p>
        </w:tc>
        <w:tc>
          <w:tcPr>
            <w:tcW w:w="861" w:type="dxa"/>
            <w:tcBorders>
              <w:top w:val="single" w:sz="4" w:space="0" w:color="auto"/>
              <w:left w:val="nil"/>
              <w:bottom w:val="single" w:sz="4" w:space="0" w:color="auto"/>
              <w:right w:val="nil"/>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Hombres</w:t>
            </w:r>
          </w:p>
        </w:tc>
        <w:tc>
          <w:tcPr>
            <w:tcW w:w="861"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Mujeres</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Dpto. Lima</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8,445,211</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4,139,686</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4,305,525</w:t>
            </w:r>
          </w:p>
        </w:tc>
      </w:tr>
      <w:tr w:rsidR="00EA591A" w:rsidRPr="007226D7" w:rsidTr="002733CF">
        <w:trPr>
          <w:trHeight w:val="227"/>
        </w:trPr>
        <w:tc>
          <w:tcPr>
            <w:tcW w:w="2977"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861"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7,605,742</w:t>
            </w:r>
          </w:p>
        </w:tc>
        <w:tc>
          <w:tcPr>
            <w:tcW w:w="861"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3,713,471</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3,892,271</w:t>
            </w:r>
          </w:p>
        </w:tc>
      </w:tr>
      <w:tr w:rsidR="00EA591A" w:rsidRPr="007226D7" w:rsidTr="002733CF">
        <w:trPr>
          <w:trHeight w:val="227"/>
        </w:trPr>
        <w:tc>
          <w:tcPr>
            <w:tcW w:w="2977"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861"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rPr>
            </w:pPr>
            <w:r w:rsidRPr="007226D7">
              <w:rPr>
                <w:rFonts w:cs="Arial"/>
                <w:sz w:val="16"/>
                <w:szCs w:val="16"/>
              </w:rPr>
              <w:t>876,877</w:t>
            </w:r>
          </w:p>
        </w:tc>
        <w:tc>
          <w:tcPr>
            <w:tcW w:w="861"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rPr>
            </w:pPr>
            <w:r w:rsidRPr="007226D7">
              <w:rPr>
                <w:rFonts w:cs="Arial"/>
                <w:sz w:val="16"/>
                <w:szCs w:val="16"/>
              </w:rPr>
              <w:t>430,582</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rPr>
            </w:pPr>
            <w:r w:rsidRPr="007226D7">
              <w:rPr>
                <w:rFonts w:cs="Arial"/>
                <w:sz w:val="16"/>
                <w:szCs w:val="16"/>
              </w:rPr>
              <w:t>446,295</w:t>
            </w:r>
          </w:p>
        </w:tc>
      </w:tr>
      <w:tr w:rsidR="00EA591A" w:rsidRPr="007226D7" w:rsidTr="002733CF">
        <w:trPr>
          <w:trHeight w:val="227"/>
        </w:trPr>
        <w:tc>
          <w:tcPr>
            <w:tcW w:w="2977" w:type="dxa"/>
            <w:tcBorders>
              <w:top w:val="single" w:sz="4" w:space="0" w:color="auto"/>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861" w:type="dxa"/>
            <w:tcBorders>
              <w:top w:val="single" w:sz="4" w:space="0" w:color="auto"/>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415,888</w:t>
            </w:r>
          </w:p>
        </w:tc>
        <w:tc>
          <w:tcPr>
            <w:tcW w:w="861" w:type="dxa"/>
            <w:tcBorders>
              <w:top w:val="single" w:sz="4" w:space="0" w:color="auto"/>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206,078</w:t>
            </w:r>
          </w:p>
        </w:tc>
        <w:tc>
          <w:tcPr>
            <w:tcW w:w="861" w:type="dxa"/>
            <w:tcBorders>
              <w:top w:val="single" w:sz="4" w:space="0" w:color="auto"/>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209,810</w:t>
            </w:r>
          </w:p>
        </w:tc>
      </w:tr>
      <w:tr w:rsidR="00EA591A" w:rsidRPr="007226D7" w:rsidTr="002733CF">
        <w:trPr>
          <w:trHeight w:val="227"/>
        </w:trPr>
        <w:tc>
          <w:tcPr>
            <w:tcW w:w="2977"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861"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41,863</w:t>
            </w:r>
          </w:p>
        </w:tc>
        <w:tc>
          <w:tcPr>
            <w:tcW w:w="861"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20,553</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21,310</w:t>
            </w:r>
          </w:p>
        </w:tc>
      </w:tr>
      <w:tr w:rsidR="00EA591A" w:rsidRPr="007226D7" w:rsidTr="002733CF">
        <w:trPr>
          <w:trHeight w:val="227"/>
        </w:trPr>
        <w:tc>
          <w:tcPr>
            <w:tcW w:w="2977"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861"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75,163</w:t>
            </w:r>
          </w:p>
        </w:tc>
        <w:tc>
          <w:tcPr>
            <w:tcW w:w="861"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35,710</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39,453</w:t>
            </w:r>
          </w:p>
        </w:tc>
      </w:tr>
      <w:tr w:rsidR="00EA591A" w:rsidRPr="007226D7" w:rsidTr="002733CF">
        <w:trPr>
          <w:trHeight w:val="227"/>
        </w:trPr>
        <w:tc>
          <w:tcPr>
            <w:tcW w:w="2977"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861"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61,698</w:t>
            </w:r>
          </w:p>
        </w:tc>
        <w:tc>
          <w:tcPr>
            <w:tcW w:w="861"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29,395</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32,303</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129,107</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60,025</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69,082</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299,493</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145,721</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153,772</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81,909</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38,737</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43,172</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66,171</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29,806</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36,365</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192,724</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94,743</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97,981</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180,262</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89,679</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90,583</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86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54,634</w:t>
            </w:r>
          </w:p>
        </w:tc>
        <w:tc>
          <w:tcPr>
            <w:tcW w:w="861"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26,264</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28,370</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184,614</w:t>
            </w:r>
          </w:p>
        </w:tc>
        <w:tc>
          <w:tcPr>
            <w:tcW w:w="861" w:type="dxa"/>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91,240</w:t>
            </w:r>
          </w:p>
        </w:tc>
        <w:tc>
          <w:tcPr>
            <w:tcW w:w="861" w:type="dxa"/>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93,374</w:t>
            </w:r>
          </w:p>
        </w:tc>
      </w:tr>
      <w:tr w:rsidR="00EA591A" w:rsidRPr="007226D7" w:rsidTr="002733CF">
        <w:trPr>
          <w:trHeight w:val="227"/>
        </w:trPr>
        <w:tc>
          <w:tcPr>
            <w:tcW w:w="2977" w:type="dxa"/>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86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478,278</w:t>
            </w:r>
          </w:p>
        </w:tc>
        <w:tc>
          <w:tcPr>
            <w:tcW w:w="861" w:type="dxa"/>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235,536</w:t>
            </w:r>
          </w:p>
        </w:tc>
        <w:tc>
          <w:tcPr>
            <w:tcW w:w="861" w:type="dxa"/>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6"/>
                <w:szCs w:val="16"/>
                <w:lang w:eastAsia="es-ES"/>
              </w:rPr>
            </w:pPr>
            <w:r w:rsidRPr="007226D7">
              <w:rPr>
                <w:rFonts w:cs="Arial"/>
                <w:color w:val="000000"/>
                <w:sz w:val="16"/>
                <w:szCs w:val="16"/>
                <w:lang w:eastAsia="es-ES"/>
              </w:rPr>
              <w:t>242,742</w:t>
            </w:r>
          </w:p>
        </w:tc>
      </w:tr>
      <w:tr w:rsidR="00EA591A" w:rsidRPr="007226D7" w:rsidTr="002733CF">
        <w:trPr>
          <w:trHeight w:val="227"/>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rPr>
                <w:rFonts w:cs="Arial"/>
                <w:b/>
                <w:color w:val="000000"/>
                <w:sz w:val="16"/>
                <w:szCs w:val="16"/>
                <w:lang w:val="es-ES" w:eastAsia="es-ES"/>
              </w:rPr>
            </w:pPr>
            <w:r w:rsidRPr="007226D7">
              <w:rPr>
                <w:rFonts w:cs="Arial"/>
                <w:b/>
                <w:color w:val="000000"/>
                <w:sz w:val="16"/>
                <w:szCs w:val="16"/>
                <w:lang w:val="es-ES" w:eastAsia="es-ES"/>
              </w:rPr>
              <w:t>Distritos del área de influencia</w:t>
            </w:r>
          </w:p>
        </w:tc>
        <w:tc>
          <w:tcPr>
            <w:tcW w:w="861" w:type="dxa"/>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2,261,804</w:t>
            </w:r>
          </w:p>
        </w:tc>
        <w:tc>
          <w:tcPr>
            <w:tcW w:w="861" w:type="dxa"/>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1,103,487</w:t>
            </w:r>
          </w:p>
        </w:tc>
        <w:tc>
          <w:tcPr>
            <w:tcW w:w="861" w:type="dxa"/>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1,158,317</w:t>
            </w:r>
          </w:p>
        </w:tc>
      </w:tr>
      <w:tr w:rsidR="00EA591A" w:rsidRPr="007226D7" w:rsidTr="002733CF">
        <w:trPr>
          <w:trHeight w:val="227"/>
        </w:trPr>
        <w:tc>
          <w:tcPr>
            <w:tcW w:w="2977" w:type="dxa"/>
            <w:tcBorders>
              <w:top w:val="nil"/>
              <w:left w:val="single" w:sz="4" w:space="0" w:color="auto"/>
              <w:bottom w:val="single" w:sz="4" w:space="0" w:color="auto"/>
              <w:right w:val="nil"/>
            </w:tcBorders>
            <w:shd w:val="clear" w:color="auto" w:fill="auto"/>
            <w:noWrap/>
            <w:vAlign w:val="center"/>
          </w:tcPr>
          <w:p w:rsidR="00EA591A" w:rsidRPr="007226D7" w:rsidRDefault="00EA591A"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 xml:space="preserve"> Participación</w:t>
            </w:r>
          </w:p>
        </w:tc>
        <w:tc>
          <w:tcPr>
            <w:tcW w:w="861"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100.0%</w:t>
            </w:r>
          </w:p>
        </w:tc>
        <w:tc>
          <w:tcPr>
            <w:tcW w:w="861"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48.8%</w:t>
            </w:r>
          </w:p>
        </w:tc>
        <w:tc>
          <w:tcPr>
            <w:tcW w:w="861"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6"/>
                <w:szCs w:val="16"/>
              </w:rPr>
            </w:pPr>
            <w:r w:rsidRPr="007226D7">
              <w:rPr>
                <w:rFonts w:cs="Arial"/>
                <w:b/>
                <w:bCs/>
                <w:color w:val="000000"/>
                <w:sz w:val="16"/>
                <w:szCs w:val="16"/>
              </w:rPr>
              <w:t>51.2%</w:t>
            </w:r>
          </w:p>
        </w:tc>
      </w:tr>
      <w:tr w:rsidR="00EA591A" w:rsidRPr="0013314C" w:rsidTr="002733CF">
        <w:trPr>
          <w:trHeight w:val="227"/>
        </w:trPr>
        <w:tc>
          <w:tcPr>
            <w:tcW w:w="5560" w:type="dxa"/>
            <w:gridSpan w:val="4"/>
            <w:tcBorders>
              <w:top w:val="nil"/>
              <w:left w:val="nil"/>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56369A" w:rsidRPr="007226D7" w:rsidRDefault="0056369A" w:rsidP="00B737A5">
      <w:pPr>
        <w:spacing w:after="0"/>
        <w:rPr>
          <w:lang w:val="es-ES"/>
        </w:rPr>
      </w:pPr>
    </w:p>
    <w:p w:rsidR="0056369A" w:rsidRPr="007226D7" w:rsidRDefault="0056369A" w:rsidP="00EA591A">
      <w:pPr>
        <w:pStyle w:val="Heading6"/>
        <w:rPr>
          <w:lang w:val="es-ES"/>
        </w:rPr>
      </w:pPr>
      <w:r w:rsidRPr="007226D7">
        <w:rPr>
          <w:lang w:val="es-ES"/>
        </w:rPr>
        <w:t>Población por edades</w:t>
      </w:r>
    </w:p>
    <w:p w:rsidR="0056369A" w:rsidRPr="007226D7" w:rsidRDefault="0056369A" w:rsidP="0056369A">
      <w:pPr>
        <w:rPr>
          <w:lang w:val="es-ES"/>
        </w:rPr>
      </w:pPr>
      <w:r w:rsidRPr="007226D7">
        <w:rPr>
          <w:lang w:val="es-ES"/>
        </w:rPr>
        <w:t>A nivel de Lima y Callao, se puede apreciar que la composición de la población por edad, evidencia la existencia de una población joven, el 25.5% de la población es menor de 15 años. El contingente poblacional de 15 a 64 años que constituye la fuerza potencial de trabajo, representa el 67.6% del total de la población de Lima. Finalmente, la proporción de la población de 65 y más años de edad llega al 6.8% en el año 2007. (Ver Tabla 3.1-21)</w:t>
      </w:r>
    </w:p>
    <w:tbl>
      <w:tblPr>
        <w:tblW w:w="7780" w:type="dxa"/>
        <w:tblInd w:w="921" w:type="dxa"/>
        <w:tblCellMar>
          <w:left w:w="70" w:type="dxa"/>
          <w:right w:w="70" w:type="dxa"/>
        </w:tblCellMar>
        <w:tblLook w:val="04A0" w:firstRow="1" w:lastRow="0" w:firstColumn="1" w:lastColumn="0" w:noHBand="0" w:noVBand="1"/>
      </w:tblPr>
      <w:tblGrid>
        <w:gridCol w:w="1500"/>
        <w:gridCol w:w="1325"/>
        <w:gridCol w:w="769"/>
        <w:gridCol w:w="1324"/>
        <w:gridCol w:w="769"/>
        <w:gridCol w:w="1324"/>
        <w:gridCol w:w="769"/>
      </w:tblGrid>
      <w:tr w:rsidR="00EA591A" w:rsidRPr="0013314C" w:rsidTr="002733CF">
        <w:trPr>
          <w:trHeight w:val="227"/>
        </w:trPr>
        <w:tc>
          <w:tcPr>
            <w:tcW w:w="7780" w:type="dxa"/>
            <w:gridSpan w:val="7"/>
            <w:tcBorders>
              <w:top w:val="nil"/>
              <w:left w:val="nil"/>
              <w:bottom w:val="single" w:sz="4" w:space="0" w:color="auto"/>
              <w:right w:val="nil"/>
            </w:tcBorders>
            <w:shd w:val="clear" w:color="auto" w:fill="auto"/>
            <w:noWrap/>
            <w:vAlign w:val="center"/>
          </w:tcPr>
          <w:p w:rsidR="00EA591A" w:rsidRPr="007226D7" w:rsidRDefault="00EA591A" w:rsidP="002733CF">
            <w:pPr>
              <w:spacing w:after="0" w:line="240" w:lineRule="auto"/>
              <w:jc w:val="center"/>
              <w:rPr>
                <w:rFonts w:cs="Arial"/>
                <w:b/>
                <w:bCs/>
                <w:color w:val="000000"/>
                <w:sz w:val="16"/>
                <w:szCs w:val="16"/>
                <w:lang w:val="es-ES" w:eastAsia="es-ES"/>
              </w:rPr>
            </w:pPr>
            <w:r w:rsidRPr="007226D7">
              <w:rPr>
                <w:rFonts w:cs="Arial"/>
                <w:b/>
                <w:bCs/>
                <w:color w:val="000000"/>
                <w:sz w:val="16"/>
                <w:szCs w:val="16"/>
                <w:lang w:val="es-ES" w:eastAsia="es-ES"/>
              </w:rPr>
              <w:t>Tabla 3.1-21 Región Lima - Callao: Estructura de la Población 2007</w:t>
            </w:r>
          </w:p>
        </w:tc>
      </w:tr>
      <w:tr w:rsidR="00EA591A" w:rsidRPr="007226D7" w:rsidTr="002733CF">
        <w:trPr>
          <w:trHeight w:val="227"/>
        </w:trPr>
        <w:tc>
          <w:tcPr>
            <w:tcW w:w="1500" w:type="dxa"/>
            <w:tcBorders>
              <w:top w:val="nil"/>
              <w:left w:val="single" w:sz="4" w:space="0" w:color="auto"/>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rPr>
                <w:rFonts w:cs="Arial"/>
                <w:b/>
                <w:bCs/>
                <w:color w:val="000000"/>
                <w:sz w:val="16"/>
                <w:szCs w:val="16"/>
                <w:lang w:eastAsia="es-ES"/>
              </w:rPr>
            </w:pPr>
            <w:r w:rsidRPr="007226D7">
              <w:rPr>
                <w:rFonts w:cs="Arial"/>
                <w:b/>
                <w:bCs/>
                <w:color w:val="000000"/>
                <w:sz w:val="16"/>
                <w:szCs w:val="16"/>
                <w:lang w:val="es-ES" w:eastAsia="es-ES"/>
              </w:rPr>
              <w:t xml:space="preserve">  </w:t>
            </w:r>
            <w:r w:rsidRPr="007226D7">
              <w:rPr>
                <w:rFonts w:cs="Arial"/>
                <w:b/>
                <w:bCs/>
                <w:color w:val="000000"/>
                <w:sz w:val="16"/>
                <w:szCs w:val="16"/>
                <w:lang w:eastAsia="es-ES"/>
              </w:rPr>
              <w:t>Edad</w:t>
            </w:r>
          </w:p>
        </w:tc>
        <w:tc>
          <w:tcPr>
            <w:tcW w:w="1325"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Hombre</w:t>
            </w:r>
          </w:p>
        </w:tc>
        <w:tc>
          <w:tcPr>
            <w:tcW w:w="769" w:type="dxa"/>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c>
          <w:tcPr>
            <w:tcW w:w="1324"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Mujer</w:t>
            </w:r>
          </w:p>
        </w:tc>
        <w:tc>
          <w:tcPr>
            <w:tcW w:w="769"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c>
          <w:tcPr>
            <w:tcW w:w="1324" w:type="dxa"/>
            <w:tcBorders>
              <w:top w:val="nil"/>
              <w:left w:val="nil"/>
              <w:bottom w:val="single" w:sz="4" w:space="0" w:color="auto"/>
              <w:right w:val="nil"/>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w:t>
            </w:r>
          </w:p>
        </w:tc>
        <w:tc>
          <w:tcPr>
            <w:tcW w:w="769" w:type="dxa"/>
            <w:tcBorders>
              <w:top w:val="nil"/>
              <w:left w:val="single" w:sz="4" w:space="0" w:color="auto"/>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EA591A" w:rsidRPr="007226D7" w:rsidTr="002733CF">
        <w:trPr>
          <w:trHeight w:val="227"/>
        </w:trPr>
        <w:tc>
          <w:tcPr>
            <w:tcW w:w="1500"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0-14</w:t>
            </w:r>
          </w:p>
        </w:tc>
        <w:tc>
          <w:tcPr>
            <w:tcW w:w="1325"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1,212,276</w:t>
            </w:r>
          </w:p>
        </w:tc>
        <w:tc>
          <w:tcPr>
            <w:tcW w:w="769" w:type="dxa"/>
            <w:tcBorders>
              <w:top w:val="single" w:sz="4" w:space="0" w:color="auto"/>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26.5</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1,168,827</w:t>
            </w:r>
          </w:p>
        </w:tc>
        <w:tc>
          <w:tcPr>
            <w:tcW w:w="769"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24.6</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2,381,103</w:t>
            </w:r>
          </w:p>
        </w:tc>
        <w:tc>
          <w:tcPr>
            <w:tcW w:w="769"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25.5</w:t>
            </w:r>
          </w:p>
        </w:tc>
      </w:tr>
      <w:tr w:rsidR="00EA591A" w:rsidRPr="007226D7" w:rsidTr="002733CF">
        <w:trPr>
          <w:trHeight w:val="227"/>
        </w:trPr>
        <w:tc>
          <w:tcPr>
            <w:tcW w:w="1500"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15-64</w:t>
            </w:r>
          </w:p>
        </w:tc>
        <w:tc>
          <w:tcPr>
            <w:tcW w:w="1325"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3,059,609</w:t>
            </w:r>
          </w:p>
        </w:tc>
        <w:tc>
          <w:tcPr>
            <w:tcW w:w="769"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66.9</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3,245,532</w:t>
            </w:r>
          </w:p>
        </w:tc>
        <w:tc>
          <w:tcPr>
            <w:tcW w:w="769"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68.3</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6,305,141</w:t>
            </w:r>
          </w:p>
        </w:tc>
        <w:tc>
          <w:tcPr>
            <w:tcW w:w="769"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67.6</w:t>
            </w:r>
          </w:p>
        </w:tc>
      </w:tr>
      <w:tr w:rsidR="00EA591A" w:rsidRPr="007226D7" w:rsidTr="002733CF">
        <w:trPr>
          <w:trHeight w:val="227"/>
        </w:trPr>
        <w:tc>
          <w:tcPr>
            <w:tcW w:w="1500"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65 Y MAS</w:t>
            </w:r>
          </w:p>
        </w:tc>
        <w:tc>
          <w:tcPr>
            <w:tcW w:w="1325"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298,383</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6.5</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337,461</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7.1</w:t>
            </w:r>
          </w:p>
        </w:tc>
        <w:tc>
          <w:tcPr>
            <w:tcW w:w="1324" w:type="dxa"/>
            <w:tcBorders>
              <w:top w:val="nil"/>
              <w:left w:val="nil"/>
              <w:bottom w:val="nil"/>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635,844</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6.8</w:t>
            </w:r>
          </w:p>
        </w:tc>
      </w:tr>
      <w:tr w:rsidR="00EA591A" w:rsidRPr="007226D7" w:rsidTr="002733CF">
        <w:trPr>
          <w:trHeight w:val="227"/>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Total</w:t>
            </w:r>
          </w:p>
        </w:tc>
        <w:tc>
          <w:tcPr>
            <w:tcW w:w="1325" w:type="dxa"/>
            <w:tcBorders>
              <w:top w:val="single" w:sz="4" w:space="0" w:color="auto"/>
              <w:left w:val="nil"/>
              <w:bottom w:val="single" w:sz="4" w:space="0" w:color="auto"/>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4,570,268</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100.0</w:t>
            </w:r>
          </w:p>
        </w:tc>
        <w:tc>
          <w:tcPr>
            <w:tcW w:w="1324" w:type="dxa"/>
            <w:tcBorders>
              <w:top w:val="single" w:sz="4" w:space="0" w:color="auto"/>
              <w:left w:val="nil"/>
              <w:bottom w:val="single" w:sz="4" w:space="0" w:color="auto"/>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4,751,820</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100.0</w:t>
            </w:r>
          </w:p>
        </w:tc>
        <w:tc>
          <w:tcPr>
            <w:tcW w:w="1324" w:type="dxa"/>
            <w:tcBorders>
              <w:top w:val="single" w:sz="4" w:space="0" w:color="auto"/>
              <w:left w:val="nil"/>
              <w:bottom w:val="single" w:sz="4" w:space="0" w:color="auto"/>
              <w:right w:val="nil"/>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9,322,088</w:t>
            </w:r>
          </w:p>
        </w:tc>
        <w:tc>
          <w:tcPr>
            <w:tcW w:w="769"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100.0</w:t>
            </w:r>
          </w:p>
        </w:tc>
      </w:tr>
      <w:tr w:rsidR="00EA591A" w:rsidRPr="0013314C" w:rsidTr="002733CF">
        <w:trPr>
          <w:trHeight w:val="227"/>
        </w:trPr>
        <w:tc>
          <w:tcPr>
            <w:tcW w:w="7780" w:type="dxa"/>
            <w:gridSpan w:val="7"/>
            <w:tcBorders>
              <w:top w:val="single" w:sz="4" w:space="0" w:color="auto"/>
              <w:left w:val="nil"/>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 xml:space="preserve">  Fuente: Censos Nacionales 2007 XI de Población - VI de Vivienda - INEI</w:t>
            </w:r>
          </w:p>
        </w:tc>
      </w:tr>
    </w:tbl>
    <w:p w:rsidR="00B737A5" w:rsidRPr="007226D7" w:rsidRDefault="00B737A5" w:rsidP="0056369A">
      <w:pPr>
        <w:rPr>
          <w:lang w:val="es-ES"/>
        </w:rPr>
      </w:pPr>
    </w:p>
    <w:p w:rsidR="0056369A" w:rsidRPr="007226D7" w:rsidRDefault="0056369A" w:rsidP="0056369A">
      <w:pPr>
        <w:rPr>
          <w:lang w:val="es-ES"/>
        </w:rPr>
      </w:pPr>
      <w:r w:rsidRPr="007226D7">
        <w:rPr>
          <w:lang w:val="es-ES"/>
        </w:rPr>
        <w:t>Según el Censo 2007 realizado por el INEI, en el área de influencia según grupos de edades, se tiene una población joven menor a 20 años que representa el 33.2% de la población y el 35.3% de la población se encuentra en el rango de 20 a 39 años, mientras que la población de 70 a más representa sólo el 5.2%. (Ver Tabla 3.1-22)</w:t>
      </w:r>
    </w:p>
    <w:tbl>
      <w:tblPr>
        <w:tblW w:w="5558" w:type="pct"/>
        <w:tblInd w:w="-497" w:type="dxa"/>
        <w:tblCellMar>
          <w:left w:w="70" w:type="dxa"/>
          <w:right w:w="70" w:type="dxa"/>
        </w:tblCellMar>
        <w:tblLook w:val="04A0" w:firstRow="1" w:lastRow="0" w:firstColumn="1" w:lastColumn="0" w:noHBand="0" w:noVBand="1"/>
      </w:tblPr>
      <w:tblGrid>
        <w:gridCol w:w="2591"/>
        <w:gridCol w:w="839"/>
        <w:gridCol w:w="838"/>
        <w:gridCol w:w="838"/>
        <w:gridCol w:w="838"/>
        <w:gridCol w:w="838"/>
        <w:gridCol w:w="838"/>
        <w:gridCol w:w="711"/>
        <w:gridCol w:w="711"/>
        <w:gridCol w:w="711"/>
        <w:gridCol w:w="802"/>
      </w:tblGrid>
      <w:tr w:rsidR="00EA591A" w:rsidRPr="0013314C" w:rsidTr="002733CF">
        <w:trPr>
          <w:trHeight w:val="227"/>
        </w:trPr>
        <w:tc>
          <w:tcPr>
            <w:tcW w:w="5000" w:type="pct"/>
            <w:gridSpan w:val="11"/>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b/>
                <w:bCs/>
                <w:color w:val="000000"/>
                <w:sz w:val="16"/>
                <w:szCs w:val="16"/>
                <w:lang w:val="es-ES" w:eastAsia="es-ES"/>
              </w:rPr>
            </w:pPr>
            <w:r w:rsidRPr="007226D7">
              <w:rPr>
                <w:rFonts w:cs="Arial"/>
                <w:b/>
                <w:bCs/>
                <w:color w:val="000000"/>
                <w:sz w:val="16"/>
                <w:szCs w:val="16"/>
                <w:lang w:val="es-ES" w:eastAsia="es-ES"/>
              </w:rPr>
              <w:lastRenderedPageBreak/>
              <w:t>Tabla 3.1-22 Estructura de la Población por Edades – 2007</w:t>
            </w:r>
          </w:p>
        </w:tc>
      </w:tr>
      <w:tr w:rsidR="00EA591A" w:rsidRPr="007226D7" w:rsidTr="002733CF">
        <w:trPr>
          <w:trHeight w:val="227"/>
        </w:trPr>
        <w:tc>
          <w:tcPr>
            <w:tcW w:w="1227"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Ubicación</w:t>
            </w:r>
          </w:p>
        </w:tc>
        <w:tc>
          <w:tcPr>
            <w:tcW w:w="397"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Total</w:t>
            </w:r>
          </w:p>
        </w:tc>
        <w:tc>
          <w:tcPr>
            <w:tcW w:w="3375" w:type="pct"/>
            <w:gridSpan w:val="9"/>
            <w:tcBorders>
              <w:top w:val="single" w:sz="4" w:space="0" w:color="auto"/>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Grupos de Edad</w:t>
            </w:r>
          </w:p>
        </w:tc>
      </w:tr>
      <w:tr w:rsidR="00EA591A" w:rsidRPr="007226D7" w:rsidTr="002733CF">
        <w:trPr>
          <w:trHeight w:val="227"/>
        </w:trPr>
        <w:tc>
          <w:tcPr>
            <w:tcW w:w="1227" w:type="pct"/>
            <w:vMerge/>
            <w:tcBorders>
              <w:top w:val="single" w:sz="4" w:space="0" w:color="auto"/>
              <w:left w:val="single" w:sz="4" w:space="0" w:color="auto"/>
              <w:bottom w:val="single" w:sz="4" w:space="0" w:color="auto"/>
              <w:right w:val="single" w:sz="4" w:space="0" w:color="auto"/>
            </w:tcBorders>
            <w:vAlign w:val="center"/>
          </w:tcPr>
          <w:p w:rsidR="00EA591A" w:rsidRPr="007226D7" w:rsidRDefault="00EA591A" w:rsidP="002733CF">
            <w:pPr>
              <w:spacing w:after="0" w:line="240" w:lineRule="auto"/>
              <w:rPr>
                <w:rFonts w:cs="Arial"/>
                <w:b/>
                <w:bCs/>
                <w:color w:val="000000"/>
                <w:sz w:val="14"/>
                <w:szCs w:val="14"/>
                <w:lang w:eastAsia="es-ES"/>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EA591A" w:rsidRPr="007226D7" w:rsidRDefault="00EA591A" w:rsidP="002733CF">
            <w:pPr>
              <w:spacing w:after="0" w:line="240" w:lineRule="auto"/>
              <w:rPr>
                <w:rFonts w:cs="Arial"/>
                <w:b/>
                <w:bCs/>
                <w:color w:val="000000"/>
                <w:sz w:val="14"/>
                <w:szCs w:val="14"/>
                <w:lang w:eastAsia="es-ES"/>
              </w:rPr>
            </w:pPr>
          </w:p>
        </w:tc>
        <w:tc>
          <w:tcPr>
            <w:tcW w:w="39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0-9</w:t>
            </w:r>
          </w:p>
        </w:tc>
        <w:tc>
          <w:tcPr>
            <w:tcW w:w="39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 xml:space="preserve"> 10-19</w:t>
            </w:r>
          </w:p>
        </w:tc>
        <w:tc>
          <w:tcPr>
            <w:tcW w:w="39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20-29</w:t>
            </w:r>
          </w:p>
        </w:tc>
        <w:tc>
          <w:tcPr>
            <w:tcW w:w="39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30-39</w:t>
            </w:r>
          </w:p>
        </w:tc>
        <w:tc>
          <w:tcPr>
            <w:tcW w:w="39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40-49</w:t>
            </w:r>
          </w:p>
        </w:tc>
        <w:tc>
          <w:tcPr>
            <w:tcW w:w="33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50-59</w:t>
            </w:r>
          </w:p>
        </w:tc>
        <w:tc>
          <w:tcPr>
            <w:tcW w:w="33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60-69</w:t>
            </w:r>
          </w:p>
        </w:tc>
        <w:tc>
          <w:tcPr>
            <w:tcW w:w="337"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70-79</w:t>
            </w:r>
          </w:p>
        </w:tc>
        <w:tc>
          <w:tcPr>
            <w:tcW w:w="380" w:type="pct"/>
            <w:tcBorders>
              <w:top w:val="nil"/>
              <w:left w:val="nil"/>
              <w:bottom w:val="nil"/>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80 y más</w:t>
            </w:r>
          </w:p>
        </w:tc>
      </w:tr>
      <w:tr w:rsidR="00EA591A" w:rsidRPr="007226D7" w:rsidTr="002733CF">
        <w:trPr>
          <w:trHeight w:val="227"/>
        </w:trPr>
        <w:tc>
          <w:tcPr>
            <w:tcW w:w="1227" w:type="pct"/>
            <w:tcBorders>
              <w:top w:val="single" w:sz="4" w:space="0" w:color="auto"/>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Dpto. Lima</w:t>
            </w:r>
          </w:p>
        </w:tc>
        <w:tc>
          <w:tcPr>
            <w:tcW w:w="397" w:type="pct"/>
            <w:tcBorders>
              <w:top w:val="single" w:sz="4" w:space="0" w:color="auto"/>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8,445,211</w:t>
            </w:r>
          </w:p>
        </w:tc>
        <w:tc>
          <w:tcPr>
            <w:tcW w:w="39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1,399,151</w:t>
            </w:r>
          </w:p>
        </w:tc>
        <w:tc>
          <w:tcPr>
            <w:tcW w:w="39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1,545,835</w:t>
            </w:r>
          </w:p>
        </w:tc>
        <w:tc>
          <w:tcPr>
            <w:tcW w:w="39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1,618,511</w:t>
            </w:r>
          </w:p>
        </w:tc>
        <w:tc>
          <w:tcPr>
            <w:tcW w:w="39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1,347,913</w:t>
            </w:r>
          </w:p>
        </w:tc>
        <w:tc>
          <w:tcPr>
            <w:tcW w:w="39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1,001,560</w:t>
            </w:r>
          </w:p>
        </w:tc>
        <w:tc>
          <w:tcPr>
            <w:tcW w:w="33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707,332</w:t>
            </w:r>
          </w:p>
        </w:tc>
        <w:tc>
          <w:tcPr>
            <w:tcW w:w="33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435,186</w:t>
            </w:r>
          </w:p>
        </w:tc>
        <w:tc>
          <w:tcPr>
            <w:tcW w:w="337"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261,239</w:t>
            </w:r>
          </w:p>
        </w:tc>
        <w:tc>
          <w:tcPr>
            <w:tcW w:w="380" w:type="pct"/>
            <w:tcBorders>
              <w:top w:val="single" w:sz="4" w:space="0" w:color="auto"/>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128,484</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Prov. Lima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7,605,742</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1,243,704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1,377,851</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1,474,879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1,225,395</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907,907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641,325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389,777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230,818</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114,086</w:t>
            </w:r>
          </w:p>
        </w:tc>
      </w:tr>
      <w:tr w:rsidR="00EA591A" w:rsidRPr="007226D7" w:rsidTr="002733CF">
        <w:trPr>
          <w:trHeight w:val="227"/>
        </w:trPr>
        <w:tc>
          <w:tcPr>
            <w:tcW w:w="1227" w:type="pct"/>
            <w:tcBorders>
              <w:top w:val="nil"/>
              <w:left w:val="single" w:sz="4" w:space="0" w:color="auto"/>
              <w:bottom w:val="single" w:sz="4" w:space="0" w:color="auto"/>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Prov. Callao</w:t>
            </w:r>
          </w:p>
        </w:tc>
        <w:tc>
          <w:tcPr>
            <w:tcW w:w="397" w:type="pct"/>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876,877</w:t>
            </w:r>
          </w:p>
        </w:tc>
        <w:tc>
          <w:tcPr>
            <w:tcW w:w="397" w:type="pct"/>
            <w:tcBorders>
              <w:top w:val="nil"/>
              <w:left w:val="nil"/>
              <w:bottom w:val="single" w:sz="4" w:space="0" w:color="auto"/>
              <w:right w:val="nil"/>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153,957</w:t>
            </w:r>
          </w:p>
        </w:tc>
        <w:tc>
          <w:tcPr>
            <w:tcW w:w="397" w:type="pct"/>
            <w:tcBorders>
              <w:top w:val="nil"/>
              <w:left w:val="single" w:sz="4" w:space="0" w:color="auto"/>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161,845</w:t>
            </w:r>
          </w:p>
        </w:tc>
        <w:tc>
          <w:tcPr>
            <w:tcW w:w="39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161,624</w:t>
            </w:r>
          </w:p>
        </w:tc>
        <w:tc>
          <w:tcPr>
            <w:tcW w:w="39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139,495</w:t>
            </w:r>
          </w:p>
        </w:tc>
        <w:tc>
          <w:tcPr>
            <w:tcW w:w="39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104,857</w:t>
            </w:r>
          </w:p>
        </w:tc>
        <w:tc>
          <w:tcPr>
            <w:tcW w:w="33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74,190</w:t>
            </w:r>
          </w:p>
        </w:tc>
        <w:tc>
          <w:tcPr>
            <w:tcW w:w="33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43,928</w:t>
            </w:r>
          </w:p>
        </w:tc>
        <w:tc>
          <w:tcPr>
            <w:tcW w:w="337"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25,473</w:t>
            </w:r>
          </w:p>
        </w:tc>
        <w:tc>
          <w:tcPr>
            <w:tcW w:w="380" w:type="pct"/>
            <w:tcBorders>
              <w:top w:val="nil"/>
              <w:left w:val="nil"/>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4"/>
                <w:szCs w:val="14"/>
                <w:lang w:eastAsia="es-ES"/>
              </w:rPr>
            </w:pPr>
            <w:r w:rsidRPr="007226D7">
              <w:rPr>
                <w:rFonts w:cs="Arial"/>
                <w:sz w:val="14"/>
                <w:szCs w:val="14"/>
                <w:lang w:eastAsia="es-ES"/>
              </w:rPr>
              <w:t>11,508</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Callao</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415,888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67,548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73,799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80,098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65,532</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49,250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39,240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22,660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12,171</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5,590</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 xml:space="preserve"> Dist. Carmen de la Legua Reynoso</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41,863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7,008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7,096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7,688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7,170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4,933</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3,437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2,348</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1,510</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673</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Bellavista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75,163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10,691</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11,876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11,549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11,827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10,268</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7,171</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5,742</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4,071</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1,968</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La Perla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61,698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8,373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9,203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10,046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9,860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7,994</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6,516</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5,020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3,221</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1,465</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rPr>
            </w:pPr>
            <w:r w:rsidRPr="007226D7">
              <w:rPr>
                <w:rFonts w:cs="Arial"/>
                <w:color w:val="000000"/>
                <w:sz w:val="14"/>
                <w:szCs w:val="14"/>
              </w:rPr>
              <w:t xml:space="preserve"> Dist. San Miguel</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129,107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16,104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19,136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22,385</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20,709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17,286</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13,786</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9,635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6,647</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rPr>
            </w:pPr>
            <w:r w:rsidRPr="007226D7">
              <w:rPr>
                <w:rFonts w:cs="Arial"/>
                <w:color w:val="000000"/>
                <w:sz w:val="14"/>
                <w:szCs w:val="14"/>
              </w:rPr>
              <w:t>3,419</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Lima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299,493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41,309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48,477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53,610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46,554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38,800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29,472</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19,795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14,375</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7,101</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Breña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81,909</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10,545</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12,756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14,126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12,130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10,866</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8,749</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5,785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4,390</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2,562</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Jesús María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66,171</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6,717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8,704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11,286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10,216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8,564</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7,866</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5,611</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4,412</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2,795</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La Victoria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192,724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28,117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32,447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38,021</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29,154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23,015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17,654</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11,637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8,477</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4,202</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El Agustino</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180,262</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31,654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34,576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36,392</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27,872</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21,147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13,715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7,818</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4,948</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2,140</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San Luis</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54,634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7,864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8,760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10,726</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9,463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6,670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4,392</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3,562</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2,219</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978</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w:t>
            </w:r>
            <w:proofErr w:type="gramStart"/>
            <w:r w:rsidRPr="007226D7">
              <w:rPr>
                <w:rFonts w:cs="Arial"/>
                <w:color w:val="000000"/>
                <w:sz w:val="14"/>
                <w:szCs w:val="14"/>
                <w:lang w:eastAsia="es-ES"/>
              </w:rPr>
              <w:t xml:space="preserve">Santa </w:t>
            </w:r>
            <w:proofErr w:type="gramEnd"/>
            <w:r w:rsidRPr="007226D7">
              <w:rPr>
                <w:rFonts w:cs="Arial"/>
                <w:color w:val="000000"/>
                <w:sz w:val="14"/>
                <w:szCs w:val="14"/>
                <w:lang w:eastAsia="es-ES"/>
              </w:rPr>
              <w:t>Anita</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184,614</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32,070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32,703</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42,840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31,131</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18,695</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13,690</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8,183</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3,703</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1,599</w:t>
            </w:r>
          </w:p>
        </w:tc>
      </w:tr>
      <w:tr w:rsidR="00EA591A" w:rsidRPr="007226D7" w:rsidTr="002733CF">
        <w:trPr>
          <w:trHeight w:val="227"/>
        </w:trPr>
        <w:tc>
          <w:tcPr>
            <w:tcW w:w="1227" w:type="pct"/>
            <w:tcBorders>
              <w:top w:val="nil"/>
              <w:left w:val="single" w:sz="4" w:space="0" w:color="auto"/>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eastAsia="es-ES"/>
              </w:rPr>
            </w:pPr>
            <w:r w:rsidRPr="007226D7">
              <w:rPr>
                <w:rFonts w:cs="Arial"/>
                <w:color w:val="000000"/>
                <w:sz w:val="14"/>
                <w:szCs w:val="14"/>
                <w:lang w:eastAsia="es-ES"/>
              </w:rPr>
              <w:t xml:space="preserve"> Dist. Ate</w:t>
            </w:r>
          </w:p>
        </w:tc>
        <w:tc>
          <w:tcPr>
            <w:tcW w:w="397" w:type="pct"/>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478,278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88,218</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94,247</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101,830</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76,525</w:t>
            </w:r>
          </w:p>
        </w:tc>
        <w:tc>
          <w:tcPr>
            <w:tcW w:w="39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52,403</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33,642</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17,957</w:t>
            </w:r>
          </w:p>
        </w:tc>
        <w:tc>
          <w:tcPr>
            <w:tcW w:w="337"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9,230</w:t>
            </w:r>
          </w:p>
        </w:tc>
        <w:tc>
          <w:tcPr>
            <w:tcW w:w="380" w:type="pct"/>
            <w:tcBorders>
              <w:top w:val="nil"/>
              <w:left w:val="nil"/>
              <w:bottom w:val="nil"/>
              <w:right w:val="single" w:sz="4" w:space="0" w:color="auto"/>
            </w:tcBorders>
            <w:shd w:val="clear" w:color="auto" w:fill="auto"/>
            <w:noWrap/>
            <w:vAlign w:val="center"/>
          </w:tcPr>
          <w:p w:rsidR="00EA591A" w:rsidRPr="007226D7" w:rsidRDefault="00EA591A" w:rsidP="002733CF">
            <w:pPr>
              <w:spacing w:after="0" w:line="240" w:lineRule="auto"/>
              <w:jc w:val="right"/>
              <w:rPr>
                <w:rFonts w:cs="Arial"/>
                <w:color w:val="000000"/>
                <w:sz w:val="14"/>
                <w:szCs w:val="14"/>
                <w:lang w:eastAsia="es-ES"/>
              </w:rPr>
            </w:pPr>
            <w:r w:rsidRPr="007226D7">
              <w:rPr>
                <w:rFonts w:cs="Arial"/>
                <w:color w:val="000000"/>
                <w:sz w:val="14"/>
                <w:szCs w:val="14"/>
                <w:lang w:eastAsia="es-ES"/>
              </w:rPr>
              <w:t>4,226</w:t>
            </w:r>
          </w:p>
        </w:tc>
      </w:tr>
      <w:tr w:rsidR="00EA591A" w:rsidRPr="007226D7" w:rsidTr="002733CF">
        <w:trPr>
          <w:trHeight w:val="227"/>
        </w:trPr>
        <w:tc>
          <w:tcPr>
            <w:tcW w:w="1227" w:type="pct"/>
            <w:tcBorders>
              <w:top w:val="single" w:sz="4" w:space="0" w:color="auto"/>
              <w:left w:val="single" w:sz="4" w:space="0" w:color="auto"/>
              <w:bottom w:val="single" w:sz="4" w:space="0" w:color="auto"/>
              <w:right w:val="nil"/>
            </w:tcBorders>
            <w:shd w:val="clear" w:color="auto" w:fill="auto"/>
            <w:noWrap/>
            <w:vAlign w:val="center"/>
          </w:tcPr>
          <w:p w:rsidR="00EA591A" w:rsidRPr="007226D7" w:rsidRDefault="00EA591A" w:rsidP="002733CF">
            <w:pPr>
              <w:spacing w:after="0" w:line="240" w:lineRule="auto"/>
              <w:rPr>
                <w:rFonts w:cs="Arial"/>
                <w:b/>
                <w:bCs/>
                <w:color w:val="000000"/>
                <w:sz w:val="14"/>
                <w:szCs w:val="14"/>
                <w:lang w:val="es-ES" w:eastAsia="es-ES"/>
              </w:rPr>
            </w:pPr>
            <w:r w:rsidRPr="007226D7">
              <w:rPr>
                <w:rFonts w:cs="Arial"/>
                <w:b/>
                <w:bCs/>
                <w:color w:val="000000"/>
                <w:sz w:val="14"/>
                <w:szCs w:val="14"/>
                <w:lang w:val="es-ES" w:eastAsia="es-ES"/>
              </w:rPr>
              <w:t>Distritos del área de influencia</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2,261,804</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356,218</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393,780</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440,597</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358,143</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269,891</w:t>
            </w:r>
          </w:p>
        </w:tc>
        <w:tc>
          <w:tcPr>
            <w:tcW w:w="33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199,330</w:t>
            </w:r>
          </w:p>
        </w:tc>
        <w:tc>
          <w:tcPr>
            <w:tcW w:w="33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125,753</w:t>
            </w:r>
          </w:p>
        </w:tc>
        <w:tc>
          <w:tcPr>
            <w:tcW w:w="337"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79,374</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38,718</w:t>
            </w:r>
          </w:p>
        </w:tc>
      </w:tr>
      <w:tr w:rsidR="00EA591A" w:rsidRPr="007226D7" w:rsidTr="002733CF">
        <w:trPr>
          <w:trHeight w:val="227"/>
        </w:trPr>
        <w:tc>
          <w:tcPr>
            <w:tcW w:w="1227" w:type="pct"/>
            <w:tcBorders>
              <w:top w:val="nil"/>
              <w:left w:val="single" w:sz="4" w:space="0" w:color="auto"/>
              <w:bottom w:val="single" w:sz="4" w:space="0" w:color="auto"/>
              <w:right w:val="nil"/>
            </w:tcBorders>
            <w:shd w:val="clear" w:color="auto" w:fill="auto"/>
            <w:noWrap/>
            <w:vAlign w:val="center"/>
          </w:tcPr>
          <w:p w:rsidR="00EA591A" w:rsidRPr="007226D7" w:rsidRDefault="00EA591A" w:rsidP="002733CF">
            <w:pPr>
              <w:spacing w:after="0" w:line="240" w:lineRule="auto"/>
              <w:rPr>
                <w:rFonts w:cs="Arial"/>
                <w:b/>
                <w:bCs/>
                <w:color w:val="000000"/>
                <w:sz w:val="14"/>
                <w:szCs w:val="14"/>
                <w:lang w:eastAsia="es-ES"/>
              </w:rPr>
            </w:pPr>
            <w:r w:rsidRPr="007226D7">
              <w:rPr>
                <w:rFonts w:cs="Arial"/>
                <w:b/>
                <w:bCs/>
                <w:color w:val="000000"/>
                <w:sz w:val="14"/>
                <w:szCs w:val="14"/>
                <w:lang w:eastAsia="es-ES"/>
              </w:rPr>
              <w:t xml:space="preserve"> Participación %</w:t>
            </w:r>
          </w:p>
        </w:tc>
        <w:tc>
          <w:tcPr>
            <w:tcW w:w="397" w:type="pct"/>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b/>
                <w:bCs/>
                <w:color w:val="000000"/>
                <w:sz w:val="14"/>
                <w:szCs w:val="14"/>
              </w:rPr>
            </w:pPr>
            <w:r w:rsidRPr="007226D7">
              <w:rPr>
                <w:rFonts w:cs="Arial"/>
                <w:b/>
                <w:bCs/>
                <w:color w:val="000000"/>
                <w:sz w:val="14"/>
                <w:szCs w:val="14"/>
              </w:rPr>
              <w:t>100.0</w:t>
            </w:r>
          </w:p>
        </w:tc>
        <w:tc>
          <w:tcPr>
            <w:tcW w:w="39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15.7</w:t>
            </w:r>
          </w:p>
        </w:tc>
        <w:tc>
          <w:tcPr>
            <w:tcW w:w="39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17.4</w:t>
            </w:r>
          </w:p>
        </w:tc>
        <w:tc>
          <w:tcPr>
            <w:tcW w:w="39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19.5</w:t>
            </w:r>
          </w:p>
        </w:tc>
        <w:tc>
          <w:tcPr>
            <w:tcW w:w="39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15.8</w:t>
            </w:r>
          </w:p>
        </w:tc>
        <w:tc>
          <w:tcPr>
            <w:tcW w:w="39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11.9</w:t>
            </w:r>
          </w:p>
        </w:tc>
        <w:tc>
          <w:tcPr>
            <w:tcW w:w="33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8.8</w:t>
            </w:r>
          </w:p>
        </w:tc>
        <w:tc>
          <w:tcPr>
            <w:tcW w:w="33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5.6</w:t>
            </w:r>
          </w:p>
        </w:tc>
        <w:tc>
          <w:tcPr>
            <w:tcW w:w="337"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3.5</w:t>
            </w:r>
          </w:p>
        </w:tc>
        <w:tc>
          <w:tcPr>
            <w:tcW w:w="380" w:type="pct"/>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center"/>
              <w:rPr>
                <w:rFonts w:cs="Arial"/>
                <w:b/>
                <w:bCs/>
                <w:color w:val="000000"/>
                <w:sz w:val="14"/>
                <w:szCs w:val="14"/>
              </w:rPr>
            </w:pPr>
            <w:r w:rsidRPr="007226D7">
              <w:rPr>
                <w:rFonts w:cs="Arial"/>
                <w:b/>
                <w:bCs/>
                <w:color w:val="000000"/>
                <w:sz w:val="14"/>
                <w:szCs w:val="14"/>
              </w:rPr>
              <w:t>1.7</w:t>
            </w:r>
          </w:p>
        </w:tc>
      </w:tr>
      <w:tr w:rsidR="00EA591A" w:rsidRPr="0013314C" w:rsidTr="002733CF">
        <w:trPr>
          <w:trHeight w:val="227"/>
        </w:trPr>
        <w:tc>
          <w:tcPr>
            <w:tcW w:w="5000" w:type="pct"/>
            <w:gridSpan w:val="11"/>
            <w:tcBorders>
              <w:top w:val="single" w:sz="4" w:space="0" w:color="auto"/>
              <w:left w:val="nil"/>
              <w:bottom w:val="nil"/>
              <w:right w:val="nil"/>
            </w:tcBorders>
            <w:shd w:val="clear" w:color="auto" w:fill="auto"/>
            <w:noWrap/>
            <w:vAlign w:val="center"/>
          </w:tcPr>
          <w:p w:rsidR="00EA591A" w:rsidRPr="007226D7" w:rsidRDefault="00EA591A"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 xml:space="preserve"> Fuente: Censos Nacionales 2007 XI de Población - VI de Vivienda – INEI</w:t>
            </w:r>
          </w:p>
        </w:tc>
      </w:tr>
    </w:tbl>
    <w:p w:rsidR="0056369A" w:rsidRPr="007226D7" w:rsidRDefault="0056369A" w:rsidP="0056369A">
      <w:pPr>
        <w:rPr>
          <w:lang w:val="es-ES"/>
        </w:rPr>
      </w:pPr>
    </w:p>
    <w:p w:rsidR="0056369A" w:rsidRPr="007226D7" w:rsidRDefault="0056369A" w:rsidP="00EA591A">
      <w:pPr>
        <w:pStyle w:val="Heading6"/>
        <w:rPr>
          <w:lang w:val="es-ES"/>
        </w:rPr>
      </w:pPr>
      <w:r w:rsidRPr="007226D7">
        <w:rPr>
          <w:lang w:val="es-ES"/>
        </w:rPr>
        <w:t>Crecimiento demográfico</w:t>
      </w:r>
    </w:p>
    <w:p w:rsidR="0056369A" w:rsidRPr="007226D7" w:rsidRDefault="0056369A" w:rsidP="0056369A">
      <w:pPr>
        <w:rPr>
          <w:lang w:val="es-ES"/>
        </w:rPr>
      </w:pPr>
      <w:r w:rsidRPr="007226D7">
        <w:rPr>
          <w:lang w:val="es-ES"/>
        </w:rPr>
        <w:t>Desde 1940, la población del departamento de Lima y la Provincia del Callao han tenido un crecimiento alto, llegándose a un promedio anual del 4.89% durante el periodo intercensal 1961-1972, siguiendo una tendencia declinable llegando a tener un crecimiento promedio anual de 2.04% en el periodo intercensal 1993-2007. Asimismo, podemos observar que la población de las áreas urbanas ha tenido diferente comportamiento respecto al de las áreas rurales, así tenemos que entre los dos últimos censos poblacionales la población urbana ha tenido un crecimiento del 2.13% promedio anual y la población rural un decrecimiento del -1.46% promedio anual. En la Tabla 3.1-23 se presenta las poblaciones en cada uno de los censos desde 1940 al 2007, clasificados por zonas urbanas y rurales, así como los crecimientos intercensales anuales.</w:t>
      </w:r>
    </w:p>
    <w:tbl>
      <w:tblPr>
        <w:tblW w:w="5000" w:type="pct"/>
        <w:jc w:val="center"/>
        <w:tblCellMar>
          <w:left w:w="70" w:type="dxa"/>
          <w:right w:w="70" w:type="dxa"/>
        </w:tblCellMar>
        <w:tblLook w:val="0000" w:firstRow="0" w:lastRow="0" w:firstColumn="0" w:lastColumn="0" w:noHBand="0" w:noVBand="0"/>
      </w:tblPr>
      <w:tblGrid>
        <w:gridCol w:w="779"/>
        <w:gridCol w:w="1181"/>
        <w:gridCol w:w="1033"/>
        <w:gridCol w:w="1130"/>
        <w:gridCol w:w="1130"/>
        <w:gridCol w:w="864"/>
        <w:gridCol w:w="1132"/>
        <w:gridCol w:w="879"/>
        <w:gridCol w:w="710"/>
        <w:gridCol w:w="657"/>
      </w:tblGrid>
      <w:tr w:rsidR="00EA591A" w:rsidRPr="0013314C" w:rsidTr="002733CF">
        <w:trPr>
          <w:trHeight w:val="227"/>
          <w:jc w:val="center"/>
        </w:trPr>
        <w:tc>
          <w:tcPr>
            <w:tcW w:w="5000" w:type="pct"/>
            <w:gridSpan w:val="10"/>
            <w:tcBorders>
              <w:top w:val="nil"/>
              <w:left w:val="nil"/>
              <w:bottom w:val="single" w:sz="4" w:space="0" w:color="auto"/>
              <w:right w:val="nil"/>
            </w:tcBorders>
            <w:noWrap/>
            <w:vAlign w:val="center"/>
          </w:tcPr>
          <w:p w:rsidR="00EA591A" w:rsidRPr="007226D7" w:rsidRDefault="00EA591A" w:rsidP="002733CF">
            <w:pPr>
              <w:spacing w:after="0" w:line="240" w:lineRule="auto"/>
              <w:jc w:val="center"/>
              <w:rPr>
                <w:rFonts w:cs="Arial"/>
                <w:b/>
                <w:bCs/>
                <w:sz w:val="16"/>
                <w:szCs w:val="16"/>
                <w:lang w:val="es-ES"/>
              </w:rPr>
            </w:pPr>
            <w:r w:rsidRPr="007226D7">
              <w:rPr>
                <w:rFonts w:cs="Arial"/>
                <w:b/>
                <w:bCs/>
                <w:sz w:val="16"/>
                <w:szCs w:val="16"/>
                <w:lang w:val="es-ES"/>
              </w:rPr>
              <w:t>Tabla Nº 3.1-23 Lima y Callao: Población Nominalmente Censada Y Crecimiento Intercensal 1940-2007</w:t>
            </w:r>
          </w:p>
        </w:tc>
      </w:tr>
      <w:tr w:rsidR="00EA591A" w:rsidRPr="007226D7" w:rsidTr="002733CF">
        <w:trPr>
          <w:trHeight w:val="227"/>
          <w:jc w:val="center"/>
        </w:trPr>
        <w:tc>
          <w:tcPr>
            <w:tcW w:w="410" w:type="pct"/>
            <w:vMerge w:val="restart"/>
            <w:tcBorders>
              <w:top w:val="single" w:sz="4" w:space="0" w:color="auto"/>
              <w:left w:val="single" w:sz="4"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Censo</w:t>
            </w:r>
          </w:p>
        </w:tc>
        <w:tc>
          <w:tcPr>
            <w:tcW w:w="1761" w:type="pct"/>
            <w:gridSpan w:val="3"/>
            <w:tcBorders>
              <w:top w:val="single" w:sz="4"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Total</w:t>
            </w:r>
          </w:p>
        </w:tc>
        <w:tc>
          <w:tcPr>
            <w:tcW w:w="1646" w:type="pct"/>
            <w:gridSpan w:val="3"/>
            <w:tcBorders>
              <w:top w:val="single" w:sz="4"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Incremento Intercensal</w:t>
            </w:r>
          </w:p>
        </w:tc>
        <w:tc>
          <w:tcPr>
            <w:tcW w:w="1183" w:type="pct"/>
            <w:gridSpan w:val="3"/>
            <w:tcBorders>
              <w:top w:val="single" w:sz="4" w:space="0" w:color="auto"/>
              <w:left w:val="single" w:sz="6" w:space="0" w:color="auto"/>
              <w:bottom w:val="single" w:sz="6" w:space="0" w:color="auto"/>
              <w:right w:val="single" w:sz="4"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 xml:space="preserve">Crecim. Intercensal </w:t>
            </w:r>
          </w:p>
        </w:tc>
      </w:tr>
      <w:tr w:rsidR="00EA591A" w:rsidRPr="007226D7" w:rsidTr="002733CF">
        <w:trPr>
          <w:trHeight w:val="227"/>
          <w:jc w:val="center"/>
        </w:trPr>
        <w:tc>
          <w:tcPr>
            <w:tcW w:w="410" w:type="pct"/>
            <w:vMerge/>
            <w:tcBorders>
              <w:top w:val="single" w:sz="6" w:space="0" w:color="auto"/>
              <w:left w:val="single" w:sz="4" w:space="0" w:color="auto"/>
              <w:bottom w:val="single" w:sz="6" w:space="0" w:color="auto"/>
              <w:right w:val="single" w:sz="6" w:space="0" w:color="auto"/>
            </w:tcBorders>
            <w:vAlign w:val="center"/>
          </w:tcPr>
          <w:p w:rsidR="00EA591A" w:rsidRPr="007226D7" w:rsidRDefault="00EA591A" w:rsidP="002733CF">
            <w:pPr>
              <w:spacing w:after="0" w:line="240" w:lineRule="auto"/>
              <w:rPr>
                <w:rFonts w:cs="Arial"/>
                <w:b/>
                <w:bCs/>
                <w:sz w:val="16"/>
                <w:szCs w:val="16"/>
              </w:rPr>
            </w:pPr>
          </w:p>
        </w:tc>
        <w:tc>
          <w:tcPr>
            <w:tcW w:w="622"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Urbana</w:t>
            </w:r>
          </w:p>
        </w:tc>
        <w:tc>
          <w:tcPr>
            <w:tcW w:w="544"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Rural</w:t>
            </w:r>
          </w:p>
        </w:tc>
        <w:tc>
          <w:tcPr>
            <w:tcW w:w="595"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Total</w:t>
            </w:r>
          </w:p>
        </w:tc>
        <w:tc>
          <w:tcPr>
            <w:tcW w:w="595"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Urbana</w:t>
            </w:r>
          </w:p>
        </w:tc>
        <w:tc>
          <w:tcPr>
            <w:tcW w:w="455"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Rural</w:t>
            </w:r>
          </w:p>
        </w:tc>
        <w:tc>
          <w:tcPr>
            <w:tcW w:w="596"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Total</w:t>
            </w:r>
          </w:p>
        </w:tc>
        <w:tc>
          <w:tcPr>
            <w:tcW w:w="463"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Urbana</w:t>
            </w:r>
          </w:p>
        </w:tc>
        <w:tc>
          <w:tcPr>
            <w:tcW w:w="374" w:type="pct"/>
            <w:tcBorders>
              <w:top w:val="single" w:sz="6" w:space="0" w:color="auto"/>
              <w:left w:val="single" w:sz="6" w:space="0" w:color="auto"/>
              <w:bottom w:val="single" w:sz="6" w:space="0" w:color="auto"/>
              <w:right w:val="single" w:sz="6"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Rural</w:t>
            </w:r>
          </w:p>
        </w:tc>
        <w:tc>
          <w:tcPr>
            <w:tcW w:w="346" w:type="pct"/>
            <w:tcBorders>
              <w:top w:val="single" w:sz="6" w:space="0" w:color="auto"/>
              <w:left w:val="single" w:sz="6" w:space="0" w:color="auto"/>
              <w:bottom w:val="single" w:sz="6" w:space="0" w:color="auto"/>
              <w:right w:val="single" w:sz="4" w:space="0" w:color="auto"/>
            </w:tcBorders>
            <w:shd w:val="clear" w:color="auto" w:fill="99CCFF"/>
            <w:noWrap/>
            <w:vAlign w:val="center"/>
          </w:tcPr>
          <w:p w:rsidR="00EA591A" w:rsidRPr="007226D7" w:rsidRDefault="00EA591A" w:rsidP="002733CF">
            <w:pPr>
              <w:spacing w:after="0" w:line="240" w:lineRule="auto"/>
              <w:jc w:val="center"/>
              <w:rPr>
                <w:rFonts w:cs="Arial"/>
                <w:b/>
                <w:bCs/>
                <w:sz w:val="16"/>
                <w:szCs w:val="16"/>
              </w:rPr>
            </w:pPr>
            <w:r w:rsidRPr="007226D7">
              <w:rPr>
                <w:rFonts w:cs="Arial"/>
                <w:b/>
                <w:bCs/>
                <w:sz w:val="16"/>
                <w:szCs w:val="16"/>
              </w:rPr>
              <w:t>Total</w:t>
            </w:r>
          </w:p>
        </w:tc>
      </w:tr>
      <w:tr w:rsidR="00EA591A" w:rsidRPr="007226D7" w:rsidTr="002733CF">
        <w:trPr>
          <w:trHeight w:val="227"/>
          <w:jc w:val="center"/>
        </w:trPr>
        <w:tc>
          <w:tcPr>
            <w:tcW w:w="410" w:type="pct"/>
            <w:tcBorders>
              <w:top w:val="single" w:sz="6" w:space="0" w:color="auto"/>
              <w:left w:val="single" w:sz="4"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1940</w:t>
            </w:r>
          </w:p>
        </w:tc>
        <w:tc>
          <w:tcPr>
            <w:tcW w:w="622"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711,441</w:t>
            </w:r>
          </w:p>
        </w:tc>
        <w:tc>
          <w:tcPr>
            <w:tcW w:w="544"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199,144</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910,585</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 </w:t>
            </w:r>
          </w:p>
        </w:tc>
        <w:tc>
          <w:tcPr>
            <w:tcW w:w="45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 </w:t>
            </w:r>
          </w:p>
        </w:tc>
        <w:tc>
          <w:tcPr>
            <w:tcW w:w="596"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 </w:t>
            </w:r>
          </w:p>
        </w:tc>
        <w:tc>
          <w:tcPr>
            <w:tcW w:w="463"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 </w:t>
            </w:r>
          </w:p>
        </w:tc>
        <w:tc>
          <w:tcPr>
            <w:tcW w:w="374"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 </w:t>
            </w:r>
          </w:p>
        </w:tc>
        <w:tc>
          <w:tcPr>
            <w:tcW w:w="346" w:type="pct"/>
            <w:tcBorders>
              <w:top w:val="single" w:sz="6" w:space="0" w:color="auto"/>
              <w:left w:val="single" w:sz="6" w:space="0" w:color="auto"/>
              <w:bottom w:val="single" w:sz="6"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 </w:t>
            </w:r>
          </w:p>
        </w:tc>
      </w:tr>
      <w:tr w:rsidR="00EA591A" w:rsidRPr="007226D7" w:rsidTr="002733CF">
        <w:trPr>
          <w:trHeight w:val="227"/>
          <w:jc w:val="center"/>
        </w:trPr>
        <w:tc>
          <w:tcPr>
            <w:tcW w:w="410" w:type="pct"/>
            <w:tcBorders>
              <w:top w:val="single" w:sz="6" w:space="0" w:color="auto"/>
              <w:left w:val="single" w:sz="4"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1961</w:t>
            </w:r>
          </w:p>
        </w:tc>
        <w:tc>
          <w:tcPr>
            <w:tcW w:w="622"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1,957,267</w:t>
            </w:r>
          </w:p>
        </w:tc>
        <w:tc>
          <w:tcPr>
            <w:tcW w:w="544"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287,324</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2,244,591</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1,245,826</w:t>
            </w:r>
          </w:p>
        </w:tc>
        <w:tc>
          <w:tcPr>
            <w:tcW w:w="45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88,180</w:t>
            </w:r>
          </w:p>
        </w:tc>
        <w:tc>
          <w:tcPr>
            <w:tcW w:w="596"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1,334,006</w:t>
            </w:r>
          </w:p>
        </w:tc>
        <w:tc>
          <w:tcPr>
            <w:tcW w:w="463"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4.94%</w:t>
            </w:r>
          </w:p>
        </w:tc>
        <w:tc>
          <w:tcPr>
            <w:tcW w:w="374"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1.76%</w:t>
            </w:r>
          </w:p>
        </w:tc>
        <w:tc>
          <w:tcPr>
            <w:tcW w:w="346" w:type="pct"/>
            <w:tcBorders>
              <w:top w:val="single" w:sz="6" w:space="0" w:color="auto"/>
              <w:left w:val="single" w:sz="6" w:space="0" w:color="auto"/>
              <w:bottom w:val="single" w:sz="6"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4.39%</w:t>
            </w:r>
          </w:p>
        </w:tc>
      </w:tr>
      <w:tr w:rsidR="00EA591A" w:rsidRPr="007226D7" w:rsidTr="002733CF">
        <w:trPr>
          <w:trHeight w:val="227"/>
          <w:jc w:val="center"/>
        </w:trPr>
        <w:tc>
          <w:tcPr>
            <w:tcW w:w="410" w:type="pct"/>
            <w:tcBorders>
              <w:top w:val="single" w:sz="6" w:space="0" w:color="auto"/>
              <w:left w:val="single" w:sz="4"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1972</w:t>
            </w:r>
          </w:p>
        </w:tc>
        <w:tc>
          <w:tcPr>
            <w:tcW w:w="622"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3,554,367</w:t>
            </w:r>
          </w:p>
        </w:tc>
        <w:tc>
          <w:tcPr>
            <w:tcW w:w="544"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239,428</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3,793,795</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1,597,100</w:t>
            </w:r>
          </w:p>
        </w:tc>
        <w:tc>
          <w:tcPr>
            <w:tcW w:w="45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-47,896</w:t>
            </w:r>
          </w:p>
        </w:tc>
        <w:tc>
          <w:tcPr>
            <w:tcW w:w="596"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1,549,204</w:t>
            </w:r>
          </w:p>
        </w:tc>
        <w:tc>
          <w:tcPr>
            <w:tcW w:w="463"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5.57%</w:t>
            </w:r>
          </w:p>
        </w:tc>
        <w:tc>
          <w:tcPr>
            <w:tcW w:w="374"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-1.64%</w:t>
            </w:r>
          </w:p>
        </w:tc>
        <w:tc>
          <w:tcPr>
            <w:tcW w:w="346" w:type="pct"/>
            <w:tcBorders>
              <w:top w:val="single" w:sz="6" w:space="0" w:color="auto"/>
              <w:left w:val="single" w:sz="6" w:space="0" w:color="auto"/>
              <w:bottom w:val="single" w:sz="6"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4.89%</w:t>
            </w:r>
          </w:p>
        </w:tc>
      </w:tr>
      <w:tr w:rsidR="00EA591A" w:rsidRPr="007226D7" w:rsidTr="002733CF">
        <w:trPr>
          <w:trHeight w:val="227"/>
          <w:jc w:val="center"/>
        </w:trPr>
        <w:tc>
          <w:tcPr>
            <w:tcW w:w="410" w:type="pct"/>
            <w:tcBorders>
              <w:top w:val="single" w:sz="6" w:space="0" w:color="auto"/>
              <w:left w:val="single" w:sz="4"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1981</w:t>
            </w:r>
          </w:p>
        </w:tc>
        <w:tc>
          <w:tcPr>
            <w:tcW w:w="622"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4,983,357</w:t>
            </w:r>
          </w:p>
        </w:tc>
        <w:tc>
          <w:tcPr>
            <w:tcW w:w="544"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205,933</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5,189,290</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1,428,990</w:t>
            </w:r>
          </w:p>
        </w:tc>
        <w:tc>
          <w:tcPr>
            <w:tcW w:w="45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-33,495</w:t>
            </w:r>
          </w:p>
        </w:tc>
        <w:tc>
          <w:tcPr>
            <w:tcW w:w="596"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1,395,495</w:t>
            </w:r>
          </w:p>
        </w:tc>
        <w:tc>
          <w:tcPr>
            <w:tcW w:w="463"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3.83%</w:t>
            </w:r>
          </w:p>
        </w:tc>
        <w:tc>
          <w:tcPr>
            <w:tcW w:w="374"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-1.66%</w:t>
            </w:r>
          </w:p>
        </w:tc>
        <w:tc>
          <w:tcPr>
            <w:tcW w:w="346" w:type="pct"/>
            <w:tcBorders>
              <w:top w:val="single" w:sz="6" w:space="0" w:color="auto"/>
              <w:left w:val="single" w:sz="6" w:space="0" w:color="auto"/>
              <w:bottom w:val="single" w:sz="6"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3.54%</w:t>
            </w:r>
          </w:p>
        </w:tc>
      </w:tr>
      <w:tr w:rsidR="00EA591A" w:rsidRPr="007226D7" w:rsidTr="002733CF">
        <w:trPr>
          <w:trHeight w:val="227"/>
          <w:jc w:val="center"/>
        </w:trPr>
        <w:tc>
          <w:tcPr>
            <w:tcW w:w="410" w:type="pct"/>
            <w:tcBorders>
              <w:top w:val="single" w:sz="6" w:space="0" w:color="auto"/>
              <w:left w:val="single" w:sz="4"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1993</w:t>
            </w:r>
          </w:p>
        </w:tc>
        <w:tc>
          <w:tcPr>
            <w:tcW w:w="622"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6,818,052</w:t>
            </w:r>
          </w:p>
        </w:tc>
        <w:tc>
          <w:tcPr>
            <w:tcW w:w="544" w:type="pct"/>
            <w:tcBorders>
              <w:top w:val="single" w:sz="6" w:space="0" w:color="auto"/>
              <w:left w:val="single" w:sz="6" w:space="0" w:color="auto"/>
              <w:bottom w:val="single" w:sz="6"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207,985</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7,026,037</w:t>
            </w:r>
          </w:p>
        </w:tc>
        <w:tc>
          <w:tcPr>
            <w:tcW w:w="59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1,834,695</w:t>
            </w:r>
          </w:p>
        </w:tc>
        <w:tc>
          <w:tcPr>
            <w:tcW w:w="455"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2,052</w:t>
            </w:r>
          </w:p>
        </w:tc>
        <w:tc>
          <w:tcPr>
            <w:tcW w:w="596"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1,836,747</w:t>
            </w:r>
          </w:p>
        </w:tc>
        <w:tc>
          <w:tcPr>
            <w:tcW w:w="463"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2.65%</w:t>
            </w:r>
          </w:p>
        </w:tc>
        <w:tc>
          <w:tcPr>
            <w:tcW w:w="374" w:type="pct"/>
            <w:tcBorders>
              <w:top w:val="single" w:sz="6" w:space="0" w:color="auto"/>
              <w:left w:val="single" w:sz="6" w:space="0" w:color="auto"/>
              <w:bottom w:val="single" w:sz="6"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0.08%</w:t>
            </w:r>
          </w:p>
        </w:tc>
        <w:tc>
          <w:tcPr>
            <w:tcW w:w="346" w:type="pct"/>
            <w:tcBorders>
              <w:top w:val="single" w:sz="6" w:space="0" w:color="auto"/>
              <w:left w:val="single" w:sz="6" w:space="0" w:color="auto"/>
              <w:bottom w:val="single" w:sz="6"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2.56%</w:t>
            </w:r>
          </w:p>
        </w:tc>
      </w:tr>
      <w:tr w:rsidR="00EA591A" w:rsidRPr="007226D7" w:rsidTr="002733CF">
        <w:trPr>
          <w:trHeight w:val="227"/>
          <w:jc w:val="center"/>
        </w:trPr>
        <w:tc>
          <w:tcPr>
            <w:tcW w:w="410" w:type="pct"/>
            <w:tcBorders>
              <w:top w:val="single" w:sz="6" w:space="0" w:color="auto"/>
              <w:left w:val="single" w:sz="4" w:space="0" w:color="auto"/>
              <w:bottom w:val="single" w:sz="4"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2007</w:t>
            </w:r>
          </w:p>
        </w:tc>
        <w:tc>
          <w:tcPr>
            <w:tcW w:w="622" w:type="pct"/>
            <w:tcBorders>
              <w:top w:val="single" w:sz="6" w:space="0" w:color="auto"/>
              <w:left w:val="single" w:sz="6" w:space="0" w:color="auto"/>
              <w:bottom w:val="single" w:sz="4"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9,152,700</w:t>
            </w:r>
          </w:p>
        </w:tc>
        <w:tc>
          <w:tcPr>
            <w:tcW w:w="544" w:type="pct"/>
            <w:tcBorders>
              <w:top w:val="single" w:sz="6" w:space="0" w:color="auto"/>
              <w:left w:val="single" w:sz="6" w:space="0" w:color="auto"/>
              <w:bottom w:val="single" w:sz="4" w:space="0" w:color="auto"/>
              <w:right w:val="single" w:sz="6" w:space="0" w:color="auto"/>
            </w:tcBorders>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169,388</w:t>
            </w:r>
          </w:p>
        </w:tc>
        <w:tc>
          <w:tcPr>
            <w:tcW w:w="595"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9,322,088</w:t>
            </w:r>
          </w:p>
        </w:tc>
        <w:tc>
          <w:tcPr>
            <w:tcW w:w="595"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2,334,648</w:t>
            </w:r>
          </w:p>
        </w:tc>
        <w:tc>
          <w:tcPr>
            <w:tcW w:w="455"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-38,597</w:t>
            </w:r>
          </w:p>
        </w:tc>
        <w:tc>
          <w:tcPr>
            <w:tcW w:w="596"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right"/>
              <w:rPr>
                <w:rFonts w:cs="Arial"/>
                <w:sz w:val="16"/>
                <w:szCs w:val="16"/>
              </w:rPr>
            </w:pPr>
            <w:r w:rsidRPr="007226D7">
              <w:rPr>
                <w:rFonts w:cs="Arial"/>
                <w:sz w:val="16"/>
                <w:szCs w:val="16"/>
              </w:rPr>
              <w:t>2,296,051</w:t>
            </w:r>
          </w:p>
        </w:tc>
        <w:tc>
          <w:tcPr>
            <w:tcW w:w="463"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2.13%</w:t>
            </w:r>
          </w:p>
        </w:tc>
        <w:tc>
          <w:tcPr>
            <w:tcW w:w="374" w:type="pct"/>
            <w:tcBorders>
              <w:top w:val="single" w:sz="6" w:space="0" w:color="auto"/>
              <w:left w:val="single" w:sz="6" w:space="0" w:color="auto"/>
              <w:bottom w:val="single" w:sz="4" w:space="0" w:color="auto"/>
              <w:right w:val="single" w:sz="6"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-1.46%</w:t>
            </w:r>
          </w:p>
        </w:tc>
        <w:tc>
          <w:tcPr>
            <w:tcW w:w="346" w:type="pct"/>
            <w:tcBorders>
              <w:top w:val="single" w:sz="6" w:space="0" w:color="auto"/>
              <w:left w:val="single" w:sz="6" w:space="0" w:color="auto"/>
              <w:bottom w:val="single" w:sz="4" w:space="0" w:color="auto"/>
              <w:right w:val="single" w:sz="4" w:space="0" w:color="auto"/>
            </w:tcBorders>
            <w:noWrap/>
            <w:vAlign w:val="center"/>
          </w:tcPr>
          <w:p w:rsidR="00EA591A" w:rsidRPr="007226D7" w:rsidRDefault="00EA591A" w:rsidP="002733CF">
            <w:pPr>
              <w:spacing w:after="0" w:line="240" w:lineRule="auto"/>
              <w:jc w:val="center"/>
              <w:rPr>
                <w:rFonts w:cs="Arial"/>
                <w:sz w:val="16"/>
                <w:szCs w:val="16"/>
              </w:rPr>
            </w:pPr>
            <w:r w:rsidRPr="007226D7">
              <w:rPr>
                <w:rFonts w:cs="Arial"/>
                <w:sz w:val="16"/>
                <w:szCs w:val="16"/>
              </w:rPr>
              <w:t>2.04%</w:t>
            </w:r>
          </w:p>
        </w:tc>
      </w:tr>
      <w:tr w:rsidR="00EA591A" w:rsidRPr="0013314C" w:rsidTr="002733CF">
        <w:trPr>
          <w:trHeight w:val="227"/>
          <w:jc w:val="center"/>
        </w:trPr>
        <w:tc>
          <w:tcPr>
            <w:tcW w:w="5000" w:type="pct"/>
            <w:gridSpan w:val="10"/>
            <w:tcBorders>
              <w:top w:val="single" w:sz="4" w:space="0" w:color="auto"/>
              <w:left w:val="nil"/>
              <w:bottom w:val="nil"/>
              <w:right w:val="nil"/>
            </w:tcBorders>
            <w:noWrap/>
            <w:vAlign w:val="center"/>
          </w:tcPr>
          <w:p w:rsidR="00EA591A" w:rsidRPr="007226D7" w:rsidRDefault="00EA591A" w:rsidP="002733CF">
            <w:pPr>
              <w:spacing w:after="0" w:line="240" w:lineRule="auto"/>
              <w:rPr>
                <w:rFonts w:cs="Arial"/>
                <w:sz w:val="14"/>
                <w:szCs w:val="14"/>
                <w:lang w:val="es-ES"/>
              </w:rPr>
            </w:pPr>
            <w:r w:rsidRPr="007226D7">
              <w:rPr>
                <w:rFonts w:cs="Arial"/>
                <w:sz w:val="14"/>
                <w:szCs w:val="14"/>
                <w:lang w:val="es-ES"/>
              </w:rPr>
              <w:t xml:space="preserve"> Fuente: INEI – Censos de Población y vivienda 1972, 1981, 2007</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 la Figura 3.1-7 podemos observar el comportamiento de la tasa de crecimiento promedio anual intercensal en el periodo 1940-2007. En el periodo intercensal 1993-2007 la población de la región Lima se incrementó en 2</w:t>
      </w:r>
      <w:proofErr w:type="gramStart"/>
      <w:r w:rsidRPr="007226D7">
        <w:rPr>
          <w:lang w:val="es-ES"/>
        </w:rPr>
        <w:t>,296,051</w:t>
      </w:r>
      <w:proofErr w:type="gramEnd"/>
      <w:r w:rsidRPr="007226D7">
        <w:rPr>
          <w:lang w:val="es-ES"/>
        </w:rPr>
        <w:t xml:space="preserve"> habitantes, equivalente a 164,004 habitantes por </w:t>
      </w:r>
      <w:r w:rsidRPr="007226D7">
        <w:rPr>
          <w:lang w:val="es-ES"/>
        </w:rPr>
        <w:lastRenderedPageBreak/>
        <w:t>año, obteniéndose un incremento del 32.7% respecto a la población de 1993 que fue de 7,026,037 habitantes.</w:t>
      </w:r>
    </w:p>
    <w:p w:rsidR="0056369A" w:rsidRPr="007226D7" w:rsidRDefault="0056369A" w:rsidP="0073326C">
      <w:pPr>
        <w:spacing w:after="0" w:line="240" w:lineRule="auto"/>
        <w:rPr>
          <w:lang w:val="es-ES"/>
        </w:rPr>
      </w:pPr>
    </w:p>
    <w:p w:rsidR="0056369A" w:rsidRPr="007226D7" w:rsidRDefault="0056369A" w:rsidP="0056369A">
      <w:pPr>
        <w:rPr>
          <w:lang w:val="es-ES"/>
        </w:rPr>
      </w:pPr>
      <w:r w:rsidRPr="007226D7">
        <w:rPr>
          <w:lang w:val="es-ES"/>
        </w:rPr>
        <w:t>El crecimiento promedio anual en el periodo 1993-2007 fue de 2.04%, crecimiento menor a los periodos intercensales anteriores el cual se explica principalmente por la reducción de los niveles de fecundidad (indicadores demográficos).</w:t>
      </w:r>
    </w:p>
    <w:p w:rsidR="00EA591A" w:rsidRPr="007226D7" w:rsidRDefault="00EA591A" w:rsidP="0056369A">
      <w:pPr>
        <w:rPr>
          <w:lang w:val="es-ES"/>
        </w:rPr>
      </w:pPr>
    </w:p>
    <w:p w:rsidR="0056369A" w:rsidRPr="007226D7" w:rsidRDefault="00EA591A" w:rsidP="00EA591A">
      <w:pPr>
        <w:jc w:val="center"/>
        <w:rPr>
          <w:lang w:val="es-ES"/>
        </w:rPr>
      </w:pPr>
      <w:r w:rsidRPr="007226D7">
        <w:rPr>
          <w:noProof/>
          <w:lang w:val="en-US" w:eastAsia="en-US"/>
        </w:rPr>
        <w:drawing>
          <wp:inline distT="0" distB="0" distL="0" distR="0" wp14:anchorId="6A613B4D" wp14:editId="2F2CE2EC">
            <wp:extent cx="3752850" cy="2113915"/>
            <wp:effectExtent l="0" t="0" r="0" b="0"/>
            <wp:docPr id="47"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52850" cy="2113915"/>
                    </a:xfrm>
                    <a:prstGeom prst="rect">
                      <a:avLst/>
                    </a:prstGeom>
                    <a:noFill/>
                    <a:ln>
                      <a:noFill/>
                    </a:ln>
                  </pic:spPr>
                </pic:pic>
              </a:graphicData>
            </a:graphic>
          </wp:inline>
        </w:drawing>
      </w:r>
    </w:p>
    <w:p w:rsidR="0056369A" w:rsidRPr="007226D7" w:rsidRDefault="0056369A" w:rsidP="00EA591A">
      <w:pPr>
        <w:pStyle w:val="Figuras"/>
      </w:pPr>
      <w:r w:rsidRPr="007226D7">
        <w:t xml:space="preserve"> Figura  3.1-7 Lima y Callao: Población y Tasa De Crecimiento Promedio Anual 1940-2007</w:t>
      </w:r>
    </w:p>
    <w:p w:rsidR="0056369A" w:rsidRPr="007226D7" w:rsidRDefault="0056369A" w:rsidP="0056369A">
      <w:pPr>
        <w:rPr>
          <w:lang w:val="es-ES"/>
        </w:rPr>
      </w:pPr>
      <w:r w:rsidRPr="007226D7">
        <w:rPr>
          <w:lang w:val="es-ES"/>
        </w:rPr>
        <w:t xml:space="preserve">De acuerdo a los censos realizados en el año 1993 y 2007 por el INEI, los distritos del área de influencia cuentan con una población de 2,525,449 habitantes para el año 2007, teniendo un crecimiento promedio anual de 2.93%, crecimiento poblacional superior al departamento de Lima que fue de 2.04%. </w:t>
      </w:r>
    </w:p>
    <w:p w:rsidR="0056369A" w:rsidRPr="007226D7" w:rsidRDefault="0056369A" w:rsidP="0056369A">
      <w:pPr>
        <w:rPr>
          <w:lang w:val="es-ES"/>
        </w:rPr>
      </w:pPr>
      <w:r w:rsidRPr="007226D7">
        <w:rPr>
          <w:lang w:val="es-ES"/>
        </w:rPr>
        <w:t>En relación al crecimiento de la población del área de influencia esta asciende a 1.00% en el periodo intercensal 1993-2007. A nivel distrital, las tasas de crecimiento más altas se encuentran en el distrito de ATE (4.27%) y Santa Anita (3.21%). Los distritos que presentan tasas de crecimiento negativas son Lima Cercado (-0.91%),  Breña (-0.67%) y La Victoria (-1.16%). (Ver Tabla 3.1-24)</w:t>
      </w:r>
    </w:p>
    <w:p w:rsidR="00EA591A" w:rsidRPr="007226D7" w:rsidRDefault="00EA591A" w:rsidP="0073326C">
      <w:pPr>
        <w:spacing w:after="0" w:line="240" w:lineRule="auto"/>
        <w:rPr>
          <w:lang w:val="es-ES"/>
        </w:rPr>
      </w:pPr>
    </w:p>
    <w:tbl>
      <w:tblPr>
        <w:tblW w:w="6436" w:type="dxa"/>
        <w:jc w:val="center"/>
        <w:tblCellMar>
          <w:left w:w="70" w:type="dxa"/>
          <w:right w:w="70" w:type="dxa"/>
        </w:tblCellMar>
        <w:tblLook w:val="04A0" w:firstRow="1" w:lastRow="0" w:firstColumn="1" w:lastColumn="0" w:noHBand="0" w:noVBand="1"/>
      </w:tblPr>
      <w:tblGrid>
        <w:gridCol w:w="2931"/>
        <w:gridCol w:w="949"/>
        <w:gridCol w:w="852"/>
        <w:gridCol w:w="852"/>
        <w:gridCol w:w="852"/>
      </w:tblGrid>
      <w:tr w:rsidR="00EA591A" w:rsidRPr="0013314C" w:rsidTr="002733CF">
        <w:trPr>
          <w:trHeight w:val="170"/>
          <w:jc w:val="center"/>
        </w:trPr>
        <w:tc>
          <w:tcPr>
            <w:tcW w:w="6436" w:type="dxa"/>
            <w:gridSpan w:val="5"/>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3.1-24 Tasa de Crecimiento Intercensal 1993-2007</w:t>
            </w:r>
          </w:p>
        </w:tc>
      </w:tr>
      <w:tr w:rsidR="00EA591A" w:rsidRPr="007226D7" w:rsidTr="002733CF">
        <w:trPr>
          <w:trHeight w:val="170"/>
          <w:jc w:val="center"/>
        </w:trPr>
        <w:tc>
          <w:tcPr>
            <w:tcW w:w="2931" w:type="dxa"/>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EA591A" w:rsidRPr="007226D7" w:rsidRDefault="00EA591A" w:rsidP="002733CF">
            <w:pPr>
              <w:spacing w:after="0" w:line="240" w:lineRule="auto"/>
              <w:rPr>
                <w:rFonts w:cs="Arial"/>
                <w:b/>
                <w:bCs/>
                <w:sz w:val="16"/>
                <w:szCs w:val="16"/>
                <w:lang w:eastAsia="es-ES"/>
              </w:rPr>
            </w:pPr>
            <w:r w:rsidRPr="007226D7">
              <w:rPr>
                <w:rFonts w:cs="Arial"/>
                <w:b/>
                <w:bCs/>
                <w:sz w:val="16"/>
                <w:szCs w:val="16"/>
                <w:lang w:eastAsia="es-ES"/>
              </w:rPr>
              <w:t>Lugar</w:t>
            </w:r>
          </w:p>
        </w:tc>
        <w:tc>
          <w:tcPr>
            <w:tcW w:w="949" w:type="dxa"/>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EA591A" w:rsidRPr="007226D7" w:rsidRDefault="00EA591A" w:rsidP="002733CF">
            <w:pPr>
              <w:spacing w:after="0" w:line="240" w:lineRule="auto"/>
              <w:jc w:val="center"/>
              <w:rPr>
                <w:rFonts w:cs="Arial"/>
                <w:b/>
                <w:bCs/>
                <w:sz w:val="16"/>
                <w:szCs w:val="16"/>
                <w:lang w:eastAsia="es-ES"/>
              </w:rPr>
            </w:pPr>
            <w:r w:rsidRPr="007226D7">
              <w:rPr>
                <w:rFonts w:cs="Arial"/>
                <w:b/>
                <w:bCs/>
                <w:sz w:val="16"/>
                <w:szCs w:val="16"/>
                <w:lang w:eastAsia="es-ES"/>
              </w:rPr>
              <w:t>Periodo</w:t>
            </w:r>
          </w:p>
        </w:tc>
        <w:tc>
          <w:tcPr>
            <w:tcW w:w="2556" w:type="dxa"/>
            <w:gridSpan w:val="3"/>
            <w:tcBorders>
              <w:top w:val="single" w:sz="4" w:space="0" w:color="auto"/>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sz w:val="16"/>
                <w:szCs w:val="16"/>
                <w:lang w:eastAsia="es-ES"/>
              </w:rPr>
            </w:pPr>
            <w:r w:rsidRPr="007226D7">
              <w:rPr>
                <w:rFonts w:cs="Arial"/>
                <w:b/>
                <w:bCs/>
                <w:sz w:val="16"/>
                <w:szCs w:val="16"/>
                <w:lang w:eastAsia="es-ES"/>
              </w:rPr>
              <w:t>Urbana</w:t>
            </w:r>
          </w:p>
        </w:tc>
      </w:tr>
      <w:tr w:rsidR="00EA591A" w:rsidRPr="007226D7" w:rsidTr="002733CF">
        <w:trPr>
          <w:trHeight w:val="170"/>
          <w:jc w:val="center"/>
        </w:trPr>
        <w:tc>
          <w:tcPr>
            <w:tcW w:w="2931" w:type="dxa"/>
            <w:vMerge/>
            <w:tcBorders>
              <w:top w:val="single" w:sz="4" w:space="0" w:color="auto"/>
              <w:left w:val="single" w:sz="4" w:space="0" w:color="auto"/>
              <w:bottom w:val="single" w:sz="4" w:space="0" w:color="auto"/>
              <w:right w:val="single" w:sz="4" w:space="0" w:color="auto"/>
            </w:tcBorders>
            <w:vAlign w:val="center"/>
          </w:tcPr>
          <w:p w:rsidR="00EA591A" w:rsidRPr="007226D7" w:rsidRDefault="00EA591A" w:rsidP="002733CF">
            <w:pPr>
              <w:spacing w:after="0" w:line="240" w:lineRule="auto"/>
              <w:rPr>
                <w:rFonts w:cs="Arial"/>
                <w:b/>
                <w:bCs/>
                <w:sz w:val="16"/>
                <w:szCs w:val="16"/>
                <w:lang w:eastAsia="es-ES"/>
              </w:rPr>
            </w:pPr>
          </w:p>
        </w:tc>
        <w:tc>
          <w:tcPr>
            <w:tcW w:w="949" w:type="dxa"/>
            <w:vMerge/>
            <w:tcBorders>
              <w:top w:val="single" w:sz="4" w:space="0" w:color="auto"/>
              <w:left w:val="single" w:sz="4" w:space="0" w:color="auto"/>
              <w:bottom w:val="single" w:sz="4" w:space="0" w:color="auto"/>
              <w:right w:val="single" w:sz="4" w:space="0" w:color="auto"/>
            </w:tcBorders>
            <w:vAlign w:val="center"/>
          </w:tcPr>
          <w:p w:rsidR="00EA591A" w:rsidRPr="007226D7" w:rsidRDefault="00EA591A" w:rsidP="002733CF">
            <w:pPr>
              <w:spacing w:after="0" w:line="240" w:lineRule="auto"/>
              <w:rPr>
                <w:rFonts w:cs="Arial"/>
                <w:b/>
                <w:bCs/>
                <w:sz w:val="16"/>
                <w:szCs w:val="16"/>
                <w:lang w:eastAsia="es-ES"/>
              </w:rPr>
            </w:pPr>
          </w:p>
        </w:tc>
        <w:tc>
          <w:tcPr>
            <w:tcW w:w="852"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sz w:val="16"/>
                <w:szCs w:val="16"/>
                <w:lang w:eastAsia="es-ES"/>
              </w:rPr>
            </w:pPr>
            <w:r w:rsidRPr="007226D7">
              <w:rPr>
                <w:rFonts w:cs="Arial"/>
                <w:b/>
                <w:bCs/>
                <w:sz w:val="16"/>
                <w:szCs w:val="16"/>
                <w:lang w:eastAsia="es-ES"/>
              </w:rPr>
              <w:t>H</w:t>
            </w:r>
          </w:p>
        </w:tc>
        <w:tc>
          <w:tcPr>
            <w:tcW w:w="852"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sz w:val="16"/>
                <w:szCs w:val="16"/>
                <w:lang w:eastAsia="es-ES"/>
              </w:rPr>
            </w:pPr>
            <w:r w:rsidRPr="007226D7">
              <w:rPr>
                <w:rFonts w:cs="Arial"/>
                <w:b/>
                <w:bCs/>
                <w:sz w:val="16"/>
                <w:szCs w:val="16"/>
                <w:lang w:eastAsia="es-ES"/>
              </w:rPr>
              <w:t>M</w:t>
            </w:r>
          </w:p>
        </w:tc>
        <w:tc>
          <w:tcPr>
            <w:tcW w:w="852" w:type="dxa"/>
            <w:tcBorders>
              <w:top w:val="nil"/>
              <w:left w:val="nil"/>
              <w:bottom w:val="single" w:sz="4" w:space="0" w:color="auto"/>
              <w:right w:val="single" w:sz="4" w:space="0" w:color="auto"/>
            </w:tcBorders>
            <w:shd w:val="clear" w:color="000000" w:fill="99CCFF"/>
            <w:noWrap/>
            <w:vAlign w:val="center"/>
          </w:tcPr>
          <w:p w:rsidR="00EA591A" w:rsidRPr="007226D7" w:rsidRDefault="00EA591A" w:rsidP="002733CF">
            <w:pPr>
              <w:spacing w:after="0" w:line="240" w:lineRule="auto"/>
              <w:jc w:val="center"/>
              <w:rPr>
                <w:rFonts w:cs="Arial"/>
                <w:b/>
                <w:bCs/>
                <w:sz w:val="16"/>
                <w:szCs w:val="16"/>
                <w:lang w:eastAsia="es-ES"/>
              </w:rPr>
            </w:pPr>
            <w:r w:rsidRPr="007226D7">
              <w:rPr>
                <w:rFonts w:cs="Arial"/>
                <w:b/>
                <w:bCs/>
                <w:sz w:val="16"/>
                <w:szCs w:val="16"/>
                <w:lang w:eastAsia="es-ES"/>
              </w:rPr>
              <w:t>Total</w:t>
            </w:r>
          </w:p>
        </w:tc>
      </w:tr>
      <w:tr w:rsidR="00EA591A" w:rsidRPr="007226D7" w:rsidTr="002733CF">
        <w:trPr>
          <w:trHeight w:val="170"/>
          <w:jc w:val="center"/>
        </w:trPr>
        <w:tc>
          <w:tcPr>
            <w:tcW w:w="2931" w:type="dxa"/>
            <w:tcBorders>
              <w:top w:val="nil"/>
              <w:left w:val="single" w:sz="4" w:space="0" w:color="auto"/>
              <w:bottom w:val="nil"/>
              <w:right w:val="nil"/>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xml:space="preserve"> Dpto. Lima</w:t>
            </w:r>
          </w:p>
        </w:tc>
        <w:tc>
          <w:tcPr>
            <w:tcW w:w="949" w:type="dxa"/>
            <w:tcBorders>
              <w:top w:val="nil"/>
              <w:left w:val="single" w:sz="4" w:space="0" w:color="auto"/>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3,018,296</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3,160,524</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6,178,820</w:t>
            </w:r>
          </w:p>
        </w:tc>
      </w:tr>
      <w:tr w:rsidR="00EA591A" w:rsidRPr="007226D7" w:rsidTr="002733CF">
        <w:trPr>
          <w:trHeight w:val="170"/>
          <w:jc w:val="center"/>
        </w:trPr>
        <w:tc>
          <w:tcPr>
            <w:tcW w:w="2931" w:type="dxa"/>
            <w:tcBorders>
              <w:top w:val="nil"/>
              <w:left w:val="single" w:sz="4" w:space="0" w:color="auto"/>
              <w:bottom w:val="nil"/>
              <w:right w:val="nil"/>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single" w:sz="4" w:space="0" w:color="auto"/>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4,047,671</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4,228,152</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8,275,823</w:t>
            </w:r>
          </w:p>
        </w:tc>
      </w:tr>
      <w:tr w:rsidR="00EA591A" w:rsidRPr="007226D7" w:rsidTr="002733CF">
        <w:trPr>
          <w:trHeight w:val="170"/>
          <w:jc w:val="center"/>
        </w:trPr>
        <w:tc>
          <w:tcPr>
            <w:tcW w:w="2931" w:type="dxa"/>
            <w:tcBorders>
              <w:top w:val="nil"/>
              <w:left w:val="single" w:sz="4" w:space="0" w:color="auto"/>
              <w:bottom w:val="nil"/>
              <w:right w:val="nil"/>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single" w:sz="4" w:space="0" w:color="auto"/>
              <w:bottom w:val="single" w:sz="4" w:space="0" w:color="auto"/>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2.12%</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2.10%</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2.11%</w:t>
            </w:r>
          </w:p>
        </w:tc>
      </w:tr>
      <w:tr w:rsidR="00EA591A"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xml:space="preserve"> Prov. Lima</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2,770,842</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2,911,099</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5,681,941</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3,708,359</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3,887,699</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7,596,058</w:t>
            </w:r>
          </w:p>
        </w:tc>
      </w:tr>
      <w:tr w:rsidR="00EA591A"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2.10%</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2.09%</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2.10%</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xml:space="preserve"> Prov. Callao</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317,920</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321,312</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639,232</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430,582</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446,295</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876,877</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rPr>
                <w:rFonts w:cs="Arial"/>
                <w:sz w:val="16"/>
                <w:szCs w:val="16"/>
                <w:lang w:eastAsia="es-ES"/>
              </w:rPr>
            </w:pPr>
            <w:r w:rsidRPr="007226D7">
              <w:rPr>
                <w:rFonts w:cs="Arial"/>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2.19%</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2.37%</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2.28%</w:t>
            </w:r>
          </w:p>
        </w:tc>
      </w:tr>
      <w:tr w:rsidR="00EA591A"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185,819</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183,593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369,412</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206,078</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209,810</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415,888</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0.74%</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0.96%</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0.85%</w:t>
            </w:r>
          </w:p>
        </w:tc>
      </w:tr>
      <w:tr w:rsidR="00EA591A"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18,825</w:t>
            </w:r>
          </w:p>
        </w:tc>
        <w:tc>
          <w:tcPr>
            <w:tcW w:w="852"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19,324</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38,149</w:t>
            </w:r>
          </w:p>
        </w:tc>
      </w:tr>
      <w:tr w:rsidR="00EA591A"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20,553</w:t>
            </w:r>
          </w:p>
        </w:tc>
        <w:tc>
          <w:tcPr>
            <w:tcW w:w="852"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21,310</w:t>
            </w:r>
          </w:p>
        </w:tc>
        <w:tc>
          <w:tcPr>
            <w:tcW w:w="852" w:type="dxa"/>
            <w:tcBorders>
              <w:top w:val="nil"/>
              <w:left w:val="nil"/>
              <w:bottom w:val="nil"/>
              <w:right w:val="single" w:sz="4" w:space="0" w:color="auto"/>
            </w:tcBorders>
            <w:shd w:val="clear" w:color="auto" w:fill="auto"/>
            <w:noWrap/>
            <w:vAlign w:val="bottom"/>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41,863</w:t>
            </w:r>
          </w:p>
        </w:tc>
      </w:tr>
      <w:tr w:rsidR="00EA591A"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EA591A" w:rsidRPr="007226D7" w:rsidRDefault="00EA591A"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0.63%</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0.70%</w:t>
            </w:r>
          </w:p>
        </w:tc>
        <w:tc>
          <w:tcPr>
            <w:tcW w:w="852" w:type="dxa"/>
            <w:tcBorders>
              <w:top w:val="nil"/>
              <w:left w:val="nil"/>
              <w:bottom w:val="single" w:sz="4" w:space="0" w:color="auto"/>
              <w:right w:val="single" w:sz="4" w:space="0" w:color="auto"/>
            </w:tcBorders>
            <w:shd w:val="clear" w:color="auto" w:fill="auto"/>
            <w:noWrap/>
            <w:vAlign w:val="center"/>
          </w:tcPr>
          <w:p w:rsidR="00EA591A" w:rsidRPr="007226D7" w:rsidRDefault="00EA591A" w:rsidP="002733CF">
            <w:pPr>
              <w:spacing w:after="0" w:line="240" w:lineRule="auto"/>
              <w:jc w:val="right"/>
              <w:rPr>
                <w:rFonts w:cs="Arial"/>
                <w:sz w:val="16"/>
                <w:szCs w:val="16"/>
                <w:lang w:eastAsia="es-ES"/>
              </w:rPr>
            </w:pPr>
            <w:r w:rsidRPr="007226D7">
              <w:rPr>
                <w:rFonts w:cs="Arial"/>
                <w:sz w:val="16"/>
                <w:szCs w:val="16"/>
                <w:lang w:eastAsia="es-ES"/>
              </w:rPr>
              <w:t>0.67%</w:t>
            </w:r>
          </w:p>
        </w:tc>
      </w:tr>
    </w:tbl>
    <w:p w:rsidR="0056369A" w:rsidRPr="007226D7" w:rsidRDefault="0056369A" w:rsidP="0056369A">
      <w:pPr>
        <w:rPr>
          <w:lang w:val="es-ES"/>
        </w:rPr>
      </w:pPr>
    </w:p>
    <w:tbl>
      <w:tblPr>
        <w:tblW w:w="6436" w:type="dxa"/>
        <w:jc w:val="center"/>
        <w:tblCellMar>
          <w:left w:w="70" w:type="dxa"/>
          <w:right w:w="70" w:type="dxa"/>
        </w:tblCellMar>
        <w:tblLook w:val="04A0" w:firstRow="1" w:lastRow="0" w:firstColumn="1" w:lastColumn="0" w:noHBand="0" w:noVBand="1"/>
      </w:tblPr>
      <w:tblGrid>
        <w:gridCol w:w="2931"/>
        <w:gridCol w:w="949"/>
        <w:gridCol w:w="852"/>
        <w:gridCol w:w="852"/>
        <w:gridCol w:w="852"/>
      </w:tblGrid>
      <w:tr w:rsidR="009261B0" w:rsidRPr="007226D7" w:rsidTr="002733CF">
        <w:trPr>
          <w:trHeight w:val="170"/>
          <w:jc w:val="center"/>
        </w:trPr>
        <w:tc>
          <w:tcPr>
            <w:tcW w:w="2931" w:type="dxa"/>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9261B0" w:rsidRPr="007226D7" w:rsidRDefault="009261B0" w:rsidP="002733CF">
            <w:pPr>
              <w:spacing w:after="0" w:line="240" w:lineRule="auto"/>
              <w:rPr>
                <w:rFonts w:cs="Arial"/>
                <w:b/>
                <w:bCs/>
                <w:sz w:val="16"/>
                <w:szCs w:val="16"/>
                <w:lang w:eastAsia="es-ES"/>
              </w:rPr>
            </w:pPr>
            <w:r w:rsidRPr="007226D7">
              <w:rPr>
                <w:rFonts w:cs="Arial"/>
                <w:b/>
                <w:bCs/>
                <w:sz w:val="16"/>
                <w:szCs w:val="16"/>
                <w:lang w:eastAsia="es-ES"/>
              </w:rPr>
              <w:lastRenderedPageBreak/>
              <w:t>Lugar</w:t>
            </w:r>
          </w:p>
        </w:tc>
        <w:tc>
          <w:tcPr>
            <w:tcW w:w="949" w:type="dxa"/>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9261B0" w:rsidRPr="007226D7" w:rsidRDefault="009261B0" w:rsidP="002733CF">
            <w:pPr>
              <w:spacing w:after="0" w:line="240" w:lineRule="auto"/>
              <w:jc w:val="center"/>
              <w:rPr>
                <w:rFonts w:cs="Arial"/>
                <w:b/>
                <w:bCs/>
                <w:sz w:val="16"/>
                <w:szCs w:val="16"/>
                <w:lang w:eastAsia="es-ES"/>
              </w:rPr>
            </w:pPr>
            <w:r w:rsidRPr="007226D7">
              <w:rPr>
                <w:rFonts w:cs="Arial"/>
                <w:b/>
                <w:bCs/>
                <w:sz w:val="16"/>
                <w:szCs w:val="16"/>
                <w:lang w:eastAsia="es-ES"/>
              </w:rPr>
              <w:t>Periodo</w:t>
            </w:r>
          </w:p>
        </w:tc>
        <w:tc>
          <w:tcPr>
            <w:tcW w:w="2556" w:type="dxa"/>
            <w:gridSpan w:val="3"/>
            <w:tcBorders>
              <w:top w:val="single" w:sz="4" w:space="0" w:color="auto"/>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center"/>
              <w:rPr>
                <w:rFonts w:cs="Arial"/>
                <w:b/>
                <w:bCs/>
                <w:sz w:val="16"/>
                <w:szCs w:val="16"/>
                <w:lang w:eastAsia="es-ES"/>
              </w:rPr>
            </w:pPr>
            <w:r w:rsidRPr="007226D7">
              <w:rPr>
                <w:rFonts w:cs="Arial"/>
                <w:b/>
                <w:bCs/>
                <w:sz w:val="16"/>
                <w:szCs w:val="16"/>
                <w:lang w:eastAsia="es-ES"/>
              </w:rPr>
              <w:t>Urbana</w:t>
            </w:r>
          </w:p>
        </w:tc>
      </w:tr>
      <w:tr w:rsidR="009261B0" w:rsidRPr="007226D7" w:rsidTr="009261B0">
        <w:trPr>
          <w:trHeight w:val="170"/>
          <w:jc w:val="center"/>
        </w:trPr>
        <w:tc>
          <w:tcPr>
            <w:tcW w:w="2931" w:type="dxa"/>
            <w:vMerge/>
            <w:tcBorders>
              <w:top w:val="single" w:sz="4" w:space="0" w:color="auto"/>
              <w:left w:val="single" w:sz="4" w:space="0" w:color="auto"/>
              <w:bottom w:val="single" w:sz="4" w:space="0" w:color="auto"/>
              <w:right w:val="single" w:sz="4" w:space="0" w:color="auto"/>
            </w:tcBorders>
            <w:vAlign w:val="center"/>
          </w:tcPr>
          <w:p w:rsidR="009261B0" w:rsidRPr="007226D7" w:rsidRDefault="009261B0" w:rsidP="002733CF">
            <w:pPr>
              <w:spacing w:after="0" w:line="240" w:lineRule="auto"/>
              <w:rPr>
                <w:rFonts w:cs="Arial"/>
                <w:b/>
                <w:bCs/>
                <w:sz w:val="16"/>
                <w:szCs w:val="16"/>
                <w:lang w:eastAsia="es-ES"/>
              </w:rPr>
            </w:pPr>
          </w:p>
        </w:tc>
        <w:tc>
          <w:tcPr>
            <w:tcW w:w="949" w:type="dxa"/>
            <w:vMerge/>
            <w:tcBorders>
              <w:top w:val="single" w:sz="4" w:space="0" w:color="auto"/>
              <w:left w:val="single" w:sz="4" w:space="0" w:color="auto"/>
              <w:bottom w:val="single" w:sz="4" w:space="0" w:color="auto"/>
              <w:right w:val="single" w:sz="4" w:space="0" w:color="auto"/>
            </w:tcBorders>
            <w:vAlign w:val="center"/>
          </w:tcPr>
          <w:p w:rsidR="009261B0" w:rsidRPr="007226D7" w:rsidRDefault="009261B0" w:rsidP="002733CF">
            <w:pPr>
              <w:spacing w:after="0" w:line="240" w:lineRule="auto"/>
              <w:rPr>
                <w:rFonts w:cs="Arial"/>
                <w:b/>
                <w:bCs/>
                <w:sz w:val="16"/>
                <w:szCs w:val="16"/>
                <w:lang w:eastAsia="es-ES"/>
              </w:rPr>
            </w:pPr>
          </w:p>
        </w:tc>
        <w:tc>
          <w:tcPr>
            <w:tcW w:w="852" w:type="dxa"/>
            <w:tcBorders>
              <w:top w:val="nil"/>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center"/>
              <w:rPr>
                <w:rFonts w:cs="Arial"/>
                <w:b/>
                <w:bCs/>
                <w:sz w:val="16"/>
                <w:szCs w:val="16"/>
                <w:lang w:eastAsia="es-ES"/>
              </w:rPr>
            </w:pPr>
            <w:r w:rsidRPr="007226D7">
              <w:rPr>
                <w:rFonts w:cs="Arial"/>
                <w:b/>
                <w:bCs/>
                <w:sz w:val="16"/>
                <w:szCs w:val="16"/>
                <w:lang w:eastAsia="es-ES"/>
              </w:rPr>
              <w:t>H</w:t>
            </w:r>
          </w:p>
        </w:tc>
        <w:tc>
          <w:tcPr>
            <w:tcW w:w="852" w:type="dxa"/>
            <w:tcBorders>
              <w:top w:val="nil"/>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center"/>
              <w:rPr>
                <w:rFonts w:cs="Arial"/>
                <w:b/>
                <w:bCs/>
                <w:sz w:val="16"/>
                <w:szCs w:val="16"/>
                <w:lang w:eastAsia="es-ES"/>
              </w:rPr>
            </w:pPr>
            <w:r w:rsidRPr="007226D7">
              <w:rPr>
                <w:rFonts w:cs="Arial"/>
                <w:b/>
                <w:bCs/>
                <w:sz w:val="16"/>
                <w:szCs w:val="16"/>
                <w:lang w:eastAsia="es-ES"/>
              </w:rPr>
              <w:t>M</w:t>
            </w:r>
          </w:p>
        </w:tc>
        <w:tc>
          <w:tcPr>
            <w:tcW w:w="852" w:type="dxa"/>
            <w:tcBorders>
              <w:top w:val="nil"/>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center"/>
              <w:rPr>
                <w:rFonts w:cs="Arial"/>
                <w:b/>
                <w:bCs/>
                <w:sz w:val="16"/>
                <w:szCs w:val="16"/>
                <w:lang w:eastAsia="es-ES"/>
              </w:rPr>
            </w:pPr>
            <w:r w:rsidRPr="007226D7">
              <w:rPr>
                <w:rFonts w:cs="Arial"/>
                <w:b/>
                <w:bCs/>
                <w:sz w:val="16"/>
                <w:szCs w:val="16"/>
                <w:lang w:eastAsia="es-ES"/>
              </w:rPr>
              <w:t>Total</w:t>
            </w:r>
          </w:p>
        </w:tc>
      </w:tr>
      <w:tr w:rsidR="009261B0" w:rsidRPr="007226D7" w:rsidTr="009261B0">
        <w:trPr>
          <w:trHeight w:val="170"/>
          <w:jc w:val="center"/>
        </w:trPr>
        <w:tc>
          <w:tcPr>
            <w:tcW w:w="2931" w:type="dxa"/>
            <w:tcBorders>
              <w:top w:val="single" w:sz="4" w:space="0" w:color="auto"/>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949" w:type="dxa"/>
            <w:tcBorders>
              <w:top w:val="single" w:sz="4" w:space="0" w:color="auto"/>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34,432</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37,233</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71,665</w:t>
            </w:r>
          </w:p>
        </w:tc>
      </w:tr>
      <w:tr w:rsidR="009261B0" w:rsidRPr="007226D7" w:rsidTr="009261B0">
        <w:trPr>
          <w:trHeight w:val="170"/>
          <w:jc w:val="center"/>
        </w:trPr>
        <w:tc>
          <w:tcPr>
            <w:tcW w:w="2931" w:type="dxa"/>
            <w:tcBorders>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35,710</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39,453</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75,163</w:t>
            </w:r>
          </w:p>
        </w:tc>
      </w:tr>
      <w:tr w:rsidR="009261B0" w:rsidRPr="007226D7" w:rsidTr="009261B0">
        <w:trPr>
          <w:trHeight w:val="170"/>
          <w:jc w:val="center"/>
        </w:trPr>
        <w:tc>
          <w:tcPr>
            <w:tcW w:w="2931" w:type="dxa"/>
            <w:tcBorders>
              <w:left w:val="single" w:sz="4" w:space="0" w:color="auto"/>
              <w:bottom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left w:val="single" w:sz="4" w:space="0" w:color="auto"/>
              <w:bottom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0.26%</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0.41%</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0.34%</w:t>
            </w:r>
          </w:p>
        </w:tc>
      </w:tr>
      <w:tr w:rsidR="009261B0" w:rsidRPr="007226D7" w:rsidTr="009261B0">
        <w:trPr>
          <w:trHeight w:val="170"/>
          <w:jc w:val="center"/>
        </w:trPr>
        <w:tc>
          <w:tcPr>
            <w:tcW w:w="2931" w:type="dxa"/>
            <w:tcBorders>
              <w:top w:val="single" w:sz="4" w:space="0" w:color="auto"/>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949" w:type="dxa"/>
            <w:tcBorders>
              <w:top w:val="single" w:sz="4" w:space="0" w:color="auto"/>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28,392</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30,768</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59,160</w:t>
            </w:r>
          </w:p>
        </w:tc>
      </w:tr>
      <w:tr w:rsidR="009261B0" w:rsidRPr="007226D7" w:rsidTr="009261B0">
        <w:trPr>
          <w:trHeight w:val="170"/>
          <w:jc w:val="center"/>
        </w:trPr>
        <w:tc>
          <w:tcPr>
            <w:tcW w:w="2931" w:type="dxa"/>
            <w:tcBorders>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29,395</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32,303</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61,698</w:t>
            </w:r>
          </w:p>
        </w:tc>
      </w:tr>
      <w:tr w:rsidR="009261B0" w:rsidRPr="007226D7" w:rsidTr="009261B0">
        <w:trPr>
          <w:trHeight w:val="170"/>
          <w:jc w:val="center"/>
        </w:trPr>
        <w:tc>
          <w:tcPr>
            <w:tcW w:w="2931" w:type="dxa"/>
            <w:tcBorders>
              <w:left w:val="single" w:sz="4" w:space="0" w:color="auto"/>
              <w:bottom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left w:val="single" w:sz="4" w:space="0" w:color="auto"/>
              <w:bottom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0.25%</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0.35%</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0.30%</w:t>
            </w:r>
          </w:p>
        </w:tc>
      </w:tr>
      <w:tr w:rsidR="009261B0" w:rsidRPr="007226D7" w:rsidTr="009261B0">
        <w:trPr>
          <w:trHeight w:val="170"/>
          <w:jc w:val="center"/>
        </w:trPr>
        <w:tc>
          <w:tcPr>
            <w:tcW w:w="2931" w:type="dxa"/>
            <w:tcBorders>
              <w:top w:val="single" w:sz="4" w:space="0" w:color="auto"/>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949" w:type="dxa"/>
            <w:tcBorders>
              <w:top w:val="single" w:sz="4" w:space="0" w:color="auto"/>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rPr>
            </w:pPr>
            <w:r w:rsidRPr="007226D7">
              <w:rPr>
                <w:rFonts w:cs="Arial"/>
                <w:sz w:val="16"/>
                <w:szCs w:val="16"/>
              </w:rPr>
              <w:t>1993</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54,534</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62,954</w:t>
            </w:r>
          </w:p>
        </w:tc>
        <w:tc>
          <w:tcPr>
            <w:tcW w:w="852" w:type="dxa"/>
            <w:tcBorders>
              <w:top w:val="single" w:sz="4" w:space="0" w:color="auto"/>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117,488</w:t>
            </w:r>
          </w:p>
        </w:tc>
      </w:tr>
      <w:tr w:rsidR="009261B0" w:rsidRPr="007226D7" w:rsidTr="009261B0">
        <w:trPr>
          <w:trHeight w:val="170"/>
          <w:jc w:val="center"/>
        </w:trPr>
        <w:tc>
          <w:tcPr>
            <w:tcW w:w="2931" w:type="dxa"/>
            <w:tcBorders>
              <w:left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rPr>
            </w:pPr>
            <w:r w:rsidRPr="007226D7">
              <w:rPr>
                <w:rFonts w:cs="Arial"/>
                <w:color w:val="000000"/>
                <w:sz w:val="16"/>
                <w:szCs w:val="16"/>
              </w:rPr>
              <w:t> </w:t>
            </w:r>
          </w:p>
        </w:tc>
        <w:tc>
          <w:tcPr>
            <w:tcW w:w="949" w:type="dxa"/>
            <w:tcBorders>
              <w:left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rPr>
            </w:pPr>
            <w:r w:rsidRPr="007226D7">
              <w:rPr>
                <w:rFonts w:cs="Arial"/>
                <w:sz w:val="16"/>
                <w:szCs w:val="16"/>
              </w:rPr>
              <w:t>2007</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60,025</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69,082</w:t>
            </w:r>
          </w:p>
        </w:tc>
        <w:tc>
          <w:tcPr>
            <w:tcW w:w="852" w:type="dxa"/>
            <w:tcBorders>
              <w:left w:val="single" w:sz="4" w:space="0" w:color="auto"/>
              <w:right w:val="single" w:sz="4" w:space="0" w:color="auto"/>
            </w:tcBorders>
            <w:shd w:val="clear" w:color="000000" w:fill="FFFFFF" w:themeFill="background1"/>
            <w:noWrap/>
            <w:vAlign w:val="bottom"/>
          </w:tcPr>
          <w:p w:rsidR="009261B0" w:rsidRPr="007226D7" w:rsidRDefault="009261B0" w:rsidP="002733CF">
            <w:pPr>
              <w:spacing w:after="0" w:line="240" w:lineRule="auto"/>
              <w:jc w:val="right"/>
              <w:rPr>
                <w:rFonts w:cs="Arial"/>
                <w:sz w:val="16"/>
                <w:szCs w:val="16"/>
              </w:rPr>
            </w:pPr>
            <w:r w:rsidRPr="007226D7">
              <w:rPr>
                <w:rFonts w:cs="Arial"/>
                <w:sz w:val="16"/>
                <w:szCs w:val="16"/>
              </w:rPr>
              <w:t>129,107</w:t>
            </w:r>
          </w:p>
        </w:tc>
      </w:tr>
      <w:tr w:rsidR="009261B0" w:rsidRPr="007226D7" w:rsidTr="009261B0">
        <w:trPr>
          <w:trHeight w:val="170"/>
          <w:jc w:val="center"/>
        </w:trPr>
        <w:tc>
          <w:tcPr>
            <w:tcW w:w="2931" w:type="dxa"/>
            <w:tcBorders>
              <w:left w:val="single" w:sz="4" w:space="0" w:color="auto"/>
              <w:bottom w:val="single" w:sz="4" w:space="0" w:color="auto"/>
              <w:right w:val="single" w:sz="4" w:space="0" w:color="auto"/>
            </w:tcBorders>
            <w:vAlign w:val="center"/>
          </w:tcPr>
          <w:p w:rsidR="009261B0" w:rsidRPr="007226D7" w:rsidRDefault="009261B0" w:rsidP="002733CF">
            <w:pPr>
              <w:spacing w:after="0" w:line="240" w:lineRule="auto"/>
              <w:rPr>
                <w:rFonts w:cs="Arial"/>
                <w:color w:val="000000"/>
                <w:sz w:val="16"/>
                <w:szCs w:val="16"/>
              </w:rPr>
            </w:pPr>
            <w:r w:rsidRPr="007226D7">
              <w:rPr>
                <w:rFonts w:cs="Arial"/>
                <w:color w:val="000000"/>
                <w:sz w:val="16"/>
                <w:szCs w:val="16"/>
              </w:rPr>
              <w:t> </w:t>
            </w:r>
          </w:p>
        </w:tc>
        <w:tc>
          <w:tcPr>
            <w:tcW w:w="949" w:type="dxa"/>
            <w:tcBorders>
              <w:left w:val="single" w:sz="4" w:space="0" w:color="auto"/>
              <w:bottom w:val="single" w:sz="4" w:space="0" w:color="auto"/>
              <w:right w:val="single" w:sz="4" w:space="0" w:color="auto"/>
            </w:tcBorders>
            <w:vAlign w:val="bottom"/>
          </w:tcPr>
          <w:p w:rsidR="009261B0" w:rsidRPr="007226D7" w:rsidRDefault="009261B0" w:rsidP="002733CF">
            <w:pPr>
              <w:spacing w:after="0" w:line="240" w:lineRule="auto"/>
              <w:jc w:val="center"/>
              <w:rPr>
                <w:rFonts w:cs="Arial"/>
                <w:sz w:val="16"/>
                <w:szCs w:val="16"/>
              </w:rPr>
            </w:pPr>
            <w:r w:rsidRPr="007226D7">
              <w:rPr>
                <w:rFonts w:cs="Arial"/>
                <w:sz w:val="16"/>
                <w:szCs w:val="16"/>
              </w:rPr>
              <w:t>1993-2007</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rPr>
            </w:pPr>
            <w:r w:rsidRPr="007226D7">
              <w:rPr>
                <w:rFonts w:cs="Arial"/>
                <w:sz w:val="16"/>
                <w:szCs w:val="16"/>
              </w:rPr>
              <w:t>0.69%</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rPr>
            </w:pPr>
            <w:r w:rsidRPr="007226D7">
              <w:rPr>
                <w:rFonts w:cs="Arial"/>
                <w:sz w:val="16"/>
                <w:szCs w:val="16"/>
              </w:rPr>
              <w:t>0.67%</w:t>
            </w:r>
          </w:p>
        </w:tc>
        <w:tc>
          <w:tcPr>
            <w:tcW w:w="852" w:type="dxa"/>
            <w:tcBorders>
              <w:left w:val="single" w:sz="4" w:space="0" w:color="auto"/>
              <w:bottom w:val="single" w:sz="4" w:space="0" w:color="auto"/>
              <w:right w:val="single" w:sz="4" w:space="0" w:color="auto"/>
            </w:tcBorders>
            <w:shd w:val="clear" w:color="000000" w:fill="FFFFFF" w:themeFill="background1"/>
            <w:noWrap/>
            <w:vAlign w:val="center"/>
          </w:tcPr>
          <w:p w:rsidR="009261B0" w:rsidRPr="007226D7" w:rsidRDefault="009261B0" w:rsidP="002733CF">
            <w:pPr>
              <w:spacing w:after="0" w:line="240" w:lineRule="auto"/>
              <w:jc w:val="right"/>
              <w:rPr>
                <w:rFonts w:cs="Arial"/>
                <w:sz w:val="16"/>
                <w:szCs w:val="16"/>
              </w:rPr>
            </w:pPr>
            <w:r w:rsidRPr="007226D7">
              <w:rPr>
                <w:rFonts w:cs="Arial"/>
                <w:sz w:val="16"/>
                <w:szCs w:val="16"/>
              </w:rPr>
              <w:t>0.68%</w:t>
            </w:r>
          </w:p>
        </w:tc>
      </w:tr>
      <w:tr w:rsidR="009261B0" w:rsidRPr="007226D7" w:rsidTr="009261B0">
        <w:trPr>
          <w:trHeight w:val="170"/>
          <w:jc w:val="center"/>
        </w:trPr>
        <w:tc>
          <w:tcPr>
            <w:tcW w:w="2931" w:type="dxa"/>
            <w:tcBorders>
              <w:top w:val="single" w:sz="4" w:space="0" w:color="auto"/>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Dist. Lima</w:t>
            </w:r>
          </w:p>
        </w:tc>
        <w:tc>
          <w:tcPr>
            <w:tcW w:w="949" w:type="dxa"/>
            <w:tcBorders>
              <w:top w:val="single" w:sz="4" w:space="0" w:color="auto"/>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single" w:sz="4" w:space="0" w:color="auto"/>
              <w:left w:val="single" w:sz="4" w:space="0" w:color="auto"/>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165,844</w:t>
            </w:r>
          </w:p>
        </w:tc>
        <w:tc>
          <w:tcPr>
            <w:tcW w:w="852" w:type="dxa"/>
            <w:tcBorders>
              <w:top w:val="single" w:sz="4" w:space="0" w:color="auto"/>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174,578</w:t>
            </w:r>
          </w:p>
        </w:tc>
        <w:tc>
          <w:tcPr>
            <w:tcW w:w="852" w:type="dxa"/>
            <w:tcBorders>
              <w:top w:val="single" w:sz="4" w:space="0" w:color="auto"/>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340,422</w:t>
            </w:r>
          </w:p>
        </w:tc>
      </w:tr>
      <w:tr w:rsidR="009261B0" w:rsidRPr="007226D7" w:rsidTr="009261B0">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145,721</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153,772</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299,493</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-0.92%</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-0.90%</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-0.91%</w:t>
            </w:r>
          </w:p>
        </w:tc>
      </w:tr>
      <w:tr w:rsidR="009261B0" w:rsidRPr="007226D7" w:rsidTr="002733CF">
        <w:trPr>
          <w:trHeight w:val="170"/>
          <w:jc w:val="center"/>
        </w:trPr>
        <w:tc>
          <w:tcPr>
            <w:tcW w:w="2931" w:type="dxa"/>
            <w:tcBorders>
              <w:top w:val="nil"/>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949" w:type="dxa"/>
            <w:tcBorders>
              <w:top w:val="nil"/>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41,991</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47,982</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89,973</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38,737</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43,172</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81,909</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-0.57%</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-0.75%</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-0.67%</w:t>
            </w:r>
          </w:p>
        </w:tc>
      </w:tr>
      <w:tr w:rsidR="009261B0"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29,470</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36,087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65,557</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29,806</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36,365</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66,171</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0.08%</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0.05%</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0.07%</w:t>
            </w:r>
          </w:p>
        </w:tc>
      </w:tr>
      <w:tr w:rsidR="009261B0" w:rsidRPr="007226D7" w:rsidTr="002733CF">
        <w:trPr>
          <w:trHeight w:val="170"/>
          <w:jc w:val="center"/>
        </w:trPr>
        <w:tc>
          <w:tcPr>
            <w:tcW w:w="2931" w:type="dxa"/>
            <w:tcBorders>
              <w:top w:val="nil"/>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949" w:type="dxa"/>
            <w:tcBorders>
              <w:top w:val="nil"/>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110,180</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116,677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226,857</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94,743</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97,981</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192,724</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-1.07%</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-1.24%</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-1.16%</w:t>
            </w:r>
          </w:p>
        </w:tc>
      </w:tr>
      <w:tr w:rsidR="009261B0" w:rsidRPr="007226D7" w:rsidTr="002733CF">
        <w:trPr>
          <w:trHeight w:val="170"/>
          <w:jc w:val="center"/>
        </w:trPr>
        <w:tc>
          <w:tcPr>
            <w:tcW w:w="2931" w:type="dxa"/>
            <w:tcBorders>
              <w:top w:val="nil"/>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949" w:type="dxa"/>
            <w:tcBorders>
              <w:top w:val="nil"/>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77,980</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76,048</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154,028</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89,679</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90,583</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180,262</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1.00%</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1.26%</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1.13%</w:t>
            </w:r>
          </w:p>
        </w:tc>
      </w:tr>
      <w:tr w:rsidR="009261B0" w:rsidRPr="007226D7" w:rsidTr="002733CF">
        <w:trPr>
          <w:trHeight w:val="170"/>
          <w:jc w:val="center"/>
        </w:trPr>
        <w:tc>
          <w:tcPr>
            <w:tcW w:w="2931" w:type="dxa"/>
            <w:tcBorders>
              <w:top w:val="nil"/>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949" w:type="dxa"/>
            <w:tcBorders>
              <w:top w:val="nil"/>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23,760</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25,149</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48,909</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26,264</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28,370</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54,634</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0.72%</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0.86%</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0.79%</w:t>
            </w:r>
          </w:p>
        </w:tc>
      </w:tr>
      <w:tr w:rsidR="009261B0"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58,963</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59,696</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118,659</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91,240</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93,374</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184,614</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3.17%</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3.25%</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3.21%</w:t>
            </w:r>
          </w:p>
        </w:tc>
      </w:tr>
      <w:tr w:rsidR="009261B0" w:rsidRPr="007226D7" w:rsidTr="002733CF">
        <w:trPr>
          <w:trHeight w:val="170"/>
          <w:jc w:val="center"/>
        </w:trPr>
        <w:tc>
          <w:tcPr>
            <w:tcW w:w="2931" w:type="dxa"/>
            <w:tcBorders>
              <w:top w:val="nil"/>
              <w:left w:val="single" w:sz="4" w:space="0" w:color="auto"/>
              <w:bottom w:val="nil"/>
              <w:right w:val="nil"/>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949" w:type="dxa"/>
            <w:tcBorders>
              <w:top w:val="nil"/>
              <w:left w:val="single" w:sz="4" w:space="0" w:color="auto"/>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131,646</w:t>
            </w:r>
          </w:p>
        </w:tc>
        <w:tc>
          <w:tcPr>
            <w:tcW w:w="852"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134,752</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266,398</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nil"/>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2007</w:t>
            </w:r>
          </w:p>
        </w:tc>
        <w:tc>
          <w:tcPr>
            <w:tcW w:w="852" w:type="dxa"/>
            <w:tcBorders>
              <w:top w:val="nil"/>
              <w:left w:val="single" w:sz="4" w:space="0" w:color="auto"/>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235,536</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242,742</w:t>
            </w:r>
          </w:p>
        </w:tc>
        <w:tc>
          <w:tcPr>
            <w:tcW w:w="852" w:type="dxa"/>
            <w:tcBorders>
              <w:top w:val="nil"/>
              <w:left w:val="nil"/>
              <w:bottom w:val="nil"/>
              <w:right w:val="single" w:sz="4" w:space="0" w:color="auto"/>
            </w:tcBorders>
            <w:shd w:val="clear" w:color="auto" w:fill="auto"/>
            <w:noWrap/>
            <w:vAlign w:val="bottom"/>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478,278</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auto" w:fill="auto"/>
            <w:noWrap/>
            <w:vAlign w:val="center"/>
          </w:tcPr>
          <w:p w:rsidR="009261B0" w:rsidRPr="007226D7" w:rsidRDefault="009261B0" w:rsidP="002733CF">
            <w:pPr>
              <w:spacing w:after="0" w:line="240" w:lineRule="auto"/>
              <w:rPr>
                <w:rFonts w:cs="Arial"/>
                <w:color w:val="000000"/>
                <w:sz w:val="16"/>
                <w:szCs w:val="16"/>
                <w:lang w:eastAsia="es-ES"/>
              </w:rPr>
            </w:pPr>
            <w:r w:rsidRPr="007226D7">
              <w:rPr>
                <w:rFonts w:cs="Arial"/>
                <w:color w:val="000000"/>
                <w:sz w:val="16"/>
                <w:szCs w:val="16"/>
                <w:lang w:eastAsia="es-ES"/>
              </w:rPr>
              <w:t> </w:t>
            </w:r>
          </w:p>
        </w:tc>
        <w:tc>
          <w:tcPr>
            <w:tcW w:w="949" w:type="dxa"/>
            <w:tcBorders>
              <w:top w:val="nil"/>
              <w:left w:val="nil"/>
              <w:bottom w:val="single" w:sz="4" w:space="0" w:color="auto"/>
              <w:right w:val="nil"/>
            </w:tcBorders>
            <w:shd w:val="clear" w:color="auto" w:fill="auto"/>
            <w:noWrap/>
            <w:vAlign w:val="bottom"/>
          </w:tcPr>
          <w:p w:rsidR="009261B0" w:rsidRPr="007226D7" w:rsidRDefault="009261B0" w:rsidP="002733CF">
            <w:pPr>
              <w:spacing w:after="0" w:line="240" w:lineRule="auto"/>
              <w:jc w:val="center"/>
              <w:rPr>
                <w:rFonts w:cs="Arial"/>
                <w:sz w:val="16"/>
                <w:szCs w:val="16"/>
                <w:lang w:eastAsia="es-ES"/>
              </w:rPr>
            </w:pPr>
            <w:r w:rsidRPr="007226D7">
              <w:rPr>
                <w:rFonts w:cs="Arial"/>
                <w:sz w:val="16"/>
                <w:szCs w:val="16"/>
                <w:lang w:eastAsia="es-ES"/>
              </w:rPr>
              <w:t>1993-2007</w:t>
            </w:r>
          </w:p>
        </w:tc>
        <w:tc>
          <w:tcPr>
            <w:tcW w:w="852" w:type="dxa"/>
            <w:tcBorders>
              <w:top w:val="nil"/>
              <w:left w:val="single" w:sz="4" w:space="0" w:color="auto"/>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4.24%</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4.29%</w:t>
            </w:r>
          </w:p>
        </w:tc>
        <w:tc>
          <w:tcPr>
            <w:tcW w:w="852" w:type="dxa"/>
            <w:tcBorders>
              <w:top w:val="nil"/>
              <w:left w:val="nil"/>
              <w:bottom w:val="single" w:sz="4" w:space="0" w:color="auto"/>
              <w:right w:val="single" w:sz="4" w:space="0" w:color="auto"/>
            </w:tcBorders>
            <w:shd w:val="clear" w:color="auto" w:fill="auto"/>
            <w:noWrap/>
            <w:vAlign w:val="center"/>
          </w:tcPr>
          <w:p w:rsidR="009261B0" w:rsidRPr="007226D7" w:rsidRDefault="009261B0" w:rsidP="002733CF">
            <w:pPr>
              <w:spacing w:after="0" w:line="240" w:lineRule="auto"/>
              <w:jc w:val="right"/>
              <w:rPr>
                <w:rFonts w:cs="Arial"/>
                <w:sz w:val="16"/>
                <w:szCs w:val="16"/>
                <w:lang w:eastAsia="es-ES"/>
              </w:rPr>
            </w:pPr>
            <w:r w:rsidRPr="007226D7">
              <w:rPr>
                <w:rFonts w:cs="Arial"/>
                <w:sz w:val="16"/>
                <w:szCs w:val="16"/>
                <w:lang w:eastAsia="es-ES"/>
              </w:rPr>
              <w:t>4.27%</w:t>
            </w:r>
          </w:p>
        </w:tc>
      </w:tr>
      <w:tr w:rsidR="009261B0" w:rsidRPr="007226D7" w:rsidTr="002733CF">
        <w:trPr>
          <w:trHeight w:val="170"/>
          <w:jc w:val="center"/>
        </w:trPr>
        <w:tc>
          <w:tcPr>
            <w:tcW w:w="2931" w:type="dxa"/>
            <w:tcBorders>
              <w:top w:val="single" w:sz="4" w:space="0" w:color="auto"/>
              <w:left w:val="single" w:sz="4" w:space="0" w:color="auto"/>
              <w:bottom w:val="nil"/>
              <w:right w:val="single" w:sz="4" w:space="0" w:color="auto"/>
            </w:tcBorders>
            <w:shd w:val="clear" w:color="000000" w:fill="99CCFF"/>
            <w:noWrap/>
            <w:vAlign w:val="center"/>
          </w:tcPr>
          <w:p w:rsidR="009261B0" w:rsidRPr="007226D7" w:rsidRDefault="009261B0" w:rsidP="002733CF">
            <w:pPr>
              <w:spacing w:after="0" w:line="240" w:lineRule="auto"/>
              <w:rPr>
                <w:rFonts w:cs="Arial"/>
                <w:b/>
                <w:bCs/>
                <w:color w:val="000000"/>
                <w:sz w:val="16"/>
                <w:szCs w:val="16"/>
              </w:rPr>
            </w:pPr>
            <w:r w:rsidRPr="007226D7">
              <w:rPr>
                <w:rFonts w:cs="Arial"/>
                <w:b/>
                <w:bCs/>
                <w:color w:val="000000"/>
                <w:sz w:val="16"/>
                <w:szCs w:val="16"/>
              </w:rPr>
              <w:t>Área de Influencia</w:t>
            </w:r>
          </w:p>
        </w:tc>
        <w:tc>
          <w:tcPr>
            <w:tcW w:w="949" w:type="dxa"/>
            <w:tcBorders>
              <w:top w:val="nil"/>
              <w:left w:val="nil"/>
              <w:bottom w:val="nil"/>
              <w:right w:val="nil"/>
            </w:tcBorders>
            <w:shd w:val="clear" w:color="000000" w:fill="99CCFF"/>
            <w:noWrap/>
            <w:vAlign w:val="bottom"/>
          </w:tcPr>
          <w:p w:rsidR="009261B0" w:rsidRPr="007226D7" w:rsidRDefault="009261B0" w:rsidP="002733CF">
            <w:pPr>
              <w:spacing w:after="0" w:line="240" w:lineRule="auto"/>
              <w:jc w:val="center"/>
              <w:rPr>
                <w:rFonts w:cs="Arial"/>
                <w:b/>
                <w:bCs/>
                <w:sz w:val="16"/>
                <w:szCs w:val="16"/>
              </w:rPr>
            </w:pPr>
            <w:r w:rsidRPr="007226D7">
              <w:rPr>
                <w:rFonts w:cs="Arial"/>
                <w:b/>
                <w:bCs/>
                <w:sz w:val="16"/>
                <w:szCs w:val="16"/>
              </w:rPr>
              <w:t>1993</w:t>
            </w:r>
          </w:p>
        </w:tc>
        <w:tc>
          <w:tcPr>
            <w:tcW w:w="852" w:type="dxa"/>
            <w:tcBorders>
              <w:top w:val="nil"/>
              <w:left w:val="single" w:sz="4" w:space="0" w:color="auto"/>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961,836</w:t>
            </w:r>
          </w:p>
        </w:tc>
        <w:tc>
          <w:tcPr>
            <w:tcW w:w="852" w:type="dxa"/>
            <w:tcBorders>
              <w:top w:val="nil"/>
              <w:left w:val="nil"/>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1,004,841</w:t>
            </w:r>
          </w:p>
        </w:tc>
        <w:tc>
          <w:tcPr>
            <w:tcW w:w="852" w:type="dxa"/>
            <w:tcBorders>
              <w:top w:val="nil"/>
              <w:left w:val="nil"/>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1,966,677</w:t>
            </w:r>
          </w:p>
        </w:tc>
      </w:tr>
      <w:tr w:rsidR="009261B0" w:rsidRPr="007226D7" w:rsidTr="002733CF">
        <w:trPr>
          <w:trHeight w:val="170"/>
          <w:jc w:val="center"/>
        </w:trPr>
        <w:tc>
          <w:tcPr>
            <w:tcW w:w="2931" w:type="dxa"/>
            <w:tcBorders>
              <w:top w:val="nil"/>
              <w:left w:val="single" w:sz="4" w:space="0" w:color="auto"/>
              <w:bottom w:val="nil"/>
              <w:right w:val="single" w:sz="4" w:space="0" w:color="auto"/>
            </w:tcBorders>
            <w:shd w:val="clear" w:color="000000" w:fill="99CCFF"/>
            <w:noWrap/>
            <w:vAlign w:val="center"/>
          </w:tcPr>
          <w:p w:rsidR="009261B0" w:rsidRPr="007226D7" w:rsidRDefault="009261B0" w:rsidP="002733CF">
            <w:pPr>
              <w:spacing w:after="0" w:line="240" w:lineRule="auto"/>
              <w:rPr>
                <w:rFonts w:cs="Arial"/>
                <w:color w:val="000000"/>
                <w:sz w:val="16"/>
                <w:szCs w:val="16"/>
              </w:rPr>
            </w:pPr>
            <w:r w:rsidRPr="007226D7">
              <w:rPr>
                <w:rFonts w:cs="Arial"/>
                <w:color w:val="000000"/>
                <w:sz w:val="16"/>
                <w:szCs w:val="16"/>
              </w:rPr>
              <w:t> </w:t>
            </w:r>
          </w:p>
        </w:tc>
        <w:tc>
          <w:tcPr>
            <w:tcW w:w="949" w:type="dxa"/>
            <w:tcBorders>
              <w:top w:val="nil"/>
              <w:left w:val="nil"/>
              <w:bottom w:val="nil"/>
              <w:right w:val="nil"/>
            </w:tcBorders>
            <w:shd w:val="clear" w:color="000000" w:fill="99CCFF"/>
            <w:noWrap/>
            <w:vAlign w:val="bottom"/>
          </w:tcPr>
          <w:p w:rsidR="009261B0" w:rsidRPr="007226D7" w:rsidRDefault="009261B0" w:rsidP="002733CF">
            <w:pPr>
              <w:spacing w:after="0" w:line="240" w:lineRule="auto"/>
              <w:jc w:val="center"/>
              <w:rPr>
                <w:rFonts w:cs="Arial"/>
                <w:b/>
                <w:bCs/>
                <w:sz w:val="16"/>
                <w:szCs w:val="16"/>
              </w:rPr>
            </w:pPr>
            <w:r w:rsidRPr="007226D7">
              <w:rPr>
                <w:rFonts w:cs="Arial"/>
                <w:b/>
                <w:bCs/>
                <w:sz w:val="16"/>
                <w:szCs w:val="16"/>
              </w:rPr>
              <w:t>2007</w:t>
            </w:r>
          </w:p>
        </w:tc>
        <w:tc>
          <w:tcPr>
            <w:tcW w:w="852" w:type="dxa"/>
            <w:tcBorders>
              <w:top w:val="nil"/>
              <w:left w:val="single" w:sz="4" w:space="0" w:color="auto"/>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1,103,487</w:t>
            </w:r>
          </w:p>
        </w:tc>
        <w:tc>
          <w:tcPr>
            <w:tcW w:w="852" w:type="dxa"/>
            <w:tcBorders>
              <w:top w:val="nil"/>
              <w:left w:val="nil"/>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1,158,317</w:t>
            </w:r>
          </w:p>
        </w:tc>
        <w:tc>
          <w:tcPr>
            <w:tcW w:w="852" w:type="dxa"/>
            <w:tcBorders>
              <w:top w:val="nil"/>
              <w:left w:val="nil"/>
              <w:bottom w:val="nil"/>
              <w:right w:val="single" w:sz="4" w:space="0" w:color="auto"/>
            </w:tcBorders>
            <w:shd w:val="clear" w:color="000000" w:fill="99CCFF"/>
            <w:noWrap/>
            <w:vAlign w:val="bottom"/>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2,261,804</w:t>
            </w:r>
          </w:p>
        </w:tc>
      </w:tr>
      <w:tr w:rsidR="009261B0" w:rsidRPr="007226D7" w:rsidTr="002733CF">
        <w:trPr>
          <w:trHeight w:val="170"/>
          <w:jc w:val="center"/>
        </w:trPr>
        <w:tc>
          <w:tcPr>
            <w:tcW w:w="2931" w:type="dxa"/>
            <w:tcBorders>
              <w:top w:val="nil"/>
              <w:left w:val="single" w:sz="4" w:space="0" w:color="auto"/>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rPr>
                <w:rFonts w:cs="Arial"/>
                <w:color w:val="000000"/>
                <w:sz w:val="16"/>
                <w:szCs w:val="16"/>
              </w:rPr>
            </w:pPr>
            <w:r w:rsidRPr="007226D7">
              <w:rPr>
                <w:rFonts w:cs="Arial"/>
                <w:color w:val="000000"/>
                <w:sz w:val="16"/>
                <w:szCs w:val="16"/>
              </w:rPr>
              <w:t> </w:t>
            </w:r>
          </w:p>
        </w:tc>
        <w:tc>
          <w:tcPr>
            <w:tcW w:w="949" w:type="dxa"/>
            <w:tcBorders>
              <w:top w:val="nil"/>
              <w:left w:val="nil"/>
              <w:bottom w:val="single" w:sz="4" w:space="0" w:color="auto"/>
              <w:right w:val="nil"/>
            </w:tcBorders>
            <w:shd w:val="clear" w:color="000000" w:fill="99CCFF"/>
            <w:noWrap/>
            <w:vAlign w:val="bottom"/>
          </w:tcPr>
          <w:p w:rsidR="009261B0" w:rsidRPr="007226D7" w:rsidRDefault="009261B0" w:rsidP="002733CF">
            <w:pPr>
              <w:spacing w:after="0" w:line="240" w:lineRule="auto"/>
              <w:jc w:val="center"/>
              <w:rPr>
                <w:rFonts w:cs="Arial"/>
                <w:b/>
                <w:bCs/>
                <w:sz w:val="16"/>
                <w:szCs w:val="16"/>
              </w:rPr>
            </w:pPr>
            <w:r w:rsidRPr="007226D7">
              <w:rPr>
                <w:rFonts w:cs="Arial"/>
                <w:b/>
                <w:bCs/>
                <w:sz w:val="16"/>
                <w:szCs w:val="16"/>
              </w:rPr>
              <w:t>1993-2007</w:t>
            </w:r>
          </w:p>
        </w:tc>
        <w:tc>
          <w:tcPr>
            <w:tcW w:w="852" w:type="dxa"/>
            <w:tcBorders>
              <w:top w:val="nil"/>
              <w:left w:val="single" w:sz="4" w:space="0" w:color="auto"/>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0.99%</w:t>
            </w:r>
          </w:p>
        </w:tc>
        <w:tc>
          <w:tcPr>
            <w:tcW w:w="852" w:type="dxa"/>
            <w:tcBorders>
              <w:top w:val="nil"/>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1.02%</w:t>
            </w:r>
          </w:p>
        </w:tc>
        <w:tc>
          <w:tcPr>
            <w:tcW w:w="852" w:type="dxa"/>
            <w:tcBorders>
              <w:top w:val="nil"/>
              <w:left w:val="nil"/>
              <w:bottom w:val="single" w:sz="4" w:space="0" w:color="auto"/>
              <w:right w:val="single" w:sz="4" w:space="0" w:color="auto"/>
            </w:tcBorders>
            <w:shd w:val="clear" w:color="000000" w:fill="99CCFF"/>
            <w:noWrap/>
            <w:vAlign w:val="center"/>
          </w:tcPr>
          <w:p w:rsidR="009261B0" w:rsidRPr="007226D7" w:rsidRDefault="009261B0" w:rsidP="002733CF">
            <w:pPr>
              <w:spacing w:after="0" w:line="240" w:lineRule="auto"/>
              <w:jc w:val="right"/>
              <w:rPr>
                <w:rFonts w:cs="Arial"/>
                <w:b/>
                <w:bCs/>
                <w:sz w:val="16"/>
                <w:szCs w:val="16"/>
              </w:rPr>
            </w:pPr>
            <w:r w:rsidRPr="007226D7">
              <w:rPr>
                <w:rFonts w:cs="Arial"/>
                <w:b/>
                <w:bCs/>
                <w:sz w:val="16"/>
                <w:szCs w:val="16"/>
              </w:rPr>
              <w:t>1.00%</w:t>
            </w:r>
          </w:p>
        </w:tc>
      </w:tr>
      <w:tr w:rsidR="009261B0" w:rsidRPr="007226D7" w:rsidTr="002733CF">
        <w:trPr>
          <w:trHeight w:val="170"/>
          <w:jc w:val="center"/>
        </w:trPr>
        <w:tc>
          <w:tcPr>
            <w:tcW w:w="6436" w:type="dxa"/>
            <w:gridSpan w:val="5"/>
            <w:tcBorders>
              <w:top w:val="nil"/>
              <w:left w:val="nil"/>
              <w:bottom w:val="nil"/>
              <w:right w:val="nil"/>
            </w:tcBorders>
            <w:shd w:val="clear" w:color="auto" w:fill="auto"/>
            <w:noWrap/>
            <w:vAlign w:val="bottom"/>
          </w:tcPr>
          <w:p w:rsidR="009261B0" w:rsidRPr="007226D7" w:rsidRDefault="009261B0" w:rsidP="002733CF">
            <w:pPr>
              <w:spacing w:after="0" w:line="240" w:lineRule="auto"/>
              <w:rPr>
                <w:rFonts w:cs="Arial"/>
                <w:sz w:val="14"/>
                <w:szCs w:val="14"/>
                <w:lang w:eastAsia="es-ES"/>
              </w:rPr>
            </w:pPr>
            <w:r w:rsidRPr="007226D7">
              <w:rPr>
                <w:rFonts w:cs="Arial"/>
                <w:sz w:val="14"/>
                <w:szCs w:val="14"/>
                <w:lang w:eastAsia="es-ES"/>
              </w:rPr>
              <w:t>Fuente: INEI</w:t>
            </w:r>
          </w:p>
        </w:tc>
      </w:tr>
    </w:tbl>
    <w:p w:rsidR="00D578AD" w:rsidRPr="007226D7" w:rsidRDefault="00D578AD" w:rsidP="0056369A">
      <w:pPr>
        <w:rPr>
          <w:lang w:val="es-ES"/>
        </w:rPr>
      </w:pPr>
    </w:p>
    <w:p w:rsidR="0056369A" w:rsidRPr="007226D7" w:rsidRDefault="0056369A" w:rsidP="0056369A">
      <w:pPr>
        <w:rPr>
          <w:lang w:val="es-ES"/>
        </w:rPr>
      </w:pPr>
      <w:r w:rsidRPr="007226D7">
        <w:rPr>
          <w:lang w:val="es-ES"/>
        </w:rPr>
        <w:t>La evolución de la población en las últimas décadas se refleja en la forma que ha adoptado la pirámide poblacional. En efecto, la forma de la pirámide poblacional después de haber presentado una base ancha y vértice angosto, en la actualidad describe una base más reducida y un ensanchamiento progresivo en el centro, lo que refleja un menor número de nacimientos y mayor población en edad activa. Así mismo, se observa mayor proporción de población adulta mayor lo que indica el inicio del proceso de envejecimiento de la población peruana.</w:t>
      </w:r>
    </w:p>
    <w:p w:rsidR="0056369A" w:rsidRPr="007226D7" w:rsidRDefault="0056369A" w:rsidP="0056369A">
      <w:pPr>
        <w:rPr>
          <w:lang w:val="es-ES"/>
        </w:rPr>
      </w:pPr>
      <w:r w:rsidRPr="007226D7">
        <w:rPr>
          <w:lang w:val="es-ES"/>
        </w:rPr>
        <w:t>La diferencia relativa del grupo de edad de 0 a 4 años de los censos 1993 y 2007, responde a la reducción de la natalidad, asimismo, la figura revela la disminución de la importancia relativa de los 4 siguientes grupos quinquenales (5 a 24 años de edad) en hombres y mujeres, que es consecuencia de la reducción progresiva de la base. Por otro lado, a partir de los grupos de 25 años de edad, se observa una mayor proporción relativa en hombres y mujeres.</w:t>
      </w:r>
    </w:p>
    <w:p w:rsidR="0056369A" w:rsidRPr="007226D7" w:rsidRDefault="0056369A" w:rsidP="0056369A">
      <w:pPr>
        <w:rPr>
          <w:lang w:val="es-ES"/>
        </w:rPr>
      </w:pPr>
      <w:r w:rsidRPr="007226D7">
        <w:rPr>
          <w:lang w:val="es-ES"/>
        </w:rPr>
        <w:t>En las siguientes figuras se puede apreciar la pirámide poblacional de los distritos del área de influencia así como de cada uno de ellos.</w:t>
      </w:r>
    </w:p>
    <w:p w:rsidR="0056369A" w:rsidRPr="007226D7" w:rsidRDefault="0056369A" w:rsidP="0056369A">
      <w:pPr>
        <w:rPr>
          <w:lang w:val="es-ES"/>
        </w:rPr>
      </w:pPr>
    </w:p>
    <w:p w:rsidR="0056369A" w:rsidRPr="007226D7" w:rsidRDefault="00D578AD" w:rsidP="00D578AD">
      <w:pPr>
        <w:jc w:val="center"/>
        <w:rPr>
          <w:lang w:val="es-ES"/>
        </w:rPr>
      </w:pPr>
      <w:r w:rsidRPr="007226D7">
        <w:rPr>
          <w:noProof/>
          <w:lang w:val="en-US" w:eastAsia="en-US"/>
        </w:rPr>
        <w:lastRenderedPageBreak/>
        <w:drawing>
          <wp:inline distT="0" distB="0" distL="0" distR="0" wp14:anchorId="36EBB542" wp14:editId="0B957694">
            <wp:extent cx="4584065" cy="3420110"/>
            <wp:effectExtent l="0" t="0" r="0" b="0"/>
            <wp:docPr id="48"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4065" cy="3420110"/>
                    </a:xfrm>
                    <a:prstGeom prst="rect">
                      <a:avLst/>
                    </a:prstGeom>
                    <a:noFill/>
                    <a:ln>
                      <a:noFill/>
                    </a:ln>
                  </pic:spPr>
                </pic:pic>
              </a:graphicData>
            </a:graphic>
          </wp:inline>
        </w:drawing>
      </w:r>
    </w:p>
    <w:p w:rsidR="00D578AD" w:rsidRPr="007226D7" w:rsidRDefault="0056369A" w:rsidP="00D578AD">
      <w:pPr>
        <w:pStyle w:val="Figuras"/>
      </w:pPr>
      <w:r w:rsidRPr="007226D7">
        <w:t>Figura  3.1-8 Distritos Área De Influencia: Pirámide De Población Censada, 1993 Y 2007</w:t>
      </w:r>
      <w:r w:rsidR="00D578AD" w:rsidRPr="007226D7">
        <w:t xml:space="preserve"> - </w:t>
      </w:r>
      <w:r w:rsidRPr="007226D7">
        <w:t>Fuente: INEI Censos Nacionales de Población y Vivienda, 1993 y 2007.</w:t>
      </w:r>
    </w:p>
    <w:p w:rsidR="0056369A" w:rsidRPr="007226D7" w:rsidRDefault="00D578AD" w:rsidP="00D578AD">
      <w:pPr>
        <w:jc w:val="center"/>
        <w:rPr>
          <w:lang w:val="es-ES"/>
        </w:rPr>
      </w:pPr>
      <w:r w:rsidRPr="007226D7">
        <w:rPr>
          <w:noProof/>
          <w:lang w:val="en-US" w:eastAsia="en-US"/>
        </w:rPr>
        <w:drawing>
          <wp:inline distT="0" distB="0" distL="0" distR="0" wp14:anchorId="7FF2B7D2" wp14:editId="1D82EC00">
            <wp:extent cx="2766695" cy="2564765"/>
            <wp:effectExtent l="0" t="0" r="0" b="0"/>
            <wp:docPr id="49"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6695" cy="2564765"/>
                    </a:xfrm>
                    <a:prstGeom prst="rect">
                      <a:avLst/>
                    </a:prstGeom>
                    <a:noFill/>
                    <a:ln>
                      <a:noFill/>
                    </a:ln>
                  </pic:spPr>
                </pic:pic>
              </a:graphicData>
            </a:graphic>
          </wp:inline>
        </w:drawing>
      </w:r>
      <w:r w:rsidRPr="007226D7">
        <w:rPr>
          <w:noProof/>
          <w:lang w:val="en-US" w:eastAsia="en-US"/>
        </w:rPr>
        <w:drawing>
          <wp:inline distT="0" distB="0" distL="0" distR="0" wp14:anchorId="42A48774" wp14:editId="3CED439C">
            <wp:extent cx="2766695" cy="2564765"/>
            <wp:effectExtent l="0" t="0" r="0" b="0"/>
            <wp:docPr id="50"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6695" cy="2564765"/>
                    </a:xfrm>
                    <a:prstGeom prst="rect">
                      <a:avLst/>
                    </a:prstGeom>
                    <a:noFill/>
                    <a:ln>
                      <a:noFill/>
                    </a:ln>
                  </pic:spPr>
                </pic:pic>
              </a:graphicData>
            </a:graphic>
          </wp:inline>
        </w:drawing>
      </w:r>
    </w:p>
    <w:p w:rsidR="00D578AD" w:rsidRPr="007226D7" w:rsidRDefault="00D578AD" w:rsidP="0056369A">
      <w:pPr>
        <w:rPr>
          <w:lang w:val="es-ES"/>
        </w:rPr>
        <w:sectPr w:rsidR="00D578AD" w:rsidRPr="007226D7" w:rsidSect="00616C7B">
          <w:footerReference w:type="default" r:id="rId38"/>
          <w:pgSz w:w="11907" w:h="16840" w:code="9"/>
          <w:pgMar w:top="1985" w:right="1134" w:bottom="1701" w:left="1418" w:header="720" w:footer="833" w:gutter="0"/>
          <w:paperSrc w:first="15" w:other="15"/>
          <w:cols w:space="720"/>
          <w:docGrid w:linePitch="299"/>
        </w:sectPr>
      </w:pPr>
    </w:p>
    <w:p w:rsidR="00D578AD" w:rsidRPr="007226D7" w:rsidRDefault="0056369A" w:rsidP="00D578AD">
      <w:pPr>
        <w:pStyle w:val="Figuras"/>
        <w:jc w:val="right"/>
      </w:pPr>
      <w:r w:rsidRPr="007226D7">
        <w:lastRenderedPageBreak/>
        <w:t>Figura 3.1-9 Distrito El Callao: Pirámide de Población Censada, 1993 Y 2007</w:t>
      </w:r>
      <w:r w:rsidR="00D578AD" w:rsidRPr="007226D7">
        <w:t xml:space="preserve"> </w:t>
      </w:r>
    </w:p>
    <w:p w:rsidR="00D578AD" w:rsidRPr="007226D7" w:rsidRDefault="00D578AD" w:rsidP="00D578AD">
      <w:pPr>
        <w:pStyle w:val="Figuras"/>
        <w:jc w:val="right"/>
      </w:pPr>
      <w:r w:rsidRPr="007226D7">
        <w:t>Fuente: INEI Censos Nacionales de Población y Vivienda, 1993 y 2007.</w:t>
      </w:r>
      <w:r w:rsidRPr="007226D7">
        <w:tab/>
      </w:r>
    </w:p>
    <w:p w:rsidR="00D578AD" w:rsidRPr="007226D7" w:rsidRDefault="00D578AD" w:rsidP="00D578AD">
      <w:pPr>
        <w:pStyle w:val="Figuras"/>
        <w:jc w:val="left"/>
      </w:pPr>
      <w:r w:rsidRPr="007226D7">
        <w:br w:type="column"/>
      </w:r>
      <w:r w:rsidRPr="007226D7">
        <w:lastRenderedPageBreak/>
        <w:t>Figura 3.1-10 Distrito Carmen de la Legua Reynoso: Pirámide de Población Censada, 1993 Y 2007</w:t>
      </w:r>
    </w:p>
    <w:p w:rsidR="00D578AD" w:rsidRPr="007226D7" w:rsidRDefault="00D578AD" w:rsidP="00D578AD">
      <w:pPr>
        <w:pStyle w:val="Figuras"/>
        <w:jc w:val="left"/>
      </w:pPr>
      <w:r w:rsidRPr="007226D7">
        <w:t>Fuente: INEI Censos Nacionales de Población y Vivienda, 1993 y 2007.</w:t>
      </w:r>
    </w:p>
    <w:p w:rsidR="00D578AD" w:rsidRPr="007226D7" w:rsidRDefault="00D578AD" w:rsidP="00D578AD">
      <w:pPr>
        <w:pStyle w:val="Figuras"/>
      </w:pPr>
    </w:p>
    <w:p w:rsidR="00D578AD" w:rsidRPr="007226D7" w:rsidRDefault="00D578AD" w:rsidP="00D578AD">
      <w:pPr>
        <w:pStyle w:val="Figuras"/>
      </w:pPr>
    </w:p>
    <w:p w:rsidR="00D578AD" w:rsidRPr="007226D7" w:rsidRDefault="00D578AD" w:rsidP="00D578AD">
      <w:pPr>
        <w:pStyle w:val="Figuras"/>
        <w:sectPr w:rsidR="00D578AD" w:rsidRPr="007226D7" w:rsidSect="00616C7B">
          <w:type w:val="continuous"/>
          <w:pgSz w:w="11907" w:h="16840" w:code="9"/>
          <w:pgMar w:top="1985" w:right="1134" w:bottom="1701" w:left="1418" w:header="720" w:footer="833" w:gutter="0"/>
          <w:paperSrc w:first="15" w:other="15"/>
          <w:cols w:num="2" w:space="720"/>
          <w:docGrid w:linePitch="299"/>
        </w:sectPr>
      </w:pPr>
    </w:p>
    <w:p w:rsidR="00D578AD" w:rsidRPr="007226D7" w:rsidRDefault="00D578AD">
      <w:pPr>
        <w:spacing w:after="0" w:line="240" w:lineRule="auto"/>
        <w:jc w:val="left"/>
        <w:rPr>
          <w:lang w:val="es-ES"/>
        </w:rPr>
      </w:pPr>
      <w:r w:rsidRPr="007226D7">
        <w:rPr>
          <w:lang w:val="es-ES"/>
        </w:rPr>
        <w:lastRenderedPageBreak/>
        <w:br w:type="page"/>
      </w:r>
    </w:p>
    <w:p w:rsidR="00D578AD" w:rsidRPr="007226D7" w:rsidRDefault="00D578AD" w:rsidP="00D578AD">
      <w:pPr>
        <w:rPr>
          <w:lang w:val="es-ES"/>
        </w:rPr>
        <w:sectPr w:rsidR="00D578AD" w:rsidRPr="007226D7" w:rsidSect="00616C7B">
          <w:footerReference w:type="default" r:id="rId39"/>
          <w:type w:val="continuous"/>
          <w:pgSz w:w="11907" w:h="16840" w:code="9"/>
          <w:pgMar w:top="1985" w:right="1134" w:bottom="1701" w:left="1418" w:header="720" w:footer="833" w:gutter="0"/>
          <w:paperSrc w:first="15" w:other="15"/>
          <w:cols w:space="720"/>
          <w:docGrid w:linePitch="299"/>
        </w:sectPr>
      </w:pPr>
      <w:r w:rsidRPr="007226D7">
        <w:rPr>
          <w:noProof/>
          <w:lang w:val="en-US" w:eastAsia="en-US"/>
        </w:rPr>
        <w:lastRenderedPageBreak/>
        <w:drawing>
          <wp:inline distT="0" distB="0" distL="0" distR="0" wp14:anchorId="754782AC" wp14:editId="536CF9DE">
            <wp:extent cx="2766695" cy="2564765"/>
            <wp:effectExtent l="0" t="0" r="0" b="0"/>
            <wp:docPr id="53"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6695" cy="2564765"/>
                    </a:xfrm>
                    <a:prstGeom prst="rect">
                      <a:avLst/>
                    </a:prstGeom>
                    <a:noFill/>
                    <a:ln>
                      <a:noFill/>
                    </a:ln>
                  </pic:spPr>
                </pic:pic>
              </a:graphicData>
            </a:graphic>
          </wp:inline>
        </w:drawing>
      </w:r>
      <w:r w:rsidRPr="007226D7">
        <w:rPr>
          <w:noProof/>
          <w:lang w:val="en-US" w:eastAsia="en-US"/>
        </w:rPr>
        <w:drawing>
          <wp:inline distT="0" distB="0" distL="0" distR="0" wp14:anchorId="16BA9D61" wp14:editId="10346304">
            <wp:extent cx="2766695" cy="2564765"/>
            <wp:effectExtent l="0" t="0" r="0" b="0"/>
            <wp:docPr id="54"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6695" cy="2564765"/>
                    </a:xfrm>
                    <a:prstGeom prst="rect">
                      <a:avLst/>
                    </a:prstGeom>
                    <a:noFill/>
                    <a:ln>
                      <a:noFill/>
                    </a:ln>
                  </pic:spPr>
                </pic:pic>
              </a:graphicData>
            </a:graphic>
          </wp:inline>
        </w:drawing>
      </w:r>
      <w:r w:rsidRPr="007226D7">
        <w:rPr>
          <w:lang w:val="es-ES"/>
        </w:rPr>
        <w:t xml:space="preserve"> </w:t>
      </w:r>
    </w:p>
    <w:p w:rsidR="00D578AD" w:rsidRPr="007226D7" w:rsidRDefault="00D578AD" w:rsidP="00D578AD">
      <w:pPr>
        <w:pStyle w:val="Figuras"/>
        <w:jc w:val="right"/>
      </w:pPr>
      <w:r w:rsidRPr="007226D7">
        <w:lastRenderedPageBreak/>
        <w:t>Figura 3.1-11 Distrito de Bellavista: Pirámide de Población Censada, 1993 Y 2007</w:t>
      </w:r>
    </w:p>
    <w:p w:rsidR="00D578AD" w:rsidRPr="007226D7" w:rsidRDefault="00D578AD" w:rsidP="00D578AD">
      <w:pPr>
        <w:pStyle w:val="Figuras"/>
        <w:jc w:val="right"/>
      </w:pPr>
      <w:r w:rsidRPr="007226D7">
        <w:t>Fuente: INEI Censos Nacionales de Población y Vivienda, 1993 y 2007.</w:t>
      </w:r>
      <w:r w:rsidRPr="007226D7">
        <w:tab/>
      </w:r>
    </w:p>
    <w:p w:rsidR="00D578AD" w:rsidRPr="007226D7" w:rsidRDefault="00D578AD" w:rsidP="00D578AD">
      <w:pPr>
        <w:pStyle w:val="Figuras"/>
        <w:jc w:val="left"/>
      </w:pPr>
      <w:r w:rsidRPr="007226D7">
        <w:br w:type="column"/>
      </w:r>
      <w:r w:rsidRPr="007226D7">
        <w:lastRenderedPageBreak/>
        <w:t>Figura 3.1-12 Distrito La Perla: Pirámide de Población Censada, 1993 Y 2007</w:t>
      </w:r>
    </w:p>
    <w:p w:rsidR="00D578AD" w:rsidRPr="007226D7" w:rsidRDefault="00D578AD" w:rsidP="00D578AD">
      <w:pPr>
        <w:pStyle w:val="Figuras"/>
        <w:jc w:val="left"/>
      </w:pPr>
      <w:r w:rsidRPr="007226D7">
        <w:t>Fuente: INEI Censos Nacionales de Población y Vivienda, 1993 y 2007.</w:t>
      </w:r>
    </w:p>
    <w:p w:rsidR="00D578AD" w:rsidRPr="007226D7" w:rsidRDefault="00D578AD" w:rsidP="00D578AD">
      <w:pPr>
        <w:pStyle w:val="Figuras"/>
      </w:pPr>
    </w:p>
    <w:p w:rsidR="00D578AD" w:rsidRPr="007226D7" w:rsidRDefault="00D578AD" w:rsidP="00D578AD">
      <w:pPr>
        <w:pStyle w:val="Figuras"/>
      </w:pPr>
    </w:p>
    <w:p w:rsidR="00D578AD" w:rsidRPr="007226D7" w:rsidRDefault="00D578AD" w:rsidP="00D578AD">
      <w:pPr>
        <w:pStyle w:val="Figuras"/>
        <w:sectPr w:rsidR="00D578AD" w:rsidRPr="007226D7" w:rsidSect="00616C7B">
          <w:type w:val="continuous"/>
          <w:pgSz w:w="11907" w:h="16840" w:code="9"/>
          <w:pgMar w:top="1985" w:right="1134" w:bottom="1701" w:left="1418" w:header="720" w:footer="833" w:gutter="0"/>
          <w:paperSrc w:first="15" w:other="15"/>
          <w:cols w:num="2" w:space="720"/>
          <w:docGrid w:linePitch="299"/>
        </w:sectPr>
      </w:pPr>
    </w:p>
    <w:p w:rsidR="00C56910" w:rsidRPr="007226D7" w:rsidRDefault="00D578AD" w:rsidP="00C56910">
      <w:pPr>
        <w:rPr>
          <w:lang w:val="es-ES"/>
        </w:rPr>
        <w:sectPr w:rsidR="00C56910" w:rsidRPr="007226D7" w:rsidSect="00616C7B">
          <w:footerReference w:type="default" r:id="rId42"/>
          <w:type w:val="continuous"/>
          <w:pgSz w:w="11907" w:h="16840" w:code="9"/>
          <w:pgMar w:top="1985" w:right="1134" w:bottom="1701" w:left="1418" w:header="720" w:footer="833" w:gutter="0"/>
          <w:paperSrc w:first="15" w:other="15"/>
          <w:cols w:space="720"/>
          <w:docGrid w:linePitch="299"/>
        </w:sectPr>
      </w:pPr>
      <w:r w:rsidRPr="007226D7">
        <w:rPr>
          <w:noProof/>
          <w:lang w:val="en-US" w:eastAsia="en-US"/>
        </w:rPr>
        <w:lastRenderedPageBreak/>
        <w:drawing>
          <wp:inline distT="0" distB="0" distL="0" distR="0" wp14:anchorId="44C73C96" wp14:editId="2A6C1FCF">
            <wp:extent cx="2778760" cy="2588895"/>
            <wp:effectExtent l="0" t="0" r="0" b="0"/>
            <wp:docPr id="55"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8760" cy="2588895"/>
                    </a:xfrm>
                    <a:prstGeom prst="rect">
                      <a:avLst/>
                    </a:prstGeom>
                    <a:noFill/>
                    <a:ln>
                      <a:noFill/>
                    </a:ln>
                  </pic:spPr>
                </pic:pic>
              </a:graphicData>
            </a:graphic>
          </wp:inline>
        </w:drawing>
      </w:r>
      <w:r w:rsidRPr="007226D7">
        <w:rPr>
          <w:noProof/>
          <w:lang w:val="en-US" w:eastAsia="en-US"/>
        </w:rPr>
        <w:drawing>
          <wp:inline distT="0" distB="0" distL="0" distR="0" wp14:anchorId="110D0F76" wp14:editId="3D16CB61">
            <wp:extent cx="2755265" cy="2600960"/>
            <wp:effectExtent l="0" t="0" r="0" b="0"/>
            <wp:docPr id="56"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265" cy="2600960"/>
                    </a:xfrm>
                    <a:prstGeom prst="rect">
                      <a:avLst/>
                    </a:prstGeom>
                    <a:noFill/>
                    <a:ln>
                      <a:noFill/>
                    </a:ln>
                  </pic:spPr>
                </pic:pic>
              </a:graphicData>
            </a:graphic>
          </wp:inline>
        </w:drawing>
      </w:r>
      <w:r w:rsidR="00C56910" w:rsidRPr="007226D7">
        <w:rPr>
          <w:lang w:val="es-ES"/>
        </w:rPr>
        <w:t xml:space="preserve"> </w:t>
      </w:r>
    </w:p>
    <w:p w:rsidR="00C56910" w:rsidRPr="007226D7" w:rsidRDefault="00C56910" w:rsidP="00C56910">
      <w:pPr>
        <w:pStyle w:val="Figuras"/>
        <w:jc w:val="right"/>
      </w:pPr>
      <w:r w:rsidRPr="007226D7">
        <w:lastRenderedPageBreak/>
        <w:t>Figura 3.1-13 Distrito San Miguel: Pirámide de Población Censada, 1993 Y 2007</w:t>
      </w:r>
    </w:p>
    <w:p w:rsidR="00C56910" w:rsidRPr="007226D7" w:rsidRDefault="00C56910" w:rsidP="00C56910">
      <w:pPr>
        <w:pStyle w:val="Figuras"/>
        <w:jc w:val="right"/>
      </w:pPr>
      <w:r w:rsidRPr="007226D7">
        <w:t>Fuente: INEI Censos Nacionales de Población y Vivienda, 1993 y 2007.</w:t>
      </w:r>
      <w:r w:rsidRPr="007226D7">
        <w:tab/>
        <w:t xml:space="preserve"> </w:t>
      </w:r>
    </w:p>
    <w:p w:rsidR="00C56910" w:rsidRPr="007226D7" w:rsidRDefault="00C56910" w:rsidP="00C56910">
      <w:pPr>
        <w:pStyle w:val="Figuras"/>
        <w:jc w:val="left"/>
      </w:pPr>
      <w:r w:rsidRPr="007226D7">
        <w:br w:type="column"/>
      </w:r>
      <w:r w:rsidRPr="007226D7">
        <w:lastRenderedPageBreak/>
        <w:t>Figura 3.1-14 Distrito de Lima: Pirámide de Población Censada, 1993 Y 2007</w:t>
      </w:r>
    </w:p>
    <w:p w:rsidR="00C56910" w:rsidRPr="007226D7" w:rsidRDefault="00C56910" w:rsidP="00C56910">
      <w:pPr>
        <w:pStyle w:val="Figuras"/>
        <w:jc w:val="left"/>
      </w:pPr>
      <w:r w:rsidRPr="007226D7">
        <w:t>Fuente: INEI Censos Nacionales de Población y Vivienda, 1993 y 2007.</w:t>
      </w:r>
    </w:p>
    <w:p w:rsidR="00C56910" w:rsidRPr="007226D7" w:rsidRDefault="00C56910" w:rsidP="00C56910">
      <w:pPr>
        <w:pStyle w:val="Figuras"/>
      </w:pPr>
    </w:p>
    <w:p w:rsidR="00C56910" w:rsidRPr="007226D7" w:rsidRDefault="00C56910" w:rsidP="00C56910">
      <w:pPr>
        <w:pStyle w:val="Figuras"/>
      </w:pPr>
    </w:p>
    <w:p w:rsidR="00C56910" w:rsidRPr="007226D7" w:rsidRDefault="00C56910" w:rsidP="00C56910">
      <w:pPr>
        <w:pStyle w:val="Figuras"/>
        <w:sectPr w:rsidR="00C56910" w:rsidRPr="007226D7" w:rsidSect="00616C7B">
          <w:type w:val="continuous"/>
          <w:pgSz w:w="11907" w:h="16840" w:code="9"/>
          <w:pgMar w:top="1985" w:right="1134" w:bottom="1701" w:left="1418" w:header="720" w:footer="833" w:gutter="0"/>
          <w:paperSrc w:first="15" w:other="15"/>
          <w:cols w:num="2" w:space="720"/>
          <w:docGrid w:linePitch="299"/>
        </w:sectPr>
      </w:pPr>
    </w:p>
    <w:p w:rsidR="00C56910" w:rsidRPr="007226D7" w:rsidRDefault="00D578AD" w:rsidP="00C56910">
      <w:pPr>
        <w:rPr>
          <w:lang w:val="es-ES"/>
        </w:rPr>
        <w:sectPr w:rsidR="00C56910" w:rsidRPr="007226D7" w:rsidSect="00616C7B">
          <w:footerReference w:type="default" r:id="rId45"/>
          <w:type w:val="continuous"/>
          <w:pgSz w:w="11907" w:h="16840" w:code="9"/>
          <w:pgMar w:top="1985" w:right="1134" w:bottom="1701" w:left="1418" w:header="720" w:footer="833" w:gutter="0"/>
          <w:paperSrc w:first="15" w:other="15"/>
          <w:cols w:space="720"/>
          <w:docGrid w:linePitch="299"/>
        </w:sectPr>
      </w:pPr>
      <w:r w:rsidRPr="007226D7">
        <w:rPr>
          <w:noProof/>
          <w:lang w:val="en-US" w:eastAsia="en-US"/>
        </w:rPr>
        <w:lastRenderedPageBreak/>
        <w:drawing>
          <wp:inline distT="0" distB="0" distL="0" distR="0" wp14:anchorId="2E8513D8" wp14:editId="42570382">
            <wp:extent cx="2764466" cy="2530549"/>
            <wp:effectExtent l="0" t="0" r="0" b="0"/>
            <wp:docPr id="57"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5095" cy="2531125"/>
                    </a:xfrm>
                    <a:prstGeom prst="rect">
                      <a:avLst/>
                    </a:prstGeom>
                    <a:noFill/>
                    <a:ln>
                      <a:noFill/>
                    </a:ln>
                  </pic:spPr>
                </pic:pic>
              </a:graphicData>
            </a:graphic>
          </wp:inline>
        </w:drawing>
      </w:r>
      <w:r w:rsidRPr="007226D7">
        <w:rPr>
          <w:noProof/>
          <w:lang w:val="en-US" w:eastAsia="en-US"/>
        </w:rPr>
        <w:drawing>
          <wp:inline distT="0" distB="0" distL="0" distR="0" wp14:anchorId="1F2E7B5A" wp14:editId="553EFF77">
            <wp:extent cx="2705588" cy="2519916"/>
            <wp:effectExtent l="19050" t="0" r="0" b="0"/>
            <wp:docPr id="58"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9532" cy="2523589"/>
                    </a:xfrm>
                    <a:prstGeom prst="rect">
                      <a:avLst/>
                    </a:prstGeom>
                    <a:noFill/>
                    <a:ln>
                      <a:noFill/>
                    </a:ln>
                  </pic:spPr>
                </pic:pic>
              </a:graphicData>
            </a:graphic>
          </wp:inline>
        </w:drawing>
      </w:r>
      <w:r w:rsidR="00C56910" w:rsidRPr="007226D7">
        <w:rPr>
          <w:lang w:val="es-ES"/>
        </w:rPr>
        <w:t xml:space="preserve"> </w:t>
      </w:r>
    </w:p>
    <w:p w:rsidR="00C56910" w:rsidRPr="007226D7" w:rsidRDefault="00C56910" w:rsidP="00C56910">
      <w:pPr>
        <w:pStyle w:val="Figuras"/>
        <w:jc w:val="right"/>
      </w:pPr>
      <w:r w:rsidRPr="007226D7">
        <w:lastRenderedPageBreak/>
        <w:t>Figura 3.1-15 Distrito de Breña: Pirámide de Población Censada, 1993 Y 2007</w:t>
      </w:r>
    </w:p>
    <w:p w:rsidR="00C56910" w:rsidRPr="007226D7" w:rsidRDefault="00C56910" w:rsidP="00C56910">
      <w:pPr>
        <w:pStyle w:val="Figuras"/>
        <w:jc w:val="right"/>
      </w:pPr>
      <w:r w:rsidRPr="007226D7">
        <w:t>Fuente: INEI Censos Nacionales de Población y Vivienda, 1993 y 2007.</w:t>
      </w:r>
      <w:r w:rsidRPr="007226D7">
        <w:tab/>
        <w:t xml:space="preserve"> </w:t>
      </w:r>
    </w:p>
    <w:p w:rsidR="00C56910" w:rsidRPr="007226D7" w:rsidRDefault="00C56910" w:rsidP="00C56910">
      <w:pPr>
        <w:pStyle w:val="Figuras"/>
        <w:jc w:val="left"/>
      </w:pPr>
      <w:r w:rsidRPr="007226D7">
        <w:br w:type="column"/>
      </w:r>
      <w:r w:rsidRPr="007226D7">
        <w:lastRenderedPageBreak/>
        <w:t>Figura 3.1-16 Distrito Jesús María: Pirámide de Población Censada, 1993 Y 2007</w:t>
      </w:r>
    </w:p>
    <w:p w:rsidR="00C56910" w:rsidRPr="007226D7" w:rsidRDefault="00C56910" w:rsidP="00C56910">
      <w:pPr>
        <w:pStyle w:val="Figuras"/>
        <w:jc w:val="left"/>
      </w:pPr>
      <w:r w:rsidRPr="007226D7">
        <w:t>Fuente: INEI Censos Nacionales de Población y Vivienda, 1993 y 2007</w:t>
      </w:r>
      <w:proofErr w:type="gramStart"/>
      <w:r w:rsidRPr="007226D7">
        <w:t>..</w:t>
      </w:r>
      <w:proofErr w:type="gramEnd"/>
    </w:p>
    <w:p w:rsidR="00C56910" w:rsidRPr="007226D7" w:rsidRDefault="00C56910" w:rsidP="00C56910">
      <w:pPr>
        <w:pStyle w:val="Figuras"/>
      </w:pPr>
    </w:p>
    <w:p w:rsidR="00C56910" w:rsidRPr="007226D7" w:rsidRDefault="00C56910" w:rsidP="00C56910">
      <w:pPr>
        <w:pStyle w:val="Figuras"/>
      </w:pPr>
    </w:p>
    <w:p w:rsidR="00C56910" w:rsidRPr="007226D7" w:rsidRDefault="00C56910" w:rsidP="00C56910">
      <w:pPr>
        <w:pStyle w:val="Figuras"/>
        <w:sectPr w:rsidR="00C56910" w:rsidRPr="007226D7" w:rsidSect="00616C7B">
          <w:type w:val="continuous"/>
          <w:pgSz w:w="11907" w:h="16840" w:code="9"/>
          <w:pgMar w:top="1985" w:right="1134" w:bottom="1701" w:left="1418" w:header="720" w:footer="833" w:gutter="0"/>
          <w:paperSrc w:first="15" w:other="15"/>
          <w:cols w:num="2" w:space="720"/>
          <w:docGrid w:linePitch="299"/>
        </w:sectPr>
      </w:pPr>
    </w:p>
    <w:p w:rsidR="0056369A" w:rsidRPr="007226D7" w:rsidRDefault="0056369A" w:rsidP="0056369A">
      <w:pPr>
        <w:rPr>
          <w:lang w:val="es-ES"/>
        </w:rPr>
      </w:pPr>
    </w:p>
    <w:p w:rsidR="00C56910" w:rsidRPr="007226D7" w:rsidRDefault="00D578AD" w:rsidP="00C56910">
      <w:pPr>
        <w:rPr>
          <w:lang w:val="es-ES"/>
        </w:rPr>
        <w:sectPr w:rsidR="00C56910" w:rsidRPr="007226D7" w:rsidSect="00616C7B">
          <w:footerReference w:type="default" r:id="rId48"/>
          <w:type w:val="continuous"/>
          <w:pgSz w:w="11907" w:h="16840" w:code="9"/>
          <w:pgMar w:top="1985" w:right="1134" w:bottom="1701" w:left="1418" w:header="720" w:footer="833" w:gutter="0"/>
          <w:paperSrc w:first="15" w:other="15"/>
          <w:cols w:space="720"/>
          <w:docGrid w:linePitch="299"/>
        </w:sectPr>
      </w:pPr>
      <w:r w:rsidRPr="007226D7">
        <w:rPr>
          <w:noProof/>
          <w:lang w:val="en-US" w:eastAsia="en-US"/>
        </w:rPr>
        <w:drawing>
          <wp:inline distT="0" distB="0" distL="0" distR="0" wp14:anchorId="6CDB54EA" wp14:editId="3555894C">
            <wp:extent cx="2766695" cy="2576830"/>
            <wp:effectExtent l="0" t="0" r="0" b="0"/>
            <wp:docPr id="59"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6695" cy="2576830"/>
                    </a:xfrm>
                    <a:prstGeom prst="rect">
                      <a:avLst/>
                    </a:prstGeom>
                    <a:noFill/>
                    <a:ln>
                      <a:noFill/>
                    </a:ln>
                  </pic:spPr>
                </pic:pic>
              </a:graphicData>
            </a:graphic>
          </wp:inline>
        </w:drawing>
      </w:r>
      <w:r w:rsidRPr="007226D7">
        <w:rPr>
          <w:noProof/>
          <w:lang w:val="en-US" w:eastAsia="en-US"/>
        </w:rPr>
        <w:drawing>
          <wp:inline distT="0" distB="0" distL="0" distR="0" wp14:anchorId="2D80FEDA" wp14:editId="48BDCDA8">
            <wp:extent cx="2861945" cy="2564765"/>
            <wp:effectExtent l="0" t="0" r="0" b="0"/>
            <wp:docPr id="60"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1945" cy="2564765"/>
                    </a:xfrm>
                    <a:prstGeom prst="rect">
                      <a:avLst/>
                    </a:prstGeom>
                    <a:noFill/>
                    <a:ln>
                      <a:noFill/>
                    </a:ln>
                  </pic:spPr>
                </pic:pic>
              </a:graphicData>
            </a:graphic>
          </wp:inline>
        </w:drawing>
      </w:r>
      <w:r w:rsidR="00C56910" w:rsidRPr="007226D7">
        <w:rPr>
          <w:lang w:val="es-ES"/>
        </w:rPr>
        <w:t xml:space="preserve"> </w:t>
      </w:r>
    </w:p>
    <w:p w:rsidR="00C56910" w:rsidRPr="007226D7" w:rsidRDefault="00C56910" w:rsidP="00C56910">
      <w:pPr>
        <w:pStyle w:val="Figuras"/>
        <w:jc w:val="right"/>
      </w:pPr>
      <w:r w:rsidRPr="007226D7">
        <w:lastRenderedPageBreak/>
        <w:t>Figura 3.1-17 Distrito La Victoria: Pirámide de Población Censada, 1993 Y 2007</w:t>
      </w:r>
    </w:p>
    <w:p w:rsidR="00C56910" w:rsidRPr="007226D7" w:rsidRDefault="00C56910" w:rsidP="00C56910">
      <w:pPr>
        <w:pStyle w:val="Figuras"/>
        <w:jc w:val="right"/>
      </w:pPr>
      <w:r w:rsidRPr="007226D7">
        <w:t xml:space="preserve">Fuente: INEI Censos Nacionales de Población y Vivienda, 1993 y 2007. </w:t>
      </w:r>
    </w:p>
    <w:p w:rsidR="00C56910" w:rsidRPr="007226D7" w:rsidRDefault="00C56910" w:rsidP="00C56910">
      <w:pPr>
        <w:pStyle w:val="Figuras"/>
        <w:jc w:val="left"/>
      </w:pPr>
      <w:r w:rsidRPr="007226D7">
        <w:br w:type="column"/>
      </w:r>
      <w:r w:rsidRPr="007226D7">
        <w:lastRenderedPageBreak/>
        <w:t>Figura 3.1-18 Distrito El Agustino: Pirámide de Población Censada, 1993 Y 2007</w:t>
      </w:r>
    </w:p>
    <w:p w:rsidR="00C56910" w:rsidRPr="007226D7" w:rsidRDefault="00C56910" w:rsidP="00C56910">
      <w:pPr>
        <w:pStyle w:val="Figuras"/>
        <w:jc w:val="left"/>
      </w:pPr>
      <w:r w:rsidRPr="007226D7">
        <w:t>Fuente: INEI Censos Nacionales de Población y Vivienda, 1993 y 2007.</w:t>
      </w:r>
    </w:p>
    <w:p w:rsidR="00C56910" w:rsidRPr="007226D7" w:rsidRDefault="00C56910" w:rsidP="00C56910">
      <w:pPr>
        <w:pStyle w:val="Figuras"/>
      </w:pPr>
    </w:p>
    <w:p w:rsidR="00C56910" w:rsidRPr="007226D7" w:rsidRDefault="00C56910" w:rsidP="00C56910">
      <w:pPr>
        <w:pStyle w:val="Figuras"/>
        <w:sectPr w:rsidR="00C56910" w:rsidRPr="007226D7" w:rsidSect="00616C7B">
          <w:type w:val="continuous"/>
          <w:pgSz w:w="11907" w:h="16840" w:code="9"/>
          <w:pgMar w:top="1985" w:right="1134" w:bottom="1701" w:left="1418" w:header="720" w:footer="833" w:gutter="0"/>
          <w:paperSrc w:first="15" w:other="15"/>
          <w:cols w:num="2" w:space="720"/>
          <w:docGrid w:linePitch="299"/>
        </w:sectPr>
      </w:pPr>
    </w:p>
    <w:p w:rsidR="0056369A" w:rsidRPr="007226D7" w:rsidRDefault="0056369A" w:rsidP="0056369A">
      <w:pPr>
        <w:rPr>
          <w:lang w:val="es-ES"/>
        </w:rPr>
      </w:pPr>
    </w:p>
    <w:p w:rsidR="00C56910" w:rsidRPr="007226D7" w:rsidRDefault="00D578AD" w:rsidP="00C56910">
      <w:pPr>
        <w:rPr>
          <w:lang w:val="es-ES"/>
        </w:rPr>
        <w:sectPr w:rsidR="00C56910" w:rsidRPr="007226D7" w:rsidSect="00616C7B">
          <w:footerReference w:type="default" r:id="rId51"/>
          <w:type w:val="continuous"/>
          <w:pgSz w:w="11907" w:h="16840" w:code="9"/>
          <w:pgMar w:top="1985" w:right="1134" w:bottom="1701" w:left="1418" w:header="720" w:footer="833" w:gutter="0"/>
          <w:paperSrc w:first="15" w:other="15"/>
          <w:cols w:space="720"/>
          <w:docGrid w:linePitch="299"/>
        </w:sectPr>
      </w:pPr>
      <w:r w:rsidRPr="007226D7">
        <w:rPr>
          <w:noProof/>
          <w:lang w:val="en-US" w:eastAsia="en-US"/>
        </w:rPr>
        <w:lastRenderedPageBreak/>
        <w:drawing>
          <wp:inline distT="0" distB="0" distL="0" distR="0" wp14:anchorId="3487856A" wp14:editId="4E16161D">
            <wp:extent cx="2766695" cy="2576830"/>
            <wp:effectExtent l="0" t="0" r="0" b="0"/>
            <wp:docPr id="61"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6695" cy="2576830"/>
                    </a:xfrm>
                    <a:prstGeom prst="rect">
                      <a:avLst/>
                    </a:prstGeom>
                    <a:noFill/>
                    <a:ln>
                      <a:noFill/>
                    </a:ln>
                  </pic:spPr>
                </pic:pic>
              </a:graphicData>
            </a:graphic>
          </wp:inline>
        </w:drawing>
      </w:r>
      <w:r w:rsidRPr="007226D7">
        <w:rPr>
          <w:noProof/>
          <w:lang w:val="en-US" w:eastAsia="en-US"/>
        </w:rPr>
        <w:drawing>
          <wp:inline distT="0" distB="0" distL="0" distR="0" wp14:anchorId="405B31E0" wp14:editId="059521F7">
            <wp:extent cx="2766695" cy="2576830"/>
            <wp:effectExtent l="0" t="0" r="0" b="0"/>
            <wp:docPr id="62"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66695" cy="2576830"/>
                    </a:xfrm>
                    <a:prstGeom prst="rect">
                      <a:avLst/>
                    </a:prstGeom>
                    <a:noFill/>
                    <a:ln>
                      <a:noFill/>
                    </a:ln>
                  </pic:spPr>
                </pic:pic>
              </a:graphicData>
            </a:graphic>
          </wp:inline>
        </w:drawing>
      </w:r>
      <w:r w:rsidR="00C56910" w:rsidRPr="007226D7">
        <w:rPr>
          <w:lang w:val="es-ES"/>
        </w:rPr>
        <w:t xml:space="preserve"> </w:t>
      </w:r>
    </w:p>
    <w:p w:rsidR="00C56910" w:rsidRPr="007226D7" w:rsidRDefault="00C56910" w:rsidP="00C56910">
      <w:pPr>
        <w:pStyle w:val="Figuras"/>
        <w:jc w:val="right"/>
      </w:pPr>
      <w:r w:rsidRPr="007226D7">
        <w:lastRenderedPageBreak/>
        <w:t>Figura 3.1-19 Distrito San Luis: Pirámide de Población Censada, 1993 Y 2007</w:t>
      </w:r>
    </w:p>
    <w:p w:rsidR="00C56910" w:rsidRPr="007226D7" w:rsidRDefault="00C56910" w:rsidP="00C56910">
      <w:pPr>
        <w:pStyle w:val="Figuras"/>
        <w:jc w:val="right"/>
      </w:pPr>
      <w:r w:rsidRPr="007226D7">
        <w:t xml:space="preserve">Fuente: INEI Censos Nacionales de Población y Vivienda, 1993 y 2007 </w:t>
      </w:r>
    </w:p>
    <w:p w:rsidR="00C56910" w:rsidRPr="007226D7" w:rsidRDefault="00C56910" w:rsidP="00C56910">
      <w:pPr>
        <w:pStyle w:val="Figuras"/>
        <w:jc w:val="left"/>
      </w:pPr>
      <w:r w:rsidRPr="007226D7">
        <w:br w:type="column"/>
      </w:r>
      <w:r w:rsidRPr="007226D7">
        <w:lastRenderedPageBreak/>
        <w:t>Figura 3.1-20 Distrito Santa Anita: Pirámide de Población Censada, 1993 Y 2007</w:t>
      </w:r>
    </w:p>
    <w:p w:rsidR="00C56910" w:rsidRPr="007226D7" w:rsidRDefault="00C56910" w:rsidP="00C56910">
      <w:pPr>
        <w:pStyle w:val="Figuras"/>
        <w:jc w:val="left"/>
      </w:pPr>
      <w:r w:rsidRPr="007226D7">
        <w:t>Fuente: INEI Censos Nacionales de Población y Vivienda, 1993 y 2007.</w:t>
      </w:r>
    </w:p>
    <w:p w:rsidR="00C56910" w:rsidRPr="007226D7" w:rsidRDefault="00C56910" w:rsidP="00C56910">
      <w:pPr>
        <w:pStyle w:val="Figuras"/>
      </w:pPr>
    </w:p>
    <w:p w:rsidR="00C56910" w:rsidRPr="007226D7" w:rsidRDefault="00C56910" w:rsidP="00C56910">
      <w:pPr>
        <w:pStyle w:val="Figuras"/>
        <w:sectPr w:rsidR="00C56910" w:rsidRPr="007226D7" w:rsidSect="00616C7B">
          <w:type w:val="continuous"/>
          <w:pgSz w:w="11907" w:h="16840" w:code="9"/>
          <w:pgMar w:top="1985" w:right="1134" w:bottom="1701" w:left="1418" w:header="720" w:footer="833" w:gutter="0"/>
          <w:paperSrc w:first="15" w:other="15"/>
          <w:cols w:num="2" w:space="720"/>
          <w:docGrid w:linePitch="299"/>
        </w:sectPr>
      </w:pPr>
    </w:p>
    <w:p w:rsidR="0056369A" w:rsidRPr="007226D7" w:rsidRDefault="00D578AD" w:rsidP="00C56910">
      <w:pPr>
        <w:jc w:val="center"/>
        <w:rPr>
          <w:lang w:val="es-ES"/>
        </w:rPr>
      </w:pPr>
      <w:r w:rsidRPr="007226D7">
        <w:rPr>
          <w:noProof/>
          <w:lang w:val="en-US" w:eastAsia="en-US"/>
        </w:rPr>
        <w:lastRenderedPageBreak/>
        <w:drawing>
          <wp:inline distT="0" distB="0" distL="0" distR="0" wp14:anchorId="4544AE10" wp14:editId="76D67187">
            <wp:extent cx="2790825" cy="2482215"/>
            <wp:effectExtent l="0" t="0" r="0" b="0"/>
            <wp:docPr id="63"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0825" cy="2482215"/>
                    </a:xfrm>
                    <a:prstGeom prst="rect">
                      <a:avLst/>
                    </a:prstGeom>
                    <a:noFill/>
                    <a:ln>
                      <a:noFill/>
                    </a:ln>
                  </pic:spPr>
                </pic:pic>
              </a:graphicData>
            </a:graphic>
          </wp:inline>
        </w:drawing>
      </w:r>
    </w:p>
    <w:p w:rsidR="0056369A" w:rsidRPr="007226D7" w:rsidRDefault="0056369A" w:rsidP="00C56910">
      <w:pPr>
        <w:pStyle w:val="Figuras"/>
      </w:pPr>
      <w:r w:rsidRPr="007226D7">
        <w:t>Figura 3.1-21 Distrito de Ate: Pirámide de Población</w:t>
      </w:r>
      <w:r w:rsidR="00C56910" w:rsidRPr="007226D7">
        <w:t xml:space="preserve"> </w:t>
      </w:r>
      <w:r w:rsidRPr="007226D7">
        <w:t xml:space="preserve"> Censada, 1993 Y 2007</w:t>
      </w:r>
    </w:p>
    <w:p w:rsidR="0056369A" w:rsidRPr="007226D7" w:rsidRDefault="0056369A" w:rsidP="00C56910">
      <w:pPr>
        <w:pStyle w:val="Figuras"/>
      </w:pPr>
      <w:r w:rsidRPr="007226D7">
        <w:t>Fuente: INEI Censos Nacionales de Población y Vivienda, 1993 y 2007.</w:t>
      </w:r>
    </w:p>
    <w:p w:rsidR="00831CAF" w:rsidRPr="007226D7" w:rsidRDefault="00831CAF">
      <w:pPr>
        <w:spacing w:after="0" w:line="240" w:lineRule="auto"/>
        <w:jc w:val="left"/>
        <w:rPr>
          <w:i/>
          <w:lang w:val="es-ES"/>
        </w:rPr>
      </w:pPr>
      <w:r w:rsidRPr="007226D7">
        <w:rPr>
          <w:lang w:val="es-ES"/>
        </w:rPr>
        <w:br w:type="page"/>
      </w:r>
    </w:p>
    <w:p w:rsidR="0056369A" w:rsidRPr="007226D7" w:rsidRDefault="0056369A" w:rsidP="00C56910">
      <w:pPr>
        <w:pStyle w:val="Heading6"/>
        <w:rPr>
          <w:lang w:val="es-ES"/>
        </w:rPr>
      </w:pPr>
      <w:r w:rsidRPr="007226D7">
        <w:rPr>
          <w:lang w:val="es-ES"/>
        </w:rPr>
        <w:lastRenderedPageBreak/>
        <w:t>3Migración</w:t>
      </w:r>
    </w:p>
    <w:p w:rsidR="0056369A" w:rsidRPr="007226D7" w:rsidRDefault="0056369A" w:rsidP="0056369A">
      <w:pPr>
        <w:rPr>
          <w:lang w:val="es-ES"/>
        </w:rPr>
      </w:pPr>
      <w:r w:rsidRPr="007226D7">
        <w:rPr>
          <w:lang w:val="es-ES"/>
        </w:rPr>
        <w:t>La migración es definida como el cambio permanente de lugar de residencia, siempre que para ubicarse en el nuevo lugar de residencia se traspase la frontera político administrativo geográfico. El traslado de la población de un lugar a otro con el propósito de establecer una nueva residencia, obedece generalmente, al interés por alcanzar un mejor nivel de bienestar. Asimismo, la migración es uno de los factores que afectan la dinámica de crecimiento y la composición por sexo y edad de la población.</w:t>
      </w:r>
    </w:p>
    <w:p w:rsidR="0056369A" w:rsidRPr="007226D7" w:rsidRDefault="0056369A" w:rsidP="0056369A">
      <w:pPr>
        <w:rPr>
          <w:lang w:val="es-ES"/>
        </w:rPr>
      </w:pPr>
      <w:r w:rsidRPr="007226D7">
        <w:rPr>
          <w:lang w:val="es-ES"/>
        </w:rPr>
        <w:t>De acuerdo con los resultados del Censo del 2007, los principales flujos de origen de los inmigrantes (residentes que nacieron en otro departamento) hacia Lima provienen del departamento de Junín con un volumen de 76,992 personas, seguido de la Prov. Callao, Ancash, Piura, Cajamarca, Lambayeque, Huánuco  entre otros. (Ver Tabla 3.1-25)</w:t>
      </w:r>
    </w:p>
    <w:p w:rsidR="0056369A" w:rsidRPr="007226D7" w:rsidRDefault="0056369A" w:rsidP="0056369A">
      <w:pPr>
        <w:rPr>
          <w:lang w:val="es-ES"/>
        </w:rPr>
      </w:pPr>
      <w:r w:rsidRPr="007226D7">
        <w:rPr>
          <w:lang w:val="es-ES"/>
        </w:rPr>
        <w:t>Con respecto a la población emigrante, es decir, aquella que se empadronó en un lugar diferente al de su nacimiento, se observa que de los nacidos en el departamento de Lima, su principal flujo de destino es la Prov. Callao, con un volumen de 53,704 personas (20.2%), seguido de Junín,  Ancash, La Libertad, Piura, Arequipa, Ica, Lambayeque, Cusco, Ayacucho entre otros. (Ver Tabla 3.1-26)</w:t>
      </w:r>
    </w:p>
    <w:p w:rsidR="00831CAF" w:rsidRPr="007226D7" w:rsidRDefault="00831CAF" w:rsidP="00831CAF">
      <w:pPr>
        <w:pStyle w:val="ListParagraph"/>
        <w:spacing w:after="0" w:line="240" w:lineRule="auto"/>
        <w:rPr>
          <w:rFonts w:cs="Arial"/>
        </w:rPr>
      </w:pPr>
    </w:p>
    <w:tbl>
      <w:tblPr>
        <w:tblW w:w="83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4252"/>
      </w:tblGrid>
      <w:tr w:rsidR="00831CAF" w:rsidRPr="0013314C" w:rsidTr="002733CF">
        <w:trPr>
          <w:trHeight w:val="2511"/>
        </w:trPr>
        <w:tc>
          <w:tcPr>
            <w:tcW w:w="4111" w:type="dxa"/>
            <w:tcBorders>
              <w:top w:val="nil"/>
              <w:left w:val="nil"/>
              <w:bottom w:val="nil"/>
              <w:right w:val="nil"/>
            </w:tcBorders>
            <w:vAlign w:val="center"/>
          </w:tcPr>
          <w:tbl>
            <w:tblPr>
              <w:tblW w:w="3768" w:type="dxa"/>
              <w:jc w:val="center"/>
              <w:tblInd w:w="2" w:type="dxa"/>
              <w:tblLayout w:type="fixed"/>
              <w:tblCellMar>
                <w:left w:w="70" w:type="dxa"/>
                <w:right w:w="70" w:type="dxa"/>
              </w:tblCellMar>
              <w:tblLook w:val="04A0" w:firstRow="1" w:lastRow="0" w:firstColumn="1" w:lastColumn="0" w:noHBand="0" w:noVBand="1"/>
            </w:tblPr>
            <w:tblGrid>
              <w:gridCol w:w="1946"/>
              <w:gridCol w:w="1167"/>
              <w:gridCol w:w="655"/>
            </w:tblGrid>
            <w:tr w:rsidR="00831CAF" w:rsidRPr="007226D7" w:rsidTr="002733CF">
              <w:trPr>
                <w:trHeight w:val="199"/>
                <w:jc w:val="center"/>
              </w:trPr>
              <w:tc>
                <w:tcPr>
                  <w:tcW w:w="3768"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sz w:val="16"/>
                      <w:szCs w:val="16"/>
                      <w:lang w:eastAsia="es-ES"/>
                    </w:rPr>
                    <w:t>Tabla</w:t>
                  </w:r>
                  <w:r w:rsidRPr="007226D7">
                    <w:rPr>
                      <w:rFonts w:cs="Arial"/>
                      <w:b/>
                      <w:bCs/>
                      <w:color w:val="000000"/>
                      <w:sz w:val="16"/>
                      <w:szCs w:val="16"/>
                      <w:lang w:eastAsia="es-ES"/>
                    </w:rPr>
                    <w:t xml:space="preserve"> </w:t>
                  </w:r>
                  <w:proofErr w:type="gramStart"/>
                  <w:r w:rsidRPr="007226D7">
                    <w:rPr>
                      <w:rFonts w:cs="Arial"/>
                      <w:b/>
                      <w:bCs/>
                      <w:color w:val="000000"/>
                      <w:sz w:val="16"/>
                      <w:szCs w:val="16"/>
                      <w:lang w:eastAsia="es-ES"/>
                    </w:rPr>
                    <w:t>3.1-25</w:t>
                  </w:r>
                  <w:proofErr w:type="gramEnd"/>
                  <w:r w:rsidRPr="007226D7">
                    <w:rPr>
                      <w:rFonts w:cs="Arial"/>
                      <w:b/>
                      <w:bCs/>
                      <w:color w:val="000000"/>
                      <w:sz w:val="16"/>
                      <w:szCs w:val="16"/>
                      <w:lang w:eastAsia="es-ES"/>
                    </w:rPr>
                    <w:t xml:space="preserve"> Lima: Inmigrantes 2002-2007</w:t>
                  </w:r>
                </w:p>
              </w:tc>
            </w:tr>
            <w:tr w:rsidR="00831CAF" w:rsidRPr="007226D7" w:rsidTr="002733CF">
              <w:trPr>
                <w:trHeight w:val="199"/>
                <w:jc w:val="center"/>
              </w:trPr>
              <w:tc>
                <w:tcPr>
                  <w:tcW w:w="1946" w:type="dxa"/>
                  <w:tcBorders>
                    <w:top w:val="single" w:sz="4" w:space="0" w:color="auto"/>
                    <w:left w:val="single" w:sz="4" w:space="0" w:color="auto"/>
                    <w:bottom w:val="single" w:sz="4" w:space="0" w:color="auto"/>
                    <w:right w:val="nil"/>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Departamento</w:t>
                  </w:r>
                </w:p>
              </w:tc>
              <w:tc>
                <w:tcPr>
                  <w:tcW w:w="1167"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Inmigrantes</w:t>
                  </w:r>
                </w:p>
              </w:tc>
              <w:tc>
                <w:tcPr>
                  <w:tcW w:w="655" w:type="dxa"/>
                  <w:tcBorders>
                    <w:top w:val="single" w:sz="4" w:space="0" w:color="auto"/>
                    <w:left w:val="nil"/>
                    <w:bottom w:val="single" w:sz="4" w:space="0" w:color="auto"/>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831CAF" w:rsidRPr="007226D7" w:rsidTr="002733CF">
              <w:trPr>
                <w:trHeight w:val="199"/>
                <w:jc w:val="center"/>
              </w:trPr>
              <w:tc>
                <w:tcPr>
                  <w:tcW w:w="1946"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w:t>
                  </w:r>
                </w:p>
              </w:tc>
              <w:tc>
                <w:tcPr>
                  <w:tcW w:w="1167"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614,648</w:t>
                  </w:r>
                </w:p>
              </w:tc>
              <w:tc>
                <w:tcPr>
                  <w:tcW w:w="655"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100.0</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Junín</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76,992</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12.5</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Prov. </w:t>
                  </w:r>
                  <w:proofErr w:type="gramStart"/>
                  <w:r w:rsidRPr="007226D7">
                    <w:rPr>
                      <w:rFonts w:cs="Arial"/>
                      <w:color w:val="000000"/>
                      <w:sz w:val="16"/>
                      <w:szCs w:val="16"/>
                      <w:lang w:eastAsia="es-ES"/>
                    </w:rPr>
                    <w:t>Const.</w:t>
                  </w:r>
                  <w:proofErr w:type="gramEnd"/>
                  <w:r w:rsidRPr="007226D7">
                    <w:rPr>
                      <w:rFonts w:cs="Arial"/>
                      <w:color w:val="000000"/>
                      <w:sz w:val="16"/>
                      <w:szCs w:val="16"/>
                      <w:lang w:eastAsia="es-ES"/>
                    </w:rPr>
                    <w:t xml:space="preserve"> del Callao</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53,821</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8.8</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Ancash</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46,683</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Piura</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43,032</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7.0</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Cajamarca</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40,309</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6.6</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Lambayeque</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40,063</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6.5</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Huánuco</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38,341</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6.2</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San Martín</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28,593</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4.7</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 Libertad</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27,284</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4.4</w:t>
                  </w:r>
                </w:p>
              </w:tc>
            </w:tr>
            <w:tr w:rsidR="00831CAF" w:rsidRPr="007226D7" w:rsidTr="002733CF">
              <w:trPr>
                <w:trHeight w:val="199"/>
                <w:jc w:val="center"/>
              </w:trPr>
              <w:tc>
                <w:tcPr>
                  <w:tcW w:w="1946"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Ica</w:t>
                  </w:r>
                </w:p>
              </w:tc>
              <w:tc>
                <w:tcPr>
                  <w:tcW w:w="1167"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25,458</w:t>
                  </w:r>
                </w:p>
              </w:tc>
              <w:tc>
                <w:tcPr>
                  <w:tcW w:w="655"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4.1</w:t>
                  </w:r>
                </w:p>
              </w:tc>
            </w:tr>
            <w:tr w:rsidR="00831CAF" w:rsidRPr="007226D7" w:rsidTr="002733CF">
              <w:trPr>
                <w:trHeight w:val="199"/>
                <w:jc w:val="center"/>
              </w:trPr>
              <w:tc>
                <w:tcPr>
                  <w:tcW w:w="1946"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Resto de departamentos</w:t>
                  </w:r>
                </w:p>
              </w:tc>
              <w:tc>
                <w:tcPr>
                  <w:tcW w:w="1167"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194,072</w:t>
                  </w:r>
                </w:p>
              </w:tc>
              <w:tc>
                <w:tcPr>
                  <w:tcW w:w="655"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31.6</w:t>
                  </w:r>
                </w:p>
              </w:tc>
            </w:tr>
            <w:tr w:rsidR="00831CAF" w:rsidRPr="0013314C" w:rsidTr="002733CF">
              <w:trPr>
                <w:trHeight w:val="199"/>
                <w:jc w:val="center"/>
              </w:trPr>
              <w:tc>
                <w:tcPr>
                  <w:tcW w:w="3768"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831CAF" w:rsidRPr="007226D7" w:rsidRDefault="00831CAF" w:rsidP="002733CF">
            <w:pPr>
              <w:pStyle w:val="ListParagraph"/>
              <w:jc w:val="center"/>
              <w:rPr>
                <w:rFonts w:cs="Arial"/>
                <w:lang w:val="es-ES"/>
              </w:rPr>
            </w:pPr>
          </w:p>
        </w:tc>
        <w:tc>
          <w:tcPr>
            <w:tcW w:w="4252" w:type="dxa"/>
            <w:tcBorders>
              <w:top w:val="nil"/>
              <w:left w:val="nil"/>
              <w:bottom w:val="nil"/>
              <w:right w:val="nil"/>
            </w:tcBorders>
            <w:vAlign w:val="center"/>
          </w:tcPr>
          <w:tbl>
            <w:tblPr>
              <w:tblW w:w="3979" w:type="dxa"/>
              <w:jc w:val="center"/>
              <w:tblInd w:w="34" w:type="dxa"/>
              <w:tblLayout w:type="fixed"/>
              <w:tblCellMar>
                <w:left w:w="70" w:type="dxa"/>
                <w:right w:w="70" w:type="dxa"/>
              </w:tblCellMar>
              <w:tblLook w:val="04A0" w:firstRow="1" w:lastRow="0" w:firstColumn="1" w:lastColumn="0" w:noHBand="0" w:noVBand="1"/>
            </w:tblPr>
            <w:tblGrid>
              <w:gridCol w:w="2144"/>
              <w:gridCol w:w="1248"/>
              <w:gridCol w:w="587"/>
            </w:tblGrid>
            <w:tr w:rsidR="00831CAF" w:rsidRPr="007226D7" w:rsidTr="002733CF">
              <w:trPr>
                <w:trHeight w:val="199"/>
                <w:jc w:val="center"/>
              </w:trPr>
              <w:tc>
                <w:tcPr>
                  <w:tcW w:w="3979"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sz w:val="16"/>
                      <w:szCs w:val="16"/>
                      <w:lang w:eastAsia="es-ES"/>
                    </w:rPr>
                    <w:t>Tabla</w:t>
                  </w:r>
                  <w:r w:rsidRPr="007226D7">
                    <w:rPr>
                      <w:rFonts w:cs="Arial"/>
                      <w:b/>
                      <w:bCs/>
                      <w:color w:val="000000"/>
                      <w:sz w:val="16"/>
                      <w:szCs w:val="16"/>
                      <w:lang w:eastAsia="es-ES"/>
                    </w:rPr>
                    <w:t xml:space="preserve"> </w:t>
                  </w:r>
                  <w:proofErr w:type="gramStart"/>
                  <w:r w:rsidRPr="007226D7">
                    <w:rPr>
                      <w:rFonts w:cs="Arial"/>
                      <w:b/>
                      <w:bCs/>
                      <w:color w:val="000000"/>
                      <w:sz w:val="16"/>
                      <w:szCs w:val="16"/>
                      <w:lang w:eastAsia="es-ES"/>
                    </w:rPr>
                    <w:t>3.1-26</w:t>
                  </w:r>
                  <w:proofErr w:type="gramEnd"/>
                  <w:r w:rsidRPr="007226D7">
                    <w:rPr>
                      <w:rFonts w:cs="Arial"/>
                      <w:b/>
                      <w:bCs/>
                      <w:color w:val="000000"/>
                      <w:sz w:val="16"/>
                      <w:szCs w:val="16"/>
                      <w:lang w:eastAsia="es-ES"/>
                    </w:rPr>
                    <w:t xml:space="preserve"> Lima: Emigrantes 2002-2007</w:t>
                  </w:r>
                </w:p>
              </w:tc>
            </w:tr>
            <w:tr w:rsidR="00831CAF" w:rsidRPr="007226D7" w:rsidTr="002733CF">
              <w:trPr>
                <w:trHeight w:val="199"/>
                <w:jc w:val="center"/>
              </w:trPr>
              <w:tc>
                <w:tcPr>
                  <w:tcW w:w="2144" w:type="dxa"/>
                  <w:tcBorders>
                    <w:top w:val="single" w:sz="4" w:space="0" w:color="auto"/>
                    <w:left w:val="single" w:sz="4" w:space="0" w:color="auto"/>
                    <w:bottom w:val="nil"/>
                    <w:right w:val="nil"/>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Departamento</w:t>
                  </w:r>
                </w:p>
              </w:tc>
              <w:tc>
                <w:tcPr>
                  <w:tcW w:w="1248" w:type="dxa"/>
                  <w:tcBorders>
                    <w:top w:val="single" w:sz="4" w:space="0" w:color="auto"/>
                    <w:left w:val="single" w:sz="4" w:space="0" w:color="auto"/>
                    <w:bottom w:val="nil"/>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Emigrantes</w:t>
                  </w:r>
                </w:p>
              </w:tc>
              <w:tc>
                <w:tcPr>
                  <w:tcW w:w="587" w:type="dxa"/>
                  <w:tcBorders>
                    <w:top w:val="single" w:sz="4" w:space="0" w:color="auto"/>
                    <w:left w:val="nil"/>
                    <w:bottom w:val="nil"/>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831CAF" w:rsidRPr="007226D7" w:rsidTr="002733CF">
              <w:trPr>
                <w:trHeight w:val="199"/>
                <w:jc w:val="center"/>
              </w:trPr>
              <w:tc>
                <w:tcPr>
                  <w:tcW w:w="2144" w:type="dxa"/>
                  <w:tcBorders>
                    <w:top w:val="single" w:sz="4" w:space="0" w:color="auto"/>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266,109</w:t>
                  </w:r>
                </w:p>
              </w:tc>
              <w:tc>
                <w:tcPr>
                  <w:tcW w:w="587" w:type="dxa"/>
                  <w:tcBorders>
                    <w:top w:val="single" w:sz="4" w:space="0" w:color="auto"/>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100.0</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Prov. </w:t>
                  </w:r>
                  <w:proofErr w:type="gramStart"/>
                  <w:r w:rsidRPr="007226D7">
                    <w:rPr>
                      <w:rFonts w:cs="Arial"/>
                      <w:color w:val="000000"/>
                      <w:sz w:val="16"/>
                      <w:szCs w:val="16"/>
                      <w:lang w:eastAsia="es-ES"/>
                    </w:rPr>
                    <w:t>Const.</w:t>
                  </w:r>
                  <w:proofErr w:type="gramEnd"/>
                  <w:r w:rsidRPr="007226D7">
                    <w:rPr>
                      <w:rFonts w:cs="Arial"/>
                      <w:color w:val="000000"/>
                      <w:sz w:val="16"/>
                      <w:szCs w:val="16"/>
                      <w:lang w:eastAsia="es-ES"/>
                    </w:rPr>
                    <w:t xml:space="preserve"> del Callao</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53,704</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20.2</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Junín</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21,503</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8.1</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Ancash</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19,023</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7.1</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 Libertad</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16,895</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6.3</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Piura</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14,874</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5.6</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Arequipa</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14,676</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5.5</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Ica</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14,330</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5.4</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Lambayeque</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13,720</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5.2</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Cusco</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10,931</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4.1</w:t>
                  </w:r>
                </w:p>
              </w:tc>
            </w:tr>
            <w:tr w:rsidR="00831CAF" w:rsidRPr="007226D7" w:rsidTr="002733CF">
              <w:trPr>
                <w:trHeight w:val="199"/>
                <w:jc w:val="center"/>
              </w:trPr>
              <w:tc>
                <w:tcPr>
                  <w:tcW w:w="2144"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Ayacucho</w:t>
                  </w:r>
                </w:p>
              </w:tc>
              <w:tc>
                <w:tcPr>
                  <w:tcW w:w="1248"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10,529</w:t>
                  </w:r>
                </w:p>
              </w:tc>
              <w:tc>
                <w:tcPr>
                  <w:tcW w:w="587"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4.0</w:t>
                  </w:r>
                </w:p>
              </w:tc>
            </w:tr>
            <w:tr w:rsidR="00831CAF" w:rsidRPr="007226D7" w:rsidTr="002733CF">
              <w:trPr>
                <w:trHeight w:val="199"/>
                <w:jc w:val="center"/>
              </w:trPr>
              <w:tc>
                <w:tcPr>
                  <w:tcW w:w="2144"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Resto de departamentos</w:t>
                  </w:r>
                </w:p>
              </w:tc>
              <w:tc>
                <w:tcPr>
                  <w:tcW w:w="1248"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75,924</w:t>
                  </w:r>
                </w:p>
              </w:tc>
              <w:tc>
                <w:tcPr>
                  <w:tcW w:w="58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28.5</w:t>
                  </w:r>
                </w:p>
              </w:tc>
            </w:tr>
            <w:tr w:rsidR="00831CAF" w:rsidRPr="0013314C" w:rsidTr="002733CF">
              <w:trPr>
                <w:trHeight w:val="199"/>
                <w:jc w:val="center"/>
              </w:trPr>
              <w:tc>
                <w:tcPr>
                  <w:tcW w:w="3979"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831CAF" w:rsidRPr="007226D7" w:rsidRDefault="00831CAF" w:rsidP="002733CF">
            <w:pPr>
              <w:pStyle w:val="ListParagraph"/>
              <w:jc w:val="center"/>
              <w:rPr>
                <w:rFonts w:cs="Arial"/>
                <w:lang w:val="es-ES"/>
              </w:rPr>
            </w:pP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El principal flujo de origen de los inmigrantes (residentes que nacieron en otro departamento) hacia la Provincia Constitucional del Callao provienen del departamento de Lima con un volumen de 53,821 personas, seguido de Piura, Ancash, Lambayeque, Ica, Arequipa, Junín, Loreto, Ucayali entre otros. (Ver Tabla 3.1-27)</w:t>
      </w:r>
    </w:p>
    <w:p w:rsidR="0056369A" w:rsidRPr="007226D7" w:rsidRDefault="0056369A" w:rsidP="0056369A">
      <w:pPr>
        <w:rPr>
          <w:lang w:val="es-ES"/>
        </w:rPr>
      </w:pPr>
      <w:r w:rsidRPr="007226D7">
        <w:rPr>
          <w:lang w:val="es-ES"/>
        </w:rPr>
        <w:t>Con respecto a la población emigrante, es decir, aquella que se empadronó en un lugar diferente al de su nacimiento, se observa que de los nacidos en la Provincia Constitucional del Callao, su principal flujo de destino es departamento de Lima con un volumen de 53,704 personas (51.4%), seguido de Piura, Lambayeque, Ancash, San Martín, Junín, Huánuco, Cajamarca, Loreto, La Libertad entre otros. (Ver Tabla 3.1-28)</w:t>
      </w:r>
    </w:p>
    <w:p w:rsidR="00831CAF" w:rsidRPr="007226D7" w:rsidRDefault="00831CAF" w:rsidP="00831CAF">
      <w:pPr>
        <w:pStyle w:val="ListParagraph"/>
        <w:spacing w:after="0" w:line="240" w:lineRule="auto"/>
        <w:ind w:left="567"/>
        <w:rPr>
          <w:rFonts w:cs="Arial"/>
        </w:rPr>
      </w:pPr>
    </w:p>
    <w:tbl>
      <w:tblPr>
        <w:tblW w:w="8558" w:type="dxa"/>
        <w:jc w:val="center"/>
        <w:tblInd w:w="996" w:type="dxa"/>
        <w:tblLayout w:type="fixed"/>
        <w:tblLook w:val="04A0" w:firstRow="1" w:lastRow="0" w:firstColumn="1" w:lastColumn="0" w:noHBand="0" w:noVBand="1"/>
      </w:tblPr>
      <w:tblGrid>
        <w:gridCol w:w="4306"/>
        <w:gridCol w:w="4252"/>
      </w:tblGrid>
      <w:tr w:rsidR="00831CAF" w:rsidRPr="0013314C" w:rsidTr="002733CF">
        <w:trPr>
          <w:trHeight w:val="2511"/>
          <w:jc w:val="center"/>
        </w:trPr>
        <w:tc>
          <w:tcPr>
            <w:tcW w:w="4306" w:type="dxa"/>
          </w:tcPr>
          <w:tbl>
            <w:tblPr>
              <w:tblW w:w="4003" w:type="dxa"/>
              <w:tblLayout w:type="fixed"/>
              <w:tblCellMar>
                <w:left w:w="70" w:type="dxa"/>
                <w:right w:w="70" w:type="dxa"/>
              </w:tblCellMar>
              <w:tblLook w:val="04A0" w:firstRow="1" w:lastRow="0" w:firstColumn="1" w:lastColumn="0" w:noHBand="0" w:noVBand="1"/>
            </w:tblPr>
            <w:tblGrid>
              <w:gridCol w:w="2018"/>
              <w:gridCol w:w="1276"/>
              <w:gridCol w:w="709"/>
            </w:tblGrid>
            <w:tr w:rsidR="00831CAF" w:rsidRPr="007226D7" w:rsidTr="002733CF">
              <w:trPr>
                <w:trHeight w:val="198"/>
              </w:trPr>
              <w:tc>
                <w:tcPr>
                  <w:tcW w:w="4003"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sz w:val="16"/>
                      <w:szCs w:val="16"/>
                      <w:lang w:eastAsia="es-ES"/>
                    </w:rPr>
                    <w:lastRenderedPageBreak/>
                    <w:t>Tabla</w:t>
                  </w:r>
                  <w:r w:rsidRPr="007226D7">
                    <w:rPr>
                      <w:rFonts w:cs="Arial"/>
                      <w:b/>
                      <w:bCs/>
                      <w:color w:val="000000"/>
                      <w:sz w:val="16"/>
                      <w:szCs w:val="16"/>
                      <w:lang w:eastAsia="es-ES"/>
                    </w:rPr>
                    <w:t xml:space="preserve"> 3.1-27 </w:t>
                  </w:r>
                  <w:proofErr w:type="gramStart"/>
                  <w:r w:rsidRPr="007226D7">
                    <w:rPr>
                      <w:rFonts w:cs="Arial"/>
                      <w:b/>
                      <w:bCs/>
                      <w:color w:val="000000"/>
                      <w:sz w:val="16"/>
                      <w:szCs w:val="16"/>
                      <w:lang w:eastAsia="es-ES"/>
                    </w:rPr>
                    <w:t>Prov.</w:t>
                  </w:r>
                  <w:proofErr w:type="gramEnd"/>
                  <w:r w:rsidRPr="007226D7">
                    <w:rPr>
                      <w:rFonts w:cs="Arial"/>
                      <w:b/>
                      <w:bCs/>
                      <w:color w:val="000000"/>
                      <w:sz w:val="16"/>
                      <w:szCs w:val="16"/>
                      <w:lang w:eastAsia="es-ES"/>
                    </w:rPr>
                    <w:t xml:space="preserve"> Callao: Inmigrantes 2002-2007</w:t>
                  </w:r>
                </w:p>
              </w:tc>
            </w:tr>
            <w:tr w:rsidR="00831CAF" w:rsidRPr="007226D7" w:rsidTr="002733CF">
              <w:trPr>
                <w:trHeight w:val="198"/>
              </w:trPr>
              <w:tc>
                <w:tcPr>
                  <w:tcW w:w="2018" w:type="dxa"/>
                  <w:tcBorders>
                    <w:top w:val="single" w:sz="4" w:space="0" w:color="auto"/>
                    <w:left w:val="single" w:sz="4" w:space="0" w:color="auto"/>
                    <w:bottom w:val="single" w:sz="4" w:space="0" w:color="auto"/>
                    <w:right w:val="nil"/>
                  </w:tcBorders>
                  <w:shd w:val="clear" w:color="000000" w:fill="99CCFF"/>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Departamento</w:t>
                  </w:r>
                </w:p>
              </w:tc>
              <w:tc>
                <w:tcPr>
                  <w:tcW w:w="1276"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Inmigrantes</w:t>
                  </w:r>
                </w:p>
              </w:tc>
              <w:tc>
                <w:tcPr>
                  <w:tcW w:w="709" w:type="dxa"/>
                  <w:tcBorders>
                    <w:top w:val="single" w:sz="4" w:space="0" w:color="auto"/>
                    <w:left w:val="nil"/>
                    <w:bottom w:val="single" w:sz="4" w:space="0" w:color="auto"/>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831CAF" w:rsidRPr="007226D7" w:rsidTr="002733CF">
              <w:trPr>
                <w:trHeight w:val="198"/>
              </w:trPr>
              <w:tc>
                <w:tcPr>
                  <w:tcW w:w="2018"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69,173</w:t>
                  </w:r>
                </w:p>
              </w:tc>
              <w:tc>
                <w:tcPr>
                  <w:tcW w:w="70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100.0</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Lima</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53,821</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77.8</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Piura</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2,203</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3.2</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Ancash</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1,480</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Lambayeque</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1,463</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Ica</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1,164</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1.7</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Arequipa</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1,105</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1.6</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Junín</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923</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Loreto</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802</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w:t>
                  </w:r>
                </w:p>
              </w:tc>
            </w:tr>
            <w:tr w:rsidR="00831CAF" w:rsidRPr="007226D7" w:rsidTr="002733CF">
              <w:trPr>
                <w:trHeight w:val="198"/>
              </w:trPr>
              <w:tc>
                <w:tcPr>
                  <w:tcW w:w="201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Ucayali</w:t>
                  </w:r>
                </w:p>
              </w:tc>
              <w:tc>
                <w:tcPr>
                  <w:tcW w:w="1276"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678</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r>
            <w:tr w:rsidR="00831CAF" w:rsidRPr="007226D7" w:rsidTr="002733CF">
              <w:trPr>
                <w:trHeight w:val="198"/>
              </w:trPr>
              <w:tc>
                <w:tcPr>
                  <w:tcW w:w="2018"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Resto de departamentos</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5,534</w:t>
                  </w:r>
                </w:p>
              </w:tc>
              <w:tc>
                <w:tcPr>
                  <w:tcW w:w="70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8.0</w:t>
                  </w:r>
                </w:p>
              </w:tc>
            </w:tr>
            <w:tr w:rsidR="00831CAF" w:rsidRPr="0013314C" w:rsidTr="002733CF">
              <w:trPr>
                <w:trHeight w:val="198"/>
              </w:trPr>
              <w:tc>
                <w:tcPr>
                  <w:tcW w:w="4003"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831CAF" w:rsidRPr="007226D7" w:rsidRDefault="00831CAF" w:rsidP="002733CF">
            <w:pPr>
              <w:pStyle w:val="ListParagraph"/>
              <w:jc w:val="center"/>
              <w:rPr>
                <w:rFonts w:cs="Arial"/>
                <w:lang w:val="es-ES"/>
              </w:rPr>
            </w:pPr>
          </w:p>
        </w:tc>
        <w:tc>
          <w:tcPr>
            <w:tcW w:w="4252" w:type="dxa"/>
          </w:tcPr>
          <w:tbl>
            <w:tblPr>
              <w:tblW w:w="3869" w:type="dxa"/>
              <w:jc w:val="center"/>
              <w:tblInd w:w="289" w:type="dxa"/>
              <w:tblLayout w:type="fixed"/>
              <w:tblCellMar>
                <w:left w:w="70" w:type="dxa"/>
                <w:right w:w="70" w:type="dxa"/>
              </w:tblCellMar>
              <w:tblLook w:val="04A0" w:firstRow="1" w:lastRow="0" w:firstColumn="1" w:lastColumn="0" w:noHBand="0" w:noVBand="1"/>
            </w:tblPr>
            <w:tblGrid>
              <w:gridCol w:w="2168"/>
              <w:gridCol w:w="992"/>
              <w:gridCol w:w="709"/>
            </w:tblGrid>
            <w:tr w:rsidR="00831CAF" w:rsidRPr="007226D7" w:rsidTr="002733CF">
              <w:trPr>
                <w:trHeight w:val="170"/>
                <w:jc w:val="center"/>
              </w:trPr>
              <w:tc>
                <w:tcPr>
                  <w:tcW w:w="3869"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sz w:val="16"/>
                      <w:szCs w:val="16"/>
                      <w:lang w:eastAsia="es-ES"/>
                    </w:rPr>
                    <w:t>Tabla</w:t>
                  </w:r>
                  <w:r w:rsidRPr="007226D7">
                    <w:rPr>
                      <w:rFonts w:cs="Arial"/>
                      <w:b/>
                      <w:bCs/>
                      <w:color w:val="000000"/>
                      <w:sz w:val="16"/>
                      <w:szCs w:val="16"/>
                      <w:lang w:eastAsia="es-ES"/>
                    </w:rPr>
                    <w:t xml:space="preserve"> 3.1-28 </w:t>
                  </w:r>
                  <w:proofErr w:type="gramStart"/>
                  <w:r w:rsidRPr="007226D7">
                    <w:rPr>
                      <w:rFonts w:cs="Arial"/>
                      <w:b/>
                      <w:bCs/>
                      <w:color w:val="000000"/>
                      <w:sz w:val="16"/>
                      <w:szCs w:val="16"/>
                      <w:lang w:eastAsia="es-ES"/>
                    </w:rPr>
                    <w:t>Prov.</w:t>
                  </w:r>
                  <w:proofErr w:type="gramEnd"/>
                  <w:r w:rsidRPr="007226D7">
                    <w:rPr>
                      <w:rFonts w:cs="Arial"/>
                      <w:b/>
                      <w:bCs/>
                      <w:color w:val="000000"/>
                      <w:sz w:val="16"/>
                      <w:szCs w:val="16"/>
                      <w:lang w:eastAsia="es-ES"/>
                    </w:rPr>
                    <w:t xml:space="preserve"> Callao: Emigrantes 2002-2007</w:t>
                  </w:r>
                </w:p>
              </w:tc>
            </w:tr>
            <w:tr w:rsidR="00831CAF" w:rsidRPr="007226D7" w:rsidTr="002733CF">
              <w:trPr>
                <w:trHeight w:val="170"/>
                <w:jc w:val="center"/>
              </w:trPr>
              <w:tc>
                <w:tcPr>
                  <w:tcW w:w="2168" w:type="dxa"/>
                  <w:tcBorders>
                    <w:top w:val="single" w:sz="4" w:space="0" w:color="auto"/>
                    <w:left w:val="single" w:sz="4" w:space="0" w:color="auto"/>
                    <w:bottom w:val="nil"/>
                    <w:right w:val="nil"/>
                  </w:tcBorders>
                  <w:shd w:val="clear" w:color="000000" w:fill="99CCFF"/>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Dpto.</w:t>
                  </w:r>
                </w:p>
              </w:tc>
              <w:tc>
                <w:tcPr>
                  <w:tcW w:w="992" w:type="dxa"/>
                  <w:tcBorders>
                    <w:top w:val="single" w:sz="4" w:space="0" w:color="auto"/>
                    <w:left w:val="single" w:sz="4" w:space="0" w:color="auto"/>
                    <w:bottom w:val="nil"/>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Emigrantes</w:t>
                  </w:r>
                </w:p>
              </w:tc>
              <w:tc>
                <w:tcPr>
                  <w:tcW w:w="709" w:type="dxa"/>
                  <w:tcBorders>
                    <w:top w:val="single" w:sz="4" w:space="0" w:color="auto"/>
                    <w:left w:val="nil"/>
                    <w:bottom w:val="nil"/>
                    <w:right w:val="single" w:sz="4" w:space="0" w:color="auto"/>
                  </w:tcBorders>
                  <w:shd w:val="clear" w:color="000000" w:fill="99CCFF"/>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831CAF" w:rsidRPr="007226D7" w:rsidTr="002733CF">
              <w:trPr>
                <w:trHeight w:val="170"/>
                <w:jc w:val="center"/>
              </w:trPr>
              <w:tc>
                <w:tcPr>
                  <w:tcW w:w="2168" w:type="dxa"/>
                  <w:tcBorders>
                    <w:top w:val="single" w:sz="4" w:space="0" w:color="auto"/>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104,400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100.0</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Lima</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53,704</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51.4</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Piura</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7,251</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6.9</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Lambayeque</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5,064</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4.9</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Ancash</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4,618</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4.4</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San Martín</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4,565</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4.4</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Junín</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3,471</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3.3</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Huánuco</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3,175</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3.0</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Cajamarca</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3,123</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3.0</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Loreto</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2,922</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2.8</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La Libertad</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2,639</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2.5</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Ica</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2,373</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2.3</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Ucayali</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1,585</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1.5</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Amazonas</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1,449</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Apurímac</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1,396</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Arequipa</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1,359</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1.3</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Ayacucho</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1,217</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w:t>
                  </w:r>
                </w:p>
              </w:tc>
            </w:tr>
            <w:tr w:rsidR="00831CAF" w:rsidRPr="007226D7" w:rsidTr="002733CF">
              <w:trPr>
                <w:trHeight w:val="170"/>
                <w:jc w:val="center"/>
              </w:trPr>
              <w:tc>
                <w:tcPr>
                  <w:tcW w:w="2168" w:type="dxa"/>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Cusco</w:t>
                  </w:r>
                </w:p>
              </w:tc>
              <w:tc>
                <w:tcPr>
                  <w:tcW w:w="992" w:type="dxa"/>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1,040</w:t>
                  </w:r>
                </w:p>
              </w:tc>
              <w:tc>
                <w:tcPr>
                  <w:tcW w:w="709" w:type="dxa"/>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r>
            <w:tr w:rsidR="00831CAF" w:rsidRPr="007226D7" w:rsidTr="002733CF">
              <w:trPr>
                <w:trHeight w:val="170"/>
                <w:jc w:val="center"/>
              </w:trPr>
              <w:tc>
                <w:tcPr>
                  <w:tcW w:w="2168" w:type="dxa"/>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Resto de departamentos</w:t>
                  </w:r>
                </w:p>
              </w:tc>
              <w:tc>
                <w:tcPr>
                  <w:tcW w:w="992"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3,449</w:t>
                  </w:r>
                </w:p>
              </w:tc>
              <w:tc>
                <w:tcPr>
                  <w:tcW w:w="70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3.3</w:t>
                  </w:r>
                </w:p>
              </w:tc>
            </w:tr>
            <w:tr w:rsidR="00831CAF" w:rsidRPr="0013314C" w:rsidTr="002733CF">
              <w:trPr>
                <w:trHeight w:val="170"/>
                <w:jc w:val="center"/>
              </w:trPr>
              <w:tc>
                <w:tcPr>
                  <w:tcW w:w="3869" w:type="dxa"/>
                  <w:gridSpan w:val="3"/>
                  <w:tcBorders>
                    <w:top w:val="nil"/>
                    <w:left w:val="nil"/>
                    <w:bottom w:val="nil"/>
                    <w:right w:val="nil"/>
                  </w:tcBorders>
                  <w:shd w:val="clear" w:color="auto" w:fill="auto"/>
                  <w:noWrap/>
                  <w:vAlign w:val="center"/>
                </w:tcPr>
                <w:p w:rsidR="00831CAF" w:rsidRPr="007226D7" w:rsidRDefault="00831CA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831CAF" w:rsidRPr="007226D7" w:rsidRDefault="00831CAF" w:rsidP="002733CF">
            <w:pPr>
              <w:pStyle w:val="ListParagraph"/>
              <w:jc w:val="center"/>
              <w:rPr>
                <w:rFonts w:cs="Arial"/>
                <w:lang w:val="es-ES"/>
              </w:rPr>
            </w:pP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El departamento de Lima ha sido siempre el principal polo de atracción de los movimientos migratorios, absorbiendo a más de la mitad del total de personas que se movilizan fuera de sus departamentos.</w:t>
      </w:r>
    </w:p>
    <w:p w:rsidR="0056369A" w:rsidRPr="007226D7" w:rsidRDefault="0056369A" w:rsidP="0056369A">
      <w:pPr>
        <w:rPr>
          <w:lang w:val="es-ES"/>
        </w:rPr>
      </w:pPr>
    </w:p>
    <w:p w:rsidR="0056369A" w:rsidRPr="007226D7" w:rsidRDefault="0056369A" w:rsidP="0056369A">
      <w:pPr>
        <w:rPr>
          <w:lang w:val="es-ES"/>
        </w:rPr>
      </w:pPr>
      <w:r w:rsidRPr="007226D7">
        <w:rPr>
          <w:lang w:val="es-ES"/>
        </w:rPr>
        <w:t>El saldo neto migratorio de la población migrante reciente muestra la ganancia o pérdida de la población de los departamentos. El departamento de Lima presenta saldo positivo de la población en 348,539 migrantes, y la provincia del Callao en 35,227 migrantes. En el año 1993 también se presentó una situación similar en ambas áreas geográficas, de 299,020 habitantes para el departamento de Lima y 52,650 habitantes</w:t>
      </w:r>
      <w:r w:rsidR="00831CAF" w:rsidRPr="007226D7">
        <w:rPr>
          <w:lang w:val="es-ES"/>
        </w:rPr>
        <w:t xml:space="preserve"> para la provincia del </w:t>
      </w:r>
      <w:proofErr w:type="gramStart"/>
      <w:r w:rsidR="00831CAF" w:rsidRPr="007226D7">
        <w:rPr>
          <w:lang w:val="es-ES"/>
        </w:rPr>
        <w:t>Callao .</w:t>
      </w:r>
      <w:proofErr w:type="gramEnd"/>
    </w:p>
    <w:p w:rsidR="00831CAF" w:rsidRPr="007226D7" w:rsidRDefault="00831CAF" w:rsidP="0056369A">
      <w:pPr>
        <w:rPr>
          <w:lang w:val="es-ES"/>
        </w:rPr>
      </w:pPr>
    </w:p>
    <w:p w:rsidR="0056369A" w:rsidRPr="007226D7" w:rsidRDefault="00831CAF" w:rsidP="00831CAF">
      <w:pPr>
        <w:jc w:val="center"/>
        <w:rPr>
          <w:lang w:val="es-ES"/>
        </w:rPr>
      </w:pPr>
      <w:r w:rsidRPr="007226D7">
        <w:rPr>
          <w:noProof/>
          <w:lang w:val="en-US" w:eastAsia="en-US"/>
        </w:rPr>
        <w:drawing>
          <wp:inline distT="0" distB="0" distL="0" distR="0" wp14:anchorId="12A37CEE" wp14:editId="24FC6FEF">
            <wp:extent cx="3218180" cy="1924050"/>
            <wp:effectExtent l="0" t="0" r="0" b="0"/>
            <wp:docPr id="177"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18180" cy="1924050"/>
                    </a:xfrm>
                    <a:prstGeom prst="rect">
                      <a:avLst/>
                    </a:prstGeom>
                    <a:noFill/>
                    <a:ln>
                      <a:noFill/>
                    </a:ln>
                  </pic:spPr>
                </pic:pic>
              </a:graphicData>
            </a:graphic>
          </wp:inline>
        </w:drawing>
      </w:r>
    </w:p>
    <w:p w:rsidR="0056369A" w:rsidRPr="007226D7" w:rsidRDefault="0056369A" w:rsidP="00831CAF">
      <w:pPr>
        <w:pStyle w:val="Figuras"/>
      </w:pPr>
      <w:r w:rsidRPr="007226D7">
        <w:t>Figura 3.1-22</w:t>
      </w:r>
    </w:p>
    <w:p w:rsidR="0056369A" w:rsidRPr="007226D7" w:rsidRDefault="0056369A" w:rsidP="0056369A">
      <w:pPr>
        <w:rPr>
          <w:lang w:val="es-ES"/>
        </w:rPr>
      </w:pPr>
    </w:p>
    <w:p w:rsidR="0056369A" w:rsidRPr="007226D7" w:rsidRDefault="0056369A" w:rsidP="0056369A">
      <w:pPr>
        <w:rPr>
          <w:lang w:val="es-ES"/>
        </w:rPr>
      </w:pPr>
      <w:r w:rsidRPr="007226D7">
        <w:rPr>
          <w:lang w:val="es-ES"/>
        </w:rPr>
        <w:t xml:space="preserve">En la siguiente tabla se observa que en la mayoría de los distritos del Área de Influencia Directa, la población inmigrante por lugar de nacimiento sobrepasa más de la mitad de la población de cada distrito. Esta población se ha establecido en un lugar diferente de su lugar </w:t>
      </w:r>
      <w:r w:rsidRPr="007226D7">
        <w:rPr>
          <w:lang w:val="es-ES"/>
        </w:rPr>
        <w:lastRenderedPageBreak/>
        <w:t>de nacimiento y también se le conoce con el nombre de población inmigrante de toda la vida. En los distritos de la provincia Constitucional del callao se presenta similares características.</w:t>
      </w:r>
    </w:p>
    <w:p w:rsidR="0056369A" w:rsidRPr="007226D7" w:rsidRDefault="0056369A" w:rsidP="0056369A">
      <w:pPr>
        <w:rPr>
          <w:lang w:val="es-ES"/>
        </w:rPr>
      </w:pPr>
    </w:p>
    <w:p w:rsidR="0056369A" w:rsidRPr="007226D7" w:rsidRDefault="0056369A" w:rsidP="0056369A">
      <w:pPr>
        <w:rPr>
          <w:lang w:val="es-ES"/>
        </w:rPr>
      </w:pPr>
      <w:r w:rsidRPr="007226D7">
        <w:rPr>
          <w:lang w:val="es-ES"/>
        </w:rPr>
        <w:t>Respecto a la población inmigrante por el lugar de residencia se observa que cerca de la cuarta parte es población inmigrante por lugar de residencia, es decir, es población que se cambió de lugar de residencia por lo menos 05 años antes de la aplicación del censo, también se le conoce como población inmigrante reciente. En los distritos de la provincia Constitucional del Callao la tendencia es menor de la quinta parte de la población.</w:t>
      </w:r>
    </w:p>
    <w:p w:rsidR="0056369A" w:rsidRPr="007226D7" w:rsidRDefault="0056369A" w:rsidP="0056369A">
      <w:pPr>
        <w:rPr>
          <w:lang w:val="es-ES"/>
        </w:rPr>
      </w:pPr>
    </w:p>
    <w:p w:rsidR="0056369A" w:rsidRPr="007226D7" w:rsidRDefault="0056369A" w:rsidP="0056369A">
      <w:pPr>
        <w:rPr>
          <w:lang w:val="es-ES"/>
        </w:rPr>
      </w:pPr>
      <w:r w:rsidRPr="007226D7">
        <w:rPr>
          <w:lang w:val="es-ES"/>
        </w:rPr>
        <w:t>En cuanto a hogares con algún miembro en otro país, se aprecia que en la mayoría de los distritos, cerca de la quinta parte de los hogares tiene por lo menos un miembro de su familia en otro país. Similar tendencia se presenta en los distritos de la provincia Constitucional del Callao</w:t>
      </w:r>
      <w:r w:rsidR="00831CAF" w:rsidRPr="007226D7">
        <w:rPr>
          <w:rStyle w:val="FootnoteReference"/>
          <w:rFonts w:cs="Arial"/>
        </w:rPr>
        <w:footnoteReference w:id="3"/>
      </w:r>
      <w:r w:rsidR="00831CAF" w:rsidRPr="007226D7">
        <w:rPr>
          <w:rFonts w:cs="Arial"/>
          <w:lang w:val="es-ES"/>
        </w:rPr>
        <w:t>.</w:t>
      </w:r>
      <w:r w:rsidRPr="007226D7">
        <w:rPr>
          <w:lang w:val="es-ES"/>
        </w:rPr>
        <w:t xml:space="preserve"> </w:t>
      </w:r>
    </w:p>
    <w:p w:rsidR="00831CAF" w:rsidRPr="007226D7" w:rsidRDefault="00831CAF" w:rsidP="00831CAF">
      <w:pPr>
        <w:pStyle w:val="Figuras"/>
      </w:pPr>
      <w:r w:rsidRPr="007226D7">
        <w:t>Tabla 3.1-29  Flujos Migratorios distritos de Lima Metropolitana</w:t>
      </w:r>
    </w:p>
    <w:tbl>
      <w:tblPr>
        <w:tblW w:w="48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6"/>
        <w:gridCol w:w="2337"/>
        <w:gridCol w:w="2337"/>
        <w:gridCol w:w="2337"/>
      </w:tblGrid>
      <w:tr w:rsidR="00831CAF" w:rsidRPr="0013314C" w:rsidTr="002733CF">
        <w:trPr>
          <w:trHeight w:val="255"/>
          <w:tblHeader/>
          <w:jc w:val="center"/>
        </w:trPr>
        <w:tc>
          <w:tcPr>
            <w:tcW w:w="1250" w:type="pct"/>
            <w:shd w:val="clear" w:color="auto" w:fill="99CCFF"/>
            <w:vAlign w:val="center"/>
          </w:tcPr>
          <w:p w:rsidR="00831CAF" w:rsidRPr="007226D7" w:rsidRDefault="00831CAF" w:rsidP="002733CF">
            <w:pPr>
              <w:spacing w:after="0" w:line="240" w:lineRule="auto"/>
              <w:jc w:val="left"/>
              <w:rPr>
                <w:rFonts w:cs="Arial"/>
                <w:b/>
                <w:bCs/>
                <w:sz w:val="16"/>
                <w:szCs w:val="16"/>
              </w:rPr>
            </w:pPr>
            <w:r w:rsidRPr="007226D7">
              <w:rPr>
                <w:rFonts w:cs="Arial"/>
                <w:b/>
                <w:bCs/>
                <w:sz w:val="16"/>
                <w:szCs w:val="16"/>
              </w:rPr>
              <w:t>Distritos</w:t>
            </w:r>
          </w:p>
        </w:tc>
        <w:tc>
          <w:tcPr>
            <w:tcW w:w="1250" w:type="pct"/>
            <w:shd w:val="clear" w:color="auto" w:fill="99CCFF"/>
            <w:vAlign w:val="center"/>
          </w:tcPr>
          <w:p w:rsidR="00831CAF" w:rsidRPr="007226D7" w:rsidRDefault="00831CAF" w:rsidP="002733CF">
            <w:pPr>
              <w:spacing w:after="0" w:line="240" w:lineRule="auto"/>
              <w:jc w:val="center"/>
              <w:rPr>
                <w:rFonts w:cs="Arial"/>
                <w:b/>
                <w:color w:val="000000"/>
                <w:sz w:val="16"/>
                <w:szCs w:val="16"/>
                <w:lang w:val="es-ES"/>
              </w:rPr>
            </w:pPr>
            <w:r w:rsidRPr="007226D7">
              <w:rPr>
                <w:rFonts w:cs="Arial"/>
                <w:b/>
                <w:color w:val="000000"/>
                <w:sz w:val="16"/>
                <w:szCs w:val="16"/>
                <w:lang w:val="es-ES"/>
              </w:rPr>
              <w:t>Población migrante por lugar de nacimiento</w:t>
            </w:r>
          </w:p>
        </w:tc>
        <w:tc>
          <w:tcPr>
            <w:tcW w:w="1250" w:type="pct"/>
            <w:shd w:val="clear" w:color="auto" w:fill="99CCFF"/>
            <w:vAlign w:val="center"/>
          </w:tcPr>
          <w:p w:rsidR="00831CAF" w:rsidRPr="007226D7" w:rsidRDefault="00831CAF" w:rsidP="002733CF">
            <w:pPr>
              <w:spacing w:after="0" w:line="240" w:lineRule="auto"/>
              <w:jc w:val="center"/>
              <w:rPr>
                <w:rFonts w:cs="Arial"/>
                <w:b/>
                <w:color w:val="000000"/>
                <w:sz w:val="16"/>
                <w:szCs w:val="16"/>
                <w:lang w:val="es-ES"/>
              </w:rPr>
            </w:pPr>
            <w:r w:rsidRPr="007226D7">
              <w:rPr>
                <w:rFonts w:cs="Arial"/>
                <w:b/>
                <w:color w:val="000000"/>
                <w:sz w:val="16"/>
                <w:szCs w:val="16"/>
                <w:lang w:val="es-ES"/>
              </w:rPr>
              <w:t>Población migrante por lugar de residencia 5 años antes</w:t>
            </w:r>
          </w:p>
        </w:tc>
        <w:tc>
          <w:tcPr>
            <w:tcW w:w="1250" w:type="pct"/>
            <w:shd w:val="clear" w:color="auto" w:fill="99CCFF"/>
            <w:vAlign w:val="center"/>
          </w:tcPr>
          <w:p w:rsidR="00831CAF" w:rsidRPr="007226D7" w:rsidRDefault="00831CAF" w:rsidP="002733CF">
            <w:pPr>
              <w:spacing w:after="0" w:line="240" w:lineRule="auto"/>
              <w:jc w:val="center"/>
              <w:rPr>
                <w:rFonts w:cs="Arial"/>
                <w:b/>
                <w:color w:val="000000"/>
                <w:sz w:val="16"/>
                <w:szCs w:val="16"/>
                <w:lang w:val="es-ES"/>
              </w:rPr>
            </w:pPr>
            <w:r w:rsidRPr="007226D7">
              <w:rPr>
                <w:rFonts w:cs="Arial"/>
                <w:b/>
                <w:color w:val="000000"/>
                <w:sz w:val="16"/>
                <w:szCs w:val="16"/>
                <w:lang w:val="es-ES"/>
              </w:rPr>
              <w:t>Hogares con algún miembro en otro país</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Lurigancho</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51.1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21.1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16.3</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Ate</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57.5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19.3</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13.2</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Santa Anita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60.6</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21.9</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12.8</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El Agustino</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42.6</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14.5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15</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San Luis</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62.5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25.5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18.2</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La Victoria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48.1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18.2</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18.4</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Breña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74.1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21.8</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18.6</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Cercado de Lima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44.5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17.8</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19.1</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color w:val="000000"/>
                <w:sz w:val="16"/>
                <w:szCs w:val="16"/>
              </w:rPr>
            </w:pPr>
            <w:r w:rsidRPr="007226D7">
              <w:rPr>
                <w:rFonts w:cs="Arial"/>
                <w:bCs/>
                <w:color w:val="000000"/>
                <w:sz w:val="16"/>
                <w:szCs w:val="16"/>
              </w:rPr>
              <w:t>Distrito San Miguel</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66.3</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23.7</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21</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sz w:val="16"/>
                <w:szCs w:val="16"/>
              </w:rPr>
            </w:pPr>
            <w:r w:rsidRPr="007226D7">
              <w:rPr>
                <w:rFonts w:cs="Arial"/>
                <w:sz w:val="16"/>
                <w:szCs w:val="16"/>
              </w:rPr>
              <w:t>Bellavista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53.1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18.1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20.6</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sz w:val="16"/>
                <w:szCs w:val="16"/>
              </w:rPr>
            </w:pPr>
            <w:r w:rsidRPr="007226D7">
              <w:rPr>
                <w:rFonts w:cs="Arial"/>
                <w:sz w:val="16"/>
                <w:szCs w:val="16"/>
              </w:rPr>
              <w:t>La Perla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54.3</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17.1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22.2</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sz w:val="16"/>
                <w:szCs w:val="16"/>
              </w:rPr>
            </w:pPr>
            <w:r w:rsidRPr="007226D7">
              <w:rPr>
                <w:rFonts w:cs="Arial"/>
                <w:sz w:val="16"/>
                <w:szCs w:val="16"/>
              </w:rPr>
              <w:t xml:space="preserve">Cercado </w:t>
            </w:r>
            <w:proofErr w:type="gramStart"/>
            <w:r w:rsidRPr="007226D7">
              <w:rPr>
                <w:rFonts w:cs="Arial"/>
                <w:sz w:val="16"/>
                <w:szCs w:val="16"/>
              </w:rPr>
              <w:t>del</w:t>
            </w:r>
            <w:proofErr w:type="gramEnd"/>
            <w:r w:rsidRPr="007226D7">
              <w:rPr>
                <w:rFonts w:cs="Arial"/>
                <w:sz w:val="16"/>
                <w:szCs w:val="16"/>
              </w:rPr>
              <w:t xml:space="preserve"> Callao</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39.1</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12.5</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15.9</w:t>
            </w:r>
          </w:p>
        </w:tc>
      </w:tr>
      <w:tr w:rsidR="00831CAF" w:rsidRPr="007226D7" w:rsidTr="002733CF">
        <w:trPr>
          <w:trHeight w:val="255"/>
          <w:jc w:val="center"/>
        </w:trPr>
        <w:tc>
          <w:tcPr>
            <w:tcW w:w="1250" w:type="pct"/>
            <w:vAlign w:val="center"/>
          </w:tcPr>
          <w:p w:rsidR="00831CAF" w:rsidRPr="007226D7" w:rsidRDefault="00831CAF" w:rsidP="002733CF">
            <w:pPr>
              <w:spacing w:after="0" w:line="240" w:lineRule="auto"/>
              <w:jc w:val="left"/>
              <w:rPr>
                <w:rFonts w:cs="Arial"/>
                <w:sz w:val="16"/>
                <w:szCs w:val="16"/>
              </w:rPr>
            </w:pPr>
            <w:r w:rsidRPr="007226D7">
              <w:rPr>
                <w:rFonts w:cs="Arial"/>
                <w:sz w:val="16"/>
                <w:szCs w:val="16"/>
              </w:rPr>
              <w:t>Carmen de la Legua</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37.8</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bCs/>
                <w:color w:val="000000"/>
                <w:sz w:val="16"/>
                <w:szCs w:val="16"/>
              </w:rPr>
              <w:t>12.8</w:t>
            </w:r>
          </w:p>
        </w:tc>
        <w:tc>
          <w:tcPr>
            <w:tcW w:w="1250" w:type="pct"/>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19.5</w:t>
            </w:r>
          </w:p>
        </w:tc>
      </w:tr>
    </w:tbl>
    <w:p w:rsidR="00831CAF" w:rsidRPr="007226D7" w:rsidRDefault="00831CAF" w:rsidP="00831CAF">
      <w:pPr>
        <w:pStyle w:val="ListParagraph"/>
        <w:spacing w:after="0" w:line="240" w:lineRule="auto"/>
        <w:ind w:left="567"/>
        <w:rPr>
          <w:rFonts w:cs="Arial"/>
          <w:sz w:val="16"/>
          <w:szCs w:val="16"/>
          <w:lang w:val="es-ES"/>
        </w:rPr>
      </w:pPr>
      <w:r w:rsidRPr="007226D7">
        <w:rPr>
          <w:rFonts w:cs="Arial"/>
          <w:sz w:val="16"/>
          <w:szCs w:val="16"/>
          <w:lang w:val="es-ES"/>
        </w:rPr>
        <w:t>Fuente: INEIXI Censo de Población y VI de Vivienda 2007</w:t>
      </w:r>
    </w:p>
    <w:p w:rsidR="0056369A" w:rsidRPr="007226D7" w:rsidRDefault="0056369A" w:rsidP="0056369A">
      <w:pPr>
        <w:rPr>
          <w:lang w:val="es-ES"/>
        </w:rPr>
      </w:pPr>
    </w:p>
    <w:p w:rsidR="0056369A" w:rsidRPr="007226D7" w:rsidRDefault="0056369A" w:rsidP="00831CAF">
      <w:pPr>
        <w:pStyle w:val="Heading6"/>
        <w:rPr>
          <w:lang w:val="es-ES"/>
        </w:rPr>
      </w:pPr>
      <w:r w:rsidRPr="007226D7">
        <w:rPr>
          <w:lang w:val="es-ES"/>
        </w:rPr>
        <w:t>Características de las viviendas</w:t>
      </w:r>
    </w:p>
    <w:p w:rsidR="0056369A" w:rsidRPr="007226D7" w:rsidRDefault="0056369A" w:rsidP="0056369A">
      <w:pPr>
        <w:rPr>
          <w:lang w:val="es-ES"/>
        </w:rPr>
      </w:pPr>
      <w:r w:rsidRPr="007226D7">
        <w:rPr>
          <w:lang w:val="es-ES"/>
        </w:rPr>
        <w:t>Régimen de Tenencia de las Viviendas</w:t>
      </w:r>
    </w:p>
    <w:p w:rsidR="0056369A" w:rsidRPr="007226D7" w:rsidRDefault="0056369A" w:rsidP="0056369A">
      <w:pPr>
        <w:rPr>
          <w:lang w:val="es-ES"/>
        </w:rPr>
      </w:pPr>
      <w:r w:rsidRPr="007226D7">
        <w:rPr>
          <w:lang w:val="es-ES"/>
        </w:rPr>
        <w:t>El 32.4% de las viviendas están en condición de alquiler, el 6.8% son propias pagándolas a plazos y el 60.8% son de propiedad de las familias. En el distrito de Carmen de la Legua Reynoso la mayor parte de las viviendas (72.3%) están totalmente pagadas, en La Victoria existe una mayor proporción de viviendas alquiladas y en el distrito de Jesús María en mayor proporción las viviendas están siendo pagadas a plazos.</w:t>
      </w:r>
    </w:p>
    <w:p w:rsidR="0056369A" w:rsidRPr="007226D7" w:rsidRDefault="0056369A" w:rsidP="0056369A">
      <w:pPr>
        <w:rPr>
          <w:lang w:val="es-ES"/>
        </w:rPr>
      </w:pPr>
    </w:p>
    <w:tbl>
      <w:tblPr>
        <w:tblW w:w="7470" w:type="dxa"/>
        <w:tblInd w:w="1063" w:type="dxa"/>
        <w:tblCellMar>
          <w:left w:w="70" w:type="dxa"/>
          <w:right w:w="70" w:type="dxa"/>
        </w:tblCellMar>
        <w:tblLook w:val="04A0" w:firstRow="1" w:lastRow="0" w:firstColumn="1" w:lastColumn="0" w:noHBand="0" w:noVBand="1"/>
      </w:tblPr>
      <w:tblGrid>
        <w:gridCol w:w="2834"/>
        <w:gridCol w:w="1260"/>
        <w:gridCol w:w="1360"/>
        <w:gridCol w:w="1189"/>
        <w:gridCol w:w="827"/>
      </w:tblGrid>
      <w:tr w:rsidR="00831CAF" w:rsidRPr="0013314C" w:rsidTr="002733CF">
        <w:trPr>
          <w:trHeight w:val="227"/>
        </w:trPr>
        <w:tc>
          <w:tcPr>
            <w:tcW w:w="7470" w:type="dxa"/>
            <w:gridSpan w:val="5"/>
            <w:tcBorders>
              <w:top w:val="nil"/>
              <w:left w:val="nil"/>
              <w:bottom w:val="single" w:sz="4" w:space="0" w:color="auto"/>
              <w:right w:val="nil"/>
            </w:tcBorders>
            <w:shd w:val="clear" w:color="auto" w:fill="auto"/>
            <w:noWrap/>
            <w:vAlign w:val="center"/>
          </w:tcPr>
          <w:p w:rsidR="00831CAF" w:rsidRPr="007226D7" w:rsidRDefault="00831CAF" w:rsidP="002733CF">
            <w:pPr>
              <w:spacing w:after="0" w:line="240" w:lineRule="auto"/>
              <w:jc w:val="center"/>
              <w:rPr>
                <w:rFonts w:cs="Arial"/>
                <w:b/>
                <w:bCs/>
                <w:sz w:val="16"/>
                <w:szCs w:val="16"/>
                <w:lang w:val="es-ES" w:eastAsia="es-ES"/>
              </w:rPr>
            </w:pPr>
            <w:r w:rsidRPr="007226D7">
              <w:rPr>
                <w:rFonts w:cs="Arial"/>
                <w:b/>
                <w:bCs/>
                <w:sz w:val="16"/>
                <w:szCs w:val="16"/>
                <w:lang w:val="es-ES" w:eastAsia="es-ES"/>
              </w:rPr>
              <w:lastRenderedPageBreak/>
              <w:t>Tabla Nº 3.1-30 Régimen de Tenencia de las Viviendas</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6"/>
                <w:szCs w:val="16"/>
                <w:lang w:eastAsia="es-ES"/>
              </w:rPr>
            </w:pPr>
            <w:r w:rsidRPr="007226D7">
              <w:rPr>
                <w:rFonts w:cs="Arial"/>
                <w:b/>
                <w:bCs/>
                <w:sz w:val="16"/>
                <w:szCs w:val="16"/>
                <w:lang w:eastAsia="es-ES"/>
              </w:rPr>
              <w:t>Distrito</w:t>
            </w:r>
          </w:p>
        </w:tc>
        <w:tc>
          <w:tcPr>
            <w:tcW w:w="1260" w:type="dxa"/>
            <w:tcBorders>
              <w:top w:val="nil"/>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6"/>
                <w:szCs w:val="16"/>
                <w:lang w:eastAsia="es-ES"/>
              </w:rPr>
            </w:pPr>
            <w:r w:rsidRPr="007226D7">
              <w:rPr>
                <w:rFonts w:cs="Arial"/>
                <w:b/>
                <w:bCs/>
                <w:sz w:val="16"/>
                <w:szCs w:val="16"/>
                <w:lang w:eastAsia="es-ES"/>
              </w:rPr>
              <w:t>Alquiladas</w:t>
            </w:r>
          </w:p>
        </w:tc>
        <w:tc>
          <w:tcPr>
            <w:tcW w:w="1360" w:type="dxa"/>
            <w:tcBorders>
              <w:top w:val="nil"/>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6"/>
                <w:szCs w:val="16"/>
                <w:lang w:eastAsia="es-ES"/>
              </w:rPr>
            </w:pPr>
            <w:r w:rsidRPr="007226D7">
              <w:rPr>
                <w:rFonts w:cs="Arial"/>
                <w:b/>
                <w:bCs/>
                <w:sz w:val="16"/>
                <w:szCs w:val="16"/>
                <w:lang w:eastAsia="es-ES"/>
              </w:rPr>
              <w:t>Propias pagándolas a plazos</w:t>
            </w:r>
          </w:p>
        </w:tc>
        <w:tc>
          <w:tcPr>
            <w:tcW w:w="1189" w:type="dxa"/>
            <w:tcBorders>
              <w:top w:val="nil"/>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6"/>
                <w:szCs w:val="16"/>
                <w:lang w:eastAsia="es-ES"/>
              </w:rPr>
            </w:pPr>
            <w:r w:rsidRPr="007226D7">
              <w:rPr>
                <w:rFonts w:cs="Arial"/>
                <w:b/>
                <w:bCs/>
                <w:sz w:val="16"/>
                <w:szCs w:val="16"/>
                <w:lang w:eastAsia="es-ES"/>
              </w:rPr>
              <w:t>Propias totalmente pagadas</w:t>
            </w:r>
          </w:p>
        </w:tc>
        <w:tc>
          <w:tcPr>
            <w:tcW w:w="827" w:type="dxa"/>
            <w:tcBorders>
              <w:top w:val="nil"/>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6"/>
                <w:szCs w:val="16"/>
                <w:lang w:eastAsia="es-ES"/>
              </w:rPr>
            </w:pPr>
            <w:r w:rsidRPr="007226D7">
              <w:rPr>
                <w:rFonts w:cs="Arial"/>
                <w:b/>
                <w:bCs/>
                <w:sz w:val="16"/>
                <w:szCs w:val="16"/>
                <w:lang w:eastAsia="es-ES"/>
              </w:rPr>
              <w:t>Total</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Callao</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25.5%</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5.4%</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69.1%</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val="es-ES" w:eastAsia="es-ES"/>
              </w:rPr>
            </w:pPr>
            <w:r w:rsidRPr="007226D7">
              <w:rPr>
                <w:rFonts w:cs="Arial"/>
                <w:sz w:val="16"/>
                <w:szCs w:val="16"/>
                <w:lang w:val="es-ES" w:eastAsia="es-ES"/>
              </w:rPr>
              <w:t xml:space="preserve"> Dist. Carmen de la Legua Reynoso</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26.3%</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1.4%</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72.3%</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Bellavista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28.8%</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4.9%</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66.3%</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La Perla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29.7%</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6.1%</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64.2%</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rPr>
                <w:rFonts w:cs="Arial"/>
                <w:sz w:val="16"/>
                <w:szCs w:val="16"/>
              </w:rPr>
            </w:pPr>
            <w:r w:rsidRPr="007226D7">
              <w:rPr>
                <w:rFonts w:cs="Arial"/>
                <w:sz w:val="16"/>
                <w:szCs w:val="16"/>
              </w:rPr>
              <w:t xml:space="preserve"> Dist. San Miguel</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rPr>
            </w:pPr>
            <w:r w:rsidRPr="007226D7">
              <w:rPr>
                <w:rFonts w:cs="Arial"/>
                <w:sz w:val="16"/>
                <w:szCs w:val="16"/>
              </w:rPr>
              <w:t>28.2%</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rPr>
            </w:pPr>
            <w:r w:rsidRPr="007226D7">
              <w:rPr>
                <w:rFonts w:cs="Arial"/>
                <w:sz w:val="16"/>
                <w:szCs w:val="16"/>
              </w:rPr>
              <w:t>14.4%</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rPr>
            </w:pPr>
            <w:r w:rsidRPr="007226D7">
              <w:rPr>
                <w:rFonts w:cs="Arial"/>
                <w:sz w:val="16"/>
                <w:szCs w:val="16"/>
              </w:rPr>
              <w:t>57.4%</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rPr>
            </w:pPr>
            <w:r w:rsidRPr="007226D7">
              <w:rPr>
                <w:rFonts w:cs="Arial"/>
                <w:sz w:val="16"/>
                <w:szCs w:val="16"/>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Lima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41.4%</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5.9%</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52.7%</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Breña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46.1%</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7.7%</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46.2%</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Jesús María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29.5%</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17.6%</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53.0%</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La Victoria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47.1%</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3.9%</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49.0%</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El Agustino</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24.4%</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3.6%</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72.0%</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San Luis</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38.3%</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7.4%</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54.3%</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w:t>
            </w:r>
            <w:proofErr w:type="gramStart"/>
            <w:r w:rsidRPr="007226D7">
              <w:rPr>
                <w:rFonts w:cs="Arial"/>
                <w:sz w:val="16"/>
                <w:szCs w:val="16"/>
                <w:lang w:eastAsia="es-ES"/>
              </w:rPr>
              <w:t xml:space="preserve">Santa </w:t>
            </w:r>
            <w:proofErr w:type="gramEnd"/>
            <w:r w:rsidRPr="007226D7">
              <w:rPr>
                <w:rFonts w:cs="Arial"/>
                <w:sz w:val="16"/>
                <w:szCs w:val="16"/>
                <w:lang w:eastAsia="es-ES"/>
              </w:rPr>
              <w:t>Anita</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38.3%</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3.6%</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58.1%</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sz w:val="16"/>
                <w:szCs w:val="16"/>
                <w:lang w:eastAsia="es-ES"/>
              </w:rPr>
            </w:pPr>
            <w:r w:rsidRPr="007226D7">
              <w:rPr>
                <w:rFonts w:cs="Arial"/>
                <w:sz w:val="16"/>
                <w:szCs w:val="16"/>
                <w:lang w:eastAsia="es-ES"/>
              </w:rPr>
              <w:t xml:space="preserve"> Dist. Ate</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24.8%</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8.4%</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66.7%</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sz w:val="16"/>
                <w:szCs w:val="16"/>
                <w:lang w:eastAsia="es-ES"/>
              </w:rPr>
            </w:pPr>
            <w:r w:rsidRPr="007226D7">
              <w:rPr>
                <w:rFonts w:cs="Arial"/>
                <w:sz w:val="16"/>
                <w:szCs w:val="16"/>
                <w:lang w:eastAsia="es-ES"/>
              </w:rPr>
              <w:t>100.0%</w:t>
            </w:r>
          </w:p>
        </w:tc>
      </w:tr>
      <w:tr w:rsidR="00831CAF" w:rsidRPr="007226D7" w:rsidTr="002733CF">
        <w:trPr>
          <w:trHeight w:val="227"/>
        </w:trPr>
        <w:tc>
          <w:tcPr>
            <w:tcW w:w="2834"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b/>
                <w:sz w:val="16"/>
                <w:szCs w:val="16"/>
              </w:rPr>
            </w:pPr>
            <w:r w:rsidRPr="007226D7">
              <w:rPr>
                <w:rFonts w:cs="Arial"/>
                <w:b/>
                <w:sz w:val="16"/>
                <w:szCs w:val="16"/>
              </w:rPr>
              <w:t>Total</w:t>
            </w:r>
          </w:p>
        </w:tc>
        <w:tc>
          <w:tcPr>
            <w:tcW w:w="12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sz w:val="16"/>
                <w:szCs w:val="16"/>
              </w:rPr>
            </w:pPr>
            <w:r w:rsidRPr="007226D7">
              <w:rPr>
                <w:rFonts w:cs="Arial"/>
                <w:b/>
                <w:sz w:val="16"/>
                <w:szCs w:val="16"/>
              </w:rPr>
              <w:t>32.4%</w:t>
            </w:r>
          </w:p>
        </w:tc>
        <w:tc>
          <w:tcPr>
            <w:tcW w:w="136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sz w:val="16"/>
                <w:szCs w:val="16"/>
              </w:rPr>
            </w:pPr>
            <w:r w:rsidRPr="007226D7">
              <w:rPr>
                <w:rFonts w:cs="Arial"/>
                <w:b/>
                <w:sz w:val="16"/>
                <w:szCs w:val="16"/>
              </w:rPr>
              <w:t>6.8%</w:t>
            </w:r>
          </w:p>
        </w:tc>
        <w:tc>
          <w:tcPr>
            <w:tcW w:w="1189"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sz w:val="16"/>
                <w:szCs w:val="16"/>
              </w:rPr>
            </w:pPr>
            <w:r w:rsidRPr="007226D7">
              <w:rPr>
                <w:rFonts w:cs="Arial"/>
                <w:b/>
                <w:sz w:val="16"/>
                <w:szCs w:val="16"/>
              </w:rPr>
              <w:t>60.8%</w:t>
            </w:r>
          </w:p>
        </w:tc>
        <w:tc>
          <w:tcPr>
            <w:tcW w:w="827"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b/>
                <w:bCs/>
                <w:sz w:val="16"/>
                <w:szCs w:val="16"/>
              </w:rPr>
            </w:pPr>
            <w:r w:rsidRPr="007226D7">
              <w:rPr>
                <w:rFonts w:cs="Arial"/>
                <w:b/>
                <w:bCs/>
                <w:sz w:val="16"/>
                <w:szCs w:val="16"/>
              </w:rPr>
              <w:t>100.0%</w:t>
            </w:r>
          </w:p>
        </w:tc>
      </w:tr>
      <w:tr w:rsidR="00831CAF" w:rsidRPr="0013314C" w:rsidTr="002733CF">
        <w:trPr>
          <w:trHeight w:val="227"/>
        </w:trPr>
        <w:tc>
          <w:tcPr>
            <w:tcW w:w="7470" w:type="dxa"/>
            <w:gridSpan w:val="5"/>
            <w:tcBorders>
              <w:top w:val="single" w:sz="4" w:space="0" w:color="auto"/>
              <w:left w:val="nil"/>
              <w:bottom w:val="nil"/>
              <w:right w:val="nil"/>
            </w:tcBorders>
            <w:shd w:val="clear" w:color="auto" w:fill="auto"/>
            <w:noWrap/>
            <w:vAlign w:val="center"/>
          </w:tcPr>
          <w:p w:rsidR="00831CAF" w:rsidRPr="007226D7" w:rsidRDefault="00831CAF" w:rsidP="002733CF">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Material de Construcción de la Vivienda</w:t>
      </w:r>
    </w:p>
    <w:p w:rsidR="0056369A" w:rsidRPr="007226D7" w:rsidRDefault="0056369A" w:rsidP="0056369A">
      <w:pPr>
        <w:rPr>
          <w:lang w:val="es-ES"/>
        </w:rPr>
      </w:pPr>
      <w:r w:rsidRPr="007226D7">
        <w:rPr>
          <w:lang w:val="es-ES"/>
        </w:rPr>
        <w:t>En la Tabla siguiente se muestra los principales materiales de construcción de las viviendas, se observa que el 83.7% cuentan con paredes de ladrillo o bloque de cemento, siendo el distrito de Carmen de la Legua Reynoso el de mayor proporción (96.9%). El 51.9% de las viviendas tiene sus pisos de cemento, siendo el distrito de Carmen de la Legua Reynoso con la mayor proporción (69.4%).</w:t>
      </w:r>
    </w:p>
    <w:tbl>
      <w:tblPr>
        <w:tblW w:w="5049" w:type="pct"/>
        <w:tblCellMar>
          <w:left w:w="70" w:type="dxa"/>
          <w:right w:w="70" w:type="dxa"/>
        </w:tblCellMar>
        <w:tblLook w:val="04A0" w:firstRow="1" w:lastRow="0" w:firstColumn="1" w:lastColumn="0" w:noHBand="0" w:noVBand="1"/>
      </w:tblPr>
      <w:tblGrid>
        <w:gridCol w:w="535"/>
        <w:gridCol w:w="993"/>
        <w:gridCol w:w="547"/>
        <w:gridCol w:w="647"/>
        <w:gridCol w:w="701"/>
        <w:gridCol w:w="547"/>
        <w:gridCol w:w="547"/>
        <w:gridCol w:w="547"/>
        <w:gridCol w:w="547"/>
        <w:gridCol w:w="547"/>
        <w:gridCol w:w="582"/>
        <w:gridCol w:w="660"/>
        <w:gridCol w:w="547"/>
        <w:gridCol w:w="547"/>
        <w:gridCol w:w="547"/>
        <w:gridCol w:w="547"/>
      </w:tblGrid>
      <w:tr w:rsidR="00831CAF" w:rsidRPr="0013314C" w:rsidTr="002733CF">
        <w:trPr>
          <w:trHeight w:val="227"/>
        </w:trPr>
        <w:tc>
          <w:tcPr>
            <w:tcW w:w="279" w:type="pct"/>
            <w:tcBorders>
              <w:top w:val="nil"/>
              <w:left w:val="nil"/>
              <w:bottom w:val="nil"/>
              <w:right w:val="nil"/>
            </w:tcBorders>
          </w:tcPr>
          <w:p w:rsidR="00831CAF" w:rsidRPr="007226D7" w:rsidRDefault="00831CAF" w:rsidP="002733CF">
            <w:pPr>
              <w:spacing w:after="0" w:line="240" w:lineRule="auto"/>
              <w:jc w:val="center"/>
              <w:rPr>
                <w:rFonts w:cs="Arial"/>
                <w:b/>
                <w:bCs/>
                <w:sz w:val="16"/>
                <w:szCs w:val="16"/>
                <w:lang w:val="es-ES" w:eastAsia="es-ES"/>
              </w:rPr>
            </w:pPr>
          </w:p>
        </w:tc>
        <w:tc>
          <w:tcPr>
            <w:tcW w:w="4721" w:type="pct"/>
            <w:gridSpan w:val="15"/>
            <w:tcBorders>
              <w:top w:val="nil"/>
              <w:left w:val="nil"/>
              <w:bottom w:val="nil"/>
              <w:right w:val="nil"/>
            </w:tcBorders>
            <w:shd w:val="clear" w:color="auto" w:fill="auto"/>
            <w:noWrap/>
            <w:vAlign w:val="center"/>
          </w:tcPr>
          <w:p w:rsidR="00831CAF" w:rsidRPr="007226D7" w:rsidRDefault="00831CAF" w:rsidP="002733CF">
            <w:pPr>
              <w:spacing w:after="0" w:line="240" w:lineRule="auto"/>
              <w:jc w:val="center"/>
              <w:rPr>
                <w:rFonts w:cs="Arial"/>
                <w:b/>
                <w:bCs/>
                <w:sz w:val="16"/>
                <w:szCs w:val="16"/>
                <w:lang w:val="es-ES" w:eastAsia="es-ES"/>
              </w:rPr>
            </w:pPr>
            <w:r w:rsidRPr="007226D7">
              <w:rPr>
                <w:rFonts w:cs="Arial"/>
                <w:b/>
                <w:bCs/>
                <w:sz w:val="16"/>
                <w:szCs w:val="16"/>
                <w:lang w:val="es-ES" w:eastAsia="es-ES"/>
              </w:rPr>
              <w:t>Tabla 3.1-31 Material de Construcción de las Viviendas</w:t>
            </w:r>
          </w:p>
        </w:tc>
      </w:tr>
      <w:tr w:rsidR="00831CAF" w:rsidRPr="007226D7" w:rsidTr="002733CF">
        <w:trPr>
          <w:trHeight w:val="227"/>
        </w:trPr>
        <w:tc>
          <w:tcPr>
            <w:tcW w:w="797" w:type="pct"/>
            <w:gridSpan w:val="2"/>
            <w:tcBorders>
              <w:top w:val="single" w:sz="4" w:space="0" w:color="000000"/>
              <w:left w:val="single" w:sz="4" w:space="0" w:color="000000"/>
              <w:bottom w:val="nil"/>
              <w:right w:val="nil"/>
            </w:tcBorders>
            <w:shd w:val="clear" w:color="000000" w:fill="99CCFF"/>
            <w:noWrap/>
            <w:vAlign w:val="center"/>
          </w:tcPr>
          <w:p w:rsidR="00831CAF" w:rsidRPr="007226D7" w:rsidRDefault="00831CAF" w:rsidP="002733CF">
            <w:pPr>
              <w:spacing w:after="0" w:line="240" w:lineRule="auto"/>
              <w:rPr>
                <w:rFonts w:cs="Arial"/>
                <w:b/>
                <w:bCs/>
                <w:sz w:val="12"/>
                <w:szCs w:val="12"/>
                <w:lang w:eastAsia="es-ES"/>
              </w:rPr>
            </w:pPr>
            <w:r w:rsidRPr="007226D7">
              <w:rPr>
                <w:rFonts w:cs="Arial"/>
                <w:b/>
                <w:bCs/>
                <w:sz w:val="12"/>
                <w:szCs w:val="12"/>
                <w:lang w:eastAsia="es-ES"/>
              </w:rPr>
              <w:t>Tipo</w:t>
            </w:r>
          </w:p>
        </w:tc>
        <w:tc>
          <w:tcPr>
            <w:tcW w:w="285" w:type="pct"/>
            <w:tcBorders>
              <w:top w:val="single" w:sz="4" w:space="0" w:color="auto"/>
              <w:left w:val="single" w:sz="4" w:space="0" w:color="auto"/>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Callao</w:t>
            </w:r>
          </w:p>
        </w:tc>
        <w:tc>
          <w:tcPr>
            <w:tcW w:w="337"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C. L. Reynoso</w:t>
            </w:r>
          </w:p>
        </w:tc>
        <w:tc>
          <w:tcPr>
            <w:tcW w:w="366"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Bellavista</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La Perla</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rPr>
            </w:pPr>
            <w:r w:rsidRPr="007226D7">
              <w:rPr>
                <w:rFonts w:cs="Arial"/>
                <w:b/>
                <w:bCs/>
                <w:sz w:val="12"/>
                <w:szCs w:val="12"/>
              </w:rPr>
              <w:t>San Miguel</w:t>
            </w:r>
          </w:p>
        </w:tc>
        <w:tc>
          <w:tcPr>
            <w:tcW w:w="285" w:type="pct"/>
            <w:tcBorders>
              <w:top w:val="single" w:sz="4" w:space="0" w:color="auto"/>
              <w:left w:val="single" w:sz="4" w:space="0" w:color="auto"/>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Lima</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Breña</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Jesús María</w:t>
            </w:r>
          </w:p>
        </w:tc>
        <w:tc>
          <w:tcPr>
            <w:tcW w:w="303"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La Victoria</w:t>
            </w:r>
          </w:p>
        </w:tc>
        <w:tc>
          <w:tcPr>
            <w:tcW w:w="344"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El Agustino</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San Luis</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proofErr w:type="gramStart"/>
            <w:r w:rsidRPr="007226D7">
              <w:rPr>
                <w:rFonts w:cs="Arial"/>
                <w:b/>
                <w:bCs/>
                <w:sz w:val="12"/>
                <w:szCs w:val="12"/>
                <w:lang w:eastAsia="es-ES"/>
              </w:rPr>
              <w:t xml:space="preserve">Santa </w:t>
            </w:r>
            <w:proofErr w:type="gramEnd"/>
            <w:r w:rsidRPr="007226D7">
              <w:rPr>
                <w:rFonts w:cs="Arial"/>
                <w:b/>
                <w:bCs/>
                <w:sz w:val="12"/>
                <w:szCs w:val="12"/>
                <w:lang w:eastAsia="es-ES"/>
              </w:rPr>
              <w:t>Anita</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Ate</w:t>
            </w:r>
          </w:p>
        </w:tc>
        <w:tc>
          <w:tcPr>
            <w:tcW w:w="285" w:type="pct"/>
            <w:tcBorders>
              <w:top w:val="single" w:sz="4" w:space="0" w:color="auto"/>
              <w:left w:val="nil"/>
              <w:bottom w:val="single" w:sz="4" w:space="0" w:color="auto"/>
              <w:right w:val="single" w:sz="4" w:space="0" w:color="auto"/>
            </w:tcBorders>
            <w:shd w:val="clear" w:color="000000" w:fill="99CCFF"/>
            <w:vAlign w:val="center"/>
          </w:tcPr>
          <w:p w:rsidR="00831CAF" w:rsidRPr="007226D7" w:rsidRDefault="00831CAF" w:rsidP="002733CF">
            <w:pPr>
              <w:spacing w:after="0" w:line="240" w:lineRule="auto"/>
              <w:jc w:val="center"/>
              <w:rPr>
                <w:rFonts w:cs="Arial"/>
                <w:b/>
                <w:bCs/>
                <w:sz w:val="12"/>
                <w:szCs w:val="12"/>
                <w:lang w:eastAsia="es-ES"/>
              </w:rPr>
            </w:pPr>
            <w:r w:rsidRPr="007226D7">
              <w:rPr>
                <w:rFonts w:cs="Arial"/>
                <w:b/>
                <w:bCs/>
                <w:sz w:val="12"/>
                <w:szCs w:val="12"/>
                <w:lang w:eastAsia="es-ES"/>
              </w:rPr>
              <w:t>Total</w:t>
            </w:r>
          </w:p>
        </w:tc>
      </w:tr>
      <w:tr w:rsidR="00831CAF" w:rsidRPr="007226D7" w:rsidTr="002733CF">
        <w:trPr>
          <w:trHeight w:val="227"/>
        </w:trPr>
        <w:tc>
          <w:tcPr>
            <w:tcW w:w="797" w:type="pct"/>
            <w:gridSpan w:val="2"/>
            <w:tcBorders>
              <w:top w:val="single" w:sz="4" w:space="0" w:color="000000"/>
              <w:left w:val="single" w:sz="4" w:space="0" w:color="000000"/>
              <w:bottom w:val="nil"/>
              <w:right w:val="nil"/>
            </w:tcBorders>
            <w:shd w:val="clear" w:color="auto" w:fill="auto"/>
            <w:noWrap/>
            <w:vAlign w:val="center"/>
          </w:tcPr>
          <w:p w:rsidR="00831CAF" w:rsidRPr="007226D7" w:rsidRDefault="00831CAF" w:rsidP="002733CF">
            <w:pPr>
              <w:spacing w:after="0" w:line="240" w:lineRule="auto"/>
              <w:rPr>
                <w:rFonts w:cs="Arial"/>
                <w:b/>
                <w:sz w:val="12"/>
                <w:szCs w:val="12"/>
                <w:lang w:eastAsia="es-ES"/>
              </w:rPr>
            </w:pPr>
            <w:r w:rsidRPr="007226D7">
              <w:rPr>
                <w:rFonts w:cs="Arial"/>
                <w:b/>
                <w:sz w:val="12"/>
                <w:szCs w:val="12"/>
                <w:lang w:eastAsia="es-ES"/>
              </w:rPr>
              <w:t>PAREDES</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37"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66"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auto"/>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100.0%</w:t>
            </w:r>
          </w:p>
        </w:tc>
        <w:tc>
          <w:tcPr>
            <w:tcW w:w="285" w:type="pct"/>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03"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44"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r>
      <w:tr w:rsidR="00831CAF" w:rsidRPr="007226D7" w:rsidTr="002733CF">
        <w:trPr>
          <w:trHeight w:val="227"/>
        </w:trPr>
        <w:tc>
          <w:tcPr>
            <w:tcW w:w="797" w:type="pct"/>
            <w:gridSpan w:val="2"/>
            <w:tcBorders>
              <w:top w:val="single" w:sz="4" w:space="0" w:color="000000"/>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Ladrillo o Bloque cemento</w:t>
            </w:r>
          </w:p>
        </w:tc>
        <w:tc>
          <w:tcPr>
            <w:tcW w:w="285" w:type="pct"/>
            <w:tcBorders>
              <w:top w:val="single" w:sz="4" w:space="0" w:color="auto"/>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82.3%</w:t>
            </w:r>
          </w:p>
        </w:tc>
        <w:tc>
          <w:tcPr>
            <w:tcW w:w="337"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96.9%</w:t>
            </w:r>
          </w:p>
        </w:tc>
        <w:tc>
          <w:tcPr>
            <w:tcW w:w="366"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94.6%</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93.5%</w:t>
            </w:r>
          </w:p>
        </w:tc>
        <w:tc>
          <w:tcPr>
            <w:tcW w:w="285" w:type="pct"/>
            <w:tcBorders>
              <w:top w:val="single" w:sz="4" w:space="0" w:color="auto"/>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92.8%</w:t>
            </w:r>
          </w:p>
        </w:tc>
        <w:tc>
          <w:tcPr>
            <w:tcW w:w="285" w:type="pct"/>
            <w:tcBorders>
              <w:top w:val="single" w:sz="4" w:space="0" w:color="auto"/>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78.0%</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73.7%</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92.3%</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87.1%</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89.0%</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95.1%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94.1%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76.8%</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83.7%</w:t>
            </w:r>
          </w:p>
        </w:tc>
      </w:tr>
      <w:tr w:rsidR="00831CAF" w:rsidRPr="007226D7" w:rsidTr="002733CF">
        <w:trPr>
          <w:trHeight w:val="227"/>
        </w:trPr>
        <w:tc>
          <w:tcPr>
            <w:tcW w:w="797" w:type="pct"/>
            <w:gridSpan w:val="2"/>
            <w:tcBorders>
              <w:top w:val="nil"/>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Madera</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9.8%</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1.6%</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1.7%</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1.7%</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1.4%</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2.3%</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1.6%</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0.7%</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1.9%</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3.4%</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1.4%</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12.2%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5.7%</w:t>
            </w:r>
          </w:p>
        </w:tc>
      </w:tr>
      <w:tr w:rsidR="00831CAF" w:rsidRPr="007226D7" w:rsidTr="002733CF">
        <w:trPr>
          <w:trHeight w:val="227"/>
        </w:trPr>
        <w:tc>
          <w:tcPr>
            <w:tcW w:w="797" w:type="pct"/>
            <w:gridSpan w:val="2"/>
            <w:tcBorders>
              <w:top w:val="nil"/>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Adobe o tapia</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3.5%</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0.9%</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2.7%</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4.2%</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4.4%</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12.1%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21.3%</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5.3%</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9.0%</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5.4%</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5.0%</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6.4%</w:t>
            </w:r>
          </w:p>
        </w:tc>
      </w:tr>
      <w:tr w:rsidR="00831CAF" w:rsidRPr="007226D7" w:rsidTr="002733CF">
        <w:trPr>
          <w:trHeight w:val="227"/>
        </w:trPr>
        <w:tc>
          <w:tcPr>
            <w:tcW w:w="797" w:type="pct"/>
            <w:gridSpan w:val="2"/>
            <w:tcBorders>
              <w:top w:val="nil"/>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Quincha</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3.4%</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0.0%</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0.6%</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0.3%</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0.2%</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6.0%</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1.1%</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1.9%</w:t>
            </w:r>
          </w:p>
        </w:tc>
      </w:tr>
      <w:tr w:rsidR="00831CAF" w:rsidRPr="007226D7" w:rsidTr="002733CF">
        <w:trPr>
          <w:trHeight w:val="227"/>
        </w:trPr>
        <w:tc>
          <w:tcPr>
            <w:tcW w:w="797" w:type="pct"/>
            <w:gridSpan w:val="2"/>
            <w:tcBorders>
              <w:top w:val="nil"/>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Estera</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0.2%</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0.0%</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0.0%</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0.0%</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0.0%</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0.0%</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2.7%</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r>
      <w:tr w:rsidR="00831CAF" w:rsidRPr="007226D7" w:rsidTr="002733CF">
        <w:trPr>
          <w:trHeight w:val="227"/>
        </w:trPr>
        <w:tc>
          <w:tcPr>
            <w:tcW w:w="797" w:type="pct"/>
            <w:gridSpan w:val="2"/>
            <w:tcBorders>
              <w:top w:val="nil"/>
              <w:left w:val="single" w:sz="4" w:space="0" w:color="000000"/>
              <w:bottom w:val="nil"/>
              <w:right w:val="nil"/>
            </w:tcBorders>
            <w:shd w:val="clear" w:color="auto" w:fill="auto"/>
            <w:noWrap/>
            <w:vAlign w:val="bottom"/>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Otros</w:t>
            </w:r>
          </w:p>
        </w:tc>
        <w:tc>
          <w:tcPr>
            <w:tcW w:w="285"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c>
          <w:tcPr>
            <w:tcW w:w="337"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0.5%</w:t>
            </w:r>
          </w:p>
        </w:tc>
        <w:tc>
          <w:tcPr>
            <w:tcW w:w="366"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0.5%</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0.3%</w:t>
            </w:r>
          </w:p>
        </w:tc>
        <w:tc>
          <w:tcPr>
            <w:tcW w:w="285" w:type="pct"/>
            <w:tcBorders>
              <w:top w:val="nil"/>
              <w:left w:val="nil"/>
              <w:bottom w:val="single" w:sz="4" w:space="0" w:color="auto"/>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1.2%</w:t>
            </w:r>
          </w:p>
        </w:tc>
        <w:tc>
          <w:tcPr>
            <w:tcW w:w="285"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1.4%</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0.9%</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c>
          <w:tcPr>
            <w:tcW w:w="303"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0.7%</w:t>
            </w:r>
          </w:p>
        </w:tc>
        <w:tc>
          <w:tcPr>
            <w:tcW w:w="344"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1.2%</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2.8%</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1.7%</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3.2%</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1.5%</w:t>
            </w:r>
          </w:p>
        </w:tc>
      </w:tr>
      <w:tr w:rsidR="00831CAF" w:rsidRPr="007226D7" w:rsidTr="002733CF">
        <w:trPr>
          <w:trHeight w:val="227"/>
        </w:trPr>
        <w:tc>
          <w:tcPr>
            <w:tcW w:w="797" w:type="pct"/>
            <w:gridSpan w:val="2"/>
            <w:tcBorders>
              <w:top w:val="single" w:sz="4" w:space="0" w:color="000000"/>
              <w:left w:val="single" w:sz="4" w:space="0" w:color="000000"/>
              <w:bottom w:val="nil"/>
              <w:right w:val="nil"/>
            </w:tcBorders>
            <w:shd w:val="clear" w:color="auto" w:fill="auto"/>
            <w:noWrap/>
            <w:vAlign w:val="center"/>
          </w:tcPr>
          <w:p w:rsidR="00831CAF" w:rsidRPr="007226D7" w:rsidRDefault="00831CAF" w:rsidP="002733CF">
            <w:pPr>
              <w:spacing w:after="0" w:line="240" w:lineRule="auto"/>
              <w:rPr>
                <w:rFonts w:cs="Arial"/>
                <w:b/>
                <w:sz w:val="12"/>
                <w:szCs w:val="12"/>
                <w:lang w:eastAsia="es-ES"/>
              </w:rPr>
            </w:pPr>
            <w:r w:rsidRPr="007226D7">
              <w:rPr>
                <w:rFonts w:cs="Arial"/>
                <w:b/>
                <w:sz w:val="12"/>
                <w:szCs w:val="12"/>
                <w:lang w:eastAsia="es-ES"/>
              </w:rPr>
              <w:t>PISOS</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37"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66"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auto"/>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100.0%</w:t>
            </w:r>
          </w:p>
        </w:tc>
        <w:tc>
          <w:tcPr>
            <w:tcW w:w="285" w:type="pct"/>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single" w:sz="4" w:space="0" w:color="000000"/>
              <w:bottom w:val="nil"/>
              <w:right w:val="nil"/>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03"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344"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100.0%</w:t>
            </w:r>
          </w:p>
        </w:tc>
      </w:tr>
      <w:tr w:rsidR="00831CAF" w:rsidRPr="007226D7" w:rsidTr="002733CF">
        <w:trPr>
          <w:trHeight w:val="227"/>
        </w:trPr>
        <w:tc>
          <w:tcPr>
            <w:tcW w:w="797" w:type="pct"/>
            <w:gridSpan w:val="2"/>
            <w:tcBorders>
              <w:top w:val="single" w:sz="4" w:space="0" w:color="auto"/>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Cemento</w:t>
            </w:r>
          </w:p>
        </w:tc>
        <w:tc>
          <w:tcPr>
            <w:tcW w:w="285" w:type="pct"/>
            <w:tcBorders>
              <w:top w:val="single" w:sz="4" w:space="0" w:color="auto"/>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58.8%</w:t>
            </w:r>
          </w:p>
        </w:tc>
        <w:tc>
          <w:tcPr>
            <w:tcW w:w="337"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69.4%</w:t>
            </w:r>
          </w:p>
        </w:tc>
        <w:tc>
          <w:tcPr>
            <w:tcW w:w="366"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35.4%</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36.1%</w:t>
            </w:r>
          </w:p>
        </w:tc>
        <w:tc>
          <w:tcPr>
            <w:tcW w:w="285" w:type="pct"/>
            <w:tcBorders>
              <w:top w:val="single" w:sz="4" w:space="0" w:color="auto"/>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24.9%</w:t>
            </w:r>
          </w:p>
        </w:tc>
        <w:tc>
          <w:tcPr>
            <w:tcW w:w="285" w:type="pct"/>
            <w:tcBorders>
              <w:top w:val="single" w:sz="4" w:space="0" w:color="auto"/>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44.5%</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34.5%</w:t>
            </w:r>
          </w:p>
        </w:tc>
        <w:tc>
          <w:tcPr>
            <w:tcW w:w="285" w:type="pct"/>
            <w:tcBorders>
              <w:top w:val="single" w:sz="4" w:space="0" w:color="auto"/>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13.8%</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48.8%</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68.9%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44.1%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65.6%</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56.2%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51.9%</w:t>
            </w:r>
          </w:p>
        </w:tc>
      </w:tr>
      <w:tr w:rsidR="00831CAF" w:rsidRPr="007226D7" w:rsidTr="002733CF">
        <w:trPr>
          <w:trHeight w:val="227"/>
        </w:trPr>
        <w:tc>
          <w:tcPr>
            <w:tcW w:w="797" w:type="pct"/>
            <w:gridSpan w:val="2"/>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Losetas, terrazos</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24.5%</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24.3%</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30.5%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29.1%</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22.1%</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24.6%</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36.7%</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34.1%</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29.9%</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17.2%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26.9%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19.2%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14.0%</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23.1%</w:t>
            </w:r>
          </w:p>
        </w:tc>
      </w:tr>
      <w:tr w:rsidR="00831CAF" w:rsidRPr="007226D7" w:rsidTr="002733CF">
        <w:trPr>
          <w:trHeight w:val="227"/>
        </w:trPr>
        <w:tc>
          <w:tcPr>
            <w:tcW w:w="797" w:type="pct"/>
            <w:gridSpan w:val="2"/>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Tierra</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9.1%</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3.5%</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1.3%</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1.4%</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1.8%</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3.5%</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1.4%</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0.4%</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2.1%</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11.9%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23.2%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9.4%</w:t>
            </w:r>
          </w:p>
        </w:tc>
      </w:tr>
      <w:tr w:rsidR="00831CAF" w:rsidRPr="007226D7" w:rsidTr="002733CF">
        <w:trPr>
          <w:trHeight w:val="227"/>
        </w:trPr>
        <w:tc>
          <w:tcPr>
            <w:tcW w:w="797" w:type="pct"/>
            <w:gridSpan w:val="2"/>
            <w:tcBorders>
              <w:top w:val="nil"/>
              <w:left w:val="single" w:sz="4" w:space="0" w:color="auto"/>
              <w:bottom w:val="nil"/>
              <w:right w:val="nil"/>
            </w:tcBorders>
            <w:shd w:val="clear" w:color="auto" w:fill="auto"/>
            <w:noWrap/>
            <w:vAlign w:val="center"/>
          </w:tcPr>
          <w:p w:rsidR="00831CAF" w:rsidRPr="007226D7" w:rsidRDefault="00831CAF" w:rsidP="002733CF">
            <w:pPr>
              <w:spacing w:after="0" w:line="240" w:lineRule="auto"/>
              <w:rPr>
                <w:rFonts w:cs="Arial"/>
                <w:sz w:val="12"/>
                <w:szCs w:val="12"/>
                <w:lang w:eastAsia="es-ES"/>
              </w:rPr>
            </w:pPr>
            <w:proofErr w:type="gramStart"/>
            <w:r w:rsidRPr="007226D7">
              <w:rPr>
                <w:rFonts w:cs="Arial"/>
                <w:sz w:val="12"/>
                <w:szCs w:val="12"/>
                <w:lang w:eastAsia="es-ES"/>
              </w:rPr>
              <w:t>Parquet o madera pulida</w:t>
            </w:r>
            <w:proofErr w:type="gramEnd"/>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4.8%</w:t>
            </w:r>
          </w:p>
        </w:tc>
        <w:tc>
          <w:tcPr>
            <w:tcW w:w="337"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1.6%</w:t>
            </w:r>
          </w:p>
        </w:tc>
        <w:tc>
          <w:tcPr>
            <w:tcW w:w="366"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25.9%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29.5%</w:t>
            </w:r>
          </w:p>
        </w:tc>
        <w:tc>
          <w:tcPr>
            <w:tcW w:w="285" w:type="pct"/>
            <w:tcBorders>
              <w:top w:val="nil"/>
              <w:left w:val="nil"/>
              <w:bottom w:val="nil"/>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46.1%</w:t>
            </w:r>
          </w:p>
        </w:tc>
        <w:tc>
          <w:tcPr>
            <w:tcW w:w="285" w:type="pct"/>
            <w:tcBorders>
              <w:top w:val="nil"/>
              <w:left w:val="single" w:sz="4" w:space="0" w:color="auto"/>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18.3%</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20.6%</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44.7%</w:t>
            </w:r>
          </w:p>
        </w:tc>
        <w:tc>
          <w:tcPr>
            <w:tcW w:w="303"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15.1%</w:t>
            </w:r>
          </w:p>
        </w:tc>
        <w:tc>
          <w:tcPr>
            <w:tcW w:w="344"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1.2%</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20.9%</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4.7%</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5.1%</w:t>
            </w:r>
          </w:p>
        </w:tc>
        <w:tc>
          <w:tcPr>
            <w:tcW w:w="285" w:type="pct"/>
            <w:tcBorders>
              <w:top w:val="nil"/>
              <w:left w:val="nil"/>
              <w:bottom w:val="nil"/>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11.7%</w:t>
            </w:r>
          </w:p>
        </w:tc>
      </w:tr>
      <w:tr w:rsidR="00831CAF" w:rsidRPr="007226D7" w:rsidTr="002733CF">
        <w:trPr>
          <w:trHeight w:val="227"/>
        </w:trPr>
        <w:tc>
          <w:tcPr>
            <w:tcW w:w="797" w:type="pct"/>
            <w:gridSpan w:val="2"/>
            <w:tcBorders>
              <w:top w:val="nil"/>
              <w:left w:val="single" w:sz="4" w:space="0" w:color="auto"/>
              <w:bottom w:val="single" w:sz="4" w:space="0" w:color="auto"/>
              <w:right w:val="nil"/>
            </w:tcBorders>
            <w:shd w:val="clear" w:color="auto" w:fill="auto"/>
            <w:noWrap/>
            <w:vAlign w:val="center"/>
          </w:tcPr>
          <w:p w:rsidR="00831CAF" w:rsidRPr="007226D7" w:rsidRDefault="00831CAF" w:rsidP="002733CF">
            <w:pPr>
              <w:spacing w:after="0" w:line="240" w:lineRule="auto"/>
              <w:rPr>
                <w:rFonts w:cs="Arial"/>
                <w:sz w:val="12"/>
                <w:szCs w:val="12"/>
                <w:lang w:eastAsia="es-ES"/>
              </w:rPr>
            </w:pPr>
            <w:r w:rsidRPr="007226D7">
              <w:rPr>
                <w:rFonts w:cs="Arial"/>
                <w:sz w:val="12"/>
                <w:szCs w:val="12"/>
                <w:lang w:eastAsia="es-ES"/>
              </w:rPr>
              <w:t>Otros</w:t>
            </w:r>
          </w:p>
        </w:tc>
        <w:tc>
          <w:tcPr>
            <w:tcW w:w="285"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2.9%</w:t>
            </w:r>
          </w:p>
        </w:tc>
        <w:tc>
          <w:tcPr>
            <w:tcW w:w="337"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1.2%</w:t>
            </w:r>
          </w:p>
        </w:tc>
        <w:tc>
          <w:tcPr>
            <w:tcW w:w="366"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6.9%</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3.9%</w:t>
            </w:r>
          </w:p>
        </w:tc>
        <w:tc>
          <w:tcPr>
            <w:tcW w:w="285" w:type="pct"/>
            <w:tcBorders>
              <w:top w:val="nil"/>
              <w:left w:val="nil"/>
              <w:bottom w:val="single" w:sz="4" w:space="0" w:color="auto"/>
              <w:right w:val="single" w:sz="4" w:space="0" w:color="auto"/>
            </w:tcBorders>
            <w:vAlign w:val="center"/>
          </w:tcPr>
          <w:p w:rsidR="00831CAF" w:rsidRPr="007226D7" w:rsidRDefault="00831CAF" w:rsidP="002733CF">
            <w:pPr>
              <w:spacing w:after="0" w:line="240" w:lineRule="auto"/>
              <w:jc w:val="right"/>
              <w:rPr>
                <w:rFonts w:cs="Arial"/>
                <w:sz w:val="12"/>
                <w:szCs w:val="12"/>
              </w:rPr>
            </w:pPr>
            <w:r w:rsidRPr="007226D7">
              <w:rPr>
                <w:rFonts w:cs="Arial"/>
                <w:sz w:val="12"/>
                <w:szCs w:val="12"/>
              </w:rPr>
              <w:t>5.0%</w:t>
            </w:r>
          </w:p>
        </w:tc>
        <w:tc>
          <w:tcPr>
            <w:tcW w:w="285" w:type="pct"/>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9.0%</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6.8%</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7.0%</w:t>
            </w:r>
          </w:p>
        </w:tc>
        <w:tc>
          <w:tcPr>
            <w:tcW w:w="303"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4.1%</w:t>
            </w:r>
          </w:p>
        </w:tc>
        <w:tc>
          <w:tcPr>
            <w:tcW w:w="344"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0.8%</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6.2%</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1.3%</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1.5%</w:t>
            </w:r>
          </w:p>
        </w:tc>
        <w:tc>
          <w:tcPr>
            <w:tcW w:w="285" w:type="pct"/>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right"/>
              <w:rPr>
                <w:rFonts w:cs="Arial"/>
                <w:sz w:val="12"/>
                <w:szCs w:val="12"/>
                <w:lang w:eastAsia="es-ES"/>
              </w:rPr>
            </w:pPr>
            <w:r w:rsidRPr="007226D7">
              <w:rPr>
                <w:rFonts w:cs="Arial"/>
                <w:sz w:val="12"/>
                <w:szCs w:val="12"/>
                <w:lang w:eastAsia="es-ES"/>
              </w:rPr>
              <w:t>3.9%</w:t>
            </w:r>
          </w:p>
        </w:tc>
      </w:tr>
      <w:tr w:rsidR="00831CAF" w:rsidRPr="0013314C" w:rsidTr="002733CF">
        <w:trPr>
          <w:trHeight w:val="227"/>
        </w:trPr>
        <w:tc>
          <w:tcPr>
            <w:tcW w:w="279" w:type="pct"/>
            <w:tcBorders>
              <w:top w:val="single" w:sz="4" w:space="0" w:color="auto"/>
              <w:left w:val="nil"/>
              <w:bottom w:val="nil"/>
              <w:right w:val="nil"/>
            </w:tcBorders>
          </w:tcPr>
          <w:p w:rsidR="00831CAF" w:rsidRPr="007226D7" w:rsidRDefault="00831CAF" w:rsidP="002733CF">
            <w:pPr>
              <w:spacing w:after="0" w:line="240" w:lineRule="auto"/>
              <w:rPr>
                <w:rFonts w:cs="Arial"/>
                <w:sz w:val="14"/>
                <w:szCs w:val="14"/>
                <w:lang w:eastAsia="es-ES"/>
              </w:rPr>
            </w:pPr>
          </w:p>
        </w:tc>
        <w:tc>
          <w:tcPr>
            <w:tcW w:w="3236" w:type="pct"/>
            <w:gridSpan w:val="10"/>
            <w:tcBorders>
              <w:top w:val="single" w:sz="4" w:space="0" w:color="auto"/>
              <w:left w:val="nil"/>
              <w:bottom w:val="nil"/>
              <w:right w:val="nil"/>
            </w:tcBorders>
            <w:shd w:val="clear" w:color="auto" w:fill="auto"/>
            <w:noWrap/>
            <w:vAlign w:val="center"/>
          </w:tcPr>
          <w:p w:rsidR="00831CAF" w:rsidRPr="007226D7" w:rsidRDefault="00831CAF" w:rsidP="002733CF">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c>
          <w:tcPr>
            <w:tcW w:w="344" w:type="pct"/>
            <w:tcBorders>
              <w:top w:val="nil"/>
              <w:left w:val="nil"/>
              <w:bottom w:val="nil"/>
              <w:right w:val="nil"/>
            </w:tcBorders>
            <w:shd w:val="clear" w:color="auto" w:fill="auto"/>
            <w:noWrap/>
            <w:vAlign w:val="bottom"/>
          </w:tcPr>
          <w:p w:rsidR="00831CAF" w:rsidRPr="007226D7" w:rsidRDefault="00831CAF" w:rsidP="002733CF">
            <w:pPr>
              <w:spacing w:after="0" w:line="240" w:lineRule="auto"/>
              <w:rPr>
                <w:rFonts w:cs="Arial"/>
                <w:sz w:val="14"/>
                <w:szCs w:val="14"/>
                <w:lang w:val="es-ES" w:eastAsia="es-ES"/>
              </w:rPr>
            </w:pPr>
          </w:p>
        </w:tc>
        <w:tc>
          <w:tcPr>
            <w:tcW w:w="285" w:type="pct"/>
            <w:tcBorders>
              <w:top w:val="nil"/>
              <w:left w:val="nil"/>
              <w:bottom w:val="nil"/>
              <w:right w:val="nil"/>
            </w:tcBorders>
            <w:shd w:val="clear" w:color="auto" w:fill="auto"/>
            <w:noWrap/>
            <w:vAlign w:val="bottom"/>
          </w:tcPr>
          <w:p w:rsidR="00831CAF" w:rsidRPr="007226D7" w:rsidRDefault="00831CAF" w:rsidP="002733CF">
            <w:pPr>
              <w:spacing w:after="0" w:line="240" w:lineRule="auto"/>
              <w:rPr>
                <w:rFonts w:cs="Arial"/>
                <w:sz w:val="14"/>
                <w:szCs w:val="14"/>
                <w:lang w:val="es-ES" w:eastAsia="es-ES"/>
              </w:rPr>
            </w:pPr>
          </w:p>
        </w:tc>
        <w:tc>
          <w:tcPr>
            <w:tcW w:w="285" w:type="pct"/>
            <w:tcBorders>
              <w:top w:val="nil"/>
              <w:left w:val="nil"/>
              <w:bottom w:val="nil"/>
              <w:right w:val="nil"/>
            </w:tcBorders>
            <w:shd w:val="clear" w:color="auto" w:fill="auto"/>
            <w:noWrap/>
            <w:vAlign w:val="bottom"/>
          </w:tcPr>
          <w:p w:rsidR="00831CAF" w:rsidRPr="007226D7" w:rsidRDefault="00831CAF" w:rsidP="002733CF">
            <w:pPr>
              <w:spacing w:after="0" w:line="240" w:lineRule="auto"/>
              <w:rPr>
                <w:rFonts w:cs="Arial"/>
                <w:sz w:val="14"/>
                <w:szCs w:val="14"/>
                <w:lang w:val="es-ES" w:eastAsia="es-ES"/>
              </w:rPr>
            </w:pPr>
          </w:p>
        </w:tc>
        <w:tc>
          <w:tcPr>
            <w:tcW w:w="285" w:type="pct"/>
            <w:tcBorders>
              <w:top w:val="nil"/>
              <w:left w:val="nil"/>
              <w:bottom w:val="nil"/>
              <w:right w:val="nil"/>
            </w:tcBorders>
            <w:shd w:val="clear" w:color="auto" w:fill="auto"/>
            <w:noWrap/>
            <w:vAlign w:val="bottom"/>
          </w:tcPr>
          <w:p w:rsidR="00831CAF" w:rsidRPr="007226D7" w:rsidRDefault="00831CAF" w:rsidP="002733CF">
            <w:pPr>
              <w:spacing w:after="0" w:line="240" w:lineRule="auto"/>
              <w:rPr>
                <w:rFonts w:cs="Arial"/>
                <w:sz w:val="14"/>
                <w:szCs w:val="14"/>
                <w:lang w:val="es-ES" w:eastAsia="es-ES"/>
              </w:rPr>
            </w:pPr>
          </w:p>
        </w:tc>
        <w:tc>
          <w:tcPr>
            <w:tcW w:w="285" w:type="pct"/>
            <w:tcBorders>
              <w:top w:val="nil"/>
              <w:left w:val="nil"/>
              <w:bottom w:val="nil"/>
              <w:right w:val="nil"/>
            </w:tcBorders>
            <w:shd w:val="clear" w:color="auto" w:fill="auto"/>
            <w:noWrap/>
            <w:vAlign w:val="bottom"/>
          </w:tcPr>
          <w:p w:rsidR="00831CAF" w:rsidRPr="007226D7" w:rsidRDefault="00831CAF" w:rsidP="002733CF">
            <w:pPr>
              <w:spacing w:after="0" w:line="240" w:lineRule="auto"/>
              <w:rPr>
                <w:rFonts w:cs="Arial"/>
                <w:sz w:val="14"/>
                <w:szCs w:val="14"/>
                <w:lang w:val="es-ES" w:eastAsia="es-ES"/>
              </w:rPr>
            </w:pP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3.1.1.3.1.7</w:t>
      </w:r>
      <w:r w:rsidRPr="007226D7">
        <w:rPr>
          <w:lang w:val="es-ES"/>
        </w:rPr>
        <w:tab/>
        <w:t>Otros indicadores demográficos</w:t>
      </w:r>
    </w:p>
    <w:p w:rsidR="0056369A" w:rsidRPr="007226D7" w:rsidRDefault="0056369A" w:rsidP="0056369A">
      <w:pPr>
        <w:rPr>
          <w:u w:val="single"/>
          <w:lang w:val="es-ES"/>
        </w:rPr>
      </w:pPr>
      <w:r w:rsidRPr="007226D7">
        <w:rPr>
          <w:u w:val="single"/>
          <w:lang w:val="es-ES"/>
        </w:rPr>
        <w:t>Tasa de Natalidad</w:t>
      </w:r>
    </w:p>
    <w:p w:rsidR="0056369A" w:rsidRPr="007226D7" w:rsidRDefault="0056369A" w:rsidP="0056369A">
      <w:pPr>
        <w:rPr>
          <w:lang w:val="es-ES"/>
        </w:rPr>
      </w:pPr>
      <w:r w:rsidRPr="007226D7">
        <w:rPr>
          <w:lang w:val="es-ES"/>
        </w:rPr>
        <w:t xml:space="preserve">Las tasas de natalidad vienen descendiendo a nivel nacional, habiendo pasado de 27.3 en el año 1993 a 22.8 para el año 2003 lo que se explican al intenso Programa Nacional de Planificación Familiar puesto en marcha en los últimos años, el cual tiene por finalidad </w:t>
      </w:r>
      <w:r w:rsidRPr="007226D7">
        <w:rPr>
          <w:lang w:val="es-ES"/>
        </w:rPr>
        <w:lastRenderedPageBreak/>
        <w:t>promover cambios en el comportamiento reproductivo de la población. Este programa es promovido por el Ministerio de Salud y el Essalud.</w:t>
      </w:r>
    </w:p>
    <w:p w:rsidR="0056369A" w:rsidRPr="007226D7" w:rsidRDefault="0056369A" w:rsidP="0056369A">
      <w:pPr>
        <w:rPr>
          <w:lang w:val="es-ES"/>
        </w:rPr>
      </w:pPr>
      <w:r w:rsidRPr="007226D7">
        <w:rPr>
          <w:lang w:val="es-ES"/>
        </w:rPr>
        <w:t>En la Región Lima-Callao, en el periodo 2010-2015, la tasa bruta de natalidad tenderá a bajar pasando de 16.3 a 15.2 por cada mil habitantes, esto significa que de cada mil personas ocurren 15 nacimientos vivos.</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Tasa Bruta de Mortalidad</w:t>
      </w:r>
    </w:p>
    <w:p w:rsidR="0056369A" w:rsidRPr="007226D7" w:rsidRDefault="0056369A" w:rsidP="0056369A">
      <w:pPr>
        <w:rPr>
          <w:lang w:val="es-ES"/>
        </w:rPr>
      </w:pPr>
      <w:r w:rsidRPr="007226D7">
        <w:rPr>
          <w:lang w:val="es-ES"/>
        </w:rPr>
        <w:t xml:space="preserve">Si analizamos esta tasa vemos que de acuerdo a las proyecciones del INEI, tiene tendencia a aumentar pero no significativamente, ya que pasará de 4.8 a 5.2 en el año 2015. </w:t>
      </w:r>
    </w:p>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Esperanza de Vida al Nacer</w:t>
      </w:r>
    </w:p>
    <w:p w:rsidR="0056369A" w:rsidRPr="007226D7" w:rsidRDefault="0056369A" w:rsidP="0056369A">
      <w:pPr>
        <w:rPr>
          <w:lang w:val="es-ES"/>
        </w:rPr>
      </w:pPr>
      <w:r w:rsidRPr="007226D7">
        <w:rPr>
          <w:lang w:val="es-ES"/>
        </w:rPr>
        <w:t>En el departamento Lima la esperanza de vida ha descendido ligeramente de 75.8 años en el 2005 a 75.7 años al 2007. Asimismo, este indicador se encuentra por debajo del promedio nacional (Perú) de 73.1 años. Similar descenso de la esperanza de vida se ha presentado a nivel provincial y más de la mitad de los distritos del área de influencia.</w:t>
      </w:r>
    </w:p>
    <w:p w:rsidR="0056369A" w:rsidRPr="007226D7" w:rsidRDefault="0056369A" w:rsidP="0056369A">
      <w:pPr>
        <w:rPr>
          <w:lang w:val="es-ES"/>
        </w:rPr>
      </w:pPr>
      <w:r w:rsidRPr="007226D7">
        <w:rPr>
          <w:lang w:val="es-ES"/>
        </w:rPr>
        <w:t>De acuerdo a los estudios realizados por el PNUD en el año 2007 el distrito de La Perla presenta la mayor esperanza de vida al nacer (76.5 años) mayor al promedio departamental y provincial. Los distritos de El Agustino y Ate con IDH de 75.7 para ambos, presentan la menor esperanza de vida, mayor al promedio nacional y menor al promedio provincial. (Ver Tabla 3.1-32)</w:t>
      </w:r>
    </w:p>
    <w:tbl>
      <w:tblPr>
        <w:tblW w:w="4764" w:type="dxa"/>
        <w:tblInd w:w="2338" w:type="dxa"/>
        <w:tblCellMar>
          <w:left w:w="70" w:type="dxa"/>
          <w:right w:w="70" w:type="dxa"/>
        </w:tblCellMar>
        <w:tblLook w:val="04A0" w:firstRow="1" w:lastRow="0" w:firstColumn="1" w:lastColumn="0" w:noHBand="0" w:noVBand="1"/>
      </w:tblPr>
      <w:tblGrid>
        <w:gridCol w:w="2849"/>
        <w:gridCol w:w="1100"/>
        <w:gridCol w:w="815"/>
      </w:tblGrid>
      <w:tr w:rsidR="00831CAF" w:rsidRPr="0013314C" w:rsidTr="002733CF">
        <w:trPr>
          <w:trHeight w:val="227"/>
        </w:trPr>
        <w:tc>
          <w:tcPr>
            <w:tcW w:w="4764" w:type="dxa"/>
            <w:gridSpan w:val="3"/>
            <w:tcBorders>
              <w:top w:val="nil"/>
              <w:left w:val="nil"/>
              <w:bottom w:val="nil"/>
              <w:right w:val="nil"/>
            </w:tcBorders>
            <w:shd w:val="clear" w:color="auto" w:fill="auto"/>
            <w:noWrap/>
            <w:vAlign w:val="bottom"/>
          </w:tcPr>
          <w:p w:rsidR="00831CAF" w:rsidRPr="007226D7" w:rsidRDefault="00831CAF"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3.1-32 Esperanza de Vida al Nacer 2005 - 2007</w:t>
            </w:r>
          </w:p>
        </w:tc>
      </w:tr>
      <w:tr w:rsidR="00831CAF" w:rsidRPr="007226D7" w:rsidTr="002733CF">
        <w:trPr>
          <w:trHeight w:val="227"/>
        </w:trPr>
        <w:tc>
          <w:tcPr>
            <w:tcW w:w="2849" w:type="dxa"/>
            <w:tcBorders>
              <w:top w:val="single" w:sz="4" w:space="0" w:color="auto"/>
              <w:left w:val="single" w:sz="4" w:space="0" w:color="auto"/>
              <w:bottom w:val="single" w:sz="4" w:space="0" w:color="auto"/>
              <w:right w:val="single" w:sz="4" w:space="0" w:color="auto"/>
            </w:tcBorders>
            <w:shd w:val="clear" w:color="000000" w:fill="99CCFF"/>
            <w:noWrap/>
            <w:vAlign w:val="bottom"/>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Lugar</w:t>
            </w:r>
          </w:p>
        </w:tc>
        <w:tc>
          <w:tcPr>
            <w:tcW w:w="1100" w:type="dxa"/>
            <w:tcBorders>
              <w:top w:val="single" w:sz="4" w:space="0" w:color="auto"/>
              <w:left w:val="nil"/>
              <w:bottom w:val="single" w:sz="4" w:space="0" w:color="auto"/>
              <w:right w:val="single" w:sz="4" w:space="0" w:color="auto"/>
            </w:tcBorders>
            <w:shd w:val="clear" w:color="000000" w:fill="99CCFF"/>
            <w:vAlign w:val="bottom"/>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2005</w:t>
            </w:r>
          </w:p>
        </w:tc>
        <w:tc>
          <w:tcPr>
            <w:tcW w:w="815" w:type="dxa"/>
            <w:tcBorders>
              <w:top w:val="single" w:sz="4" w:space="0" w:color="auto"/>
              <w:left w:val="nil"/>
              <w:bottom w:val="single" w:sz="4" w:space="0" w:color="auto"/>
              <w:right w:val="single" w:sz="4" w:space="0" w:color="auto"/>
            </w:tcBorders>
            <w:shd w:val="clear" w:color="000000" w:fill="99CCFF"/>
            <w:vAlign w:val="bottom"/>
          </w:tcPr>
          <w:p w:rsidR="00831CAF" w:rsidRPr="007226D7" w:rsidRDefault="00831CA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2007</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Dpto. Lima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75.8</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75.7</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Prov. Lima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76.0</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75.9</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76.5</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76.2</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77.0</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76.3</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76.7</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76.3</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77.2</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76.4</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76.9</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76.5</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rPr>
            </w:pPr>
            <w:r w:rsidRPr="007226D7">
              <w:rPr>
                <w:rFonts w:cs="Arial"/>
                <w:color w:val="000000"/>
                <w:sz w:val="16"/>
                <w:szCs w:val="16"/>
              </w:rPr>
              <w:t xml:space="preserve"> Dist. San Miguel</w:t>
            </w:r>
          </w:p>
        </w:tc>
        <w:tc>
          <w:tcPr>
            <w:tcW w:w="1100"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76.7</w:t>
            </w:r>
          </w:p>
        </w:tc>
        <w:tc>
          <w:tcPr>
            <w:tcW w:w="815" w:type="dxa"/>
            <w:tcBorders>
              <w:top w:val="nil"/>
              <w:left w:val="nil"/>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jc w:val="center"/>
              <w:rPr>
                <w:rFonts w:cs="Arial"/>
                <w:color w:val="000000"/>
                <w:sz w:val="16"/>
                <w:szCs w:val="16"/>
              </w:rPr>
            </w:pPr>
            <w:r w:rsidRPr="007226D7">
              <w:rPr>
                <w:rFonts w:cs="Arial"/>
                <w:color w:val="000000"/>
                <w:sz w:val="16"/>
                <w:szCs w:val="16"/>
              </w:rPr>
              <w:t>76.1</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76.1</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75.9</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76.5</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76.0</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76.6</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76.2</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76.2</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75.9</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75.0</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75.7</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75.3</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76.0</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75.8</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75.9</w:t>
            </w:r>
          </w:p>
        </w:tc>
      </w:tr>
      <w:tr w:rsidR="00831CAF" w:rsidRPr="007226D7" w:rsidTr="002733CF">
        <w:trPr>
          <w:trHeight w:val="227"/>
        </w:trPr>
        <w:tc>
          <w:tcPr>
            <w:tcW w:w="2849" w:type="dxa"/>
            <w:tcBorders>
              <w:top w:val="nil"/>
              <w:left w:val="single" w:sz="4" w:space="0" w:color="auto"/>
              <w:bottom w:val="single" w:sz="4" w:space="0" w:color="auto"/>
              <w:right w:val="single" w:sz="4" w:space="0" w:color="auto"/>
            </w:tcBorders>
            <w:shd w:val="clear" w:color="auto" w:fill="auto"/>
            <w:noWrap/>
            <w:vAlign w:val="center"/>
          </w:tcPr>
          <w:p w:rsidR="00831CAF" w:rsidRPr="007226D7" w:rsidRDefault="00831CA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100"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75.6</w:t>
            </w:r>
          </w:p>
        </w:tc>
        <w:tc>
          <w:tcPr>
            <w:tcW w:w="815" w:type="dxa"/>
            <w:tcBorders>
              <w:top w:val="nil"/>
              <w:left w:val="nil"/>
              <w:bottom w:val="single" w:sz="4" w:space="0" w:color="auto"/>
              <w:right w:val="single" w:sz="4" w:space="0" w:color="auto"/>
            </w:tcBorders>
            <w:shd w:val="clear" w:color="auto" w:fill="auto"/>
            <w:noWrap/>
            <w:vAlign w:val="bottom"/>
          </w:tcPr>
          <w:p w:rsidR="00831CAF" w:rsidRPr="007226D7" w:rsidRDefault="00831CA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75.7</w:t>
            </w:r>
          </w:p>
        </w:tc>
      </w:tr>
      <w:tr w:rsidR="00831CAF" w:rsidRPr="0013314C" w:rsidTr="002733CF">
        <w:trPr>
          <w:trHeight w:val="227"/>
        </w:trPr>
        <w:tc>
          <w:tcPr>
            <w:tcW w:w="4764" w:type="dxa"/>
            <w:gridSpan w:val="3"/>
            <w:tcBorders>
              <w:top w:val="single" w:sz="4" w:space="0" w:color="auto"/>
              <w:left w:val="nil"/>
              <w:bottom w:val="nil"/>
              <w:right w:val="nil"/>
            </w:tcBorders>
            <w:shd w:val="clear" w:color="auto" w:fill="auto"/>
            <w:vAlign w:val="center"/>
          </w:tcPr>
          <w:p w:rsidR="00831CAF" w:rsidRPr="007226D7" w:rsidRDefault="00831CAF" w:rsidP="002733CF">
            <w:pPr>
              <w:spacing w:after="0" w:line="240" w:lineRule="auto"/>
              <w:rPr>
                <w:rFonts w:cs="Arial"/>
                <w:color w:val="000000"/>
                <w:sz w:val="16"/>
                <w:szCs w:val="16"/>
                <w:lang w:val="es-ES" w:eastAsia="es-ES"/>
              </w:rPr>
            </w:pPr>
            <w:r w:rsidRPr="007226D7">
              <w:rPr>
                <w:rFonts w:cs="Arial"/>
                <w:color w:val="000000"/>
                <w:sz w:val="14"/>
                <w:szCs w:val="14"/>
                <w:lang w:val="es-ES" w:eastAsia="es-ES"/>
              </w:rPr>
              <w:t>Fuente: PNUD - Perú: Índice de Desarrollo Humano, a nivel nacional, departamental, provincial y distrital 2007 - Índice de Desarrollo Humano Distrital 2005</w:t>
            </w:r>
          </w:p>
        </w:tc>
      </w:tr>
    </w:tbl>
    <w:p w:rsidR="0056369A" w:rsidRPr="007226D7" w:rsidRDefault="0056369A" w:rsidP="0056369A">
      <w:pPr>
        <w:rPr>
          <w:lang w:val="es-ES"/>
        </w:rPr>
      </w:pPr>
    </w:p>
    <w:p w:rsidR="00831CAF" w:rsidRPr="007226D7" w:rsidRDefault="00831CAF">
      <w:pPr>
        <w:spacing w:after="0" w:line="240" w:lineRule="auto"/>
        <w:jc w:val="left"/>
        <w:rPr>
          <w:lang w:val="es-ES"/>
        </w:rPr>
      </w:pPr>
      <w:r w:rsidRPr="007226D7">
        <w:rPr>
          <w:lang w:val="es-ES"/>
        </w:rPr>
        <w:br w:type="page"/>
      </w:r>
    </w:p>
    <w:p w:rsidR="0056369A" w:rsidRPr="007226D7" w:rsidRDefault="0056369A" w:rsidP="002733CF">
      <w:pPr>
        <w:pStyle w:val="Heading5"/>
        <w:rPr>
          <w:lang w:val="es-ES"/>
        </w:rPr>
      </w:pPr>
      <w:r w:rsidRPr="007226D7">
        <w:rPr>
          <w:lang w:val="es-ES"/>
        </w:rPr>
        <w:lastRenderedPageBreak/>
        <w:t>Características sociales</w:t>
      </w:r>
    </w:p>
    <w:p w:rsidR="0056369A" w:rsidRPr="007226D7" w:rsidRDefault="0056369A" w:rsidP="002733CF">
      <w:pPr>
        <w:pStyle w:val="Heading6"/>
        <w:rPr>
          <w:lang w:val="es-ES"/>
        </w:rPr>
      </w:pPr>
      <w:r w:rsidRPr="007226D7">
        <w:rPr>
          <w:lang w:val="es-ES"/>
        </w:rPr>
        <w:t>Salud</w:t>
      </w:r>
    </w:p>
    <w:p w:rsidR="0056369A" w:rsidRPr="007226D7" w:rsidRDefault="0056369A" w:rsidP="0056369A">
      <w:pPr>
        <w:rPr>
          <w:u w:val="single"/>
          <w:lang w:val="es-ES"/>
        </w:rPr>
      </w:pPr>
      <w:r w:rsidRPr="007226D7">
        <w:rPr>
          <w:u w:val="single"/>
          <w:lang w:val="es-ES"/>
        </w:rPr>
        <w:t>Tasa de Mortalidad Infantil</w:t>
      </w:r>
    </w:p>
    <w:p w:rsidR="0056369A" w:rsidRPr="007226D7" w:rsidRDefault="0056369A" w:rsidP="0056369A">
      <w:pPr>
        <w:rPr>
          <w:lang w:val="es-ES"/>
        </w:rPr>
      </w:pPr>
      <w:r w:rsidRPr="007226D7">
        <w:rPr>
          <w:lang w:val="es-ES"/>
        </w:rPr>
        <w:t>En este punto tenemos que indicar que es necesario analizar las variables e indicadores de salud sobre todo la Tasa de mortalidad Infantil ya que es un indicador importante, que permite identificar los grupos de población más vulnerables sobre los cuales es necesario focalizar acciones de política adecuada.</w:t>
      </w:r>
    </w:p>
    <w:p w:rsidR="0056369A" w:rsidRPr="007226D7" w:rsidRDefault="0056369A" w:rsidP="0056369A">
      <w:pPr>
        <w:rPr>
          <w:lang w:val="es-ES"/>
        </w:rPr>
      </w:pPr>
      <w:r w:rsidRPr="007226D7">
        <w:rPr>
          <w:lang w:val="es-ES"/>
        </w:rPr>
        <w:t>Según las estratificación efectuada por la OMS, considera como un nivel muy alto de mortalidad infantil aquellas zonas con cien o más muertes de menores de un año por mil nacidos, el nivel alto corresponde a las zonas que ostentan entre 60 y 99.9 por mil, un nivel medio se consideran los distritos con niveles de mortalidad infantil de 30 a 59.9 y mortalidad baja los que tienen menos de 30 muertes infantiles por cada 1,000 nacimientos.</w:t>
      </w:r>
    </w:p>
    <w:p w:rsidR="002733CF" w:rsidRPr="007226D7" w:rsidRDefault="002733CF" w:rsidP="0056369A">
      <w:pPr>
        <w:rPr>
          <w:lang w:val="es-ES"/>
        </w:rPr>
      </w:pPr>
    </w:p>
    <w:p w:rsidR="0056369A" w:rsidRPr="007226D7" w:rsidRDefault="0056369A" w:rsidP="0056369A">
      <w:pPr>
        <w:rPr>
          <w:lang w:val="es-ES"/>
        </w:rPr>
      </w:pPr>
      <w:r w:rsidRPr="007226D7">
        <w:rPr>
          <w:lang w:val="es-ES"/>
        </w:rPr>
        <w:t>De acuerdo a las informaciones proporcionadas por el INEI, la tasa de mortalidad infantil en el departamento de Lima es de 11.3 por cada 1000 niños nacidos vivos durante el año 2007, ubicándose según la OMS en un nivel bajo, siendo además menor al promedio nacional que fue de 18.5 por cada mil. (Ver Tabla 3.1-33)</w:t>
      </w:r>
    </w:p>
    <w:p w:rsidR="002733CF" w:rsidRPr="007226D7" w:rsidRDefault="002733CF" w:rsidP="0056369A">
      <w:pPr>
        <w:rPr>
          <w:lang w:val="es-ES"/>
        </w:rPr>
      </w:pPr>
    </w:p>
    <w:p w:rsidR="0056369A" w:rsidRPr="007226D7" w:rsidRDefault="0056369A" w:rsidP="0056369A">
      <w:pPr>
        <w:rPr>
          <w:lang w:val="es-ES"/>
        </w:rPr>
      </w:pPr>
      <w:r w:rsidRPr="007226D7">
        <w:rPr>
          <w:lang w:val="es-ES"/>
        </w:rPr>
        <w:t>A nivel provincial, El Callao presenta la menor tasa de mortalidad infantil correspondiente a 10.1 defunciones por mil nacidos vivos con respecto a .la provincia de Lima de 10.9 defunciones por mil nacidos vivos. En los distritos del área del proyecto la tasa de mortalidad infantil se encuentra en un nivel bajo, siendo el distrito de El Agustino (11.3 por mil) la tasa más alta de mortalidad infantil y el distrito de La Perla (9.6 por mil) presenta la tasa más baja.</w:t>
      </w:r>
    </w:p>
    <w:p w:rsidR="0056369A" w:rsidRPr="007226D7" w:rsidRDefault="0056369A" w:rsidP="0056369A">
      <w:pPr>
        <w:rPr>
          <w:lang w:val="es-ES"/>
        </w:rPr>
      </w:pPr>
      <w:r w:rsidRPr="007226D7">
        <w:rPr>
          <w:lang w:val="es-ES"/>
        </w:rPr>
        <w:t xml:space="preserve">Según el MINSA al año 2010 la tasa de mortalidad infantil a nivel nacional es de 19.5 muertes infantiles por 1,000 nacimientos, en la Región Lima 11.1 muertes infantiles por 1,000 nacimientos y de 10.0 muertes infantiles por 1,000 </w:t>
      </w:r>
      <w:r w:rsidR="00E41450" w:rsidRPr="007226D7">
        <w:rPr>
          <w:lang w:val="es-ES"/>
        </w:rPr>
        <w:t>nacimientos en</w:t>
      </w:r>
      <w:r w:rsidRPr="007226D7">
        <w:rPr>
          <w:lang w:val="es-ES"/>
        </w:rPr>
        <w:t xml:space="preserve"> la Región Callao.</w:t>
      </w:r>
    </w:p>
    <w:tbl>
      <w:tblPr>
        <w:tblW w:w="4116" w:type="dxa"/>
        <w:tblInd w:w="2622" w:type="dxa"/>
        <w:tblCellMar>
          <w:left w:w="70" w:type="dxa"/>
          <w:right w:w="70" w:type="dxa"/>
        </w:tblCellMar>
        <w:tblLook w:val="04A0" w:firstRow="1" w:lastRow="0" w:firstColumn="1" w:lastColumn="0" w:noHBand="0" w:noVBand="1"/>
      </w:tblPr>
      <w:tblGrid>
        <w:gridCol w:w="3119"/>
        <w:gridCol w:w="997"/>
      </w:tblGrid>
      <w:tr w:rsidR="002733CF" w:rsidRPr="0013314C" w:rsidTr="002733CF">
        <w:trPr>
          <w:trHeight w:val="170"/>
        </w:trPr>
        <w:tc>
          <w:tcPr>
            <w:tcW w:w="4116" w:type="dxa"/>
            <w:gridSpan w:val="2"/>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3.1-33  Tasa de Mortalidad Infantil 2007</w:t>
            </w:r>
          </w:p>
        </w:tc>
      </w:tr>
      <w:tr w:rsidR="002733CF" w:rsidRPr="007226D7" w:rsidTr="002733CF">
        <w:trPr>
          <w:trHeight w:val="170"/>
        </w:trPr>
        <w:tc>
          <w:tcPr>
            <w:tcW w:w="3119"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Lugar</w:t>
            </w:r>
          </w:p>
        </w:tc>
        <w:tc>
          <w:tcPr>
            <w:tcW w:w="997" w:type="dxa"/>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TMI</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Nacional</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18.5</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Dpto. Lima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11.3</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Prov. Lima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10.9</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10.1</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10.0</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9.9</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9.7</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9.6</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Miguel</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10.4</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10.8</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10.6</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10.2</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10.9</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11.3</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10.6</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10.9</w:t>
            </w:r>
          </w:p>
        </w:tc>
      </w:tr>
      <w:tr w:rsidR="002733CF" w:rsidRPr="007226D7" w:rsidTr="002733CF">
        <w:trPr>
          <w:trHeight w:val="170"/>
        </w:trPr>
        <w:tc>
          <w:tcPr>
            <w:tcW w:w="3119"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99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11.2</w:t>
            </w:r>
          </w:p>
        </w:tc>
      </w:tr>
      <w:tr w:rsidR="002733CF" w:rsidRPr="007226D7" w:rsidTr="002733CF">
        <w:trPr>
          <w:trHeight w:val="170"/>
        </w:trPr>
        <w:tc>
          <w:tcPr>
            <w:tcW w:w="4116" w:type="dxa"/>
            <w:gridSpan w:val="2"/>
            <w:tcBorders>
              <w:top w:val="nil"/>
              <w:left w:val="nil"/>
              <w:bottom w:val="nil"/>
              <w:right w:val="nil"/>
            </w:tcBorders>
            <w:shd w:val="clear" w:color="auto" w:fill="auto"/>
            <w:noWrap/>
            <w:vAlign w:val="center"/>
          </w:tcPr>
          <w:p w:rsidR="002733CF" w:rsidRPr="007226D7" w:rsidRDefault="002733CF" w:rsidP="002733CF">
            <w:pPr>
              <w:spacing w:after="0" w:line="240" w:lineRule="auto"/>
              <w:rPr>
                <w:rFonts w:cs="Arial"/>
                <w:color w:val="000000"/>
                <w:sz w:val="14"/>
                <w:szCs w:val="14"/>
                <w:lang w:eastAsia="es-ES"/>
              </w:rPr>
            </w:pPr>
            <w:r w:rsidRPr="007226D7">
              <w:rPr>
                <w:rFonts w:cs="Arial"/>
                <w:color w:val="000000"/>
                <w:sz w:val="14"/>
                <w:szCs w:val="14"/>
                <w:lang w:eastAsia="es-ES"/>
              </w:rPr>
              <w:t>Fuente: INEI</w:t>
            </w:r>
          </w:p>
        </w:tc>
      </w:tr>
    </w:tbl>
    <w:p w:rsidR="0056369A" w:rsidRPr="007226D7" w:rsidRDefault="0056369A" w:rsidP="0056369A">
      <w:pPr>
        <w:rPr>
          <w:lang w:val="es-ES"/>
        </w:rPr>
      </w:pPr>
      <w:r w:rsidRPr="007226D7">
        <w:rPr>
          <w:lang w:val="es-ES"/>
        </w:rPr>
        <w:lastRenderedPageBreak/>
        <w:t>En el Tabla 3.1-34 se aprecian las principales causas de mortalidad del área de influencia en el año 2010, siendo el 22.1% de los casos tumores malignos, influenza (gripe) y neumonía 12.5%, otras enfermedades bacterianas 6.8%, hipertensivas 5.6, corazón 4.9%, cerebrovasculares 4.5%,  entre otros.</w:t>
      </w:r>
    </w:p>
    <w:p w:rsidR="00DC449F" w:rsidRPr="007226D7" w:rsidRDefault="00DC449F" w:rsidP="0056369A">
      <w:pPr>
        <w:rPr>
          <w:lang w:val="es-ES"/>
        </w:rPr>
      </w:pPr>
    </w:p>
    <w:tbl>
      <w:tblPr>
        <w:tblW w:w="6533" w:type="dxa"/>
        <w:tblInd w:w="1630" w:type="dxa"/>
        <w:tblCellMar>
          <w:left w:w="70" w:type="dxa"/>
          <w:right w:w="70" w:type="dxa"/>
        </w:tblCellMar>
        <w:tblLook w:val="04A0" w:firstRow="1" w:lastRow="0" w:firstColumn="1" w:lastColumn="0" w:noHBand="0" w:noVBand="1"/>
      </w:tblPr>
      <w:tblGrid>
        <w:gridCol w:w="382"/>
        <w:gridCol w:w="4980"/>
        <w:gridCol w:w="630"/>
        <w:gridCol w:w="541"/>
      </w:tblGrid>
      <w:tr w:rsidR="002733CF" w:rsidRPr="0013314C" w:rsidTr="002733CF">
        <w:trPr>
          <w:trHeight w:val="170"/>
        </w:trPr>
        <w:tc>
          <w:tcPr>
            <w:tcW w:w="6533" w:type="dxa"/>
            <w:gridSpan w:val="4"/>
            <w:tcBorders>
              <w:top w:val="nil"/>
              <w:left w:val="nil"/>
              <w:bottom w:val="single" w:sz="4" w:space="0" w:color="auto"/>
              <w:right w:val="nil"/>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3.1-34 Principales Causas de Mortalidad  2010</w:t>
            </w:r>
          </w:p>
        </w:tc>
      </w:tr>
      <w:tr w:rsidR="002733CF" w:rsidRPr="007226D7" w:rsidTr="002733CF">
        <w:trPr>
          <w:trHeight w:val="170"/>
        </w:trPr>
        <w:tc>
          <w:tcPr>
            <w:tcW w:w="382" w:type="dxa"/>
            <w:tcBorders>
              <w:top w:val="nil"/>
              <w:left w:val="single" w:sz="4" w:space="0" w:color="auto"/>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Nº</w:t>
            </w:r>
          </w:p>
        </w:tc>
        <w:tc>
          <w:tcPr>
            <w:tcW w:w="4980" w:type="dxa"/>
            <w:tcBorders>
              <w:top w:val="nil"/>
              <w:left w:val="nil"/>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Descripción</w:t>
            </w:r>
          </w:p>
        </w:tc>
        <w:tc>
          <w:tcPr>
            <w:tcW w:w="630" w:type="dxa"/>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Cant.</w:t>
            </w:r>
          </w:p>
        </w:tc>
        <w:tc>
          <w:tcPr>
            <w:tcW w:w="541" w:type="dxa"/>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2733CF" w:rsidRPr="007226D7" w:rsidTr="002733CF">
        <w:trPr>
          <w:trHeight w:val="170"/>
        </w:trPr>
        <w:tc>
          <w:tcPr>
            <w:tcW w:w="382"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498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rPr>
                <w:rFonts w:cs="Arial"/>
                <w:b/>
                <w:bCs/>
                <w:color w:val="000000"/>
                <w:sz w:val="16"/>
                <w:szCs w:val="16"/>
                <w:lang w:eastAsia="es-ES"/>
              </w:rPr>
            </w:pPr>
            <w:r w:rsidRPr="007226D7">
              <w:rPr>
                <w:rFonts w:cs="Arial"/>
                <w:b/>
                <w:bCs/>
                <w:color w:val="000000"/>
                <w:sz w:val="16"/>
                <w:szCs w:val="16"/>
                <w:lang w:eastAsia="es-ES"/>
              </w:rPr>
              <w:t>Total</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11,592</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100.0</w:t>
            </w:r>
          </w:p>
        </w:tc>
      </w:tr>
      <w:tr w:rsidR="002733CF" w:rsidRPr="007226D7" w:rsidTr="002733CF">
        <w:trPr>
          <w:trHeight w:val="170"/>
        </w:trPr>
        <w:tc>
          <w:tcPr>
            <w:tcW w:w="382" w:type="dxa"/>
            <w:tcBorders>
              <w:top w:val="single" w:sz="4" w:space="0" w:color="auto"/>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4980" w:type="dxa"/>
            <w:tcBorders>
              <w:top w:val="single" w:sz="4" w:space="0" w:color="auto"/>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Tumores (neoplasias) malignos</w:t>
            </w:r>
          </w:p>
        </w:tc>
        <w:tc>
          <w:tcPr>
            <w:tcW w:w="630" w:type="dxa"/>
            <w:tcBorders>
              <w:top w:val="single" w:sz="4" w:space="0" w:color="auto"/>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2,559</w:t>
            </w:r>
          </w:p>
        </w:tc>
        <w:tc>
          <w:tcPr>
            <w:tcW w:w="541" w:type="dxa"/>
            <w:tcBorders>
              <w:top w:val="single" w:sz="4" w:space="0" w:color="auto"/>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22.1</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Influenza (gripe) y neumonía</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1,447</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12.5</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Otras enfermedades bacterianas</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789</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6.8</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Enfermedades hipertensivas</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650</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5.6</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Enfermedades isquemicas del corazón</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565</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4.9</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Enfermedades cerebrovasculares</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524</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4.5</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val="es-ES"/>
              </w:rPr>
            </w:pPr>
            <w:r w:rsidRPr="007226D7">
              <w:rPr>
                <w:rFonts w:cs="Arial"/>
                <w:color w:val="000000"/>
                <w:sz w:val="16"/>
                <w:szCs w:val="16"/>
                <w:lang w:val="es-ES"/>
              </w:rPr>
              <w:t>Otras enferm. respiratorias que afectan principalmente al intersticio</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485</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4.2</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 xml:space="preserve">Enfermedades </w:t>
            </w:r>
            <w:proofErr w:type="gramStart"/>
            <w:r w:rsidRPr="007226D7">
              <w:rPr>
                <w:rFonts w:cs="Arial"/>
                <w:color w:val="000000"/>
                <w:sz w:val="16"/>
                <w:szCs w:val="16"/>
              </w:rPr>
              <w:t xml:space="preserve">del </w:t>
            </w:r>
            <w:proofErr w:type="gramEnd"/>
            <w:r w:rsidRPr="007226D7">
              <w:rPr>
                <w:rFonts w:cs="Arial"/>
                <w:color w:val="000000"/>
                <w:sz w:val="16"/>
                <w:szCs w:val="16"/>
              </w:rPr>
              <w:t>hígado</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456</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3.9</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Diabetes mellitus</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416</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3.6</w:t>
            </w:r>
          </w:p>
        </w:tc>
      </w:tr>
      <w:tr w:rsidR="002733CF" w:rsidRPr="007226D7" w:rsidTr="002733CF">
        <w:trPr>
          <w:trHeight w:val="170"/>
        </w:trPr>
        <w:tc>
          <w:tcPr>
            <w:tcW w:w="382" w:type="dxa"/>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c>
          <w:tcPr>
            <w:tcW w:w="4980" w:type="dxa"/>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rPr>
            </w:pPr>
            <w:r w:rsidRPr="007226D7">
              <w:rPr>
                <w:rFonts w:cs="Arial"/>
                <w:color w:val="000000"/>
                <w:sz w:val="16"/>
                <w:szCs w:val="16"/>
              </w:rPr>
              <w:t>Insuficiencia renal</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358</w:t>
            </w:r>
          </w:p>
        </w:tc>
        <w:tc>
          <w:tcPr>
            <w:tcW w:w="541"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3.1</w:t>
            </w:r>
          </w:p>
        </w:tc>
      </w:tr>
      <w:tr w:rsidR="002733CF" w:rsidRPr="007226D7" w:rsidTr="002733CF">
        <w:trPr>
          <w:trHeight w:val="170"/>
        </w:trPr>
        <w:tc>
          <w:tcPr>
            <w:tcW w:w="382" w:type="dxa"/>
            <w:tcBorders>
              <w:top w:val="nil"/>
              <w:left w:val="single" w:sz="4" w:space="0" w:color="auto"/>
              <w:bottom w:val="single" w:sz="4" w:space="0" w:color="auto"/>
              <w:right w:val="nil"/>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w:t>
            </w:r>
          </w:p>
        </w:tc>
        <w:tc>
          <w:tcPr>
            <w:tcW w:w="4980"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Las demás causas</w:t>
            </w:r>
          </w:p>
        </w:tc>
        <w:tc>
          <w:tcPr>
            <w:tcW w:w="630" w:type="dxa"/>
            <w:tcBorders>
              <w:top w:val="nil"/>
              <w:left w:val="nil"/>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3343</w:t>
            </w:r>
          </w:p>
        </w:tc>
        <w:tc>
          <w:tcPr>
            <w:tcW w:w="541"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28.8</w:t>
            </w:r>
          </w:p>
        </w:tc>
      </w:tr>
      <w:tr w:rsidR="002733CF" w:rsidRPr="0013314C" w:rsidTr="002733CF">
        <w:trPr>
          <w:trHeight w:val="170"/>
        </w:trPr>
        <w:tc>
          <w:tcPr>
            <w:tcW w:w="6533" w:type="dxa"/>
            <w:gridSpan w:val="4"/>
            <w:tcBorders>
              <w:top w:val="single" w:sz="4" w:space="0" w:color="auto"/>
              <w:left w:val="nil"/>
              <w:bottom w:val="nil"/>
              <w:right w:val="nil"/>
            </w:tcBorders>
            <w:shd w:val="clear" w:color="auto" w:fill="auto"/>
            <w:noWrap/>
            <w:vAlign w:val="center"/>
          </w:tcPr>
          <w:p w:rsidR="002733CF" w:rsidRPr="007226D7" w:rsidRDefault="002733C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Oficina de Estadística e Informática</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Para el año 2010, los problemas respiratorios, enfermedades hipertensivas y del corazón fueron la causa de mortalidad que afecta principalmente a la población de más de 60 años. (Ver Tabla 3.1-35)</w:t>
      </w:r>
    </w:p>
    <w:p w:rsidR="00DC449F" w:rsidRPr="007226D7" w:rsidRDefault="00DC449F" w:rsidP="0056369A">
      <w:pPr>
        <w:rPr>
          <w:lang w:val="es-ES"/>
        </w:rPr>
      </w:pPr>
    </w:p>
    <w:tbl>
      <w:tblPr>
        <w:tblW w:w="5389" w:type="pct"/>
        <w:tblCellMar>
          <w:left w:w="70" w:type="dxa"/>
          <w:right w:w="70" w:type="dxa"/>
        </w:tblCellMar>
        <w:tblLook w:val="04A0" w:firstRow="1" w:lastRow="0" w:firstColumn="1" w:lastColumn="0" w:noHBand="0" w:noVBand="1"/>
      </w:tblPr>
      <w:tblGrid>
        <w:gridCol w:w="326"/>
        <w:gridCol w:w="4690"/>
        <w:gridCol w:w="539"/>
        <w:gridCol w:w="457"/>
        <w:gridCol w:w="585"/>
        <w:gridCol w:w="368"/>
        <w:gridCol w:w="540"/>
        <w:gridCol w:w="454"/>
        <w:gridCol w:w="671"/>
        <w:gridCol w:w="534"/>
        <w:gridCol w:w="540"/>
        <w:gridCol w:w="530"/>
      </w:tblGrid>
      <w:tr w:rsidR="002733CF" w:rsidRPr="0013314C" w:rsidTr="002733CF">
        <w:trPr>
          <w:trHeight w:val="227"/>
        </w:trPr>
        <w:tc>
          <w:tcPr>
            <w:tcW w:w="5000" w:type="pct"/>
            <w:gridSpan w:val="12"/>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3.1-35 Principales Causas de Morbilidad en el Área de Influencia - 2010</w:t>
            </w:r>
          </w:p>
        </w:tc>
      </w:tr>
      <w:tr w:rsidR="002733CF" w:rsidRPr="007226D7" w:rsidTr="002733CF">
        <w:trPr>
          <w:trHeight w:val="227"/>
        </w:trPr>
        <w:tc>
          <w:tcPr>
            <w:tcW w:w="159"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Nº</w:t>
            </w:r>
          </w:p>
        </w:tc>
        <w:tc>
          <w:tcPr>
            <w:tcW w:w="2291"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rPr>
                <w:rFonts w:cs="Arial"/>
                <w:b/>
                <w:bCs/>
                <w:color w:val="000000"/>
                <w:sz w:val="14"/>
                <w:szCs w:val="14"/>
                <w:lang w:eastAsia="es-ES"/>
              </w:rPr>
            </w:pPr>
            <w:r w:rsidRPr="007226D7">
              <w:rPr>
                <w:rFonts w:cs="Arial"/>
                <w:b/>
                <w:bCs/>
                <w:color w:val="000000"/>
                <w:sz w:val="14"/>
                <w:szCs w:val="14"/>
                <w:lang w:eastAsia="es-ES"/>
              </w:rPr>
              <w:t>Descripción</w:t>
            </w:r>
          </w:p>
        </w:tc>
        <w:tc>
          <w:tcPr>
            <w:tcW w:w="486" w:type="pct"/>
            <w:gridSpan w:val="2"/>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0-11 años</w:t>
            </w:r>
          </w:p>
        </w:tc>
        <w:tc>
          <w:tcPr>
            <w:tcW w:w="466" w:type="pct"/>
            <w:gridSpan w:val="2"/>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12-17 años</w:t>
            </w:r>
          </w:p>
        </w:tc>
        <w:tc>
          <w:tcPr>
            <w:tcW w:w="486" w:type="pct"/>
            <w:gridSpan w:val="2"/>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18-59 años</w:t>
            </w:r>
          </w:p>
        </w:tc>
        <w:tc>
          <w:tcPr>
            <w:tcW w:w="589" w:type="pct"/>
            <w:gridSpan w:val="2"/>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60 y más años</w:t>
            </w:r>
          </w:p>
        </w:tc>
        <w:tc>
          <w:tcPr>
            <w:tcW w:w="524" w:type="pct"/>
            <w:gridSpan w:val="2"/>
            <w:tcBorders>
              <w:top w:val="single" w:sz="4" w:space="0" w:color="auto"/>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Total</w:t>
            </w:r>
          </w:p>
        </w:tc>
      </w:tr>
      <w:tr w:rsidR="002733CF" w:rsidRPr="007226D7" w:rsidTr="002733CF">
        <w:trPr>
          <w:trHeight w:val="227"/>
        </w:trPr>
        <w:tc>
          <w:tcPr>
            <w:tcW w:w="159" w:type="pct"/>
            <w:vMerge/>
            <w:tcBorders>
              <w:top w:val="single" w:sz="4" w:space="0" w:color="auto"/>
              <w:left w:val="single" w:sz="4" w:space="0" w:color="auto"/>
              <w:bottom w:val="single" w:sz="4" w:space="0" w:color="auto"/>
              <w:right w:val="single" w:sz="4" w:space="0" w:color="auto"/>
            </w:tcBorders>
            <w:vAlign w:val="center"/>
          </w:tcPr>
          <w:p w:rsidR="002733CF" w:rsidRPr="007226D7" w:rsidRDefault="002733CF" w:rsidP="002733CF">
            <w:pPr>
              <w:spacing w:after="0" w:line="240" w:lineRule="auto"/>
              <w:rPr>
                <w:rFonts w:cs="Arial"/>
                <w:b/>
                <w:bCs/>
                <w:color w:val="000000"/>
                <w:sz w:val="14"/>
                <w:szCs w:val="14"/>
                <w:lang w:eastAsia="es-ES"/>
              </w:rPr>
            </w:pPr>
          </w:p>
        </w:tc>
        <w:tc>
          <w:tcPr>
            <w:tcW w:w="2291" w:type="pct"/>
            <w:vMerge/>
            <w:tcBorders>
              <w:top w:val="single" w:sz="4" w:space="0" w:color="auto"/>
              <w:left w:val="single" w:sz="4" w:space="0" w:color="auto"/>
              <w:bottom w:val="single" w:sz="4" w:space="0" w:color="auto"/>
              <w:right w:val="single" w:sz="4" w:space="0" w:color="auto"/>
            </w:tcBorders>
            <w:vAlign w:val="center"/>
          </w:tcPr>
          <w:p w:rsidR="002733CF" w:rsidRPr="007226D7" w:rsidRDefault="002733CF" w:rsidP="002733CF">
            <w:pPr>
              <w:spacing w:after="0" w:line="240" w:lineRule="auto"/>
              <w:rPr>
                <w:rFonts w:cs="Arial"/>
                <w:b/>
                <w:bCs/>
                <w:color w:val="000000"/>
                <w:sz w:val="14"/>
                <w:szCs w:val="14"/>
                <w:lang w:eastAsia="es-ES"/>
              </w:rPr>
            </w:pPr>
          </w:p>
        </w:tc>
        <w:tc>
          <w:tcPr>
            <w:tcW w:w="263"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22"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286"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180"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264"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22"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328"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61"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264"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60" w:type="pct"/>
            <w:tcBorders>
              <w:top w:val="nil"/>
              <w:left w:val="nil"/>
              <w:bottom w:val="single" w:sz="4" w:space="0" w:color="auto"/>
              <w:right w:val="single" w:sz="4" w:space="0" w:color="auto"/>
            </w:tcBorders>
            <w:shd w:val="clear" w:color="000000" w:fill="99CCFF"/>
            <w:noWrap/>
            <w:vAlign w:val="center"/>
          </w:tcPr>
          <w:p w:rsidR="002733CF" w:rsidRPr="007226D7" w:rsidRDefault="002733CF" w:rsidP="002733CF">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Total</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w:t>
            </w:r>
          </w:p>
        </w:tc>
        <w:tc>
          <w:tcPr>
            <w:tcW w:w="2291" w:type="pct"/>
            <w:tcBorders>
              <w:top w:val="single" w:sz="4" w:space="0" w:color="auto"/>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Tumores (neoplasias) malignos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36</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1.4</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11</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0.4</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676</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26.4</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1,836</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71.7</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2,559</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Influenza (gripe) y neumonía</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57</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3.9</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0.6</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181</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12.5</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1,201</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83.0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1,447</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Otras enfermedades bacterianas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43</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5.4</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0.5</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118</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15.0</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624</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79.1</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789</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Enfermedades hipertensivas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52</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8.0</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598</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92.0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650</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Enfermedades isquemicas del corazón</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0.2</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94</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16.6</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470</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83.2</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565</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6</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Enfermedades cerebrovasculares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0.4</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0.6</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107</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20.4</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412</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78.6</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524</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lang w:val="es-ES"/>
              </w:rPr>
            </w:pPr>
            <w:r w:rsidRPr="007226D7">
              <w:rPr>
                <w:rFonts w:cs="Arial"/>
                <w:color w:val="000000"/>
                <w:sz w:val="14"/>
                <w:szCs w:val="14"/>
                <w:lang w:val="es-ES"/>
              </w:rPr>
              <w:t>Otras enferm. respiratorias que afectan principalmente al intersticio</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34</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7.0</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446</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92.0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485</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 xml:space="preserve">Enfermedades </w:t>
            </w:r>
            <w:proofErr w:type="gramStart"/>
            <w:r w:rsidRPr="007226D7">
              <w:rPr>
                <w:rFonts w:cs="Arial"/>
                <w:color w:val="000000"/>
                <w:sz w:val="14"/>
                <w:szCs w:val="14"/>
              </w:rPr>
              <w:t xml:space="preserve">del </w:t>
            </w:r>
            <w:proofErr w:type="gramEnd"/>
            <w:r w:rsidRPr="007226D7">
              <w:rPr>
                <w:rFonts w:cs="Arial"/>
                <w:color w:val="000000"/>
                <w:sz w:val="14"/>
                <w:szCs w:val="14"/>
              </w:rPr>
              <w:t>hígado</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1.8</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0.4</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124</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27.2</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322</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70.6</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456</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9</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Diabetes mellitus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0.2</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73</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17.5</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342</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82.2</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416</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w:t>
            </w:r>
          </w:p>
        </w:tc>
        <w:tc>
          <w:tcPr>
            <w:tcW w:w="229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rPr>
            </w:pPr>
            <w:r w:rsidRPr="007226D7">
              <w:rPr>
                <w:rFonts w:cs="Arial"/>
                <w:color w:val="000000"/>
                <w:sz w:val="14"/>
                <w:szCs w:val="14"/>
              </w:rPr>
              <w:t>Insuficiencia renal</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0.6</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0.0</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70</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19.6</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286</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79.9</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358</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7226D7" w:rsidTr="002733CF">
        <w:trPr>
          <w:trHeight w:val="227"/>
        </w:trPr>
        <w:tc>
          <w:tcPr>
            <w:tcW w:w="159" w:type="pct"/>
            <w:tcBorders>
              <w:top w:val="nil"/>
              <w:left w:val="single" w:sz="4" w:space="0" w:color="auto"/>
              <w:bottom w:val="single" w:sz="4" w:space="0" w:color="auto"/>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11</w:t>
            </w:r>
          </w:p>
        </w:tc>
        <w:tc>
          <w:tcPr>
            <w:tcW w:w="2291" w:type="pct"/>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4"/>
                <w:szCs w:val="14"/>
                <w:lang w:eastAsia="es-ES"/>
              </w:rPr>
            </w:pPr>
            <w:r w:rsidRPr="007226D7">
              <w:rPr>
                <w:rFonts w:cs="Arial"/>
                <w:color w:val="000000"/>
                <w:sz w:val="14"/>
                <w:szCs w:val="14"/>
                <w:lang w:eastAsia="es-ES"/>
              </w:rPr>
              <w:t>Las demás causas</w:t>
            </w:r>
          </w:p>
        </w:tc>
        <w:tc>
          <w:tcPr>
            <w:tcW w:w="263"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475</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14.2</w:t>
            </w:r>
          </w:p>
        </w:tc>
        <w:tc>
          <w:tcPr>
            <w:tcW w:w="286"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39</w:t>
            </w:r>
          </w:p>
        </w:tc>
        <w:tc>
          <w:tcPr>
            <w:tcW w:w="18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1.2</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1,001</w:t>
            </w:r>
          </w:p>
        </w:tc>
        <w:tc>
          <w:tcPr>
            <w:tcW w:w="222"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29.9</w:t>
            </w:r>
          </w:p>
        </w:tc>
        <w:tc>
          <w:tcPr>
            <w:tcW w:w="328"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1,828</w:t>
            </w:r>
          </w:p>
        </w:tc>
        <w:tc>
          <w:tcPr>
            <w:tcW w:w="261"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54.7</w:t>
            </w:r>
          </w:p>
        </w:tc>
        <w:tc>
          <w:tcPr>
            <w:tcW w:w="264" w:type="pct"/>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3,343</w:t>
            </w:r>
          </w:p>
        </w:tc>
        <w:tc>
          <w:tcPr>
            <w:tcW w:w="260" w:type="pct"/>
            <w:tcBorders>
              <w:top w:val="nil"/>
              <w:left w:val="single" w:sz="4" w:space="0" w:color="auto"/>
              <w:bottom w:val="nil"/>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4"/>
                <w:szCs w:val="14"/>
                <w:lang w:eastAsia="es-ES"/>
              </w:rPr>
            </w:pPr>
            <w:r w:rsidRPr="007226D7">
              <w:rPr>
                <w:rFonts w:cs="Arial"/>
                <w:color w:val="000000"/>
                <w:sz w:val="14"/>
                <w:szCs w:val="14"/>
                <w:lang w:eastAsia="es-ES"/>
              </w:rPr>
              <w:t>100.0</w:t>
            </w:r>
          </w:p>
        </w:tc>
      </w:tr>
      <w:tr w:rsidR="002733CF" w:rsidRPr="0013314C" w:rsidTr="002733CF">
        <w:trPr>
          <w:trHeight w:val="227"/>
        </w:trPr>
        <w:tc>
          <w:tcPr>
            <w:tcW w:w="5000" w:type="pct"/>
            <w:gridSpan w:val="12"/>
            <w:tcBorders>
              <w:top w:val="single" w:sz="4" w:space="0" w:color="auto"/>
              <w:left w:val="nil"/>
              <w:bottom w:val="nil"/>
              <w:right w:val="nil"/>
            </w:tcBorders>
            <w:shd w:val="clear" w:color="auto" w:fill="auto"/>
            <w:noWrap/>
            <w:vAlign w:val="center"/>
          </w:tcPr>
          <w:p w:rsidR="002733CF" w:rsidRPr="007226D7" w:rsidRDefault="002733C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Oficina de Estadística e Informática</w:t>
            </w:r>
          </w:p>
        </w:tc>
      </w:tr>
    </w:tbl>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Establecimientos de Salud</w:t>
      </w:r>
    </w:p>
    <w:p w:rsidR="0056369A" w:rsidRPr="007226D7" w:rsidRDefault="0056369A" w:rsidP="0056369A">
      <w:pPr>
        <w:rPr>
          <w:lang w:val="es-ES"/>
        </w:rPr>
      </w:pPr>
      <w:r w:rsidRPr="007226D7">
        <w:rPr>
          <w:lang w:val="es-ES"/>
        </w:rPr>
        <w:t>El departamento de Lima cuenta con 689 establecimientos de salud de los cuales 418 son Puestos de Salud, 246 son Centros de Salud y 25 Hospitales. Los distritos del área de influencia cuentan con 38 Puestos de Salud, 57 Centros de Salud y 10 hospitales que dependen del Ministerio de Salud. El distrito del Callao y el distrito de Ate son los que registran el mayor número de establecimiento de salud. (Ver Tabla 3.1-36)</w:t>
      </w:r>
    </w:p>
    <w:p w:rsidR="00DC449F" w:rsidRPr="007226D7" w:rsidRDefault="00DC449F">
      <w:pPr>
        <w:spacing w:after="0" w:line="240" w:lineRule="auto"/>
        <w:jc w:val="left"/>
        <w:rPr>
          <w:lang w:val="es-ES"/>
        </w:rPr>
      </w:pPr>
      <w:r w:rsidRPr="007226D7">
        <w:rPr>
          <w:lang w:val="es-ES"/>
        </w:rPr>
        <w:br w:type="page"/>
      </w:r>
    </w:p>
    <w:tbl>
      <w:tblPr>
        <w:tblW w:w="6416" w:type="dxa"/>
        <w:tblInd w:w="1771" w:type="dxa"/>
        <w:tblCellMar>
          <w:left w:w="70" w:type="dxa"/>
          <w:right w:w="70" w:type="dxa"/>
        </w:tblCellMar>
        <w:tblLook w:val="04A0" w:firstRow="1" w:lastRow="0" w:firstColumn="1" w:lastColumn="0" w:noHBand="0" w:noVBand="1"/>
      </w:tblPr>
      <w:tblGrid>
        <w:gridCol w:w="3028"/>
        <w:gridCol w:w="874"/>
        <w:gridCol w:w="863"/>
        <w:gridCol w:w="874"/>
        <w:gridCol w:w="777"/>
      </w:tblGrid>
      <w:tr w:rsidR="002733CF" w:rsidRPr="0013314C" w:rsidTr="002733CF">
        <w:trPr>
          <w:trHeight w:val="227"/>
        </w:trPr>
        <w:tc>
          <w:tcPr>
            <w:tcW w:w="6416" w:type="dxa"/>
            <w:gridSpan w:val="5"/>
            <w:tcBorders>
              <w:top w:val="nil"/>
              <w:left w:val="nil"/>
              <w:bottom w:val="nil"/>
              <w:right w:val="nil"/>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lastRenderedPageBreak/>
              <w:t>Tabla</w:t>
            </w:r>
            <w:r w:rsidRPr="007226D7">
              <w:rPr>
                <w:rFonts w:cs="Arial"/>
                <w:b/>
                <w:bCs/>
                <w:color w:val="000000"/>
                <w:sz w:val="16"/>
                <w:szCs w:val="16"/>
                <w:lang w:val="es-ES" w:eastAsia="es-ES"/>
              </w:rPr>
              <w:t xml:space="preserve"> 3.1-36 Hospitales, Centros y Puestos de Salud - 2011</w:t>
            </w:r>
          </w:p>
        </w:tc>
      </w:tr>
      <w:tr w:rsidR="002733CF" w:rsidRPr="007226D7" w:rsidTr="002733CF">
        <w:trPr>
          <w:trHeight w:val="227"/>
        </w:trPr>
        <w:tc>
          <w:tcPr>
            <w:tcW w:w="3028" w:type="dxa"/>
            <w:tcBorders>
              <w:top w:val="single" w:sz="4" w:space="0" w:color="auto"/>
              <w:left w:val="single" w:sz="4" w:space="0" w:color="auto"/>
              <w:bottom w:val="single" w:sz="4" w:space="0" w:color="auto"/>
              <w:right w:val="nil"/>
            </w:tcBorders>
            <w:shd w:val="clear" w:color="000000" w:fill="99CCFF"/>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Ubicación</w:t>
            </w:r>
          </w:p>
        </w:tc>
        <w:tc>
          <w:tcPr>
            <w:tcW w:w="874" w:type="dxa"/>
            <w:tcBorders>
              <w:top w:val="single" w:sz="4" w:space="0" w:color="auto"/>
              <w:left w:val="single" w:sz="4" w:space="0" w:color="auto"/>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Puesto de Salud</w:t>
            </w:r>
          </w:p>
        </w:tc>
        <w:tc>
          <w:tcPr>
            <w:tcW w:w="863" w:type="dxa"/>
            <w:tcBorders>
              <w:top w:val="single" w:sz="4" w:space="0" w:color="auto"/>
              <w:left w:val="nil"/>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Centro de Salud</w:t>
            </w:r>
          </w:p>
        </w:tc>
        <w:tc>
          <w:tcPr>
            <w:tcW w:w="874" w:type="dxa"/>
            <w:tcBorders>
              <w:top w:val="single" w:sz="4" w:space="0" w:color="auto"/>
              <w:left w:val="nil"/>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Hospital</w:t>
            </w:r>
          </w:p>
        </w:tc>
        <w:tc>
          <w:tcPr>
            <w:tcW w:w="777" w:type="dxa"/>
            <w:tcBorders>
              <w:top w:val="single" w:sz="4" w:space="0" w:color="auto"/>
              <w:left w:val="nil"/>
              <w:bottom w:val="single" w:sz="4" w:space="0" w:color="auto"/>
              <w:right w:val="single" w:sz="4" w:space="0" w:color="auto"/>
            </w:tcBorders>
            <w:shd w:val="clear" w:color="000000" w:fill="99CCFF"/>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Total</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Dpto. Lima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418</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246</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25</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689</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Prov. Lima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157</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192</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18</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367</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29</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53</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20</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30</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val="es-ES" w:eastAsia="es-ES"/>
              </w:rPr>
            </w:pPr>
            <w:r w:rsidRPr="007226D7">
              <w:rPr>
                <w:rFonts w:cs="Arial"/>
                <w:color w:val="000000"/>
                <w:sz w:val="16"/>
                <w:szCs w:val="16"/>
                <w:lang w:val="es-ES" w:eastAsia="es-ES"/>
              </w:rPr>
              <w:t> </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Dist. San Miguel</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9</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16</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4</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8</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6</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r>
      <w:tr w:rsidR="002733CF" w:rsidRPr="007226D7" w:rsidTr="002733CF">
        <w:trPr>
          <w:trHeight w:val="227"/>
        </w:trPr>
        <w:tc>
          <w:tcPr>
            <w:tcW w:w="3028" w:type="dxa"/>
            <w:tcBorders>
              <w:top w:val="nil"/>
              <w:left w:val="single" w:sz="4" w:space="0" w:color="auto"/>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7</w:t>
            </w:r>
          </w:p>
        </w:tc>
        <w:tc>
          <w:tcPr>
            <w:tcW w:w="863"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11</w:t>
            </w:r>
          </w:p>
        </w:tc>
        <w:tc>
          <w:tcPr>
            <w:tcW w:w="874"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c>
          <w:tcPr>
            <w:tcW w:w="777" w:type="dxa"/>
            <w:tcBorders>
              <w:top w:val="nil"/>
              <w:left w:val="nil"/>
              <w:bottom w:val="single" w:sz="4" w:space="0" w:color="auto"/>
              <w:right w:val="single" w:sz="4" w:space="0" w:color="auto"/>
            </w:tcBorders>
            <w:shd w:val="clear" w:color="auto" w:fill="auto"/>
            <w:noWrap/>
            <w:vAlign w:val="center"/>
          </w:tcPr>
          <w:p w:rsidR="002733CF" w:rsidRPr="007226D7" w:rsidRDefault="002733CF" w:rsidP="002733CF">
            <w:pPr>
              <w:spacing w:after="0" w:line="240" w:lineRule="auto"/>
              <w:jc w:val="center"/>
              <w:rPr>
                <w:rFonts w:cs="Arial"/>
                <w:color w:val="000000"/>
                <w:sz w:val="16"/>
                <w:szCs w:val="16"/>
                <w:lang w:eastAsia="es-ES"/>
              </w:rPr>
            </w:pPr>
            <w:r w:rsidRPr="007226D7">
              <w:rPr>
                <w:rFonts w:cs="Arial"/>
                <w:color w:val="000000"/>
                <w:sz w:val="16"/>
                <w:szCs w:val="16"/>
                <w:lang w:eastAsia="es-ES"/>
              </w:rPr>
              <w:t>20</w:t>
            </w:r>
          </w:p>
        </w:tc>
      </w:tr>
      <w:tr w:rsidR="002733CF" w:rsidRPr="0013314C" w:rsidTr="002733CF">
        <w:trPr>
          <w:trHeight w:val="227"/>
        </w:trPr>
        <w:tc>
          <w:tcPr>
            <w:tcW w:w="6416" w:type="dxa"/>
            <w:gridSpan w:val="5"/>
            <w:tcBorders>
              <w:top w:val="single" w:sz="4" w:space="0" w:color="auto"/>
              <w:left w:val="nil"/>
              <w:bottom w:val="nil"/>
              <w:right w:val="nil"/>
            </w:tcBorders>
            <w:shd w:val="clear" w:color="auto" w:fill="auto"/>
            <w:noWrap/>
            <w:vAlign w:val="center"/>
          </w:tcPr>
          <w:p w:rsidR="002733CF" w:rsidRPr="007226D7" w:rsidRDefault="002733CF" w:rsidP="002733CF">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Estadística e Informática</w:t>
            </w:r>
          </w:p>
        </w:tc>
      </w:tr>
    </w:tbl>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Profesionales de la salud</w:t>
      </w:r>
    </w:p>
    <w:p w:rsidR="0056369A" w:rsidRPr="007226D7" w:rsidRDefault="0056369A" w:rsidP="0056369A">
      <w:pPr>
        <w:rPr>
          <w:lang w:val="es-ES"/>
        </w:rPr>
      </w:pPr>
      <w:r w:rsidRPr="007226D7">
        <w:rPr>
          <w:lang w:val="es-ES"/>
        </w:rPr>
        <w:t>En cuanto a los profesionales de la salud, el departamento de Lima tiene un total de 42,888 personas, entre profesionales, técnicos y personal administrativo, de los cuales 17,956 son profesionales (41.9%) y 11,725 (58.1%) entre técnicos, auxiliares y asistentes que laboran como personal administrativo y de servicios generales. (Ver Tabla 3.1-37)</w:t>
      </w:r>
    </w:p>
    <w:tbl>
      <w:tblPr>
        <w:tblW w:w="5450" w:type="pct"/>
        <w:tblInd w:w="-356" w:type="dxa"/>
        <w:tblCellMar>
          <w:left w:w="70" w:type="dxa"/>
          <w:right w:w="70" w:type="dxa"/>
        </w:tblCellMar>
        <w:tblLook w:val="04A0" w:firstRow="1" w:lastRow="0" w:firstColumn="1" w:lastColumn="0" w:noHBand="0" w:noVBand="1"/>
      </w:tblPr>
      <w:tblGrid>
        <w:gridCol w:w="456"/>
        <w:gridCol w:w="1368"/>
        <w:gridCol w:w="714"/>
        <w:gridCol w:w="771"/>
        <w:gridCol w:w="862"/>
        <w:gridCol w:w="390"/>
        <w:gridCol w:w="91"/>
        <w:gridCol w:w="447"/>
        <w:gridCol w:w="654"/>
        <w:gridCol w:w="421"/>
        <w:gridCol w:w="494"/>
        <w:gridCol w:w="401"/>
        <w:gridCol w:w="461"/>
        <w:gridCol w:w="454"/>
        <w:gridCol w:w="541"/>
        <w:gridCol w:w="607"/>
        <w:gridCol w:w="361"/>
        <w:gridCol w:w="414"/>
        <w:gridCol w:w="443"/>
      </w:tblGrid>
      <w:tr w:rsidR="00DC449F" w:rsidRPr="0013314C" w:rsidTr="007572D7">
        <w:trPr>
          <w:trHeight w:val="227"/>
        </w:trPr>
        <w:tc>
          <w:tcPr>
            <w:tcW w:w="220" w:type="pct"/>
            <w:tcBorders>
              <w:top w:val="nil"/>
              <w:left w:val="nil"/>
              <w:bottom w:val="single" w:sz="4" w:space="0" w:color="auto"/>
              <w:right w:val="nil"/>
            </w:tcBorders>
          </w:tcPr>
          <w:p w:rsidR="00DC449F" w:rsidRPr="007226D7" w:rsidRDefault="00DC449F" w:rsidP="007572D7">
            <w:pPr>
              <w:spacing w:after="0" w:line="240" w:lineRule="auto"/>
              <w:jc w:val="center"/>
              <w:rPr>
                <w:rFonts w:cs="Arial"/>
                <w:b/>
                <w:bCs/>
                <w:color w:val="000000"/>
                <w:sz w:val="16"/>
                <w:szCs w:val="16"/>
                <w:lang w:eastAsia="es-ES"/>
              </w:rPr>
            </w:pPr>
          </w:p>
        </w:tc>
        <w:tc>
          <w:tcPr>
            <w:tcW w:w="4780" w:type="pct"/>
            <w:gridSpan w:val="18"/>
            <w:tcBorders>
              <w:top w:val="nil"/>
              <w:left w:val="nil"/>
              <w:bottom w:val="single" w:sz="4" w:space="0" w:color="auto"/>
              <w:right w:val="nil"/>
            </w:tcBorders>
            <w:shd w:val="clear" w:color="auto" w:fill="auto"/>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3.1-37 Personal de los Establecimientos de Salud del Ministerio de Salud 2010</w:t>
            </w:r>
          </w:p>
        </w:tc>
      </w:tr>
      <w:tr w:rsidR="00DC449F" w:rsidRPr="007226D7" w:rsidTr="007572D7">
        <w:trPr>
          <w:trHeight w:val="227"/>
        </w:trPr>
        <w:tc>
          <w:tcPr>
            <w:tcW w:w="881" w:type="pct"/>
            <w:gridSpan w:val="2"/>
            <w:vMerge w:val="restart"/>
            <w:tcBorders>
              <w:top w:val="nil"/>
              <w:left w:val="single" w:sz="4" w:space="0" w:color="auto"/>
              <w:bottom w:val="single" w:sz="4" w:space="0" w:color="000000"/>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Personal</w:t>
            </w:r>
          </w:p>
        </w:tc>
        <w:tc>
          <w:tcPr>
            <w:tcW w:w="345"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Dpto.</w:t>
            </w:r>
          </w:p>
        </w:tc>
        <w:tc>
          <w:tcPr>
            <w:tcW w:w="373"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Prov.</w:t>
            </w:r>
          </w:p>
        </w:tc>
        <w:tc>
          <w:tcPr>
            <w:tcW w:w="417"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Prov.</w:t>
            </w:r>
          </w:p>
        </w:tc>
        <w:tc>
          <w:tcPr>
            <w:tcW w:w="188" w:type="pct"/>
            <w:tcBorders>
              <w:top w:val="single" w:sz="4" w:space="0" w:color="auto"/>
              <w:left w:val="nil"/>
              <w:bottom w:val="single" w:sz="4" w:space="0" w:color="auto"/>
              <w:right w:val="nil"/>
            </w:tcBorders>
            <w:shd w:val="clear" w:color="000000" w:fill="99CCFF"/>
          </w:tcPr>
          <w:p w:rsidR="00DC449F" w:rsidRPr="007226D7" w:rsidRDefault="00DC449F" w:rsidP="007572D7">
            <w:pPr>
              <w:spacing w:after="0" w:line="240" w:lineRule="auto"/>
              <w:jc w:val="center"/>
              <w:rPr>
                <w:rFonts w:cs="Arial"/>
                <w:color w:val="000000"/>
                <w:sz w:val="12"/>
                <w:szCs w:val="12"/>
                <w:lang w:eastAsia="es-ES"/>
              </w:rPr>
            </w:pPr>
          </w:p>
        </w:tc>
        <w:tc>
          <w:tcPr>
            <w:tcW w:w="2796" w:type="pct"/>
            <w:gridSpan w:val="13"/>
            <w:tcBorders>
              <w:top w:val="single" w:sz="4" w:space="0" w:color="auto"/>
              <w:left w:val="nil"/>
              <w:bottom w:val="single" w:sz="4" w:space="0" w:color="auto"/>
              <w:right w:val="single" w:sz="4" w:space="0" w:color="000000"/>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Distrito</w:t>
            </w:r>
          </w:p>
        </w:tc>
      </w:tr>
      <w:tr w:rsidR="00DC449F" w:rsidRPr="007226D7" w:rsidTr="007572D7">
        <w:trPr>
          <w:trHeight w:val="227"/>
        </w:trPr>
        <w:tc>
          <w:tcPr>
            <w:tcW w:w="881" w:type="pct"/>
            <w:gridSpan w:val="2"/>
            <w:vMerge/>
            <w:tcBorders>
              <w:top w:val="nil"/>
              <w:left w:val="single" w:sz="4" w:space="0" w:color="auto"/>
              <w:bottom w:val="single" w:sz="4" w:space="0" w:color="000000"/>
              <w:right w:val="single" w:sz="4" w:space="0" w:color="auto"/>
            </w:tcBorders>
            <w:vAlign w:val="center"/>
          </w:tcPr>
          <w:p w:rsidR="00DC449F" w:rsidRPr="007226D7" w:rsidRDefault="00DC449F" w:rsidP="007572D7">
            <w:pPr>
              <w:spacing w:after="0" w:line="240" w:lineRule="auto"/>
              <w:rPr>
                <w:rFonts w:cs="Arial"/>
                <w:color w:val="000000"/>
                <w:sz w:val="12"/>
                <w:szCs w:val="12"/>
                <w:lang w:eastAsia="es-ES"/>
              </w:rPr>
            </w:pPr>
          </w:p>
        </w:tc>
        <w:tc>
          <w:tcPr>
            <w:tcW w:w="345" w:type="pct"/>
            <w:tcBorders>
              <w:top w:val="nil"/>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Lima</w:t>
            </w:r>
          </w:p>
        </w:tc>
        <w:tc>
          <w:tcPr>
            <w:tcW w:w="373" w:type="pct"/>
            <w:tcBorders>
              <w:top w:val="nil"/>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Lima</w:t>
            </w:r>
          </w:p>
        </w:tc>
        <w:tc>
          <w:tcPr>
            <w:tcW w:w="417" w:type="pct"/>
            <w:tcBorders>
              <w:top w:val="nil"/>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Callao</w:t>
            </w:r>
          </w:p>
        </w:tc>
        <w:tc>
          <w:tcPr>
            <w:tcW w:w="232" w:type="pct"/>
            <w:gridSpan w:val="2"/>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Callao</w:t>
            </w:r>
          </w:p>
        </w:tc>
        <w:tc>
          <w:tcPr>
            <w:tcW w:w="216"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proofErr w:type="gramStart"/>
            <w:r w:rsidRPr="007226D7">
              <w:rPr>
                <w:rFonts w:cs="Arial"/>
                <w:color w:val="000000"/>
                <w:sz w:val="12"/>
                <w:szCs w:val="12"/>
                <w:lang w:eastAsia="es-ES"/>
              </w:rPr>
              <w:t>C.L.R</w:t>
            </w:r>
            <w:proofErr w:type="gramEnd"/>
          </w:p>
        </w:tc>
        <w:tc>
          <w:tcPr>
            <w:tcW w:w="316"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Bellavista</w:t>
            </w:r>
          </w:p>
        </w:tc>
        <w:tc>
          <w:tcPr>
            <w:tcW w:w="203"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La Perla</w:t>
            </w:r>
          </w:p>
        </w:tc>
        <w:tc>
          <w:tcPr>
            <w:tcW w:w="239" w:type="pct"/>
            <w:tcBorders>
              <w:top w:val="single" w:sz="4" w:space="0" w:color="auto"/>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San Miguel</w:t>
            </w:r>
          </w:p>
        </w:tc>
        <w:tc>
          <w:tcPr>
            <w:tcW w:w="194" w:type="pct"/>
            <w:tcBorders>
              <w:top w:val="nil"/>
              <w:left w:val="single" w:sz="4" w:space="0" w:color="auto"/>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Lima</w:t>
            </w:r>
          </w:p>
        </w:tc>
        <w:tc>
          <w:tcPr>
            <w:tcW w:w="223"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Breña</w:t>
            </w:r>
          </w:p>
        </w:tc>
        <w:tc>
          <w:tcPr>
            <w:tcW w:w="219"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Jesús María</w:t>
            </w:r>
          </w:p>
        </w:tc>
        <w:tc>
          <w:tcPr>
            <w:tcW w:w="261"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La Victoria</w:t>
            </w:r>
          </w:p>
        </w:tc>
        <w:tc>
          <w:tcPr>
            <w:tcW w:w="293"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El Agustino</w:t>
            </w:r>
          </w:p>
        </w:tc>
        <w:tc>
          <w:tcPr>
            <w:tcW w:w="174"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San Luis</w:t>
            </w:r>
          </w:p>
        </w:tc>
        <w:tc>
          <w:tcPr>
            <w:tcW w:w="200"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Sta. Anita</w:t>
            </w:r>
          </w:p>
        </w:tc>
        <w:tc>
          <w:tcPr>
            <w:tcW w:w="214" w:type="pct"/>
            <w:tcBorders>
              <w:top w:val="nil"/>
              <w:left w:val="nil"/>
              <w:bottom w:val="nil"/>
              <w:right w:val="single" w:sz="4" w:space="0" w:color="auto"/>
            </w:tcBorders>
            <w:shd w:val="clear" w:color="000000" w:fill="99CCFF"/>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Ate</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Médicos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6,936</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187</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850</w:t>
            </w:r>
          </w:p>
        </w:tc>
        <w:tc>
          <w:tcPr>
            <w:tcW w:w="232" w:type="pct"/>
            <w:gridSpan w:val="2"/>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100</w:t>
            </w:r>
          </w:p>
        </w:tc>
        <w:tc>
          <w:tcPr>
            <w:tcW w:w="216"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130</w:t>
            </w:r>
          </w:p>
        </w:tc>
        <w:tc>
          <w:tcPr>
            <w:tcW w:w="316"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498</w:t>
            </w:r>
          </w:p>
        </w:tc>
        <w:tc>
          <w:tcPr>
            <w:tcW w:w="203"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7</w:t>
            </w:r>
          </w:p>
        </w:tc>
        <w:tc>
          <w:tcPr>
            <w:tcW w:w="239" w:type="pct"/>
            <w:tcBorders>
              <w:top w:val="single" w:sz="4" w:space="0" w:color="auto"/>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16</w:t>
            </w:r>
          </w:p>
        </w:tc>
        <w:tc>
          <w:tcPr>
            <w:tcW w:w="194" w:type="pct"/>
            <w:tcBorders>
              <w:top w:val="single" w:sz="4" w:space="0" w:color="auto"/>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16</w:t>
            </w:r>
          </w:p>
        </w:tc>
        <w:tc>
          <w:tcPr>
            <w:tcW w:w="223"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447</w:t>
            </w:r>
          </w:p>
        </w:tc>
        <w:tc>
          <w:tcPr>
            <w:tcW w:w="219"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261"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152</w:t>
            </w:r>
          </w:p>
        </w:tc>
        <w:tc>
          <w:tcPr>
            <w:tcW w:w="293"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376</w:t>
            </w:r>
          </w:p>
        </w:tc>
        <w:tc>
          <w:tcPr>
            <w:tcW w:w="174"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14</w:t>
            </w:r>
          </w:p>
        </w:tc>
        <w:tc>
          <w:tcPr>
            <w:tcW w:w="200"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107</w:t>
            </w:r>
          </w:p>
        </w:tc>
        <w:tc>
          <w:tcPr>
            <w:tcW w:w="214" w:type="pct"/>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227</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Enfermeras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5,873</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168</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516</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34</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81</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328</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7</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479</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116</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327</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99</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158</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Odontólogos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663</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21</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65</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26</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4</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30</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23</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18</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31</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Obstetrices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1,782</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60</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167</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41</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30</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35</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4</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18</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67</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29</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103</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Psicólogos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409</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58</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33</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3</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22</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44</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9</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Nutricionista</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243</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21</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15</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1</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12</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16</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7</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Químicos Farmacéuticos</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291</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417"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25</w:t>
            </w:r>
          </w:p>
        </w:tc>
        <w:tc>
          <w:tcPr>
            <w:tcW w:w="232" w:type="pct"/>
            <w:gridSpan w:val="2"/>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w:t>
            </w:r>
          </w:p>
        </w:tc>
        <w:tc>
          <w:tcPr>
            <w:tcW w:w="2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7</w:t>
            </w:r>
          </w:p>
        </w:tc>
        <w:tc>
          <w:tcPr>
            <w:tcW w:w="316"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12</w:t>
            </w:r>
          </w:p>
        </w:tc>
        <w:tc>
          <w:tcPr>
            <w:tcW w:w="20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39" w:type="pct"/>
            <w:tcBorders>
              <w:top w:val="nil"/>
              <w:left w:val="nil"/>
              <w:bottom w:val="nil"/>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 </w:t>
            </w:r>
          </w:p>
        </w:tc>
        <w:tc>
          <w:tcPr>
            <w:tcW w:w="194"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w:t>
            </w:r>
          </w:p>
        </w:tc>
        <w:tc>
          <w:tcPr>
            <w:tcW w:w="22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w:t>
            </w:r>
          </w:p>
        </w:tc>
        <w:tc>
          <w:tcPr>
            <w:tcW w:w="219"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61"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w:t>
            </w:r>
          </w:p>
        </w:tc>
        <w:tc>
          <w:tcPr>
            <w:tcW w:w="29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w:t>
            </w:r>
          </w:p>
        </w:tc>
        <w:tc>
          <w:tcPr>
            <w:tcW w:w="17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 </w:t>
            </w:r>
          </w:p>
        </w:tc>
        <w:tc>
          <w:tcPr>
            <w:tcW w:w="200"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6</w:t>
            </w:r>
          </w:p>
        </w:tc>
        <w:tc>
          <w:tcPr>
            <w:tcW w:w="214"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14</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Otros</w:t>
            </w:r>
          </w:p>
        </w:tc>
        <w:tc>
          <w:tcPr>
            <w:tcW w:w="345"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1,759</w:t>
            </w:r>
          </w:p>
        </w:tc>
        <w:tc>
          <w:tcPr>
            <w:tcW w:w="37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47</w:t>
            </w:r>
          </w:p>
        </w:tc>
        <w:tc>
          <w:tcPr>
            <w:tcW w:w="417"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291</w:t>
            </w:r>
          </w:p>
        </w:tc>
        <w:tc>
          <w:tcPr>
            <w:tcW w:w="232" w:type="pct"/>
            <w:gridSpan w:val="2"/>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26</w:t>
            </w:r>
          </w:p>
        </w:tc>
        <w:tc>
          <w:tcPr>
            <w:tcW w:w="2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37</w:t>
            </w:r>
          </w:p>
        </w:tc>
        <w:tc>
          <w:tcPr>
            <w:tcW w:w="3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190</w:t>
            </w:r>
          </w:p>
        </w:tc>
        <w:tc>
          <w:tcPr>
            <w:tcW w:w="20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w:t>
            </w:r>
          </w:p>
        </w:tc>
        <w:tc>
          <w:tcPr>
            <w:tcW w:w="239" w:type="pct"/>
            <w:tcBorders>
              <w:top w:val="nil"/>
              <w:left w:val="nil"/>
              <w:bottom w:val="single" w:sz="4" w:space="0" w:color="auto"/>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5</w:t>
            </w:r>
          </w:p>
        </w:tc>
        <w:tc>
          <w:tcPr>
            <w:tcW w:w="194"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w:t>
            </w:r>
          </w:p>
        </w:tc>
        <w:tc>
          <w:tcPr>
            <w:tcW w:w="22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170</w:t>
            </w:r>
          </w:p>
        </w:tc>
        <w:tc>
          <w:tcPr>
            <w:tcW w:w="219"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w:t>
            </w:r>
          </w:p>
        </w:tc>
        <w:tc>
          <w:tcPr>
            <w:tcW w:w="261"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54</w:t>
            </w:r>
          </w:p>
        </w:tc>
        <w:tc>
          <w:tcPr>
            <w:tcW w:w="29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84</w:t>
            </w:r>
          </w:p>
        </w:tc>
        <w:tc>
          <w:tcPr>
            <w:tcW w:w="17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w:t>
            </w:r>
          </w:p>
        </w:tc>
        <w:tc>
          <w:tcPr>
            <w:tcW w:w="200"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33</w:t>
            </w:r>
          </w:p>
        </w:tc>
        <w:tc>
          <w:tcPr>
            <w:tcW w:w="21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37</w:t>
            </w:r>
          </w:p>
        </w:tc>
      </w:tr>
      <w:tr w:rsidR="00DC449F" w:rsidRPr="007226D7" w:rsidTr="007572D7">
        <w:trPr>
          <w:trHeight w:val="227"/>
        </w:trPr>
        <w:tc>
          <w:tcPr>
            <w:tcW w:w="881" w:type="pct"/>
            <w:gridSpan w:val="2"/>
            <w:tcBorders>
              <w:top w:val="single" w:sz="4" w:space="0" w:color="auto"/>
              <w:left w:val="single" w:sz="4" w:space="0" w:color="auto"/>
              <w:bottom w:val="single" w:sz="4" w:space="0" w:color="auto"/>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 xml:space="preserve">Total Profesionales </w:t>
            </w:r>
          </w:p>
        </w:tc>
        <w:tc>
          <w:tcPr>
            <w:tcW w:w="345"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17,956</w:t>
            </w:r>
          </w:p>
        </w:tc>
        <w:tc>
          <w:tcPr>
            <w:tcW w:w="37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509</w:t>
            </w:r>
          </w:p>
        </w:tc>
        <w:tc>
          <w:tcPr>
            <w:tcW w:w="417"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1,993</w:t>
            </w:r>
          </w:p>
        </w:tc>
        <w:tc>
          <w:tcPr>
            <w:tcW w:w="232" w:type="pct"/>
            <w:gridSpan w:val="2"/>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244</w:t>
            </w:r>
          </w:p>
        </w:tc>
        <w:tc>
          <w:tcPr>
            <w:tcW w:w="2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299</w:t>
            </w:r>
          </w:p>
        </w:tc>
        <w:tc>
          <w:tcPr>
            <w:tcW w:w="3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1,121</w:t>
            </w:r>
          </w:p>
        </w:tc>
        <w:tc>
          <w:tcPr>
            <w:tcW w:w="20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17</w:t>
            </w:r>
          </w:p>
        </w:tc>
        <w:tc>
          <w:tcPr>
            <w:tcW w:w="239" w:type="pct"/>
            <w:tcBorders>
              <w:top w:val="nil"/>
              <w:left w:val="nil"/>
              <w:bottom w:val="single" w:sz="4" w:space="0" w:color="auto"/>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40</w:t>
            </w:r>
          </w:p>
        </w:tc>
        <w:tc>
          <w:tcPr>
            <w:tcW w:w="194"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42</w:t>
            </w:r>
          </w:p>
        </w:tc>
        <w:tc>
          <w:tcPr>
            <w:tcW w:w="22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1,185</w:t>
            </w:r>
          </w:p>
        </w:tc>
        <w:tc>
          <w:tcPr>
            <w:tcW w:w="219"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23</w:t>
            </w:r>
          </w:p>
        </w:tc>
        <w:tc>
          <w:tcPr>
            <w:tcW w:w="261"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376</w:t>
            </w:r>
          </w:p>
        </w:tc>
        <w:tc>
          <w:tcPr>
            <w:tcW w:w="29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918</w:t>
            </w:r>
          </w:p>
        </w:tc>
        <w:tc>
          <w:tcPr>
            <w:tcW w:w="17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31</w:t>
            </w:r>
          </w:p>
        </w:tc>
        <w:tc>
          <w:tcPr>
            <w:tcW w:w="200"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343</w:t>
            </w:r>
          </w:p>
        </w:tc>
        <w:tc>
          <w:tcPr>
            <w:tcW w:w="21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587</w:t>
            </w:r>
          </w:p>
        </w:tc>
      </w:tr>
      <w:tr w:rsidR="00DC449F" w:rsidRPr="007226D7" w:rsidTr="007572D7">
        <w:trPr>
          <w:trHeight w:val="227"/>
        </w:trPr>
        <w:tc>
          <w:tcPr>
            <w:tcW w:w="881" w:type="pct"/>
            <w:gridSpan w:val="2"/>
            <w:tcBorders>
              <w:top w:val="nil"/>
              <w:left w:val="single" w:sz="4" w:space="0" w:color="auto"/>
              <w:bottom w:val="nil"/>
              <w:right w:val="nil"/>
            </w:tcBorders>
            <w:shd w:val="clear" w:color="auto" w:fill="auto"/>
            <w:vAlign w:val="center"/>
          </w:tcPr>
          <w:p w:rsidR="00DC449F" w:rsidRPr="007226D7" w:rsidRDefault="00DC449F" w:rsidP="007572D7">
            <w:pPr>
              <w:spacing w:after="0" w:line="240" w:lineRule="auto"/>
              <w:rPr>
                <w:rFonts w:cs="Arial"/>
                <w:color w:val="000000"/>
                <w:sz w:val="12"/>
                <w:szCs w:val="12"/>
                <w:lang w:eastAsia="es-ES"/>
              </w:rPr>
            </w:pPr>
            <w:r w:rsidRPr="007226D7">
              <w:rPr>
                <w:rFonts w:cs="Arial"/>
                <w:color w:val="000000"/>
                <w:sz w:val="12"/>
                <w:szCs w:val="12"/>
                <w:lang w:eastAsia="es-ES"/>
              </w:rPr>
              <w:t xml:space="preserve">Total </w:t>
            </w:r>
            <w:proofErr w:type="gramStart"/>
            <w:r w:rsidRPr="007226D7">
              <w:rPr>
                <w:rFonts w:cs="Arial"/>
                <w:color w:val="000000"/>
                <w:sz w:val="12"/>
                <w:szCs w:val="12"/>
                <w:lang w:eastAsia="es-ES"/>
              </w:rPr>
              <w:t>Téc.</w:t>
            </w:r>
            <w:proofErr w:type="gramEnd"/>
            <w:r w:rsidRPr="007226D7">
              <w:rPr>
                <w:rFonts w:cs="Arial"/>
                <w:color w:val="000000"/>
                <w:sz w:val="12"/>
                <w:szCs w:val="12"/>
                <w:lang w:eastAsia="es-ES"/>
              </w:rPr>
              <w:t xml:space="preserve"> Aux, Asist.</w:t>
            </w:r>
          </w:p>
        </w:tc>
        <w:tc>
          <w:tcPr>
            <w:tcW w:w="34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24,932</w:t>
            </w:r>
          </w:p>
        </w:tc>
        <w:tc>
          <w:tcPr>
            <w:tcW w:w="373" w:type="pct"/>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757</w:t>
            </w:r>
          </w:p>
        </w:tc>
        <w:tc>
          <w:tcPr>
            <w:tcW w:w="417"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2,656</w:t>
            </w:r>
          </w:p>
        </w:tc>
        <w:tc>
          <w:tcPr>
            <w:tcW w:w="232" w:type="pct"/>
            <w:gridSpan w:val="2"/>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458</w:t>
            </w:r>
          </w:p>
        </w:tc>
        <w:tc>
          <w:tcPr>
            <w:tcW w:w="2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415</w:t>
            </w:r>
          </w:p>
        </w:tc>
        <w:tc>
          <w:tcPr>
            <w:tcW w:w="3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1,369</w:t>
            </w:r>
          </w:p>
        </w:tc>
        <w:tc>
          <w:tcPr>
            <w:tcW w:w="20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33</w:t>
            </w:r>
          </w:p>
        </w:tc>
        <w:tc>
          <w:tcPr>
            <w:tcW w:w="239" w:type="pct"/>
            <w:tcBorders>
              <w:top w:val="nil"/>
              <w:left w:val="nil"/>
              <w:bottom w:val="single" w:sz="4" w:space="0" w:color="auto"/>
              <w:right w:val="single" w:sz="4" w:space="0" w:color="auto"/>
            </w:tcBorders>
            <w:vAlign w:val="center"/>
          </w:tcPr>
          <w:p w:rsidR="00DC449F" w:rsidRPr="007226D7" w:rsidRDefault="00DC449F" w:rsidP="007572D7">
            <w:pPr>
              <w:spacing w:after="0" w:line="240" w:lineRule="auto"/>
              <w:jc w:val="center"/>
              <w:rPr>
                <w:rFonts w:cs="Arial"/>
                <w:color w:val="000000"/>
                <w:sz w:val="12"/>
                <w:szCs w:val="12"/>
              </w:rPr>
            </w:pPr>
            <w:r w:rsidRPr="007226D7">
              <w:rPr>
                <w:rFonts w:cs="Arial"/>
                <w:color w:val="000000"/>
                <w:sz w:val="12"/>
                <w:szCs w:val="12"/>
              </w:rPr>
              <w:t>53</w:t>
            </w:r>
          </w:p>
        </w:tc>
        <w:tc>
          <w:tcPr>
            <w:tcW w:w="194"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56</w:t>
            </w:r>
          </w:p>
        </w:tc>
        <w:tc>
          <w:tcPr>
            <w:tcW w:w="22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1,398</w:t>
            </w:r>
          </w:p>
        </w:tc>
        <w:tc>
          <w:tcPr>
            <w:tcW w:w="219"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40</w:t>
            </w:r>
          </w:p>
        </w:tc>
        <w:tc>
          <w:tcPr>
            <w:tcW w:w="261"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412</w:t>
            </w:r>
          </w:p>
        </w:tc>
        <w:tc>
          <w:tcPr>
            <w:tcW w:w="29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1,222</w:t>
            </w:r>
          </w:p>
        </w:tc>
        <w:tc>
          <w:tcPr>
            <w:tcW w:w="17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40</w:t>
            </w:r>
          </w:p>
        </w:tc>
        <w:tc>
          <w:tcPr>
            <w:tcW w:w="200"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561</w:t>
            </w:r>
          </w:p>
        </w:tc>
        <w:tc>
          <w:tcPr>
            <w:tcW w:w="21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2"/>
                <w:szCs w:val="12"/>
                <w:lang w:eastAsia="es-ES"/>
              </w:rPr>
            </w:pPr>
            <w:r w:rsidRPr="007226D7">
              <w:rPr>
                <w:rFonts w:cs="Arial"/>
                <w:color w:val="000000"/>
                <w:sz w:val="12"/>
                <w:szCs w:val="12"/>
                <w:lang w:eastAsia="es-ES"/>
              </w:rPr>
              <w:t>1,028</w:t>
            </w:r>
          </w:p>
        </w:tc>
      </w:tr>
      <w:tr w:rsidR="00DC449F" w:rsidRPr="007226D7" w:rsidTr="007572D7">
        <w:trPr>
          <w:trHeight w:val="227"/>
        </w:trPr>
        <w:tc>
          <w:tcPr>
            <w:tcW w:w="88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Total</w:t>
            </w:r>
          </w:p>
        </w:tc>
        <w:tc>
          <w:tcPr>
            <w:tcW w:w="345" w:type="pct"/>
            <w:tcBorders>
              <w:top w:val="single" w:sz="4" w:space="0" w:color="auto"/>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42,888</w:t>
            </w:r>
          </w:p>
        </w:tc>
        <w:tc>
          <w:tcPr>
            <w:tcW w:w="373" w:type="pct"/>
            <w:tcBorders>
              <w:top w:val="single" w:sz="4" w:space="0" w:color="auto"/>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1,266</w:t>
            </w:r>
          </w:p>
        </w:tc>
        <w:tc>
          <w:tcPr>
            <w:tcW w:w="417"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4,649</w:t>
            </w:r>
          </w:p>
        </w:tc>
        <w:tc>
          <w:tcPr>
            <w:tcW w:w="232" w:type="pct"/>
            <w:gridSpan w:val="2"/>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702</w:t>
            </w:r>
          </w:p>
        </w:tc>
        <w:tc>
          <w:tcPr>
            <w:tcW w:w="2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714</w:t>
            </w:r>
          </w:p>
        </w:tc>
        <w:tc>
          <w:tcPr>
            <w:tcW w:w="316"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2,490</w:t>
            </w:r>
          </w:p>
        </w:tc>
        <w:tc>
          <w:tcPr>
            <w:tcW w:w="20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50</w:t>
            </w:r>
          </w:p>
        </w:tc>
        <w:tc>
          <w:tcPr>
            <w:tcW w:w="239" w:type="pct"/>
            <w:tcBorders>
              <w:top w:val="nil"/>
              <w:left w:val="nil"/>
              <w:bottom w:val="single" w:sz="4" w:space="0" w:color="auto"/>
              <w:right w:val="single" w:sz="4" w:space="0" w:color="auto"/>
            </w:tcBorders>
            <w:vAlign w:val="center"/>
          </w:tcPr>
          <w:p w:rsidR="00DC449F" w:rsidRPr="007226D7" w:rsidRDefault="00DC449F" w:rsidP="007572D7">
            <w:pPr>
              <w:spacing w:after="0" w:line="240" w:lineRule="auto"/>
              <w:jc w:val="center"/>
              <w:rPr>
                <w:rFonts w:cs="Arial"/>
                <w:b/>
                <w:bCs/>
                <w:color w:val="000000"/>
                <w:sz w:val="12"/>
                <w:szCs w:val="12"/>
              </w:rPr>
            </w:pPr>
            <w:r w:rsidRPr="007226D7">
              <w:rPr>
                <w:rFonts w:cs="Arial"/>
                <w:b/>
                <w:bCs/>
                <w:color w:val="000000"/>
                <w:sz w:val="12"/>
                <w:szCs w:val="12"/>
              </w:rPr>
              <w:t>93</w:t>
            </w:r>
          </w:p>
        </w:tc>
        <w:tc>
          <w:tcPr>
            <w:tcW w:w="194"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98</w:t>
            </w:r>
          </w:p>
        </w:tc>
        <w:tc>
          <w:tcPr>
            <w:tcW w:w="22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2,583</w:t>
            </w:r>
          </w:p>
        </w:tc>
        <w:tc>
          <w:tcPr>
            <w:tcW w:w="219"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63</w:t>
            </w:r>
          </w:p>
        </w:tc>
        <w:tc>
          <w:tcPr>
            <w:tcW w:w="261"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788</w:t>
            </w:r>
          </w:p>
        </w:tc>
        <w:tc>
          <w:tcPr>
            <w:tcW w:w="293"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2,140</w:t>
            </w:r>
          </w:p>
        </w:tc>
        <w:tc>
          <w:tcPr>
            <w:tcW w:w="17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71</w:t>
            </w:r>
          </w:p>
        </w:tc>
        <w:tc>
          <w:tcPr>
            <w:tcW w:w="200"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904</w:t>
            </w:r>
          </w:p>
        </w:tc>
        <w:tc>
          <w:tcPr>
            <w:tcW w:w="214" w:type="pct"/>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2"/>
                <w:szCs w:val="12"/>
                <w:lang w:eastAsia="es-ES"/>
              </w:rPr>
            </w:pPr>
            <w:r w:rsidRPr="007226D7">
              <w:rPr>
                <w:rFonts w:cs="Arial"/>
                <w:b/>
                <w:bCs/>
                <w:color w:val="000000"/>
                <w:sz w:val="12"/>
                <w:szCs w:val="12"/>
                <w:lang w:eastAsia="es-ES"/>
              </w:rPr>
              <w:t>1,615</w:t>
            </w:r>
          </w:p>
        </w:tc>
      </w:tr>
      <w:tr w:rsidR="00DC449F" w:rsidRPr="0013314C" w:rsidTr="007572D7">
        <w:trPr>
          <w:trHeight w:val="227"/>
        </w:trPr>
        <w:tc>
          <w:tcPr>
            <w:tcW w:w="2015" w:type="pct"/>
            <w:gridSpan w:val="5"/>
            <w:tcBorders>
              <w:top w:val="single" w:sz="4" w:space="0" w:color="auto"/>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Oficina de Estadística e Informática</w:t>
            </w:r>
          </w:p>
        </w:tc>
        <w:tc>
          <w:tcPr>
            <w:tcW w:w="232" w:type="pct"/>
            <w:gridSpan w:val="2"/>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16"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316"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03"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39" w:type="pct"/>
            <w:tcBorders>
              <w:top w:val="nil"/>
              <w:left w:val="nil"/>
              <w:bottom w:val="nil"/>
              <w:right w:val="nil"/>
            </w:tcBorders>
          </w:tcPr>
          <w:p w:rsidR="00DC449F" w:rsidRPr="007226D7" w:rsidRDefault="00DC449F" w:rsidP="007572D7">
            <w:pPr>
              <w:spacing w:after="0" w:line="240" w:lineRule="auto"/>
              <w:rPr>
                <w:rFonts w:ascii="Calibri" w:hAnsi="Calibri"/>
                <w:color w:val="000000"/>
                <w:sz w:val="14"/>
                <w:szCs w:val="14"/>
                <w:lang w:val="es-ES" w:eastAsia="es-ES"/>
              </w:rPr>
            </w:pPr>
          </w:p>
        </w:tc>
        <w:tc>
          <w:tcPr>
            <w:tcW w:w="194"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23"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19"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61"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93"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174"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00"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c>
          <w:tcPr>
            <w:tcW w:w="214" w:type="pct"/>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ascii="Calibri" w:hAnsi="Calibri"/>
                <w:color w:val="000000"/>
                <w:sz w:val="14"/>
                <w:szCs w:val="14"/>
                <w:lang w:val="es-ES" w:eastAsia="es-ES"/>
              </w:rPr>
            </w:pP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Los distritos del área de influencia cuentan con 5,226 profesionales que representan el 29.1% de profesionales del departamento. Asimismo, se cuenta con 7,085 (28.4%) personas entre técnicos, auxiliares y asistentes que laboran como personal administrativo y de servicio generales para cubrir la demanda de atención.</w:t>
      </w:r>
    </w:p>
    <w:p w:rsidR="0056369A" w:rsidRPr="007226D7" w:rsidRDefault="0056369A" w:rsidP="0056369A">
      <w:pPr>
        <w:rPr>
          <w:lang w:val="es-ES"/>
        </w:rPr>
      </w:pPr>
    </w:p>
    <w:p w:rsidR="00DC449F" w:rsidRPr="007226D7" w:rsidRDefault="00DC449F">
      <w:pPr>
        <w:spacing w:after="0" w:line="240" w:lineRule="auto"/>
        <w:jc w:val="left"/>
        <w:rPr>
          <w:lang w:val="es-ES"/>
        </w:rPr>
      </w:pPr>
      <w:r w:rsidRPr="007226D7">
        <w:rPr>
          <w:lang w:val="es-ES"/>
        </w:rPr>
        <w:br w:type="page"/>
      </w:r>
    </w:p>
    <w:p w:rsidR="0056369A" w:rsidRPr="007226D7" w:rsidRDefault="0056369A" w:rsidP="0056369A">
      <w:pPr>
        <w:rPr>
          <w:u w:val="single"/>
          <w:lang w:val="es-ES"/>
        </w:rPr>
      </w:pPr>
      <w:r w:rsidRPr="007226D7">
        <w:rPr>
          <w:u w:val="single"/>
          <w:lang w:val="es-ES"/>
        </w:rPr>
        <w:lastRenderedPageBreak/>
        <w:t>Perfil epidemiológico</w:t>
      </w:r>
    </w:p>
    <w:p w:rsidR="0056369A" w:rsidRPr="007226D7" w:rsidRDefault="0056369A" w:rsidP="0056369A">
      <w:pPr>
        <w:rPr>
          <w:lang w:val="es-ES"/>
        </w:rPr>
      </w:pPr>
      <w:r w:rsidRPr="007226D7">
        <w:rPr>
          <w:lang w:val="es-ES"/>
        </w:rPr>
        <w:t>Las principales causas de morbilidad registradas en el área de influencia durante el año 2011 corresponden a las infecciones agudas de las vías respiratorias superiores (14.2%), enfermedades de cavidad bucal, glándulas salivales y maxilares (8.7%), enferm. crónicas de vías respiratorias inferiores (3.7%), enfermedades del esófago, del estomago y del duodeno (2.9%), enfermedades infecciosas intestinales (2.6%), dorsopatías (2.6%), trastornos no inflamatorios de órganos genitales femeninos (2.3%), otras enfermedades del sistema urinario (2.1%), otras enfermedades de las vías respiratorias superiores (2.0%), enfermedades hipertensivas (2.0%), y  entre otras causas (57.0%). (Ver Tabla 3.1-38)</w:t>
      </w:r>
      <w:r w:rsidR="00DC449F" w:rsidRPr="007226D7">
        <w:rPr>
          <w:lang w:val="es-ES"/>
        </w:rPr>
        <w:t>.</w:t>
      </w:r>
    </w:p>
    <w:p w:rsidR="00DC449F" w:rsidRPr="007226D7" w:rsidRDefault="00DC449F" w:rsidP="0056369A">
      <w:pPr>
        <w:rPr>
          <w:lang w:val="es-ES"/>
        </w:rPr>
      </w:pPr>
    </w:p>
    <w:tbl>
      <w:tblPr>
        <w:tblW w:w="6471" w:type="dxa"/>
        <w:tblInd w:w="1771" w:type="dxa"/>
        <w:tblCellMar>
          <w:left w:w="70" w:type="dxa"/>
          <w:right w:w="70" w:type="dxa"/>
        </w:tblCellMar>
        <w:tblLook w:val="04A0" w:firstRow="1" w:lastRow="0" w:firstColumn="1" w:lastColumn="0" w:noHBand="0" w:noVBand="1"/>
      </w:tblPr>
      <w:tblGrid>
        <w:gridCol w:w="398"/>
        <w:gridCol w:w="4680"/>
        <w:gridCol w:w="852"/>
        <w:gridCol w:w="541"/>
      </w:tblGrid>
      <w:tr w:rsidR="00DC449F" w:rsidRPr="0013314C" w:rsidTr="007572D7">
        <w:trPr>
          <w:trHeight w:val="227"/>
        </w:trPr>
        <w:tc>
          <w:tcPr>
            <w:tcW w:w="6471" w:type="dxa"/>
            <w:gridSpan w:val="4"/>
            <w:tcBorders>
              <w:top w:val="nil"/>
              <w:left w:val="nil"/>
              <w:bottom w:val="single" w:sz="4" w:space="0" w:color="auto"/>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3.1-38  Principales Causas de Morbilidad en el Área de Influencia - 2011</w:t>
            </w:r>
          </w:p>
        </w:tc>
      </w:tr>
      <w:tr w:rsidR="00DC449F" w:rsidRPr="007226D7" w:rsidTr="007572D7">
        <w:trPr>
          <w:trHeight w:val="227"/>
        </w:trPr>
        <w:tc>
          <w:tcPr>
            <w:tcW w:w="398" w:type="dxa"/>
            <w:tcBorders>
              <w:top w:val="nil"/>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Nº</w:t>
            </w:r>
          </w:p>
        </w:tc>
        <w:tc>
          <w:tcPr>
            <w:tcW w:w="4680" w:type="dxa"/>
            <w:tcBorders>
              <w:top w:val="nil"/>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Descripción</w:t>
            </w:r>
          </w:p>
        </w:tc>
        <w:tc>
          <w:tcPr>
            <w:tcW w:w="852"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Cant.</w:t>
            </w:r>
          </w:p>
        </w:tc>
        <w:tc>
          <w:tcPr>
            <w:tcW w:w="541"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DC449F" w:rsidRPr="007226D7" w:rsidTr="007572D7">
        <w:trPr>
          <w:trHeight w:val="227"/>
        </w:trPr>
        <w:tc>
          <w:tcPr>
            <w:tcW w:w="398"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 </w:t>
            </w:r>
          </w:p>
        </w:tc>
        <w:tc>
          <w:tcPr>
            <w:tcW w:w="4680"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rPr>
            </w:pPr>
            <w:r w:rsidRPr="007226D7">
              <w:rPr>
                <w:rFonts w:cs="Arial"/>
                <w:b/>
                <w:bCs/>
                <w:color w:val="000000"/>
                <w:sz w:val="16"/>
                <w:szCs w:val="16"/>
              </w:rPr>
              <w:t>Total</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2,453,291</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100.0</w:t>
            </w:r>
          </w:p>
        </w:tc>
      </w:tr>
      <w:tr w:rsidR="00DC449F" w:rsidRPr="007226D7" w:rsidTr="007572D7">
        <w:trPr>
          <w:trHeight w:val="227"/>
        </w:trPr>
        <w:tc>
          <w:tcPr>
            <w:tcW w:w="398" w:type="dxa"/>
            <w:tcBorders>
              <w:top w:val="single" w:sz="4" w:space="0" w:color="auto"/>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w:t>
            </w:r>
          </w:p>
        </w:tc>
        <w:tc>
          <w:tcPr>
            <w:tcW w:w="4680" w:type="dxa"/>
            <w:tcBorders>
              <w:top w:val="single" w:sz="4" w:space="0" w:color="auto"/>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Infecciones agudas de las vías respiratorias superiores</w:t>
            </w:r>
          </w:p>
        </w:tc>
        <w:tc>
          <w:tcPr>
            <w:tcW w:w="852" w:type="dxa"/>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347,813</w:t>
            </w:r>
          </w:p>
        </w:tc>
        <w:tc>
          <w:tcPr>
            <w:tcW w:w="541" w:type="dxa"/>
            <w:tcBorders>
              <w:top w:val="single" w:sz="4" w:space="0" w:color="auto"/>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14.2</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Enferm. de cavidad bucal, glándulas salivales y maxilares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212,902</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8.7</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Enferm. crónicas de vías respiratorias inferiores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90,355</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3.7</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Enferm. del esófago, del estómago y del duodeno</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71,088</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2.9</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proofErr w:type="gramStart"/>
            <w:r w:rsidRPr="007226D7">
              <w:rPr>
                <w:rFonts w:cs="Arial"/>
                <w:color w:val="000000"/>
                <w:sz w:val="16"/>
                <w:szCs w:val="16"/>
              </w:rPr>
              <w:t>Enferm.</w:t>
            </w:r>
            <w:proofErr w:type="gramEnd"/>
            <w:r w:rsidRPr="007226D7">
              <w:rPr>
                <w:rFonts w:cs="Arial"/>
                <w:color w:val="000000"/>
                <w:sz w:val="16"/>
                <w:szCs w:val="16"/>
              </w:rPr>
              <w:t xml:space="preserve"> infecciosas intestinales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64,644</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2.6</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Dorsopatias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62,726</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2.6</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Trastornos no inflamatorios de los órganos genitales femeninos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56,464</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2.3</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Otras enfermedades del sistema urinario</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51,205</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2.1</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9</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Otras enferm.  de las vías respiratorias superiores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49,172</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2.0</w:t>
            </w:r>
          </w:p>
        </w:tc>
      </w:tr>
      <w:tr w:rsidR="00DC449F" w:rsidRPr="007226D7" w:rsidTr="007572D7">
        <w:trPr>
          <w:trHeight w:val="227"/>
        </w:trPr>
        <w:tc>
          <w:tcPr>
            <w:tcW w:w="398"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w:t>
            </w:r>
          </w:p>
        </w:tc>
        <w:tc>
          <w:tcPr>
            <w:tcW w:w="4680"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Enfermedades hipertensivas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47,881</w:t>
            </w:r>
          </w:p>
        </w:tc>
        <w:tc>
          <w:tcPr>
            <w:tcW w:w="541"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2.0</w:t>
            </w:r>
          </w:p>
        </w:tc>
      </w:tr>
      <w:tr w:rsidR="00DC449F" w:rsidRPr="007226D7" w:rsidTr="007572D7">
        <w:trPr>
          <w:trHeight w:val="227"/>
        </w:trPr>
        <w:tc>
          <w:tcPr>
            <w:tcW w:w="398" w:type="dxa"/>
            <w:tcBorders>
              <w:top w:val="nil"/>
              <w:left w:val="single" w:sz="4" w:space="0" w:color="auto"/>
              <w:bottom w:val="single" w:sz="4" w:space="0" w:color="auto"/>
              <w:right w:val="nil"/>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11</w:t>
            </w:r>
          </w:p>
        </w:tc>
        <w:tc>
          <w:tcPr>
            <w:tcW w:w="468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Las demás causas</w:t>
            </w:r>
          </w:p>
        </w:tc>
        <w:tc>
          <w:tcPr>
            <w:tcW w:w="85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1,399,041</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57.0</w:t>
            </w:r>
          </w:p>
        </w:tc>
      </w:tr>
      <w:tr w:rsidR="00DC449F" w:rsidRPr="0013314C" w:rsidTr="007572D7">
        <w:trPr>
          <w:trHeight w:val="227"/>
        </w:trPr>
        <w:tc>
          <w:tcPr>
            <w:tcW w:w="6471" w:type="dxa"/>
            <w:gridSpan w:val="4"/>
            <w:tcBorders>
              <w:top w:val="single" w:sz="4" w:space="0" w:color="auto"/>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Oficina de Estadística e Informática</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Las enfermedades respiratorias, intestinales y cavidad bucal afectan en mayor medida a la población entre 0 y 11 años de edad. Por otra parte la población entre 18 y 59 años sufren más de enfermedades del estómago, dorsopatías y sistema urinario.</w:t>
      </w:r>
    </w:p>
    <w:p w:rsidR="00DC449F" w:rsidRPr="007226D7" w:rsidRDefault="00DC449F" w:rsidP="0056369A">
      <w:pPr>
        <w:rPr>
          <w:lang w:val="es-ES"/>
        </w:rPr>
      </w:pPr>
    </w:p>
    <w:tbl>
      <w:tblPr>
        <w:tblW w:w="5063" w:type="pct"/>
        <w:tblCellMar>
          <w:left w:w="70" w:type="dxa"/>
          <w:right w:w="70" w:type="dxa"/>
        </w:tblCellMar>
        <w:tblLook w:val="04A0" w:firstRow="1" w:lastRow="0" w:firstColumn="1" w:lastColumn="0" w:noHBand="0" w:noVBand="1"/>
      </w:tblPr>
      <w:tblGrid>
        <w:gridCol w:w="296"/>
        <w:gridCol w:w="4078"/>
        <w:gridCol w:w="647"/>
        <w:gridCol w:w="413"/>
        <w:gridCol w:w="569"/>
        <w:gridCol w:w="335"/>
        <w:gridCol w:w="647"/>
        <w:gridCol w:w="413"/>
        <w:gridCol w:w="687"/>
        <w:gridCol w:w="413"/>
        <w:gridCol w:w="763"/>
        <w:gridCol w:w="491"/>
      </w:tblGrid>
      <w:tr w:rsidR="00DC449F" w:rsidRPr="0013314C" w:rsidTr="007572D7">
        <w:trPr>
          <w:trHeight w:val="227"/>
        </w:trPr>
        <w:tc>
          <w:tcPr>
            <w:tcW w:w="5000" w:type="pct"/>
            <w:gridSpan w:val="12"/>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3.1-39 Principales Causas de Morbilidad en el Área de Influencia - 2011</w:t>
            </w:r>
          </w:p>
        </w:tc>
      </w:tr>
      <w:tr w:rsidR="00DC449F" w:rsidRPr="007226D7" w:rsidTr="007572D7">
        <w:trPr>
          <w:trHeight w:val="227"/>
        </w:trPr>
        <w:tc>
          <w:tcPr>
            <w:tcW w:w="154"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Nº</w:t>
            </w:r>
          </w:p>
        </w:tc>
        <w:tc>
          <w:tcPr>
            <w:tcW w:w="2007" w:type="pct"/>
            <w:vMerge w:val="restart"/>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rPr>
                <w:rFonts w:cs="Arial"/>
                <w:b/>
                <w:bCs/>
                <w:color w:val="000000"/>
                <w:sz w:val="14"/>
                <w:szCs w:val="14"/>
                <w:lang w:eastAsia="es-ES"/>
              </w:rPr>
            </w:pPr>
            <w:r w:rsidRPr="007226D7">
              <w:rPr>
                <w:rFonts w:cs="Arial"/>
                <w:b/>
                <w:bCs/>
                <w:color w:val="000000"/>
                <w:sz w:val="14"/>
                <w:szCs w:val="14"/>
                <w:lang w:eastAsia="es-ES"/>
              </w:rPr>
              <w:t>Descripción</w:t>
            </w:r>
          </w:p>
        </w:tc>
        <w:tc>
          <w:tcPr>
            <w:tcW w:w="552" w:type="pct"/>
            <w:gridSpan w:val="2"/>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0-11 años</w:t>
            </w:r>
          </w:p>
        </w:tc>
        <w:tc>
          <w:tcPr>
            <w:tcW w:w="511" w:type="pct"/>
            <w:gridSpan w:val="2"/>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12-17 años</w:t>
            </w:r>
          </w:p>
        </w:tc>
        <w:tc>
          <w:tcPr>
            <w:tcW w:w="552" w:type="pct"/>
            <w:gridSpan w:val="2"/>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18-59 años</w:t>
            </w:r>
          </w:p>
        </w:tc>
        <w:tc>
          <w:tcPr>
            <w:tcW w:w="573" w:type="pct"/>
            <w:gridSpan w:val="2"/>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60 y más años</w:t>
            </w:r>
          </w:p>
        </w:tc>
        <w:tc>
          <w:tcPr>
            <w:tcW w:w="652" w:type="pct"/>
            <w:gridSpan w:val="2"/>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Total</w:t>
            </w:r>
          </w:p>
        </w:tc>
      </w:tr>
      <w:tr w:rsidR="00DC449F" w:rsidRPr="007226D7" w:rsidTr="007572D7">
        <w:trPr>
          <w:trHeight w:val="227"/>
        </w:trPr>
        <w:tc>
          <w:tcPr>
            <w:tcW w:w="154" w:type="pct"/>
            <w:vMerge/>
            <w:tcBorders>
              <w:top w:val="single" w:sz="4" w:space="0" w:color="auto"/>
              <w:left w:val="single" w:sz="4" w:space="0" w:color="auto"/>
              <w:bottom w:val="single" w:sz="4" w:space="0" w:color="auto"/>
              <w:right w:val="single" w:sz="4" w:space="0" w:color="auto"/>
            </w:tcBorders>
            <w:vAlign w:val="center"/>
          </w:tcPr>
          <w:p w:rsidR="00DC449F" w:rsidRPr="007226D7" w:rsidRDefault="00DC449F" w:rsidP="007572D7">
            <w:pPr>
              <w:spacing w:after="0" w:line="240" w:lineRule="auto"/>
              <w:rPr>
                <w:rFonts w:cs="Arial"/>
                <w:b/>
                <w:bCs/>
                <w:color w:val="000000"/>
                <w:sz w:val="14"/>
                <w:szCs w:val="14"/>
                <w:lang w:eastAsia="es-ES"/>
              </w:rPr>
            </w:pPr>
          </w:p>
        </w:tc>
        <w:tc>
          <w:tcPr>
            <w:tcW w:w="2007" w:type="pct"/>
            <w:vMerge/>
            <w:tcBorders>
              <w:top w:val="single" w:sz="4" w:space="0" w:color="auto"/>
              <w:left w:val="single" w:sz="4" w:space="0" w:color="auto"/>
              <w:bottom w:val="single" w:sz="4" w:space="0" w:color="auto"/>
              <w:right w:val="single" w:sz="4" w:space="0" w:color="auto"/>
            </w:tcBorders>
            <w:vAlign w:val="center"/>
          </w:tcPr>
          <w:p w:rsidR="00DC449F" w:rsidRPr="007226D7" w:rsidRDefault="00DC449F" w:rsidP="007572D7">
            <w:pPr>
              <w:spacing w:after="0" w:line="240" w:lineRule="auto"/>
              <w:rPr>
                <w:rFonts w:cs="Arial"/>
                <w:b/>
                <w:bCs/>
                <w:color w:val="000000"/>
                <w:sz w:val="14"/>
                <w:szCs w:val="14"/>
                <w:lang w:eastAsia="es-ES"/>
              </w:rPr>
            </w:pPr>
          </w:p>
        </w:tc>
        <w:tc>
          <w:tcPr>
            <w:tcW w:w="337"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15"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296"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15"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337"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15"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358"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15"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w:t>
            </w:r>
          </w:p>
        </w:tc>
        <w:tc>
          <w:tcPr>
            <w:tcW w:w="397"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Cant.</w:t>
            </w:r>
          </w:p>
        </w:tc>
        <w:tc>
          <w:tcPr>
            <w:tcW w:w="255" w:type="pct"/>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4"/>
                <w:szCs w:val="14"/>
                <w:lang w:eastAsia="es-ES"/>
              </w:rPr>
            </w:pPr>
            <w:r w:rsidRPr="007226D7">
              <w:rPr>
                <w:rFonts w:cs="Arial"/>
                <w:b/>
                <w:bCs/>
                <w:color w:val="000000"/>
                <w:sz w:val="14"/>
                <w:szCs w:val="14"/>
                <w:lang w:eastAsia="es-ES"/>
              </w:rPr>
              <w:t>Total</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1</w:t>
            </w:r>
          </w:p>
        </w:tc>
        <w:tc>
          <w:tcPr>
            <w:tcW w:w="2007" w:type="pct"/>
            <w:tcBorders>
              <w:top w:val="single" w:sz="4" w:space="0" w:color="auto"/>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Infecciones agudas de las vías respiratorias superiores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214,868</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61.8</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17,895</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5.1</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93,046</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26.8</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22,004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6.3</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347,813</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2</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Enferm. de cavidad bucal, glándulas salivales y maxilares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70,032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32.9</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19,758</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9.3</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109,802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51.6</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13,310</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6.3</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212,902</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3</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Enferm. Crónicas de vías respiratorias inferiores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42,089</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46.6</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3,820</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4.2</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28,410</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31.4</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16,036</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17.7</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90,355</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4</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Enfermedades del esófago, del estomago y del duodeno</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3,192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4.5</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3,386</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4.8</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48,363</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68.0</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16,147</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22.7</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71,088</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5</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rPr>
            </w:pPr>
            <w:r w:rsidRPr="007226D7">
              <w:rPr>
                <w:rFonts w:cs="Arial"/>
                <w:color w:val="000000"/>
                <w:sz w:val="14"/>
                <w:szCs w:val="14"/>
              </w:rPr>
              <w:t>Enfermedades infecciosas intestinales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38,859</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60.1</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2,799</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4.3</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18,782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29.1</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4,204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6.5</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64,644</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6</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rPr>
            </w:pPr>
            <w:r w:rsidRPr="007226D7">
              <w:rPr>
                <w:rFonts w:cs="Arial"/>
                <w:color w:val="000000"/>
                <w:sz w:val="14"/>
                <w:szCs w:val="14"/>
              </w:rPr>
              <w:t>Dorsopatias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802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1.3</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1,572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2.5</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42,977</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68.5</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17,375</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27.7</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62,726</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7</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Trastornos no inflamatorios de los órganos genitales femeninos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115</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0.2</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1,281</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2.3</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47,254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83.7</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7,814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13.8</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56,464</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8</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Otras enfermedades del sistema urinario</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5,738</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11.2</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1,824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3.6</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32,147</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62.8</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11,496</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22.5</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51,205</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9</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lang w:val="es-ES"/>
              </w:rPr>
            </w:pPr>
            <w:r w:rsidRPr="007226D7">
              <w:rPr>
                <w:rFonts w:cs="Arial"/>
                <w:color w:val="000000"/>
                <w:sz w:val="14"/>
                <w:szCs w:val="14"/>
                <w:lang w:val="es-ES"/>
              </w:rPr>
              <w:t>Otras enferm.  de las vías respiratorias superiores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20,779</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42.3</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3,144</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6.4</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20,418</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41.5</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4,831</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9.8</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49,172</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10</w:t>
            </w:r>
          </w:p>
        </w:tc>
        <w:tc>
          <w:tcPr>
            <w:tcW w:w="2007"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rPr>
            </w:pPr>
            <w:r w:rsidRPr="007226D7">
              <w:rPr>
                <w:rFonts w:cs="Arial"/>
                <w:color w:val="000000"/>
                <w:sz w:val="14"/>
                <w:szCs w:val="14"/>
              </w:rPr>
              <w:t>Enfermedades hipertensivas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172</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0.4</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121</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0.3</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15,533</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32.4</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32,055</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66.9</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47,881</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7226D7" w:rsidTr="007572D7">
        <w:trPr>
          <w:trHeight w:val="227"/>
        </w:trPr>
        <w:tc>
          <w:tcPr>
            <w:tcW w:w="154" w:type="pct"/>
            <w:tcBorders>
              <w:top w:val="nil"/>
              <w:left w:val="single" w:sz="4" w:space="0" w:color="auto"/>
              <w:bottom w:val="single" w:sz="4" w:space="0" w:color="auto"/>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lang w:eastAsia="es-ES"/>
              </w:rPr>
            </w:pPr>
            <w:r w:rsidRPr="007226D7">
              <w:rPr>
                <w:rFonts w:cs="Arial"/>
                <w:color w:val="000000"/>
                <w:sz w:val="14"/>
                <w:szCs w:val="14"/>
                <w:lang w:eastAsia="es-ES"/>
              </w:rPr>
              <w:t>11</w:t>
            </w:r>
          </w:p>
        </w:tc>
        <w:tc>
          <w:tcPr>
            <w:tcW w:w="2007" w:type="pct"/>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4"/>
                <w:szCs w:val="14"/>
              </w:rPr>
            </w:pPr>
            <w:r w:rsidRPr="007226D7">
              <w:rPr>
                <w:rFonts w:cs="Arial"/>
                <w:color w:val="000000"/>
                <w:sz w:val="14"/>
                <w:szCs w:val="14"/>
              </w:rPr>
              <w:t>Las demás causas</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295,033</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21.1</w:t>
            </w:r>
          </w:p>
        </w:tc>
        <w:tc>
          <w:tcPr>
            <w:tcW w:w="296"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74,789</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5.3</w:t>
            </w:r>
          </w:p>
        </w:tc>
        <w:tc>
          <w:tcPr>
            <w:tcW w:w="33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738,288</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52.8</w:t>
            </w:r>
          </w:p>
        </w:tc>
        <w:tc>
          <w:tcPr>
            <w:tcW w:w="358"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290,931</w:t>
            </w:r>
          </w:p>
        </w:tc>
        <w:tc>
          <w:tcPr>
            <w:tcW w:w="21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20.8</w:t>
            </w:r>
          </w:p>
        </w:tc>
        <w:tc>
          <w:tcPr>
            <w:tcW w:w="397" w:type="pct"/>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1,399,041</w:t>
            </w:r>
          </w:p>
        </w:tc>
        <w:tc>
          <w:tcPr>
            <w:tcW w:w="255" w:type="pct"/>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4"/>
                <w:szCs w:val="14"/>
              </w:rPr>
            </w:pPr>
            <w:r w:rsidRPr="007226D7">
              <w:rPr>
                <w:rFonts w:cs="Arial"/>
                <w:color w:val="000000"/>
                <w:sz w:val="14"/>
                <w:szCs w:val="14"/>
              </w:rPr>
              <w:t>100.0</w:t>
            </w:r>
          </w:p>
        </w:tc>
      </w:tr>
      <w:tr w:rsidR="00DC449F" w:rsidRPr="0013314C" w:rsidTr="007572D7">
        <w:trPr>
          <w:trHeight w:val="227"/>
        </w:trPr>
        <w:tc>
          <w:tcPr>
            <w:tcW w:w="5000" w:type="pct"/>
            <w:gridSpan w:val="12"/>
            <w:tcBorders>
              <w:top w:val="single" w:sz="4" w:space="0" w:color="auto"/>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Salud - Oficina de Estadística e Informática</w:t>
            </w:r>
          </w:p>
        </w:tc>
      </w:tr>
    </w:tbl>
    <w:p w:rsidR="0056369A" w:rsidRPr="007226D7" w:rsidRDefault="0056369A" w:rsidP="0056369A">
      <w:pPr>
        <w:rPr>
          <w:lang w:val="es-ES"/>
        </w:rPr>
      </w:pPr>
    </w:p>
    <w:p w:rsidR="00DC449F" w:rsidRPr="007226D7" w:rsidRDefault="00DC449F">
      <w:pPr>
        <w:spacing w:after="0" w:line="240" w:lineRule="auto"/>
        <w:jc w:val="left"/>
        <w:rPr>
          <w:lang w:val="es-ES"/>
        </w:rPr>
      </w:pPr>
      <w:r w:rsidRPr="007226D7">
        <w:rPr>
          <w:lang w:val="es-ES"/>
        </w:rPr>
        <w:br w:type="page"/>
      </w:r>
    </w:p>
    <w:p w:rsidR="0056369A" w:rsidRPr="007226D7" w:rsidRDefault="0056369A" w:rsidP="00DC449F">
      <w:pPr>
        <w:pStyle w:val="Heading6"/>
        <w:rPr>
          <w:lang w:val="es-ES"/>
        </w:rPr>
      </w:pPr>
      <w:r w:rsidRPr="007226D7">
        <w:rPr>
          <w:lang w:val="es-ES"/>
        </w:rPr>
        <w:lastRenderedPageBreak/>
        <w:t>Educación</w:t>
      </w:r>
    </w:p>
    <w:p w:rsidR="00DC449F" w:rsidRPr="007226D7" w:rsidRDefault="00DC449F" w:rsidP="0056369A">
      <w:pPr>
        <w:rPr>
          <w:u w:val="single"/>
          <w:lang w:val="es-ES"/>
        </w:rPr>
      </w:pPr>
    </w:p>
    <w:p w:rsidR="0056369A" w:rsidRPr="007226D7" w:rsidRDefault="0056369A" w:rsidP="0056369A">
      <w:pPr>
        <w:rPr>
          <w:u w:val="single"/>
          <w:lang w:val="es-ES"/>
        </w:rPr>
      </w:pPr>
      <w:r w:rsidRPr="007226D7">
        <w:rPr>
          <w:u w:val="single"/>
          <w:lang w:val="es-ES"/>
        </w:rPr>
        <w:t>Tasa de Analfabetismo</w:t>
      </w:r>
    </w:p>
    <w:p w:rsidR="0056369A" w:rsidRPr="007226D7" w:rsidRDefault="0056369A" w:rsidP="0056369A">
      <w:pPr>
        <w:rPr>
          <w:lang w:val="es-ES"/>
        </w:rPr>
      </w:pPr>
      <w:r w:rsidRPr="007226D7">
        <w:rPr>
          <w:lang w:val="es-ES"/>
        </w:rPr>
        <w:t>Para medir el grado de desarrollo educativo tenemos que analizar la tasa de analfabetismo. De acuerdo al Censo 2007, en los distritos del área de influencia existe un promedio de 6.0% de analfabetismo, correspondiendo al distrito de El Agustino la mayor tasa de 7.4% y el distrito de Jesús María con la menor tasa de 3.4%. (Ver Tabla 3.1-40)</w:t>
      </w:r>
    </w:p>
    <w:p w:rsidR="00DC449F" w:rsidRPr="007226D7" w:rsidRDefault="00DC449F" w:rsidP="0056369A">
      <w:pPr>
        <w:rPr>
          <w:lang w:val="es-ES"/>
        </w:rPr>
      </w:pPr>
    </w:p>
    <w:tbl>
      <w:tblPr>
        <w:tblW w:w="5995" w:type="dxa"/>
        <w:tblInd w:w="2055" w:type="dxa"/>
        <w:tblCellMar>
          <w:left w:w="70" w:type="dxa"/>
          <w:right w:w="70" w:type="dxa"/>
        </w:tblCellMar>
        <w:tblLook w:val="04A0" w:firstRow="1" w:lastRow="0" w:firstColumn="1" w:lastColumn="0" w:noHBand="0" w:noVBand="1"/>
      </w:tblPr>
      <w:tblGrid>
        <w:gridCol w:w="2937"/>
        <w:gridCol w:w="1195"/>
        <w:gridCol w:w="1082"/>
        <w:gridCol w:w="781"/>
      </w:tblGrid>
      <w:tr w:rsidR="00DC449F" w:rsidRPr="007226D7" w:rsidTr="007572D7">
        <w:trPr>
          <w:trHeight w:val="198"/>
        </w:trPr>
        <w:tc>
          <w:tcPr>
            <w:tcW w:w="5995" w:type="dxa"/>
            <w:gridSpan w:val="4"/>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sz w:val="16"/>
                <w:szCs w:val="16"/>
                <w:lang w:eastAsia="es-ES"/>
              </w:rPr>
              <w:t>Tabla</w:t>
            </w:r>
            <w:r w:rsidRPr="007226D7">
              <w:rPr>
                <w:rFonts w:cs="Arial"/>
                <w:b/>
                <w:bCs/>
                <w:color w:val="000000"/>
                <w:sz w:val="16"/>
                <w:szCs w:val="16"/>
                <w:lang w:eastAsia="es-ES"/>
              </w:rPr>
              <w:t xml:space="preserve"> </w:t>
            </w:r>
            <w:proofErr w:type="gramStart"/>
            <w:r w:rsidRPr="007226D7">
              <w:rPr>
                <w:rFonts w:cs="Arial"/>
                <w:b/>
                <w:bCs/>
                <w:color w:val="000000"/>
                <w:sz w:val="16"/>
                <w:szCs w:val="16"/>
                <w:lang w:eastAsia="es-ES"/>
              </w:rPr>
              <w:t>3.1-40</w:t>
            </w:r>
            <w:proofErr w:type="gramEnd"/>
            <w:r w:rsidRPr="007226D7">
              <w:rPr>
                <w:rFonts w:cs="Arial"/>
                <w:b/>
                <w:bCs/>
                <w:color w:val="000000"/>
                <w:sz w:val="16"/>
                <w:szCs w:val="16"/>
                <w:lang w:eastAsia="es-ES"/>
              </w:rPr>
              <w:t xml:space="preserve"> Tasa de Analfabetismo - 2007</w:t>
            </w:r>
          </w:p>
        </w:tc>
      </w:tr>
      <w:tr w:rsidR="00DC449F" w:rsidRPr="007226D7" w:rsidTr="007572D7">
        <w:trPr>
          <w:trHeight w:val="198"/>
        </w:trPr>
        <w:tc>
          <w:tcPr>
            <w:tcW w:w="2937" w:type="dxa"/>
            <w:tcBorders>
              <w:top w:val="single" w:sz="4" w:space="0" w:color="auto"/>
              <w:left w:val="single" w:sz="4" w:space="0" w:color="auto"/>
              <w:bottom w:val="single" w:sz="4" w:space="0" w:color="auto"/>
              <w:right w:val="nil"/>
            </w:tcBorders>
            <w:shd w:val="clear" w:color="000000" w:fill="99CCFF"/>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eastAsia="es-ES"/>
              </w:rPr>
              <w:t>Ubicación</w:t>
            </w:r>
          </w:p>
        </w:tc>
        <w:tc>
          <w:tcPr>
            <w:tcW w:w="1195" w:type="dxa"/>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Población 2007</w:t>
            </w:r>
          </w:p>
        </w:tc>
        <w:tc>
          <w:tcPr>
            <w:tcW w:w="1082"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color w:val="000000"/>
                <w:sz w:val="16"/>
                <w:szCs w:val="16"/>
                <w:lang w:val="es-ES" w:eastAsia="es-ES"/>
              </w:rPr>
              <w:t>No sabe leer ni escribir</w:t>
            </w:r>
          </w:p>
        </w:tc>
        <w:tc>
          <w:tcPr>
            <w:tcW w:w="781"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Dpto. Lima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8,445,211</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549,999</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6.5</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themeColor="text1"/>
                <w:sz w:val="16"/>
                <w:szCs w:val="16"/>
                <w:lang w:eastAsia="es-ES"/>
              </w:rPr>
            </w:pPr>
            <w:r w:rsidRPr="007226D7">
              <w:rPr>
                <w:rFonts w:cs="Arial"/>
                <w:color w:val="000000" w:themeColor="text1"/>
                <w:sz w:val="16"/>
                <w:szCs w:val="16"/>
                <w:lang w:eastAsia="es-ES"/>
              </w:rPr>
              <w:t>Prov. Lima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7,605,742</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474,035</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6.2</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876,877</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56,738</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6.5</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415,888</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25,412</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6.1</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41,863</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2,697</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6.4</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75,163</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3,490</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4.6</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61,698</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2,780</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4.5</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Dist. San Miguel</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129,107</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5,324</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4.1</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299,493</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15,470</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5.2</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81,909</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3,618</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4.4</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66,171</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2,219</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192,724</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10,384</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5.4</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180,262</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13,253</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7.4</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54,634</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2,742</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5.0</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184,614</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12,462</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6.8</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478,278</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34,755</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7.3</w:t>
            </w:r>
          </w:p>
        </w:tc>
      </w:tr>
      <w:tr w:rsidR="00DC449F" w:rsidRPr="007226D7" w:rsidTr="007572D7">
        <w:trPr>
          <w:trHeight w:val="198"/>
        </w:trPr>
        <w:tc>
          <w:tcPr>
            <w:tcW w:w="2937"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eastAsia="es-ES"/>
              </w:rPr>
              <w:t>Total Distritos</w:t>
            </w:r>
          </w:p>
        </w:tc>
        <w:tc>
          <w:tcPr>
            <w:tcW w:w="119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2,261,804</w:t>
            </w:r>
          </w:p>
        </w:tc>
        <w:tc>
          <w:tcPr>
            <w:tcW w:w="108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134,606</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6.0</w:t>
            </w:r>
          </w:p>
        </w:tc>
      </w:tr>
      <w:tr w:rsidR="00DC449F" w:rsidRPr="0013314C" w:rsidTr="007572D7">
        <w:trPr>
          <w:trHeight w:val="198"/>
        </w:trPr>
        <w:tc>
          <w:tcPr>
            <w:tcW w:w="5995" w:type="dxa"/>
            <w:gridSpan w:val="4"/>
            <w:tcBorders>
              <w:top w:val="single" w:sz="4" w:space="0" w:color="auto"/>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Censos Nacionales 2007 XI de Población – VI  de Vivienda – INEI</w:t>
            </w:r>
          </w:p>
        </w:tc>
      </w:tr>
    </w:tbl>
    <w:p w:rsidR="00DC449F" w:rsidRPr="007226D7" w:rsidRDefault="00DC449F" w:rsidP="0056369A">
      <w:pPr>
        <w:rPr>
          <w:lang w:val="es-ES"/>
        </w:rPr>
      </w:pPr>
    </w:p>
    <w:p w:rsidR="0056369A" w:rsidRPr="007226D7" w:rsidRDefault="0056369A" w:rsidP="0056369A">
      <w:pPr>
        <w:rPr>
          <w:u w:val="single"/>
          <w:lang w:val="es-ES"/>
        </w:rPr>
      </w:pPr>
      <w:r w:rsidRPr="007226D7">
        <w:rPr>
          <w:u w:val="single"/>
          <w:lang w:val="es-ES"/>
        </w:rPr>
        <w:t>Tasa de Asistencia</w:t>
      </w:r>
    </w:p>
    <w:p w:rsidR="0056369A" w:rsidRPr="007226D7" w:rsidRDefault="0056369A" w:rsidP="0056369A">
      <w:pPr>
        <w:rPr>
          <w:lang w:val="es-ES"/>
        </w:rPr>
      </w:pPr>
      <w:r w:rsidRPr="007226D7">
        <w:rPr>
          <w:lang w:val="es-ES"/>
        </w:rPr>
        <w:t>Otra forma de medir el grado de desarrollo educativo alcanzado es a través del porcentaje de escolares que asiste a un centro educativo de enseñanza regular que representa la tasa de asistencia.</w:t>
      </w:r>
    </w:p>
    <w:p w:rsidR="0056369A" w:rsidRPr="007226D7" w:rsidRDefault="0056369A" w:rsidP="0056369A">
      <w:pPr>
        <w:rPr>
          <w:lang w:val="es-ES"/>
        </w:rPr>
      </w:pPr>
      <w:r w:rsidRPr="007226D7">
        <w:rPr>
          <w:lang w:val="es-ES"/>
        </w:rPr>
        <w:t>La tasa de asistencia en educación secundaria a nivel nacional en el año 2010 fue de 79.2%, siendo la tasa de asistencia de las mujeres 79.4% y de los hombres 79.1%. Con respecto a Lima Provincias la tasa de asistencia en educación secundaria en el año 2010 ascendió al 81.6%.</w:t>
      </w:r>
    </w:p>
    <w:p w:rsidR="0056369A" w:rsidRPr="007226D7" w:rsidRDefault="0056369A" w:rsidP="0056369A">
      <w:pPr>
        <w:rPr>
          <w:u w:val="single"/>
          <w:lang w:val="es-ES"/>
        </w:rPr>
      </w:pPr>
      <w:r w:rsidRPr="007226D7">
        <w:rPr>
          <w:u w:val="single"/>
          <w:lang w:val="es-ES"/>
        </w:rPr>
        <w:t>Tasa de deserción escolar</w:t>
      </w:r>
    </w:p>
    <w:p w:rsidR="0056369A" w:rsidRPr="007226D7" w:rsidRDefault="0056369A" w:rsidP="0056369A">
      <w:pPr>
        <w:rPr>
          <w:lang w:val="es-ES"/>
        </w:rPr>
      </w:pPr>
      <w:r w:rsidRPr="007226D7">
        <w:rPr>
          <w:lang w:val="es-ES"/>
        </w:rPr>
        <w:t>La Tasa de Deserción Escolar está definida como la “Proporción de estudiantes que no culminó la educación primaria o secundaria, o sólo culminó la educación primaria, y no se matriculó en el nivel correspondiente al año en curso, independientemente del año en que interrumpió sus estudios” este indicador en el 2011 a nivel nacional es del 8.8% en educación secundaria y de 1.3% en educación primaria tanto para hombres como para mujeres. Con respecto a Lima provincias la tasa de deserción en el año 2011 ascendió al 5.3% en educación secundaria y de 2.7% en educación primaria, resultados superiores al nivel nacional.</w:t>
      </w:r>
    </w:p>
    <w:p w:rsidR="0056369A" w:rsidRPr="007226D7" w:rsidRDefault="0056369A" w:rsidP="0056369A">
      <w:pPr>
        <w:rPr>
          <w:u w:val="single"/>
          <w:lang w:val="es-ES"/>
        </w:rPr>
      </w:pPr>
      <w:r w:rsidRPr="007226D7">
        <w:rPr>
          <w:u w:val="single"/>
          <w:lang w:val="es-ES"/>
        </w:rPr>
        <w:lastRenderedPageBreak/>
        <w:t>Infraestructura educativa</w:t>
      </w:r>
    </w:p>
    <w:p w:rsidR="0056369A" w:rsidRPr="007226D7" w:rsidRDefault="0056369A" w:rsidP="0056369A">
      <w:pPr>
        <w:rPr>
          <w:lang w:val="es-ES"/>
        </w:rPr>
      </w:pPr>
      <w:r w:rsidRPr="007226D7">
        <w:rPr>
          <w:lang w:val="es-ES"/>
        </w:rPr>
        <w:t>En cuanto a la infraestructura educativa el departamento de Lima cuenta con 19,024 centros educativos de los cuales 7,614 C.E. (40.0%) dependen del Ministerio de Educación y 11,410 C.E. (60.0%) a privados. Los centros educativos de los distritos del área de influencia  representan el 24.4% del total de la infraestructura del departamento de Lima. (Ver Tabla 3.1-41)</w:t>
      </w:r>
      <w:r w:rsidR="00DC449F" w:rsidRPr="007226D7">
        <w:rPr>
          <w:lang w:val="es-ES"/>
        </w:rPr>
        <w:t>.</w:t>
      </w:r>
    </w:p>
    <w:p w:rsidR="00DC449F" w:rsidRPr="007226D7" w:rsidRDefault="00DC449F" w:rsidP="0056369A">
      <w:pPr>
        <w:rPr>
          <w:lang w:val="es-ES"/>
        </w:rPr>
      </w:pPr>
    </w:p>
    <w:tbl>
      <w:tblPr>
        <w:tblW w:w="7962" w:type="dxa"/>
        <w:tblInd w:w="1204" w:type="dxa"/>
        <w:tblCellMar>
          <w:left w:w="70" w:type="dxa"/>
          <w:right w:w="70" w:type="dxa"/>
        </w:tblCellMar>
        <w:tblLook w:val="04A0" w:firstRow="1" w:lastRow="0" w:firstColumn="1" w:lastColumn="0" w:noHBand="0" w:noVBand="1"/>
      </w:tblPr>
      <w:tblGrid>
        <w:gridCol w:w="2782"/>
        <w:gridCol w:w="1260"/>
        <w:gridCol w:w="700"/>
        <w:gridCol w:w="1260"/>
        <w:gridCol w:w="700"/>
        <w:gridCol w:w="1260"/>
      </w:tblGrid>
      <w:tr w:rsidR="00DC449F" w:rsidRPr="0013314C" w:rsidTr="007572D7">
        <w:trPr>
          <w:trHeight w:val="227"/>
        </w:trPr>
        <w:tc>
          <w:tcPr>
            <w:tcW w:w="7962" w:type="dxa"/>
            <w:gridSpan w:val="6"/>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3.1-41 Dependencia de los Centros Educativos - 2011</w:t>
            </w:r>
          </w:p>
        </w:tc>
      </w:tr>
      <w:tr w:rsidR="00DC449F" w:rsidRPr="007226D7" w:rsidTr="007572D7">
        <w:trPr>
          <w:trHeight w:val="227"/>
        </w:trPr>
        <w:tc>
          <w:tcPr>
            <w:tcW w:w="2782" w:type="dxa"/>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eastAsia="es-ES"/>
              </w:rPr>
              <w:t>Distrito</w:t>
            </w:r>
          </w:p>
        </w:tc>
        <w:tc>
          <w:tcPr>
            <w:tcW w:w="126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Ministerio de Educación</w:t>
            </w:r>
          </w:p>
        </w:tc>
        <w:tc>
          <w:tcPr>
            <w:tcW w:w="7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c>
          <w:tcPr>
            <w:tcW w:w="126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Particular</w:t>
            </w:r>
          </w:p>
        </w:tc>
        <w:tc>
          <w:tcPr>
            <w:tcW w:w="7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w:t>
            </w:r>
          </w:p>
        </w:tc>
        <w:tc>
          <w:tcPr>
            <w:tcW w:w="126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eastAsia="es-ES"/>
              </w:rPr>
              <w:t xml:space="preserve"> Dpto. Lima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7,614</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40.0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11,410</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60.0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19,024</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Prov. Lima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5,270</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33.0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10,707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67.0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15,977</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666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36.3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1,170</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63.7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1,836</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257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34.1</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496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65.9</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753</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35.1</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48</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64.9</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74</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12.4</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87.6</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178</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15.5</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84.5</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103</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Miguel</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48</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16.3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247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83.7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295</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250</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40.7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365</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59.3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615</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45</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25.9</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129</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74.1</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174</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122</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84.7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144</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47.2</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198</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52.8</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375</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188</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55.0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154</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45.0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342</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85</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45.7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101</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54.3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186</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73</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23.5</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237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76.5</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310</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367</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33.7</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721</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66.3</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1,088</w:t>
            </w:r>
          </w:p>
        </w:tc>
      </w:tr>
      <w:tr w:rsidR="00DC449F" w:rsidRPr="007226D7" w:rsidTr="007572D7">
        <w:trPr>
          <w:trHeight w:val="227"/>
        </w:trPr>
        <w:tc>
          <w:tcPr>
            <w:tcW w:w="2782"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lang w:val="es-ES" w:eastAsia="es-ES"/>
              </w:rPr>
            </w:pPr>
            <w:r w:rsidRPr="007226D7">
              <w:rPr>
                <w:rFonts w:cs="Arial"/>
                <w:b/>
                <w:bCs/>
                <w:color w:val="000000"/>
                <w:sz w:val="16"/>
                <w:szCs w:val="16"/>
                <w:lang w:val="es-ES" w:eastAsia="es-ES"/>
              </w:rPr>
              <w:t>Distritos del área de influencia</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1,576</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34.0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3,061</w:t>
            </w:r>
          </w:p>
        </w:tc>
        <w:tc>
          <w:tcPr>
            <w:tcW w:w="7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66.0</w:t>
            </w:r>
          </w:p>
        </w:tc>
        <w:tc>
          <w:tcPr>
            <w:tcW w:w="126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4,637</w:t>
            </w:r>
          </w:p>
        </w:tc>
      </w:tr>
      <w:tr w:rsidR="00DC449F" w:rsidRPr="0013314C" w:rsidTr="007572D7">
        <w:trPr>
          <w:trHeight w:val="227"/>
        </w:trPr>
        <w:tc>
          <w:tcPr>
            <w:tcW w:w="7962" w:type="dxa"/>
            <w:gridSpan w:val="6"/>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Ministerio de Educación – Estadística Educativa  Escale</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t>En cuanto al número de alumnos matriculados en los distritos del área de influencia durante el año 2011, ascendieron a 654,600 alumnos apoyados por 35,480 profesores. Para toda el área de estudio existe un promedio de 18 alumnos por docente y de 22 alumnos por sección. El distrito de Lima presenta mayor promedio de alumno por docente (22) y alumno por sección (25).</w:t>
      </w:r>
    </w:p>
    <w:tbl>
      <w:tblPr>
        <w:tblW w:w="8027" w:type="dxa"/>
        <w:jc w:val="center"/>
        <w:tblInd w:w="1204" w:type="dxa"/>
        <w:tblCellMar>
          <w:left w:w="70" w:type="dxa"/>
          <w:right w:w="70" w:type="dxa"/>
        </w:tblCellMar>
        <w:tblLook w:val="04A0" w:firstRow="1" w:lastRow="0" w:firstColumn="1" w:lastColumn="0" w:noHBand="0" w:noVBand="1"/>
      </w:tblPr>
      <w:tblGrid>
        <w:gridCol w:w="2844"/>
        <w:gridCol w:w="541"/>
        <w:gridCol w:w="932"/>
        <w:gridCol w:w="825"/>
        <w:gridCol w:w="861"/>
        <w:gridCol w:w="976"/>
        <w:gridCol w:w="1048"/>
      </w:tblGrid>
      <w:tr w:rsidR="00DC449F" w:rsidRPr="0013314C" w:rsidTr="007572D7">
        <w:trPr>
          <w:trHeight w:val="198"/>
          <w:jc w:val="center"/>
        </w:trPr>
        <w:tc>
          <w:tcPr>
            <w:tcW w:w="8027" w:type="dxa"/>
            <w:gridSpan w:val="7"/>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3.1-42 Centros Educativos, Secciones, Alumnos y Docentes 2011</w:t>
            </w:r>
          </w:p>
        </w:tc>
      </w:tr>
      <w:tr w:rsidR="00DC449F" w:rsidRPr="007226D7" w:rsidTr="007572D7">
        <w:trPr>
          <w:trHeight w:val="198"/>
          <w:jc w:val="center"/>
        </w:trPr>
        <w:tc>
          <w:tcPr>
            <w:tcW w:w="2844"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val="es-ES" w:eastAsia="es-ES"/>
              </w:rPr>
              <w:t xml:space="preserve"> </w:t>
            </w:r>
            <w:r w:rsidRPr="007226D7">
              <w:rPr>
                <w:rFonts w:cs="Arial"/>
                <w:b/>
                <w:bCs/>
                <w:color w:val="000000"/>
                <w:sz w:val="16"/>
                <w:szCs w:val="16"/>
                <w:lang w:eastAsia="es-ES"/>
              </w:rPr>
              <w:t>Nivel / Modalidad</w:t>
            </w:r>
          </w:p>
        </w:tc>
        <w:tc>
          <w:tcPr>
            <w:tcW w:w="541"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C.E</w:t>
            </w:r>
            <w:proofErr w:type="gramEnd"/>
          </w:p>
        </w:tc>
        <w:tc>
          <w:tcPr>
            <w:tcW w:w="932"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Secciones</w:t>
            </w:r>
          </w:p>
        </w:tc>
        <w:tc>
          <w:tcPr>
            <w:tcW w:w="825"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Alumnos</w:t>
            </w:r>
          </w:p>
        </w:tc>
        <w:tc>
          <w:tcPr>
            <w:tcW w:w="861"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Docentes</w:t>
            </w:r>
          </w:p>
        </w:tc>
        <w:tc>
          <w:tcPr>
            <w:tcW w:w="976"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Alum.</w:t>
            </w:r>
            <w:proofErr w:type="gramEnd"/>
            <w:r w:rsidRPr="007226D7">
              <w:rPr>
                <w:rFonts w:cs="Arial"/>
                <w:b/>
                <w:bCs/>
                <w:color w:val="000000"/>
                <w:sz w:val="16"/>
                <w:szCs w:val="16"/>
                <w:lang w:eastAsia="es-ES"/>
              </w:rPr>
              <w:t>/Doc.</w:t>
            </w:r>
          </w:p>
        </w:tc>
        <w:tc>
          <w:tcPr>
            <w:tcW w:w="1048"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Alum.</w:t>
            </w:r>
            <w:proofErr w:type="gramEnd"/>
            <w:r w:rsidRPr="007226D7">
              <w:rPr>
                <w:rFonts w:cs="Arial"/>
                <w:b/>
                <w:bCs/>
                <w:color w:val="000000"/>
                <w:sz w:val="16"/>
                <w:szCs w:val="16"/>
                <w:lang w:eastAsia="es-ES"/>
              </w:rPr>
              <w:t>/Secc.</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753</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4,305</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93,493</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5,201</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74</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419</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10,153</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527</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24</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178</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1,255</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26,625</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1,673</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16</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103</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597</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11,460</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768</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Miguel</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295</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1,533</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32,784</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2,402</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21</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615</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5,774</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144,308</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6,656</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25</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174</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1,532</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36,512</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1,807</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20</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24</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144</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1,173</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27,258</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1,475</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23</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375</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2,020</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42,975</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2,732</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16</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342</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1,703</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35,139</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1,816</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21</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186</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907</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17,768</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1,053</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17</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20</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310</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2,083</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47,589</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2,480</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23</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1,088</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5,934</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128,536</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6,890</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19</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lang w:eastAsia="es-ES"/>
              </w:rPr>
            </w:pPr>
            <w:r w:rsidRPr="007226D7">
              <w:rPr>
                <w:rFonts w:cs="Arial"/>
                <w:color w:val="000000"/>
                <w:sz w:val="16"/>
                <w:szCs w:val="16"/>
                <w:lang w:eastAsia="es-ES"/>
              </w:rPr>
              <w:t>22</w:t>
            </w:r>
          </w:p>
        </w:tc>
      </w:tr>
      <w:tr w:rsidR="00DC449F" w:rsidRPr="007226D7" w:rsidTr="007572D7">
        <w:trPr>
          <w:trHeight w:val="198"/>
          <w:jc w:val="center"/>
        </w:trPr>
        <w:tc>
          <w:tcPr>
            <w:tcW w:w="284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lang w:val="es-ES" w:eastAsia="es-ES"/>
              </w:rPr>
            </w:pPr>
            <w:r w:rsidRPr="007226D7">
              <w:rPr>
                <w:rFonts w:cs="Arial"/>
                <w:b/>
                <w:bCs/>
                <w:color w:val="000000"/>
                <w:sz w:val="16"/>
                <w:szCs w:val="16"/>
                <w:lang w:val="es-ES" w:eastAsia="es-ES"/>
              </w:rPr>
              <w:t>Distritos del área de influencia</w:t>
            </w:r>
          </w:p>
        </w:tc>
        <w:tc>
          <w:tcPr>
            <w:tcW w:w="54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4,637</w:t>
            </w:r>
          </w:p>
        </w:tc>
        <w:tc>
          <w:tcPr>
            <w:tcW w:w="93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29,235</w:t>
            </w:r>
          </w:p>
        </w:tc>
        <w:tc>
          <w:tcPr>
            <w:tcW w:w="82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654,600</w:t>
            </w:r>
          </w:p>
        </w:tc>
        <w:tc>
          <w:tcPr>
            <w:tcW w:w="86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35,480</w:t>
            </w:r>
          </w:p>
        </w:tc>
        <w:tc>
          <w:tcPr>
            <w:tcW w:w="9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18</w:t>
            </w:r>
          </w:p>
        </w:tc>
        <w:tc>
          <w:tcPr>
            <w:tcW w:w="104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jc w:val="center"/>
              <w:rPr>
                <w:rFonts w:cs="Arial"/>
                <w:b/>
                <w:bCs/>
                <w:color w:val="000000"/>
                <w:sz w:val="16"/>
                <w:szCs w:val="16"/>
              </w:rPr>
            </w:pPr>
            <w:r w:rsidRPr="007226D7">
              <w:rPr>
                <w:rFonts w:cs="Arial"/>
                <w:b/>
                <w:bCs/>
                <w:color w:val="000000"/>
                <w:sz w:val="16"/>
                <w:szCs w:val="16"/>
              </w:rPr>
              <w:t>22</w:t>
            </w:r>
          </w:p>
        </w:tc>
      </w:tr>
      <w:tr w:rsidR="00DC449F" w:rsidRPr="0013314C" w:rsidTr="007572D7">
        <w:trPr>
          <w:trHeight w:val="198"/>
          <w:jc w:val="center"/>
        </w:trPr>
        <w:tc>
          <w:tcPr>
            <w:tcW w:w="8027" w:type="dxa"/>
            <w:gridSpan w:val="7"/>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 xml:space="preserve"> Fuente: Ministerio de Educación - Estadística Educativa  Escale</w:t>
            </w:r>
          </w:p>
        </w:tc>
      </w:tr>
    </w:tbl>
    <w:p w:rsidR="0056369A" w:rsidRPr="007226D7" w:rsidRDefault="0056369A" w:rsidP="0056369A">
      <w:pPr>
        <w:rPr>
          <w:lang w:val="es-ES"/>
        </w:rPr>
      </w:pPr>
    </w:p>
    <w:p w:rsidR="0056369A" w:rsidRPr="007226D7" w:rsidRDefault="0056369A" w:rsidP="0056369A">
      <w:pPr>
        <w:rPr>
          <w:lang w:val="es-ES"/>
        </w:rPr>
      </w:pPr>
      <w:r w:rsidRPr="007226D7">
        <w:rPr>
          <w:lang w:val="es-ES"/>
        </w:rPr>
        <w:lastRenderedPageBreak/>
        <w:t>Con respecto a los niveles de estudio tenemos a los centros ocupacionales con mayor cantidad de profesores por alumno (32) y la enseñanza a nivel secundario cuenta con menos alumnos por profesor (15).</w:t>
      </w:r>
    </w:p>
    <w:p w:rsidR="00DC449F" w:rsidRPr="007226D7" w:rsidRDefault="00DC449F" w:rsidP="0056369A">
      <w:pPr>
        <w:rPr>
          <w:lang w:val="es-ES"/>
        </w:rPr>
      </w:pPr>
    </w:p>
    <w:tbl>
      <w:tblPr>
        <w:tblW w:w="8541" w:type="dxa"/>
        <w:jc w:val="center"/>
        <w:tblCellMar>
          <w:left w:w="70" w:type="dxa"/>
          <w:right w:w="70" w:type="dxa"/>
        </w:tblCellMar>
        <w:tblLook w:val="04A0" w:firstRow="1" w:lastRow="0" w:firstColumn="1" w:lastColumn="0" w:noHBand="0" w:noVBand="1"/>
      </w:tblPr>
      <w:tblGrid>
        <w:gridCol w:w="2679"/>
        <w:gridCol w:w="559"/>
        <w:gridCol w:w="1065"/>
        <w:gridCol w:w="927"/>
        <w:gridCol w:w="973"/>
        <w:gridCol w:w="1122"/>
        <w:gridCol w:w="1216"/>
      </w:tblGrid>
      <w:tr w:rsidR="00DC449F" w:rsidRPr="0013314C" w:rsidTr="007572D7">
        <w:trPr>
          <w:trHeight w:val="227"/>
          <w:jc w:val="center"/>
        </w:trPr>
        <w:tc>
          <w:tcPr>
            <w:tcW w:w="8541" w:type="dxa"/>
            <w:gridSpan w:val="7"/>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3.1-43 Distritos del Área De Influencia: Centros Educativos, Secciones, Alumnos y Docentes 2011</w:t>
            </w:r>
          </w:p>
        </w:tc>
      </w:tr>
      <w:tr w:rsidR="00DC449F" w:rsidRPr="007226D7" w:rsidTr="007572D7">
        <w:trPr>
          <w:trHeight w:val="227"/>
          <w:jc w:val="center"/>
        </w:trPr>
        <w:tc>
          <w:tcPr>
            <w:tcW w:w="2679" w:type="dxa"/>
            <w:tcBorders>
              <w:top w:val="single" w:sz="4" w:space="0" w:color="auto"/>
              <w:left w:val="single" w:sz="4" w:space="0" w:color="auto"/>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val="es-ES" w:eastAsia="es-ES"/>
              </w:rPr>
              <w:t xml:space="preserve"> </w:t>
            </w:r>
            <w:r w:rsidRPr="007226D7">
              <w:rPr>
                <w:rFonts w:cs="Arial"/>
                <w:b/>
                <w:bCs/>
                <w:color w:val="000000"/>
                <w:sz w:val="16"/>
                <w:szCs w:val="16"/>
                <w:lang w:eastAsia="es-ES"/>
              </w:rPr>
              <w:t>Nivel / Modalidad</w:t>
            </w:r>
          </w:p>
        </w:tc>
        <w:tc>
          <w:tcPr>
            <w:tcW w:w="559"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C.E</w:t>
            </w:r>
            <w:proofErr w:type="gramEnd"/>
          </w:p>
        </w:tc>
        <w:tc>
          <w:tcPr>
            <w:tcW w:w="1065"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Secciones</w:t>
            </w:r>
          </w:p>
        </w:tc>
        <w:tc>
          <w:tcPr>
            <w:tcW w:w="927"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Alumnos</w:t>
            </w:r>
          </w:p>
        </w:tc>
        <w:tc>
          <w:tcPr>
            <w:tcW w:w="973"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Docentes</w:t>
            </w:r>
          </w:p>
        </w:tc>
        <w:tc>
          <w:tcPr>
            <w:tcW w:w="1122"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Alum.</w:t>
            </w:r>
            <w:proofErr w:type="gramEnd"/>
            <w:r w:rsidRPr="007226D7">
              <w:rPr>
                <w:rFonts w:cs="Arial"/>
                <w:b/>
                <w:bCs/>
                <w:color w:val="000000"/>
                <w:sz w:val="16"/>
                <w:szCs w:val="16"/>
                <w:lang w:eastAsia="es-ES"/>
              </w:rPr>
              <w:t>/Doc.</w:t>
            </w:r>
          </w:p>
        </w:tc>
        <w:tc>
          <w:tcPr>
            <w:tcW w:w="1216" w:type="dxa"/>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proofErr w:type="gramStart"/>
            <w:r w:rsidRPr="007226D7">
              <w:rPr>
                <w:rFonts w:cs="Arial"/>
                <w:b/>
                <w:bCs/>
                <w:color w:val="000000"/>
                <w:sz w:val="16"/>
                <w:szCs w:val="16"/>
                <w:lang w:eastAsia="es-ES"/>
              </w:rPr>
              <w:t>Alum.</w:t>
            </w:r>
            <w:proofErr w:type="gramEnd"/>
            <w:r w:rsidRPr="007226D7">
              <w:rPr>
                <w:rFonts w:cs="Arial"/>
                <w:b/>
                <w:bCs/>
                <w:color w:val="000000"/>
                <w:sz w:val="16"/>
                <w:szCs w:val="16"/>
                <w:lang w:eastAsia="es-ES"/>
              </w:rPr>
              <w:t>/Secc.</w:t>
            </w:r>
          </w:p>
        </w:tc>
      </w:tr>
      <w:tr w:rsidR="00DC449F" w:rsidRPr="007226D7" w:rsidTr="007572D7">
        <w:trPr>
          <w:trHeight w:val="227"/>
          <w:jc w:val="center"/>
        </w:trPr>
        <w:tc>
          <w:tcPr>
            <w:tcW w:w="2679"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lang w:eastAsia="es-ES"/>
              </w:rPr>
            </w:pPr>
            <w:r w:rsidRPr="007226D7">
              <w:rPr>
                <w:rFonts w:cs="Arial"/>
                <w:b/>
                <w:bCs/>
                <w:color w:val="000000"/>
                <w:sz w:val="16"/>
                <w:szCs w:val="16"/>
                <w:lang w:eastAsia="es-ES"/>
              </w:rPr>
              <w:t xml:space="preserve"> Total</w:t>
            </w:r>
          </w:p>
        </w:tc>
        <w:tc>
          <w:tcPr>
            <w:tcW w:w="55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4,637</w:t>
            </w:r>
          </w:p>
        </w:tc>
        <w:tc>
          <w:tcPr>
            <w:tcW w:w="106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29,235</w:t>
            </w:r>
          </w:p>
        </w:tc>
        <w:tc>
          <w:tcPr>
            <w:tcW w:w="92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654,600</w:t>
            </w:r>
          </w:p>
        </w:tc>
        <w:tc>
          <w:tcPr>
            <w:tcW w:w="973"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35,480</w:t>
            </w:r>
          </w:p>
        </w:tc>
        <w:tc>
          <w:tcPr>
            <w:tcW w:w="112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18</w:t>
            </w:r>
          </w:p>
        </w:tc>
        <w:tc>
          <w:tcPr>
            <w:tcW w:w="121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22</w:t>
            </w:r>
          </w:p>
        </w:tc>
      </w:tr>
      <w:tr w:rsidR="00DC449F" w:rsidRPr="007226D7" w:rsidTr="007572D7">
        <w:trPr>
          <w:trHeight w:val="227"/>
          <w:jc w:val="center"/>
        </w:trPr>
        <w:tc>
          <w:tcPr>
            <w:tcW w:w="2679"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Educación Especial</w:t>
            </w:r>
          </w:p>
        </w:tc>
        <w:tc>
          <w:tcPr>
            <w:tcW w:w="559"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25</w:t>
            </w:r>
          </w:p>
        </w:tc>
        <w:tc>
          <w:tcPr>
            <w:tcW w:w="1065"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40</w:t>
            </w:r>
          </w:p>
        </w:tc>
        <w:tc>
          <w:tcPr>
            <w:tcW w:w="927"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2,760</w:t>
            </w:r>
          </w:p>
        </w:tc>
        <w:tc>
          <w:tcPr>
            <w:tcW w:w="973"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128</w:t>
            </w:r>
          </w:p>
        </w:tc>
        <w:tc>
          <w:tcPr>
            <w:tcW w:w="112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22</w:t>
            </w:r>
          </w:p>
        </w:tc>
        <w:tc>
          <w:tcPr>
            <w:tcW w:w="1216"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69</w:t>
            </w:r>
          </w:p>
        </w:tc>
      </w:tr>
      <w:tr w:rsidR="00DC449F" w:rsidRPr="007226D7" w:rsidTr="007572D7">
        <w:trPr>
          <w:trHeight w:val="227"/>
          <w:jc w:val="center"/>
        </w:trPr>
        <w:tc>
          <w:tcPr>
            <w:tcW w:w="2679"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Inicial</w:t>
            </w:r>
          </w:p>
        </w:tc>
        <w:tc>
          <w:tcPr>
            <w:tcW w:w="559"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2,297</w:t>
            </w:r>
          </w:p>
        </w:tc>
        <w:tc>
          <w:tcPr>
            <w:tcW w:w="1065"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6,137</w:t>
            </w:r>
          </w:p>
        </w:tc>
        <w:tc>
          <w:tcPr>
            <w:tcW w:w="927"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105,816</w:t>
            </w:r>
          </w:p>
        </w:tc>
        <w:tc>
          <w:tcPr>
            <w:tcW w:w="973"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5,787</w:t>
            </w:r>
          </w:p>
        </w:tc>
        <w:tc>
          <w:tcPr>
            <w:tcW w:w="112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18</w:t>
            </w:r>
          </w:p>
        </w:tc>
        <w:tc>
          <w:tcPr>
            <w:tcW w:w="1216"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17</w:t>
            </w:r>
          </w:p>
        </w:tc>
      </w:tr>
      <w:tr w:rsidR="00DC449F" w:rsidRPr="007226D7" w:rsidTr="007572D7">
        <w:trPr>
          <w:trHeight w:val="227"/>
          <w:jc w:val="center"/>
        </w:trPr>
        <w:tc>
          <w:tcPr>
            <w:tcW w:w="2679"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Ocupacional</w:t>
            </w:r>
          </w:p>
        </w:tc>
        <w:tc>
          <w:tcPr>
            <w:tcW w:w="559"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153</w:t>
            </w:r>
          </w:p>
        </w:tc>
        <w:tc>
          <w:tcPr>
            <w:tcW w:w="1065"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1,631</w:t>
            </w:r>
          </w:p>
        </w:tc>
        <w:tc>
          <w:tcPr>
            <w:tcW w:w="927"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38,677</w:t>
            </w:r>
          </w:p>
        </w:tc>
        <w:tc>
          <w:tcPr>
            <w:tcW w:w="973"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1,212</w:t>
            </w:r>
          </w:p>
        </w:tc>
        <w:tc>
          <w:tcPr>
            <w:tcW w:w="112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32</w:t>
            </w:r>
          </w:p>
        </w:tc>
        <w:tc>
          <w:tcPr>
            <w:tcW w:w="1216"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24</w:t>
            </w:r>
          </w:p>
        </w:tc>
      </w:tr>
      <w:tr w:rsidR="00DC449F" w:rsidRPr="007226D7" w:rsidTr="007572D7">
        <w:trPr>
          <w:trHeight w:val="227"/>
          <w:jc w:val="center"/>
        </w:trPr>
        <w:tc>
          <w:tcPr>
            <w:tcW w:w="2679"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Primaria</w:t>
            </w:r>
          </w:p>
        </w:tc>
        <w:tc>
          <w:tcPr>
            <w:tcW w:w="559"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1,311</w:t>
            </w:r>
          </w:p>
        </w:tc>
        <w:tc>
          <w:tcPr>
            <w:tcW w:w="1065"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11,265</w:t>
            </w:r>
          </w:p>
        </w:tc>
        <w:tc>
          <w:tcPr>
            <w:tcW w:w="927"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238,584</w:t>
            </w:r>
          </w:p>
        </w:tc>
        <w:tc>
          <w:tcPr>
            <w:tcW w:w="973"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12,957</w:t>
            </w:r>
          </w:p>
        </w:tc>
        <w:tc>
          <w:tcPr>
            <w:tcW w:w="112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18</w:t>
            </w:r>
          </w:p>
        </w:tc>
        <w:tc>
          <w:tcPr>
            <w:tcW w:w="1216"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21</w:t>
            </w:r>
          </w:p>
        </w:tc>
      </w:tr>
      <w:tr w:rsidR="00DC449F" w:rsidRPr="007226D7" w:rsidTr="007572D7">
        <w:trPr>
          <w:trHeight w:val="227"/>
          <w:jc w:val="center"/>
        </w:trPr>
        <w:tc>
          <w:tcPr>
            <w:tcW w:w="2679" w:type="dxa"/>
            <w:tcBorders>
              <w:top w:val="nil"/>
              <w:left w:val="single" w:sz="4" w:space="0" w:color="auto"/>
              <w:bottom w:val="nil"/>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Secundaria </w:t>
            </w:r>
          </w:p>
        </w:tc>
        <w:tc>
          <w:tcPr>
            <w:tcW w:w="559" w:type="dxa"/>
            <w:tcBorders>
              <w:top w:val="nil"/>
              <w:left w:val="single" w:sz="4" w:space="0" w:color="auto"/>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770</w:t>
            </w:r>
          </w:p>
        </w:tc>
        <w:tc>
          <w:tcPr>
            <w:tcW w:w="1065"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7,509</w:t>
            </w:r>
          </w:p>
        </w:tc>
        <w:tc>
          <w:tcPr>
            <w:tcW w:w="927"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193,360</w:t>
            </w:r>
          </w:p>
        </w:tc>
        <w:tc>
          <w:tcPr>
            <w:tcW w:w="973"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12,628</w:t>
            </w:r>
          </w:p>
        </w:tc>
        <w:tc>
          <w:tcPr>
            <w:tcW w:w="1122"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15</w:t>
            </w:r>
          </w:p>
        </w:tc>
        <w:tc>
          <w:tcPr>
            <w:tcW w:w="1216" w:type="dxa"/>
            <w:tcBorders>
              <w:top w:val="nil"/>
              <w:left w:val="nil"/>
              <w:bottom w:val="nil"/>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26</w:t>
            </w:r>
          </w:p>
        </w:tc>
      </w:tr>
      <w:tr w:rsidR="00DC449F" w:rsidRPr="007226D7" w:rsidTr="007572D7">
        <w:trPr>
          <w:trHeight w:val="227"/>
          <w:jc w:val="center"/>
        </w:trPr>
        <w:tc>
          <w:tcPr>
            <w:tcW w:w="2679" w:type="dxa"/>
            <w:tcBorders>
              <w:top w:val="nil"/>
              <w:left w:val="single" w:sz="4" w:space="0" w:color="auto"/>
              <w:bottom w:val="single" w:sz="4" w:space="0" w:color="auto"/>
              <w:right w:val="nil"/>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Superior (No Universitario)</w:t>
            </w:r>
          </w:p>
        </w:tc>
        <w:tc>
          <w:tcPr>
            <w:tcW w:w="559"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81</w:t>
            </w:r>
          </w:p>
        </w:tc>
        <w:tc>
          <w:tcPr>
            <w:tcW w:w="1065"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2,653</w:t>
            </w:r>
          </w:p>
        </w:tc>
        <w:tc>
          <w:tcPr>
            <w:tcW w:w="92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75,403</w:t>
            </w:r>
          </w:p>
        </w:tc>
        <w:tc>
          <w:tcPr>
            <w:tcW w:w="973"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2,768</w:t>
            </w:r>
          </w:p>
        </w:tc>
        <w:tc>
          <w:tcPr>
            <w:tcW w:w="112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27</w:t>
            </w:r>
          </w:p>
        </w:tc>
        <w:tc>
          <w:tcPr>
            <w:tcW w:w="121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28</w:t>
            </w:r>
          </w:p>
        </w:tc>
      </w:tr>
      <w:tr w:rsidR="00DC449F" w:rsidRPr="0013314C" w:rsidTr="007572D7">
        <w:trPr>
          <w:trHeight w:val="227"/>
          <w:jc w:val="center"/>
        </w:trPr>
        <w:tc>
          <w:tcPr>
            <w:tcW w:w="8541" w:type="dxa"/>
            <w:gridSpan w:val="7"/>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 xml:space="preserve"> Fuente: Ministerio de Educación - Estadística Educativa  Escale</w:t>
            </w:r>
          </w:p>
        </w:tc>
      </w:tr>
    </w:tbl>
    <w:p w:rsidR="0056369A" w:rsidRPr="007226D7" w:rsidRDefault="0056369A" w:rsidP="0056369A">
      <w:pPr>
        <w:rPr>
          <w:lang w:val="es-ES"/>
        </w:rPr>
      </w:pPr>
    </w:p>
    <w:p w:rsidR="0056369A" w:rsidRPr="007226D7" w:rsidRDefault="0056369A" w:rsidP="0056369A">
      <w:pPr>
        <w:rPr>
          <w:u w:val="single"/>
          <w:lang w:val="es-ES"/>
        </w:rPr>
      </w:pPr>
      <w:r w:rsidRPr="007226D7">
        <w:rPr>
          <w:u w:val="single"/>
          <w:lang w:val="es-ES"/>
        </w:rPr>
        <w:t>Desplazamiento del alumnado</w:t>
      </w:r>
    </w:p>
    <w:p w:rsidR="0056369A" w:rsidRPr="007226D7" w:rsidRDefault="0056369A" w:rsidP="0056369A">
      <w:pPr>
        <w:rPr>
          <w:lang w:val="es-ES"/>
        </w:rPr>
      </w:pPr>
      <w:r w:rsidRPr="007226D7">
        <w:rPr>
          <w:lang w:val="es-ES"/>
        </w:rPr>
        <w:t>Las principales vías de acceso a las instituciones educativas de los distritos de Ate y Santa Anita son la zona de Huachipa, la avenida Ramiro Prialé, la carretera central (cerca a la municipalidad distrital de Ate), la avenida Metropolitana, la avenida Separadora Industrial, la prolongación Javier Prado y el Ovalo Santa Anita.</w:t>
      </w:r>
    </w:p>
    <w:p w:rsidR="0056369A" w:rsidRPr="007226D7" w:rsidRDefault="0056369A" w:rsidP="0056369A">
      <w:pPr>
        <w:rPr>
          <w:lang w:val="es-ES"/>
        </w:rPr>
      </w:pPr>
    </w:p>
    <w:p w:rsidR="0056369A" w:rsidRPr="007226D7" w:rsidRDefault="0056369A" w:rsidP="0056369A">
      <w:pPr>
        <w:rPr>
          <w:lang w:val="es-ES"/>
        </w:rPr>
      </w:pPr>
      <w:r w:rsidRPr="007226D7">
        <w:rPr>
          <w:lang w:val="es-ES"/>
        </w:rPr>
        <w:t>Las principales vías de acceso a las instituciones educativas de los distritos de El Agustino, San Luis y La Victoria son la Vía de Evitamiento, la avenida Nicolás Ayllón, la avenida Nicolás Arriola, la avenida México, la avenida Riva Agüero, la avenida Grau y la avenida 28 de Julio.</w:t>
      </w:r>
    </w:p>
    <w:p w:rsidR="0056369A" w:rsidRPr="007226D7" w:rsidRDefault="0056369A" w:rsidP="0056369A">
      <w:pPr>
        <w:rPr>
          <w:lang w:val="es-ES"/>
        </w:rPr>
      </w:pPr>
    </w:p>
    <w:p w:rsidR="0056369A" w:rsidRPr="007226D7" w:rsidRDefault="0056369A" w:rsidP="0056369A">
      <w:pPr>
        <w:rPr>
          <w:lang w:val="es-ES"/>
        </w:rPr>
      </w:pPr>
      <w:r w:rsidRPr="007226D7">
        <w:rPr>
          <w:lang w:val="es-ES"/>
        </w:rPr>
        <w:t>Las principales vías de acceso a las instituciones educativas de los distritos de Breña, Cercado de Lima y San Miguel son las avenidas Grau, Abancay, Paseo Colón, Guzmán Blanco, Arica, Venezuela, Tingo María y La Marina.</w:t>
      </w:r>
    </w:p>
    <w:p w:rsidR="0056369A" w:rsidRPr="007226D7" w:rsidRDefault="0056369A" w:rsidP="0056369A">
      <w:pPr>
        <w:rPr>
          <w:lang w:val="es-ES"/>
        </w:rPr>
      </w:pPr>
    </w:p>
    <w:p w:rsidR="0056369A" w:rsidRPr="007226D7" w:rsidRDefault="0056369A" w:rsidP="0056369A">
      <w:pPr>
        <w:rPr>
          <w:lang w:val="es-ES"/>
        </w:rPr>
      </w:pPr>
      <w:r w:rsidRPr="007226D7">
        <w:rPr>
          <w:lang w:val="es-ES"/>
        </w:rPr>
        <w:t>Las principales vías de acceso a las instituciones educativas de los distritos de Bellavista, La Perla, Cercado del callao y Carmen de la Legua son las avenidas Venezuela, Universitaria, Colonial, Elmer Faucett, Los Insurgentes, Santa Rosa, Guardia Chalaca, Buenos Aires, Sáenz Peña, Néstor Gambetta, Quilca y Morales Duarez.</w:t>
      </w:r>
    </w:p>
    <w:p w:rsidR="0056369A" w:rsidRPr="007226D7" w:rsidRDefault="0056369A" w:rsidP="0056369A">
      <w:pPr>
        <w:rPr>
          <w:lang w:val="es-ES"/>
        </w:rPr>
      </w:pPr>
    </w:p>
    <w:p w:rsidR="0056369A" w:rsidRPr="007226D7" w:rsidRDefault="0056369A" w:rsidP="00DC449F">
      <w:pPr>
        <w:pStyle w:val="Heading5"/>
        <w:rPr>
          <w:lang w:val="es-ES"/>
        </w:rPr>
      </w:pPr>
      <w:r w:rsidRPr="007226D7">
        <w:rPr>
          <w:lang w:val="es-ES"/>
        </w:rPr>
        <w:t>Servicios básicos</w:t>
      </w:r>
    </w:p>
    <w:p w:rsidR="0056369A" w:rsidRPr="007226D7" w:rsidRDefault="0056369A" w:rsidP="00DC449F">
      <w:pPr>
        <w:pStyle w:val="Heading6"/>
        <w:rPr>
          <w:lang w:val="es-ES"/>
        </w:rPr>
      </w:pPr>
      <w:r w:rsidRPr="007226D7">
        <w:rPr>
          <w:lang w:val="es-ES"/>
        </w:rPr>
        <w:t>Energía Eléctrica</w:t>
      </w:r>
    </w:p>
    <w:p w:rsidR="0056369A" w:rsidRPr="007226D7" w:rsidRDefault="0056369A" w:rsidP="0056369A">
      <w:pPr>
        <w:rPr>
          <w:lang w:val="es-ES"/>
        </w:rPr>
      </w:pPr>
      <w:r w:rsidRPr="007226D7">
        <w:rPr>
          <w:lang w:val="es-ES"/>
        </w:rPr>
        <w:t xml:space="preserve">Los distritos del área de influencia cuentan con el servicio de energía eléctrica brindado por la empresa EDELNOR y LUZ DEL SUR, de manera continua las 24 horas del día. Los beneficiarios utilizan la energía eléctrica con fines de alumbrado de las viviendas, así como con </w:t>
      </w:r>
      <w:r w:rsidRPr="007226D7">
        <w:rPr>
          <w:lang w:val="es-ES"/>
        </w:rPr>
        <w:lastRenderedPageBreak/>
        <w:t>fines industriales y/o de transformación de materia prima. En los distritos del área de influencia existe una cobertura de 94.1% de servicio de energía eléctrica según el Censo 2007.</w:t>
      </w:r>
    </w:p>
    <w:tbl>
      <w:tblPr>
        <w:tblW w:w="4253" w:type="dxa"/>
        <w:jc w:val="center"/>
        <w:tblInd w:w="3047" w:type="dxa"/>
        <w:tblCellMar>
          <w:left w:w="70" w:type="dxa"/>
          <w:right w:w="70" w:type="dxa"/>
        </w:tblCellMar>
        <w:tblLook w:val="04A0" w:firstRow="1" w:lastRow="0" w:firstColumn="1" w:lastColumn="0" w:noHBand="0" w:noVBand="1"/>
      </w:tblPr>
      <w:tblGrid>
        <w:gridCol w:w="1611"/>
        <w:gridCol w:w="2642"/>
      </w:tblGrid>
      <w:tr w:rsidR="00DC449F" w:rsidRPr="0013314C" w:rsidTr="007572D7">
        <w:trPr>
          <w:trHeight w:val="227"/>
          <w:jc w:val="center"/>
        </w:trPr>
        <w:tc>
          <w:tcPr>
            <w:tcW w:w="4253" w:type="dxa"/>
            <w:gridSpan w:val="2"/>
            <w:tcBorders>
              <w:top w:val="nil"/>
              <w:left w:val="nil"/>
              <w:bottom w:val="single" w:sz="4" w:space="0" w:color="auto"/>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val="es-ES" w:eastAsia="es-ES"/>
              </w:rPr>
            </w:pPr>
            <w:r w:rsidRPr="007226D7">
              <w:rPr>
                <w:rFonts w:cs="Arial"/>
                <w:b/>
                <w:bCs/>
                <w:sz w:val="16"/>
                <w:szCs w:val="16"/>
                <w:lang w:val="es-ES" w:eastAsia="es-ES"/>
              </w:rPr>
              <w:t>Tabla</w:t>
            </w:r>
            <w:r w:rsidRPr="007226D7">
              <w:rPr>
                <w:rFonts w:cs="Arial"/>
                <w:b/>
                <w:bCs/>
                <w:color w:val="000000"/>
                <w:sz w:val="16"/>
                <w:szCs w:val="16"/>
                <w:lang w:val="es-ES" w:eastAsia="es-ES"/>
              </w:rPr>
              <w:t xml:space="preserve"> 3.1-44 Distribuidores de Energía Eléctrica</w:t>
            </w:r>
          </w:p>
        </w:tc>
      </w:tr>
      <w:tr w:rsidR="00DC449F" w:rsidRPr="007226D7" w:rsidTr="007572D7">
        <w:trPr>
          <w:trHeight w:val="227"/>
          <w:jc w:val="center"/>
        </w:trPr>
        <w:tc>
          <w:tcPr>
            <w:tcW w:w="1611" w:type="dxa"/>
            <w:tcBorders>
              <w:top w:val="nil"/>
              <w:left w:val="single" w:sz="4" w:space="0" w:color="auto"/>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Empresa</w:t>
            </w:r>
          </w:p>
        </w:tc>
        <w:tc>
          <w:tcPr>
            <w:tcW w:w="2642"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Distrito</w:t>
            </w:r>
          </w:p>
        </w:tc>
      </w:tr>
      <w:tr w:rsidR="00DC449F" w:rsidRPr="007226D7" w:rsidTr="007572D7">
        <w:trPr>
          <w:trHeight w:val="227"/>
          <w:jc w:val="center"/>
        </w:trPr>
        <w:tc>
          <w:tcPr>
            <w:tcW w:w="1611" w:type="dxa"/>
            <w:tcBorders>
              <w:top w:val="nil"/>
              <w:left w:val="single" w:sz="4" w:space="0" w:color="auto"/>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EDELNOR</w:t>
            </w:r>
          </w:p>
        </w:tc>
        <w:tc>
          <w:tcPr>
            <w:tcW w:w="2642" w:type="dxa"/>
            <w:tcBorders>
              <w:top w:val="nil"/>
              <w:left w:val="nil"/>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Callao, Carmen de la Legua Reynoso, Bellavista, La Perla, San Miguel</w:t>
            </w:r>
          </w:p>
        </w:tc>
      </w:tr>
      <w:tr w:rsidR="00DC449F" w:rsidRPr="007226D7" w:rsidTr="007572D7">
        <w:trPr>
          <w:trHeight w:val="227"/>
          <w:jc w:val="center"/>
        </w:trPr>
        <w:tc>
          <w:tcPr>
            <w:tcW w:w="1611" w:type="dxa"/>
            <w:tcBorders>
              <w:top w:val="nil"/>
              <w:left w:val="single" w:sz="4" w:space="0" w:color="auto"/>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LUZ DEL SUR</w:t>
            </w:r>
          </w:p>
        </w:tc>
        <w:tc>
          <w:tcPr>
            <w:tcW w:w="2642" w:type="dxa"/>
            <w:tcBorders>
              <w:top w:val="nil"/>
              <w:left w:val="nil"/>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La Victoria, San Luis, Santa Anita, Ate-Vitarte</w:t>
            </w:r>
          </w:p>
        </w:tc>
      </w:tr>
      <w:tr w:rsidR="00DC449F" w:rsidRPr="0013314C" w:rsidTr="007572D7">
        <w:trPr>
          <w:trHeight w:val="227"/>
          <w:jc w:val="center"/>
        </w:trPr>
        <w:tc>
          <w:tcPr>
            <w:tcW w:w="1611" w:type="dxa"/>
            <w:tcBorders>
              <w:top w:val="nil"/>
              <w:left w:val="single" w:sz="4" w:space="0" w:color="auto"/>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Ambos</w:t>
            </w:r>
          </w:p>
        </w:tc>
        <w:tc>
          <w:tcPr>
            <w:tcW w:w="2642" w:type="dxa"/>
            <w:tcBorders>
              <w:top w:val="nil"/>
              <w:left w:val="nil"/>
              <w:bottom w:val="single" w:sz="4" w:space="0" w:color="auto"/>
              <w:right w:val="single" w:sz="4" w:space="0" w:color="auto"/>
            </w:tcBorders>
            <w:shd w:val="clear" w:color="auto" w:fill="auto"/>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Lima Cercado, Jesús María, El Agustino</w:t>
            </w:r>
          </w:p>
        </w:tc>
      </w:tr>
      <w:tr w:rsidR="00DC449F" w:rsidRPr="0013314C" w:rsidTr="007572D7">
        <w:trPr>
          <w:trHeight w:val="227"/>
          <w:jc w:val="center"/>
        </w:trPr>
        <w:tc>
          <w:tcPr>
            <w:tcW w:w="4253" w:type="dxa"/>
            <w:gridSpan w:val="2"/>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Edelnor - Luz del Sur</w:t>
            </w:r>
          </w:p>
        </w:tc>
      </w:tr>
    </w:tbl>
    <w:p w:rsidR="0056369A" w:rsidRPr="007226D7" w:rsidRDefault="0056369A" w:rsidP="0056369A">
      <w:pPr>
        <w:rPr>
          <w:lang w:val="es-ES"/>
        </w:rPr>
      </w:pPr>
    </w:p>
    <w:p w:rsidR="0056369A" w:rsidRPr="007226D7" w:rsidRDefault="0056369A" w:rsidP="00DC449F">
      <w:pPr>
        <w:pStyle w:val="Heading6"/>
        <w:rPr>
          <w:lang w:val="es-ES"/>
        </w:rPr>
      </w:pPr>
      <w:r w:rsidRPr="007226D7">
        <w:rPr>
          <w:lang w:val="es-ES"/>
        </w:rPr>
        <w:t>Servicio de agua</w:t>
      </w:r>
    </w:p>
    <w:p w:rsidR="0056369A" w:rsidRPr="007226D7" w:rsidRDefault="0056369A" w:rsidP="0056369A">
      <w:pPr>
        <w:rPr>
          <w:lang w:val="es-ES"/>
        </w:rPr>
      </w:pPr>
      <w:r w:rsidRPr="007226D7">
        <w:rPr>
          <w:lang w:val="es-ES"/>
        </w:rPr>
        <w:t xml:space="preserve">La administración de los servicios de agua potable en los distritos del área de influencia está a cargo de la empresa SEDAPAL. De acuerdo al censo 2007 en los distritos del área de influencia existen 478,912 viviendas que se abastecen de agua potable, de las cuales el 87.5% está conectada a la red pública dentro de la vivienda, el 10.8% fuera de la vivienda y el 1.8% mediante pilones. </w:t>
      </w:r>
    </w:p>
    <w:tbl>
      <w:tblPr>
        <w:tblW w:w="7700" w:type="dxa"/>
        <w:jc w:val="center"/>
        <w:tblInd w:w="1204" w:type="dxa"/>
        <w:tblCellMar>
          <w:left w:w="70" w:type="dxa"/>
          <w:right w:w="70" w:type="dxa"/>
        </w:tblCellMar>
        <w:tblLook w:val="04A0" w:firstRow="1" w:lastRow="0" w:firstColumn="1" w:lastColumn="0" w:noHBand="0" w:noVBand="1"/>
      </w:tblPr>
      <w:tblGrid>
        <w:gridCol w:w="2900"/>
        <w:gridCol w:w="1200"/>
        <w:gridCol w:w="1200"/>
        <w:gridCol w:w="1200"/>
        <w:gridCol w:w="1200"/>
      </w:tblGrid>
      <w:tr w:rsidR="00DC449F" w:rsidRPr="0013314C" w:rsidTr="007572D7">
        <w:trPr>
          <w:trHeight w:val="170"/>
          <w:jc w:val="center"/>
        </w:trPr>
        <w:tc>
          <w:tcPr>
            <w:tcW w:w="7700" w:type="dxa"/>
            <w:gridSpan w:val="5"/>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Tabla</w:t>
            </w:r>
            <w:r w:rsidRPr="007226D7">
              <w:rPr>
                <w:rFonts w:cs="Arial"/>
                <w:b/>
                <w:bCs/>
                <w:sz w:val="16"/>
                <w:szCs w:val="16"/>
                <w:lang w:val="es-ES_tradnl" w:eastAsia="es-ES"/>
              </w:rPr>
              <w:t xml:space="preserve"> 3.1-45 Viviendas con Abastecimiento de Agua Potable</w:t>
            </w:r>
          </w:p>
        </w:tc>
      </w:tr>
      <w:tr w:rsidR="00DC449F" w:rsidRPr="007226D7" w:rsidTr="007572D7">
        <w:trPr>
          <w:trHeight w:val="170"/>
          <w:jc w:val="center"/>
        </w:trPr>
        <w:tc>
          <w:tcPr>
            <w:tcW w:w="2900" w:type="dxa"/>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val="es-ES_tradnl" w:eastAsia="es-ES"/>
              </w:rPr>
              <w:t>Lugar</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val="es-ES_tradnl" w:eastAsia="es-ES"/>
              </w:rPr>
              <w:t>Total</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val="es-ES_tradnl" w:eastAsia="es-ES"/>
              </w:rPr>
              <w:t xml:space="preserve">Red Pública </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_tradnl" w:eastAsia="es-ES"/>
              </w:rPr>
              <w:t xml:space="preserve">Red Pública fuera de la vivienda </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val="es-ES_tradnl" w:eastAsia="es-ES"/>
              </w:rPr>
              <w:t>Pilón</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eastAsia="es-ES"/>
              </w:rPr>
              <w:t xml:space="preserve"> Dpto.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1,628,847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1,412,156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142,583</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74,108</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eastAsia="es-ES"/>
              </w:rPr>
              <w:t xml:space="preserve"> Prov.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1,489,095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1,295,853</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127,918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65,324</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eastAsia="es-ES"/>
              </w:rPr>
              <w:t xml:space="preserve"> Prov. Callao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159,330</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133,785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11,001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14,544</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79,374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71,915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6,537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922</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8,526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7,887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609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30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16,355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15,171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1,141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43</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13,772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12,666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1,076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eastAsia="es-ES"/>
              </w:rPr>
            </w:pPr>
            <w:r w:rsidRPr="007226D7">
              <w:rPr>
                <w:rFonts w:cs="Arial"/>
                <w:sz w:val="16"/>
                <w:szCs w:val="16"/>
                <w:lang w:eastAsia="es-ES"/>
              </w:rPr>
              <w:t>30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Miguel</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32,716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29,389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3,218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109</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73,432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62,700</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9,805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927</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Breña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21,506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17,520</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3,927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59</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Jesús María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18,207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15,554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2,616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37</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La Victoria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47,987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38,504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9,262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221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El Agustino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34,868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31,995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2,306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567</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Luis</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12,959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11,522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1,406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w:t>
            </w:r>
            <w:proofErr w:type="gramStart"/>
            <w:r w:rsidRPr="007226D7">
              <w:rPr>
                <w:rFonts w:cs="Arial"/>
                <w:color w:val="000000"/>
                <w:sz w:val="16"/>
                <w:szCs w:val="16"/>
              </w:rPr>
              <w:t xml:space="preserve">Santa </w:t>
            </w:r>
            <w:proofErr w:type="gramEnd"/>
            <w:r w:rsidRPr="007226D7">
              <w:rPr>
                <w:rFonts w:cs="Arial"/>
                <w:color w:val="000000"/>
                <w:sz w:val="16"/>
                <w:szCs w:val="16"/>
              </w:rPr>
              <w:t>Anita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38,586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34,504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3,772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310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Ate</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80,624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69,542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5,937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5,145</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000000" w:fill="FFFFFF"/>
            <w:noWrap/>
            <w:vAlign w:val="center"/>
          </w:tcPr>
          <w:p w:rsidR="00DC449F" w:rsidRPr="007226D7" w:rsidRDefault="00DC449F" w:rsidP="007572D7">
            <w:pPr>
              <w:spacing w:after="0" w:line="240" w:lineRule="auto"/>
              <w:rPr>
                <w:rFonts w:cs="Arial"/>
                <w:b/>
                <w:bCs/>
                <w:sz w:val="16"/>
                <w:szCs w:val="16"/>
              </w:rPr>
            </w:pPr>
            <w:r w:rsidRPr="007226D7">
              <w:rPr>
                <w:rFonts w:cs="Arial"/>
                <w:b/>
                <w:bCs/>
                <w:sz w:val="16"/>
                <w:szCs w:val="16"/>
              </w:rPr>
              <w:t>Total Distritos</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478,912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418,869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51,612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8,431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000000" w:fill="FFFFFF"/>
            <w:noWrap/>
            <w:vAlign w:val="center"/>
          </w:tcPr>
          <w:p w:rsidR="00DC449F" w:rsidRPr="007226D7" w:rsidRDefault="00DC449F" w:rsidP="007572D7">
            <w:pPr>
              <w:spacing w:after="0" w:line="240" w:lineRule="auto"/>
              <w:rPr>
                <w:rFonts w:cs="Arial"/>
                <w:b/>
                <w:bCs/>
                <w:sz w:val="16"/>
                <w:szCs w:val="16"/>
              </w:rPr>
            </w:pPr>
            <w:r w:rsidRPr="007226D7">
              <w:rPr>
                <w:rFonts w:cs="Arial"/>
                <w:b/>
                <w:bCs/>
                <w:sz w:val="16"/>
                <w:szCs w:val="16"/>
              </w:rPr>
              <w:t>Participación (%)</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100.0</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87.5</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10.8</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1.8</w:t>
            </w:r>
          </w:p>
        </w:tc>
      </w:tr>
      <w:tr w:rsidR="00DC449F" w:rsidRPr="0013314C" w:rsidTr="007572D7">
        <w:trPr>
          <w:trHeight w:val="170"/>
          <w:jc w:val="center"/>
        </w:trPr>
        <w:tc>
          <w:tcPr>
            <w:tcW w:w="7700" w:type="dxa"/>
            <w:gridSpan w:val="5"/>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56369A" w:rsidRPr="007226D7" w:rsidRDefault="0056369A" w:rsidP="0056369A">
      <w:pPr>
        <w:rPr>
          <w:lang w:val="es-ES"/>
        </w:rPr>
      </w:pPr>
    </w:p>
    <w:p w:rsidR="0056369A" w:rsidRPr="007226D7" w:rsidRDefault="0056369A" w:rsidP="00DC449F">
      <w:pPr>
        <w:pStyle w:val="Heading6"/>
        <w:rPr>
          <w:lang w:val="es-ES"/>
        </w:rPr>
      </w:pPr>
      <w:r w:rsidRPr="007226D7">
        <w:rPr>
          <w:lang w:val="es-ES"/>
        </w:rPr>
        <w:t>Servicio de alcantarillado</w:t>
      </w:r>
    </w:p>
    <w:p w:rsidR="0056369A" w:rsidRPr="007226D7" w:rsidRDefault="0056369A" w:rsidP="0056369A">
      <w:pPr>
        <w:rPr>
          <w:lang w:val="es-ES"/>
        </w:rPr>
      </w:pPr>
      <w:r w:rsidRPr="007226D7">
        <w:rPr>
          <w:lang w:val="es-ES"/>
        </w:rPr>
        <w:t xml:space="preserve">Este servicio también es administrado por la empresa SEDAPAL. De acuerdo al censo 2007 en los distritos del área de influencia existen 476,514 viviendas que tienen el servicio de alcantarillado, de las cuales el 88.9% está conectada a la red pública dentro de la vivienda y el 11.1% fuera de la vivienda. </w:t>
      </w:r>
    </w:p>
    <w:p w:rsidR="00DC449F" w:rsidRPr="007226D7" w:rsidRDefault="00DC449F">
      <w:pPr>
        <w:spacing w:after="0" w:line="240" w:lineRule="auto"/>
        <w:jc w:val="left"/>
        <w:rPr>
          <w:lang w:val="es-ES"/>
        </w:rPr>
      </w:pPr>
      <w:r w:rsidRPr="007226D7">
        <w:rPr>
          <w:lang w:val="es-ES"/>
        </w:rPr>
        <w:br w:type="page"/>
      </w:r>
    </w:p>
    <w:tbl>
      <w:tblPr>
        <w:tblW w:w="6500" w:type="dxa"/>
        <w:jc w:val="center"/>
        <w:tblInd w:w="1913" w:type="dxa"/>
        <w:tblCellMar>
          <w:left w:w="70" w:type="dxa"/>
          <w:right w:w="70" w:type="dxa"/>
        </w:tblCellMar>
        <w:tblLook w:val="04A0" w:firstRow="1" w:lastRow="0" w:firstColumn="1" w:lastColumn="0" w:noHBand="0" w:noVBand="1"/>
      </w:tblPr>
      <w:tblGrid>
        <w:gridCol w:w="2900"/>
        <w:gridCol w:w="1200"/>
        <w:gridCol w:w="1200"/>
        <w:gridCol w:w="1200"/>
      </w:tblGrid>
      <w:tr w:rsidR="00DC449F" w:rsidRPr="0013314C" w:rsidTr="007572D7">
        <w:trPr>
          <w:trHeight w:val="170"/>
          <w:jc w:val="center"/>
        </w:trPr>
        <w:tc>
          <w:tcPr>
            <w:tcW w:w="6500" w:type="dxa"/>
            <w:gridSpan w:val="4"/>
            <w:tcBorders>
              <w:top w:val="nil"/>
              <w:left w:val="nil"/>
              <w:bottom w:val="nil"/>
              <w:right w:val="nil"/>
            </w:tcBorders>
            <w:shd w:val="clear" w:color="auto" w:fill="auto"/>
            <w:noWrap/>
            <w:vAlign w:val="center"/>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lastRenderedPageBreak/>
              <w:t>Tabla 3.1-46 Viviendas con Servicio de Alcantarillado</w:t>
            </w:r>
          </w:p>
        </w:tc>
      </w:tr>
      <w:tr w:rsidR="00DC449F" w:rsidRPr="0013314C" w:rsidTr="007572D7">
        <w:trPr>
          <w:trHeight w:val="170"/>
          <w:jc w:val="center"/>
        </w:trPr>
        <w:tc>
          <w:tcPr>
            <w:tcW w:w="2900" w:type="dxa"/>
            <w:tcBorders>
              <w:top w:val="single" w:sz="4" w:space="0" w:color="auto"/>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Lugar</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Total</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 xml:space="preserve">Red Pública </w:t>
            </w:r>
          </w:p>
        </w:tc>
        <w:tc>
          <w:tcPr>
            <w:tcW w:w="1200" w:type="dxa"/>
            <w:tcBorders>
              <w:top w:val="single" w:sz="4" w:space="0" w:color="auto"/>
              <w:left w:val="nil"/>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 xml:space="preserve">Red Pública fuera de la vivienda </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val="es-ES" w:eastAsia="es-ES"/>
              </w:rPr>
              <w:t xml:space="preserve"> </w:t>
            </w:r>
            <w:r w:rsidRPr="007226D7">
              <w:rPr>
                <w:rFonts w:cs="Arial"/>
                <w:sz w:val="16"/>
                <w:szCs w:val="16"/>
                <w:lang w:eastAsia="es-ES"/>
              </w:rPr>
              <w:t>Dpto.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1,536,519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1,393,858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142,661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eastAsia="es-ES"/>
              </w:rPr>
              <w:t xml:space="preserve"> Prov.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1,431,657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1,299,566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132,091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sz w:val="16"/>
                <w:szCs w:val="16"/>
                <w:lang w:eastAsia="es-ES"/>
              </w:rPr>
            </w:pPr>
            <w:r w:rsidRPr="007226D7">
              <w:rPr>
                <w:rFonts w:cs="Arial"/>
                <w:sz w:val="16"/>
                <w:szCs w:val="16"/>
                <w:lang w:eastAsia="es-ES"/>
              </w:rPr>
              <w:t xml:space="preserve"> Prov. Callao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146,979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135,468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11,511</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79,902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72,997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6,905</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8,513</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7,858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655</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16,386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15,207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1,179</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13,812</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12,808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1,004</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Miguel</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32,769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29,587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3,182</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n-US" w:eastAsia="es-ES"/>
              </w:rPr>
            </w:pPr>
            <w:r w:rsidRPr="007226D7">
              <w:rPr>
                <w:rFonts w:cs="Arial"/>
                <w:color w:val="000000"/>
                <w:sz w:val="16"/>
                <w:szCs w:val="16"/>
                <w:lang w:val="en-US" w:eastAsia="es-ES"/>
              </w:rPr>
              <w:t xml:space="preserve"> Dist. Lima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73,253</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63,237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10,016</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n-US" w:eastAsia="es-ES"/>
              </w:rPr>
            </w:pPr>
            <w:r w:rsidRPr="007226D7">
              <w:rPr>
                <w:rFonts w:cs="Arial"/>
                <w:color w:val="000000"/>
                <w:sz w:val="16"/>
                <w:szCs w:val="16"/>
                <w:lang w:val="en-US" w:eastAsia="es-ES"/>
              </w:rPr>
              <w:t xml:space="preserve"> Dist. Breña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21,497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17,757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3,740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n-US" w:eastAsia="es-ES"/>
              </w:rPr>
            </w:pPr>
            <w:r w:rsidRPr="007226D7">
              <w:rPr>
                <w:rFonts w:cs="Arial"/>
                <w:color w:val="000000"/>
                <w:sz w:val="16"/>
                <w:szCs w:val="16"/>
                <w:lang w:val="en-US" w:eastAsia="es-ES"/>
              </w:rPr>
              <w:t xml:space="preserve"> Dist. Jesús María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18,218</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15,716</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lang w:val="en-US"/>
              </w:rPr>
            </w:pPr>
            <w:r w:rsidRPr="007226D7">
              <w:rPr>
                <w:rFonts w:cs="Arial"/>
                <w:sz w:val="16"/>
                <w:szCs w:val="16"/>
                <w:lang w:val="en-US"/>
              </w:rPr>
              <w:t>2,502</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val="en-US" w:eastAsia="es-ES"/>
              </w:rPr>
              <w:t xml:space="preserve"> Dist. La </w:t>
            </w:r>
            <w:r w:rsidRPr="007226D7">
              <w:rPr>
                <w:rFonts w:cs="Arial"/>
                <w:color w:val="000000"/>
                <w:sz w:val="16"/>
                <w:szCs w:val="16"/>
                <w:lang w:eastAsia="es-ES"/>
              </w:rPr>
              <w:t>Victoria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48,601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39,551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9,050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35,007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32,247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2,760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13,325</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12,101</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1,224</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38,457</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34,359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4,098</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76,774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70,029</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sz w:val="16"/>
                <w:szCs w:val="16"/>
              </w:rPr>
            </w:pPr>
            <w:r w:rsidRPr="007226D7">
              <w:rPr>
                <w:rFonts w:cs="Arial"/>
                <w:sz w:val="16"/>
                <w:szCs w:val="16"/>
              </w:rPr>
              <w:t>6,745</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000000" w:fill="FFFFFF"/>
            <w:noWrap/>
            <w:vAlign w:val="center"/>
          </w:tcPr>
          <w:p w:rsidR="00DC449F" w:rsidRPr="007226D7" w:rsidRDefault="00DC449F" w:rsidP="007572D7">
            <w:pPr>
              <w:spacing w:after="0" w:line="240" w:lineRule="auto"/>
              <w:rPr>
                <w:rFonts w:cs="Arial"/>
                <w:b/>
                <w:bCs/>
                <w:sz w:val="16"/>
                <w:szCs w:val="16"/>
                <w:lang w:eastAsia="es-ES"/>
              </w:rPr>
            </w:pPr>
            <w:r w:rsidRPr="007226D7">
              <w:rPr>
                <w:rFonts w:cs="Arial"/>
                <w:b/>
                <w:bCs/>
                <w:sz w:val="16"/>
                <w:szCs w:val="16"/>
                <w:lang w:eastAsia="es-ES"/>
              </w:rPr>
              <w:t>Total Distritos</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476,514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423,454</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53,060</w:t>
            </w:r>
          </w:p>
        </w:tc>
      </w:tr>
      <w:tr w:rsidR="00DC449F" w:rsidRPr="007226D7" w:rsidTr="007572D7">
        <w:trPr>
          <w:trHeight w:val="170"/>
          <w:jc w:val="center"/>
        </w:trPr>
        <w:tc>
          <w:tcPr>
            <w:tcW w:w="2900" w:type="dxa"/>
            <w:tcBorders>
              <w:top w:val="nil"/>
              <w:left w:val="single" w:sz="4" w:space="0" w:color="auto"/>
              <w:bottom w:val="single" w:sz="4" w:space="0" w:color="auto"/>
              <w:right w:val="single" w:sz="4" w:space="0" w:color="auto"/>
            </w:tcBorders>
            <w:shd w:val="clear" w:color="000000" w:fill="FFFFFF"/>
            <w:noWrap/>
            <w:vAlign w:val="center"/>
          </w:tcPr>
          <w:p w:rsidR="00DC449F" w:rsidRPr="007226D7" w:rsidRDefault="00DC449F" w:rsidP="007572D7">
            <w:pPr>
              <w:spacing w:after="0" w:line="240" w:lineRule="auto"/>
              <w:rPr>
                <w:rFonts w:cs="Arial"/>
                <w:b/>
                <w:bCs/>
                <w:sz w:val="16"/>
                <w:szCs w:val="16"/>
                <w:lang w:eastAsia="es-ES"/>
              </w:rPr>
            </w:pPr>
            <w:r w:rsidRPr="007226D7">
              <w:rPr>
                <w:rFonts w:cs="Arial"/>
                <w:b/>
                <w:bCs/>
                <w:sz w:val="16"/>
                <w:szCs w:val="16"/>
                <w:lang w:eastAsia="es-ES"/>
              </w:rPr>
              <w:t>Participación (%)</w:t>
            </w:r>
          </w:p>
        </w:tc>
        <w:tc>
          <w:tcPr>
            <w:tcW w:w="1200" w:type="dxa"/>
            <w:tcBorders>
              <w:top w:val="nil"/>
              <w:left w:val="nil"/>
              <w:bottom w:val="single" w:sz="4" w:space="0" w:color="auto"/>
              <w:right w:val="single" w:sz="4" w:space="0" w:color="auto"/>
            </w:tcBorders>
            <w:shd w:val="clear" w:color="000000" w:fill="FFFFFF"/>
            <w:vAlign w:val="center"/>
          </w:tcPr>
          <w:p w:rsidR="00DC449F" w:rsidRPr="007226D7" w:rsidRDefault="00DC449F" w:rsidP="007572D7">
            <w:pPr>
              <w:spacing w:after="0" w:line="240" w:lineRule="auto"/>
              <w:jc w:val="right"/>
              <w:rPr>
                <w:rFonts w:cs="Arial"/>
                <w:b/>
                <w:bCs/>
                <w:sz w:val="16"/>
                <w:szCs w:val="16"/>
              </w:rPr>
            </w:pPr>
            <w:r w:rsidRPr="007226D7">
              <w:rPr>
                <w:rFonts w:cs="Arial"/>
                <w:b/>
                <w:bCs/>
                <w:sz w:val="16"/>
                <w:szCs w:val="16"/>
              </w:rPr>
              <w:t>100.0</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88.9</w:t>
            </w:r>
          </w:p>
        </w:tc>
        <w:tc>
          <w:tcPr>
            <w:tcW w:w="1200"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rPr>
            </w:pPr>
            <w:r w:rsidRPr="007226D7">
              <w:rPr>
                <w:rFonts w:cs="Arial"/>
                <w:b/>
                <w:bCs/>
                <w:sz w:val="16"/>
                <w:szCs w:val="16"/>
              </w:rPr>
              <w:t>11.1</w:t>
            </w:r>
          </w:p>
        </w:tc>
      </w:tr>
      <w:tr w:rsidR="00DC449F" w:rsidRPr="0013314C" w:rsidTr="007572D7">
        <w:trPr>
          <w:trHeight w:val="170"/>
          <w:jc w:val="center"/>
        </w:trPr>
        <w:tc>
          <w:tcPr>
            <w:tcW w:w="6500" w:type="dxa"/>
            <w:gridSpan w:val="4"/>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sz w:val="14"/>
                <w:szCs w:val="14"/>
                <w:lang w:val="es-ES" w:eastAsia="es-ES"/>
              </w:rPr>
            </w:pPr>
            <w:r w:rsidRPr="007226D7">
              <w:rPr>
                <w:rFonts w:cs="Arial"/>
                <w:sz w:val="14"/>
                <w:szCs w:val="14"/>
                <w:lang w:val="es-ES" w:eastAsia="es-ES"/>
              </w:rPr>
              <w:t>Fuente: Censos Nacionales 2007 XI de Población - VI de Vivienda – INEI</w:t>
            </w:r>
          </w:p>
        </w:tc>
      </w:tr>
    </w:tbl>
    <w:p w:rsidR="0056369A" w:rsidRPr="007226D7" w:rsidRDefault="0056369A" w:rsidP="0056369A">
      <w:pPr>
        <w:rPr>
          <w:lang w:val="es-ES"/>
        </w:rPr>
      </w:pPr>
    </w:p>
    <w:p w:rsidR="0056369A" w:rsidRPr="007226D7" w:rsidRDefault="0056369A" w:rsidP="00DC449F">
      <w:pPr>
        <w:pStyle w:val="Heading6"/>
        <w:rPr>
          <w:lang w:val="es-ES"/>
        </w:rPr>
      </w:pPr>
      <w:r w:rsidRPr="007226D7">
        <w:rPr>
          <w:lang w:val="es-ES"/>
        </w:rPr>
        <w:t>Telecomunicaciones</w:t>
      </w:r>
    </w:p>
    <w:p w:rsidR="0056369A" w:rsidRPr="007226D7" w:rsidRDefault="0056369A" w:rsidP="0056369A">
      <w:pPr>
        <w:rPr>
          <w:lang w:val="es-ES"/>
        </w:rPr>
      </w:pPr>
      <w:r w:rsidRPr="007226D7">
        <w:rPr>
          <w:lang w:val="es-ES"/>
        </w:rPr>
        <w:t>En cuanto a comunicaciones los distritos del área de influencia disponen de la mayoría de los servicios y adelantos actuales, teléfono, fax, radio, TV-cable, Internet. Asimismo, es posible conseguir comunicación con cualquier lugar de la República y el exterior.</w:t>
      </w:r>
    </w:p>
    <w:p w:rsidR="0056369A" w:rsidRPr="007226D7" w:rsidRDefault="0056369A" w:rsidP="0056369A">
      <w:pPr>
        <w:rPr>
          <w:lang w:val="es-ES"/>
        </w:rPr>
      </w:pPr>
      <w:r w:rsidRPr="007226D7">
        <w:rPr>
          <w:lang w:val="es-ES"/>
        </w:rPr>
        <w:t>El avance constante de la tecnología brinda grandes oportunidades para alcanzar niveles de vida elevados para el desarrollo. A nivel nacional</w:t>
      </w:r>
      <w:r w:rsidR="00DC449F" w:rsidRPr="007226D7">
        <w:rPr>
          <w:rStyle w:val="FootnoteReference"/>
          <w:rFonts w:cs="Arial"/>
        </w:rPr>
        <w:footnoteReference w:id="4"/>
      </w:r>
      <w:r w:rsidRPr="007226D7">
        <w:rPr>
          <w:lang w:val="es-ES"/>
        </w:rPr>
        <w:t xml:space="preserve"> para el trimestre Octubre-Noviembre-Diciembre de 2011, el 77.0% de los hogares del país cuentan con telefonía móvil (celular), 31.4% tiene acceso a la televisión por cable, 29.1% disponen de teléfono fijo, 26.3% cuenta con computadora y 17.7% tiene Internet en sus hogares.</w:t>
      </w:r>
    </w:p>
    <w:p w:rsidR="0056369A" w:rsidRPr="007226D7" w:rsidRDefault="0056369A" w:rsidP="00DC449F">
      <w:pPr>
        <w:pStyle w:val="Heading5"/>
        <w:rPr>
          <w:lang w:val="es-ES"/>
        </w:rPr>
      </w:pPr>
      <w:r w:rsidRPr="007226D7">
        <w:rPr>
          <w:lang w:val="es-ES"/>
        </w:rPr>
        <w:t>Nivel de vida</w:t>
      </w:r>
    </w:p>
    <w:p w:rsidR="0056369A" w:rsidRPr="007226D7" w:rsidRDefault="0056369A" w:rsidP="00DC449F">
      <w:pPr>
        <w:pStyle w:val="Heading6"/>
        <w:rPr>
          <w:lang w:val="es-ES"/>
        </w:rPr>
      </w:pPr>
      <w:r w:rsidRPr="007226D7">
        <w:rPr>
          <w:lang w:val="es-ES"/>
        </w:rPr>
        <w:t>Análisis de la pobreza</w:t>
      </w:r>
    </w:p>
    <w:p w:rsidR="0056369A" w:rsidRPr="007226D7" w:rsidRDefault="0056369A" w:rsidP="0056369A">
      <w:pPr>
        <w:rPr>
          <w:lang w:val="es-ES"/>
        </w:rPr>
      </w:pPr>
      <w:r w:rsidRPr="007226D7">
        <w:rPr>
          <w:lang w:val="es-ES"/>
        </w:rPr>
        <w:t>El INEI calcula la incidencia de la pobreza mediante el enfoque monetario la cual refleja la insuficiencia de ingresos o gastos de la población respecto a un consumo mínimo aceptable socialmente. Se considera que la población se encuentra en condición de pobreza total, si el gasto per cápita del hogar está por debajo del valor de la canasta total compuesta de alimentos y no alimentos (LPT); y en condición de pobreza extrema, cuando el gasto per cápita del hogar es menor al valor de la canasta de alimentos (LPEX).</w:t>
      </w:r>
    </w:p>
    <w:p w:rsidR="0056369A" w:rsidRPr="007226D7" w:rsidRDefault="0056369A" w:rsidP="0056369A">
      <w:pPr>
        <w:rPr>
          <w:lang w:val="es-ES"/>
        </w:rPr>
      </w:pPr>
      <w:r w:rsidRPr="007226D7">
        <w:rPr>
          <w:lang w:val="es-ES"/>
        </w:rPr>
        <w:t>La metodología empleada por el Instituto Nacional de Estadísticas (INEI) para construir el mapa de pobreza combina variables del XI Censo de Población y VI de Vivienda 2007 y la Encuesta Nacional de Hogares 2007 (ENAHO). Este procedimiento permite estimar modelos de predicción del gasto per cápita con la información de la encuesta, empleando variables que son comunes con los Censos y luego construir indicadores de pobreza y desigualdad.</w:t>
      </w:r>
    </w:p>
    <w:p w:rsidR="0056369A" w:rsidRPr="007226D7" w:rsidRDefault="0056369A" w:rsidP="0056369A">
      <w:pPr>
        <w:rPr>
          <w:lang w:val="es-ES"/>
        </w:rPr>
      </w:pPr>
      <w:r w:rsidRPr="007226D7">
        <w:rPr>
          <w:lang w:val="es-ES"/>
        </w:rPr>
        <w:lastRenderedPageBreak/>
        <w:t>El nivel de pobreza en el año 2009 fue de 34.8% de la población total del país los cuales tenían un nivel de gasto inferior a la canasta básica de consumo compuesta por alimentos y no alimentos. Del total de pobres que tiene el país el 11.5% son pobres extremos, es decir, por personas que tienen un gasto per cápita inferior al costo de la canasta básica de alimentos y por el 23,3% de personas no extremos, que se caracterizan por tener un gasto per cápita superior al costo de la canasta de alimentos pero inferior al valor de la canasta básica de consumo (línea de pobreza).</w:t>
      </w:r>
    </w:p>
    <w:p w:rsidR="0056369A" w:rsidRPr="007226D7" w:rsidRDefault="0056369A" w:rsidP="0056369A">
      <w:pPr>
        <w:rPr>
          <w:lang w:val="es-ES"/>
        </w:rPr>
      </w:pPr>
      <w:r w:rsidRPr="007226D7">
        <w:rPr>
          <w:lang w:val="es-ES"/>
        </w:rPr>
        <w:t>En relación a la incidencia de la pobreza por área de residencia en el 2009, la población del área urbana tiene un nivel de pobreza del 21.1% y el área rural de 60.3%, observándose un fuerte contraste siendo la pobreza en el área rural de 2.9 veces superior a los niveles de pobreza del área urbana.</w:t>
      </w:r>
    </w:p>
    <w:p w:rsidR="0056369A" w:rsidRPr="007226D7" w:rsidRDefault="0056369A" w:rsidP="0056369A">
      <w:pPr>
        <w:rPr>
          <w:lang w:val="es-ES"/>
        </w:rPr>
      </w:pPr>
      <w:r w:rsidRPr="007226D7">
        <w:rPr>
          <w:lang w:val="es-ES"/>
        </w:rPr>
        <w:t>Con respecto a los distritos del cual forman parte el área del proyecto el promedio de pobres es del 13.3%, de los cuales el 0.4% está en situación extrema siendo el distrito de El Agustino (1.0%) el que presenta un mayor porcentaje en relación al restos de los distritos. (Ver Tabla 3.1-47)</w:t>
      </w:r>
    </w:p>
    <w:p w:rsidR="0056369A" w:rsidRPr="007226D7" w:rsidRDefault="0056369A" w:rsidP="0056369A">
      <w:pPr>
        <w:rPr>
          <w:lang w:val="es-ES"/>
        </w:rPr>
      </w:pPr>
      <w:r w:rsidRPr="007226D7">
        <w:rPr>
          <w:lang w:val="es-ES"/>
        </w:rPr>
        <w:t xml:space="preserve">El Coeficiente de Gini se basa en la Curva de Lorenz, que es una representación gráfica de una función de distribución acumulada, y se define matemáticamente como la proporción acumulada del gasto per cápita  (eje y), que obtienen las proporciones acumuladas de la población (eje x). </w:t>
      </w:r>
    </w:p>
    <w:p w:rsidR="0056369A" w:rsidRPr="007226D7" w:rsidRDefault="0056369A" w:rsidP="0056369A">
      <w:pPr>
        <w:rPr>
          <w:lang w:val="es-ES"/>
        </w:rPr>
      </w:pPr>
      <w:r w:rsidRPr="007226D7">
        <w:rPr>
          <w:lang w:val="es-ES"/>
        </w:rPr>
        <w:t>A medida que aumenta la desigualdad el Coeficiente de Gini se acerca al valor de 1, si se acerca 0 la brecha de la desigualdad está disminuyendo. El coeficiente de Gini del área del proyecto es de 0.28, índice menor al promedio nacional de 0.39.</w:t>
      </w:r>
    </w:p>
    <w:tbl>
      <w:tblPr>
        <w:tblW w:w="9146" w:type="dxa"/>
        <w:tblInd w:w="70" w:type="dxa"/>
        <w:tblCellMar>
          <w:left w:w="70" w:type="dxa"/>
          <w:right w:w="70" w:type="dxa"/>
        </w:tblCellMar>
        <w:tblLook w:val="04A0" w:firstRow="1" w:lastRow="0" w:firstColumn="1" w:lastColumn="0" w:noHBand="0" w:noVBand="1"/>
      </w:tblPr>
      <w:tblGrid>
        <w:gridCol w:w="3016"/>
        <w:gridCol w:w="1109"/>
        <w:gridCol w:w="1146"/>
        <w:gridCol w:w="1162"/>
        <w:gridCol w:w="781"/>
        <w:gridCol w:w="1076"/>
        <w:gridCol w:w="856"/>
      </w:tblGrid>
      <w:tr w:rsidR="00DC449F" w:rsidRPr="007226D7" w:rsidTr="007572D7">
        <w:trPr>
          <w:trHeight w:val="227"/>
        </w:trPr>
        <w:tc>
          <w:tcPr>
            <w:tcW w:w="9146" w:type="dxa"/>
            <w:gridSpan w:val="7"/>
            <w:tcBorders>
              <w:top w:val="nil"/>
              <w:left w:val="nil"/>
              <w:bottom w:val="single" w:sz="4" w:space="0" w:color="auto"/>
              <w:right w:val="nil"/>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sz w:val="16"/>
                <w:szCs w:val="16"/>
                <w:lang w:eastAsia="es-ES"/>
              </w:rPr>
              <w:t>Tabla</w:t>
            </w:r>
            <w:r w:rsidRPr="007226D7">
              <w:rPr>
                <w:rFonts w:cs="Arial"/>
                <w:b/>
                <w:bCs/>
                <w:color w:val="000000"/>
                <w:sz w:val="16"/>
                <w:szCs w:val="16"/>
                <w:lang w:eastAsia="es-ES"/>
              </w:rPr>
              <w:t xml:space="preserve"> </w:t>
            </w:r>
            <w:proofErr w:type="gramStart"/>
            <w:r w:rsidRPr="007226D7">
              <w:rPr>
                <w:rFonts w:cs="Arial"/>
                <w:b/>
                <w:bCs/>
                <w:color w:val="000000"/>
                <w:sz w:val="16"/>
                <w:szCs w:val="16"/>
                <w:lang w:eastAsia="es-ES"/>
              </w:rPr>
              <w:t>3.1-47</w:t>
            </w:r>
            <w:proofErr w:type="gramEnd"/>
            <w:r w:rsidRPr="007226D7">
              <w:rPr>
                <w:rFonts w:cs="Arial"/>
                <w:b/>
                <w:bCs/>
                <w:color w:val="000000"/>
                <w:sz w:val="16"/>
                <w:szCs w:val="16"/>
                <w:lang w:eastAsia="es-ES"/>
              </w:rPr>
              <w:t xml:space="preserve">  Indicadores de Pobreza 2009</w:t>
            </w:r>
          </w:p>
        </w:tc>
      </w:tr>
      <w:tr w:rsidR="00DC449F" w:rsidRPr="007226D7" w:rsidTr="007572D7">
        <w:trPr>
          <w:trHeight w:val="227"/>
        </w:trPr>
        <w:tc>
          <w:tcPr>
            <w:tcW w:w="3016" w:type="dxa"/>
            <w:vMerge w:val="restart"/>
            <w:tcBorders>
              <w:top w:val="nil"/>
              <w:left w:val="single" w:sz="4" w:space="0" w:color="auto"/>
              <w:bottom w:val="single" w:sz="4" w:space="0" w:color="000000"/>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Lugar</w:t>
            </w:r>
          </w:p>
        </w:tc>
        <w:tc>
          <w:tcPr>
            <w:tcW w:w="1109" w:type="dxa"/>
            <w:vMerge w:val="restart"/>
            <w:tcBorders>
              <w:top w:val="nil"/>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Población</w:t>
            </w:r>
          </w:p>
        </w:tc>
        <w:tc>
          <w:tcPr>
            <w:tcW w:w="1146" w:type="dxa"/>
            <w:vMerge w:val="restart"/>
            <w:tcBorders>
              <w:top w:val="nil"/>
              <w:left w:val="single" w:sz="4" w:space="0" w:color="auto"/>
              <w:bottom w:val="single" w:sz="4" w:space="0" w:color="auto"/>
              <w:right w:val="single" w:sz="4" w:space="0" w:color="auto"/>
            </w:tcBorders>
            <w:shd w:val="clear" w:color="000000" w:fill="99CCFF"/>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Coeficiente de GINI</w:t>
            </w:r>
          </w:p>
        </w:tc>
        <w:tc>
          <w:tcPr>
            <w:tcW w:w="3019" w:type="dxa"/>
            <w:gridSpan w:val="3"/>
            <w:tcBorders>
              <w:top w:val="single" w:sz="4" w:space="0" w:color="auto"/>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Pobre (%)</w:t>
            </w:r>
          </w:p>
        </w:tc>
        <w:tc>
          <w:tcPr>
            <w:tcW w:w="856" w:type="dxa"/>
            <w:vMerge w:val="restart"/>
            <w:tcBorders>
              <w:top w:val="nil"/>
              <w:left w:val="single" w:sz="4" w:space="0" w:color="auto"/>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No Pobre</w:t>
            </w:r>
          </w:p>
        </w:tc>
      </w:tr>
      <w:tr w:rsidR="00DC449F" w:rsidRPr="007226D7" w:rsidTr="007572D7">
        <w:trPr>
          <w:trHeight w:val="227"/>
        </w:trPr>
        <w:tc>
          <w:tcPr>
            <w:tcW w:w="3016" w:type="dxa"/>
            <w:vMerge/>
            <w:tcBorders>
              <w:top w:val="nil"/>
              <w:left w:val="single" w:sz="4" w:space="0" w:color="auto"/>
              <w:bottom w:val="single" w:sz="4" w:space="0" w:color="000000"/>
              <w:right w:val="single" w:sz="4" w:space="0" w:color="auto"/>
            </w:tcBorders>
            <w:vAlign w:val="center"/>
          </w:tcPr>
          <w:p w:rsidR="00DC449F" w:rsidRPr="007226D7" w:rsidRDefault="00DC449F" w:rsidP="007572D7">
            <w:pPr>
              <w:spacing w:after="0" w:line="240" w:lineRule="auto"/>
              <w:rPr>
                <w:rFonts w:cs="Arial"/>
                <w:b/>
                <w:bCs/>
                <w:color w:val="000000"/>
                <w:sz w:val="16"/>
                <w:szCs w:val="16"/>
                <w:lang w:eastAsia="es-ES"/>
              </w:rPr>
            </w:pPr>
          </w:p>
        </w:tc>
        <w:tc>
          <w:tcPr>
            <w:tcW w:w="1109" w:type="dxa"/>
            <w:vMerge/>
            <w:tcBorders>
              <w:top w:val="nil"/>
              <w:left w:val="single" w:sz="4" w:space="0" w:color="auto"/>
              <w:bottom w:val="single" w:sz="4" w:space="0" w:color="auto"/>
              <w:right w:val="single" w:sz="4" w:space="0" w:color="auto"/>
            </w:tcBorders>
            <w:vAlign w:val="center"/>
          </w:tcPr>
          <w:p w:rsidR="00DC449F" w:rsidRPr="007226D7" w:rsidRDefault="00DC449F" w:rsidP="007572D7">
            <w:pPr>
              <w:spacing w:after="0" w:line="240" w:lineRule="auto"/>
              <w:rPr>
                <w:rFonts w:cs="Arial"/>
                <w:b/>
                <w:bCs/>
                <w:color w:val="000000"/>
                <w:sz w:val="16"/>
                <w:szCs w:val="16"/>
                <w:lang w:eastAsia="es-ES"/>
              </w:rPr>
            </w:pPr>
          </w:p>
        </w:tc>
        <w:tc>
          <w:tcPr>
            <w:tcW w:w="1146" w:type="dxa"/>
            <w:vMerge/>
            <w:tcBorders>
              <w:top w:val="nil"/>
              <w:left w:val="single" w:sz="4" w:space="0" w:color="auto"/>
              <w:bottom w:val="single" w:sz="4" w:space="0" w:color="auto"/>
              <w:right w:val="single" w:sz="4" w:space="0" w:color="auto"/>
            </w:tcBorders>
            <w:vAlign w:val="center"/>
          </w:tcPr>
          <w:p w:rsidR="00DC449F" w:rsidRPr="007226D7" w:rsidRDefault="00DC449F" w:rsidP="007572D7">
            <w:pPr>
              <w:spacing w:after="0" w:line="240" w:lineRule="auto"/>
              <w:rPr>
                <w:rFonts w:cs="Arial"/>
                <w:b/>
                <w:bCs/>
                <w:color w:val="000000"/>
                <w:sz w:val="16"/>
                <w:szCs w:val="16"/>
                <w:lang w:eastAsia="es-ES"/>
              </w:rPr>
            </w:pPr>
          </w:p>
        </w:tc>
        <w:tc>
          <w:tcPr>
            <w:tcW w:w="1162"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Total Pobres</w:t>
            </w:r>
          </w:p>
        </w:tc>
        <w:tc>
          <w:tcPr>
            <w:tcW w:w="781"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Extremo</w:t>
            </w:r>
          </w:p>
        </w:tc>
        <w:tc>
          <w:tcPr>
            <w:tcW w:w="1076" w:type="dxa"/>
            <w:tcBorders>
              <w:top w:val="nil"/>
              <w:left w:val="nil"/>
              <w:bottom w:val="single" w:sz="4" w:space="0" w:color="auto"/>
              <w:right w:val="single" w:sz="4" w:space="0" w:color="auto"/>
            </w:tcBorders>
            <w:shd w:val="clear" w:color="000000"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No Extremo</w:t>
            </w:r>
          </w:p>
        </w:tc>
        <w:tc>
          <w:tcPr>
            <w:tcW w:w="856" w:type="dxa"/>
            <w:vMerge/>
            <w:tcBorders>
              <w:top w:val="nil"/>
              <w:left w:val="single" w:sz="4" w:space="0" w:color="auto"/>
              <w:bottom w:val="single" w:sz="4" w:space="0" w:color="auto"/>
              <w:right w:val="single" w:sz="4" w:space="0" w:color="auto"/>
            </w:tcBorders>
            <w:vAlign w:val="center"/>
          </w:tcPr>
          <w:p w:rsidR="00DC449F" w:rsidRPr="007226D7" w:rsidRDefault="00DC449F" w:rsidP="007572D7">
            <w:pPr>
              <w:spacing w:after="0" w:line="240" w:lineRule="auto"/>
              <w:rPr>
                <w:rFonts w:cs="Arial"/>
                <w:b/>
                <w:bCs/>
                <w:color w:val="000000"/>
                <w:sz w:val="16"/>
                <w:szCs w:val="16"/>
                <w:lang w:eastAsia="es-ES"/>
              </w:rPr>
            </w:pP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Perú</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29,132,013</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0.39</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34.8</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11.5</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23.3</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65.2</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Dpto. Lima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8,981,440</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0.35</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15.4</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0.8</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14.7</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84.6</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Prov. Lima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8,095,747</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0.36</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17.5</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0.8</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16.7</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82.5</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Prov. Callao</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926788</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0.28</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15.0</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0.6</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14.4</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85.0</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Callao</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425,326</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0.27</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13.2</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w:t>
            </w:r>
            <w:proofErr w:type="gramStart"/>
            <w:r w:rsidRPr="007226D7">
              <w:rPr>
                <w:rFonts w:cs="Arial"/>
                <w:color w:val="000000"/>
                <w:sz w:val="16"/>
                <w:szCs w:val="16"/>
              </w:rPr>
              <w:t>4</w:t>
            </w:r>
            <w:proofErr w:type="gramEnd"/>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12.7</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86.8</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rPr>
            </w:pPr>
            <w:r w:rsidRPr="007226D7">
              <w:rPr>
                <w:rFonts w:cs="Arial"/>
                <w:color w:val="000000"/>
                <w:sz w:val="16"/>
                <w:szCs w:val="16"/>
                <w:lang w:val="es-ES"/>
              </w:rPr>
              <w:t xml:space="preserve"> Dist. Carmen de la Legua Reynoso</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42,796</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0.26</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11.4</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w:t>
            </w:r>
            <w:proofErr w:type="gramStart"/>
            <w:r w:rsidRPr="007226D7">
              <w:rPr>
                <w:rFonts w:cs="Arial"/>
                <w:color w:val="000000"/>
                <w:sz w:val="16"/>
                <w:szCs w:val="16"/>
              </w:rPr>
              <w:t>3</w:t>
            </w:r>
            <w:proofErr w:type="gramEnd"/>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11.1</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88.6</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Bellavista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76,355</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0.26</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4.9</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w:t>
            </w:r>
            <w:proofErr w:type="gramStart"/>
            <w:r w:rsidRPr="007226D7">
              <w:rPr>
                <w:rFonts w:cs="Arial"/>
                <w:color w:val="000000"/>
                <w:sz w:val="16"/>
                <w:szCs w:val="16"/>
              </w:rPr>
              <w:t>1</w:t>
            </w:r>
            <w:proofErr w:type="gramEnd"/>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4.8</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95.1</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La Perla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62,643</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0.26</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4.1</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w:t>
            </w:r>
            <w:proofErr w:type="gramStart"/>
            <w:r w:rsidRPr="007226D7">
              <w:rPr>
                <w:rFonts w:cs="Arial"/>
                <w:color w:val="000000"/>
                <w:sz w:val="16"/>
                <w:szCs w:val="16"/>
              </w:rPr>
              <w:t>1</w:t>
            </w:r>
            <w:proofErr w:type="gramEnd"/>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4.1</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95.9</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Miguel</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134,666</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0.31</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2.3</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0.1</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2.3</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97.7</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Lima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302,056</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0.30</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12.3</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0.5</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11.8</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87.7</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Breña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82,987</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0.28</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8.5</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8.3</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91.5</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Jesús María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71,139</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0.31</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1.7</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0.0</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1.7</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98.3</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La Victoria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193,592</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0.29</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14.9</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0.6</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14.3</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85.1</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El Agustino</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188,138</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0.27</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22.1</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1.0</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21.1</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77.9</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San Luis</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57,080</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0.29</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7.1</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w:t>
            </w:r>
            <w:proofErr w:type="gramStart"/>
            <w:r w:rsidRPr="007226D7">
              <w:rPr>
                <w:rFonts w:cs="Arial"/>
                <w:color w:val="000000"/>
                <w:sz w:val="16"/>
                <w:szCs w:val="16"/>
              </w:rPr>
              <w:t>2</w:t>
            </w:r>
            <w:proofErr w:type="gramEnd"/>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6.8</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92.9</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w:t>
            </w:r>
            <w:proofErr w:type="gramStart"/>
            <w:r w:rsidRPr="007226D7">
              <w:rPr>
                <w:rFonts w:cs="Arial"/>
                <w:color w:val="000000"/>
                <w:sz w:val="16"/>
                <w:szCs w:val="16"/>
              </w:rPr>
              <w:t xml:space="preserve">Santa </w:t>
            </w:r>
            <w:proofErr w:type="gramEnd"/>
            <w:r w:rsidRPr="007226D7">
              <w:rPr>
                <w:rFonts w:cs="Arial"/>
                <w:color w:val="000000"/>
                <w:sz w:val="16"/>
                <w:szCs w:val="16"/>
              </w:rPr>
              <w:t>Anita</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199,282</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0.27</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12.0</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0.3</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11.7</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88.0</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rPr>
            </w:pPr>
            <w:r w:rsidRPr="007226D7">
              <w:rPr>
                <w:rFonts w:cs="Arial"/>
                <w:color w:val="000000"/>
                <w:sz w:val="16"/>
                <w:szCs w:val="16"/>
              </w:rPr>
              <w:t xml:space="preserve"> Dist. Ate</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color w:val="000000"/>
                <w:sz w:val="16"/>
                <w:szCs w:val="16"/>
              </w:rPr>
            </w:pPr>
            <w:r w:rsidRPr="007226D7">
              <w:rPr>
                <w:rFonts w:cs="Arial"/>
                <w:color w:val="000000"/>
                <w:sz w:val="16"/>
                <w:szCs w:val="16"/>
              </w:rPr>
              <w:t>521,692</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0.29</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18.9</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0.7</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18.2</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color w:val="000000"/>
                <w:sz w:val="16"/>
                <w:szCs w:val="16"/>
              </w:rPr>
            </w:pPr>
            <w:r w:rsidRPr="007226D7">
              <w:rPr>
                <w:rFonts w:cs="Arial"/>
                <w:color w:val="000000"/>
                <w:sz w:val="16"/>
                <w:szCs w:val="16"/>
              </w:rPr>
              <w:t>81.1</w:t>
            </w:r>
          </w:p>
        </w:tc>
      </w:tr>
      <w:tr w:rsidR="00DC449F" w:rsidRPr="007226D7" w:rsidTr="007572D7">
        <w:trPr>
          <w:trHeight w:val="227"/>
        </w:trPr>
        <w:tc>
          <w:tcPr>
            <w:tcW w:w="3016"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b/>
                <w:bCs/>
                <w:color w:val="000000"/>
                <w:sz w:val="16"/>
                <w:szCs w:val="16"/>
              </w:rPr>
            </w:pPr>
            <w:r w:rsidRPr="007226D7">
              <w:rPr>
                <w:rFonts w:cs="Arial"/>
                <w:b/>
                <w:bCs/>
                <w:color w:val="000000"/>
                <w:sz w:val="16"/>
                <w:szCs w:val="16"/>
              </w:rPr>
              <w:t xml:space="preserve"> Total Distritos</w:t>
            </w:r>
          </w:p>
        </w:tc>
        <w:tc>
          <w:tcPr>
            <w:tcW w:w="1109"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right"/>
              <w:rPr>
                <w:rFonts w:cs="Arial"/>
                <w:b/>
                <w:bCs/>
                <w:color w:val="000000"/>
                <w:sz w:val="16"/>
                <w:szCs w:val="16"/>
              </w:rPr>
            </w:pPr>
            <w:r w:rsidRPr="007226D7">
              <w:rPr>
                <w:rFonts w:cs="Arial"/>
                <w:b/>
                <w:bCs/>
                <w:color w:val="000000"/>
                <w:sz w:val="16"/>
                <w:szCs w:val="16"/>
              </w:rPr>
              <w:t>2,357,752</w:t>
            </w:r>
          </w:p>
        </w:tc>
        <w:tc>
          <w:tcPr>
            <w:tcW w:w="114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0.28</w:t>
            </w:r>
          </w:p>
        </w:tc>
        <w:tc>
          <w:tcPr>
            <w:tcW w:w="1162"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13.3</w:t>
            </w:r>
          </w:p>
        </w:tc>
        <w:tc>
          <w:tcPr>
            <w:tcW w:w="781"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0.4</w:t>
            </w:r>
          </w:p>
        </w:tc>
        <w:tc>
          <w:tcPr>
            <w:tcW w:w="107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12.9</w:t>
            </w:r>
          </w:p>
        </w:tc>
        <w:tc>
          <w:tcPr>
            <w:tcW w:w="856"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color w:val="000000"/>
                <w:sz w:val="16"/>
                <w:szCs w:val="16"/>
              </w:rPr>
            </w:pPr>
            <w:r w:rsidRPr="007226D7">
              <w:rPr>
                <w:rFonts w:cs="Arial"/>
                <w:b/>
                <w:bCs/>
                <w:color w:val="000000"/>
                <w:sz w:val="16"/>
                <w:szCs w:val="16"/>
              </w:rPr>
              <w:t>86.7</w:t>
            </w:r>
          </w:p>
        </w:tc>
      </w:tr>
      <w:tr w:rsidR="00DC449F" w:rsidRPr="0013314C" w:rsidTr="007572D7">
        <w:trPr>
          <w:trHeight w:val="227"/>
        </w:trPr>
        <w:tc>
          <w:tcPr>
            <w:tcW w:w="9146" w:type="dxa"/>
            <w:gridSpan w:val="7"/>
            <w:tcBorders>
              <w:top w:val="single" w:sz="4" w:space="0" w:color="auto"/>
              <w:left w:val="nil"/>
              <w:bottom w:val="nil"/>
              <w:right w:val="nil"/>
            </w:tcBorders>
            <w:shd w:val="clear" w:color="auto" w:fill="auto"/>
            <w:noWrap/>
            <w:vAlign w:val="center"/>
          </w:tcPr>
          <w:p w:rsidR="00DC449F" w:rsidRPr="007226D7" w:rsidRDefault="00DC449F" w:rsidP="007572D7">
            <w:pPr>
              <w:spacing w:after="0" w:line="240" w:lineRule="auto"/>
              <w:rPr>
                <w:rFonts w:cs="Arial"/>
                <w:color w:val="000000"/>
                <w:sz w:val="14"/>
                <w:szCs w:val="14"/>
                <w:lang w:val="es-ES" w:eastAsia="es-ES"/>
              </w:rPr>
            </w:pPr>
            <w:r w:rsidRPr="007226D7">
              <w:rPr>
                <w:rFonts w:cs="Arial"/>
                <w:color w:val="000000"/>
                <w:sz w:val="14"/>
                <w:szCs w:val="14"/>
                <w:lang w:val="es-ES" w:eastAsia="es-ES"/>
              </w:rPr>
              <w:t>Fuente: INEI: Mapa de Pobreza Provincial y Distrital 2009</w:t>
            </w:r>
          </w:p>
        </w:tc>
      </w:tr>
    </w:tbl>
    <w:p w:rsidR="00DC449F" w:rsidRPr="007226D7" w:rsidRDefault="00DC449F">
      <w:pPr>
        <w:spacing w:after="0" w:line="240" w:lineRule="auto"/>
        <w:jc w:val="left"/>
        <w:rPr>
          <w:lang w:val="es-ES"/>
        </w:rPr>
      </w:pPr>
      <w:r w:rsidRPr="007226D7">
        <w:rPr>
          <w:lang w:val="es-ES"/>
        </w:rPr>
        <w:br w:type="page"/>
      </w:r>
    </w:p>
    <w:p w:rsidR="0056369A" w:rsidRPr="007226D7" w:rsidRDefault="0056369A" w:rsidP="00DC449F">
      <w:pPr>
        <w:pStyle w:val="Heading6"/>
        <w:rPr>
          <w:lang w:val="es-ES"/>
        </w:rPr>
      </w:pPr>
      <w:r w:rsidRPr="007226D7">
        <w:rPr>
          <w:lang w:val="es-ES"/>
        </w:rPr>
        <w:lastRenderedPageBreak/>
        <w:t>Desarrollo humano</w:t>
      </w:r>
    </w:p>
    <w:p w:rsidR="0056369A" w:rsidRPr="007226D7" w:rsidRDefault="0056369A" w:rsidP="00DC449F">
      <w:pPr>
        <w:rPr>
          <w:lang w:val="es-ES"/>
        </w:rPr>
      </w:pPr>
      <w:r w:rsidRPr="007226D7">
        <w:rPr>
          <w:lang w:val="es-ES"/>
        </w:rPr>
        <w:t>El análisis del desarrollo humano en el ámbito de influencia del estudio se realizara a través del Índice anual del Desarrollo Humano (IDH) que mide el promedio del progreso de las naciones basado en tres dimensiones básicas: una vida larga y saludable (medido por la esperanza de vida al nacer), conocimientos (tasa de alfabetización, % de matriculados y el logro educativo) y un nivel de vida digno (niveles de ingreso).</w:t>
      </w:r>
    </w:p>
    <w:p w:rsidR="00DC449F" w:rsidRPr="007226D7" w:rsidRDefault="00DC449F" w:rsidP="0056369A">
      <w:pPr>
        <w:rPr>
          <w:lang w:val="es-ES"/>
        </w:rPr>
      </w:pPr>
    </w:p>
    <w:p w:rsidR="0056369A" w:rsidRPr="007226D7" w:rsidRDefault="0056369A" w:rsidP="0056369A">
      <w:pPr>
        <w:rPr>
          <w:lang w:val="es-ES"/>
        </w:rPr>
      </w:pPr>
      <w:r w:rsidRPr="007226D7">
        <w:rPr>
          <w:lang w:val="es-ES"/>
        </w:rPr>
        <w:t>De acuerdo a la clasificación del PNUD existen tres niveles de IDH: el IDH alto con valores que varían desde 0.801 al 1.000, el IDH medio cuyo índice varía desde 0.501 a 0.800 y el IDH bajo cuyos valores fluctúan entre 0 y 0.500.</w:t>
      </w:r>
    </w:p>
    <w:p w:rsidR="00DC449F" w:rsidRPr="007226D7" w:rsidRDefault="00DC449F" w:rsidP="0056369A">
      <w:pPr>
        <w:rPr>
          <w:lang w:val="es-ES"/>
        </w:rPr>
      </w:pPr>
    </w:p>
    <w:p w:rsidR="00DC449F" w:rsidRPr="007226D7" w:rsidRDefault="00DC449F" w:rsidP="0056369A">
      <w:pPr>
        <w:rPr>
          <w:rFonts w:cs="Arial"/>
          <w:lang w:val="es-ES"/>
        </w:rPr>
      </w:pPr>
      <w:r w:rsidRPr="007226D7">
        <w:rPr>
          <w:rFonts w:cs="Arial"/>
          <w:lang w:val="es-ES"/>
        </w:rPr>
        <w:t>Según los resultados del estudio realizado por el PNUD</w:t>
      </w:r>
      <w:r w:rsidRPr="007226D7">
        <w:rPr>
          <w:rStyle w:val="FootnoteReference"/>
          <w:rFonts w:cs="Arial"/>
        </w:rPr>
        <w:footnoteReference w:id="5"/>
      </w:r>
      <w:r w:rsidRPr="007226D7">
        <w:rPr>
          <w:rFonts w:cs="Arial"/>
          <w:lang w:val="es-ES"/>
        </w:rPr>
        <w:t xml:space="preserve"> para el año 2009, los resultados del IDH muestran que el distrito que tiene el más alto índice de desarrollo humano (IDH) es Jesús María (0.7359) y el menor índice corresponde al distrito de Ate (0.6692). Todos los distritos ubicados en el área de influencia se presentan un IDH medio</w:t>
      </w:r>
    </w:p>
    <w:p w:rsidR="00DC449F" w:rsidRPr="007226D7" w:rsidRDefault="00DC449F" w:rsidP="0056369A">
      <w:pPr>
        <w:rPr>
          <w:rFonts w:cs="Arial"/>
          <w:lang w:val="es-ES"/>
        </w:rPr>
      </w:pPr>
    </w:p>
    <w:tbl>
      <w:tblPr>
        <w:tblW w:w="6099" w:type="dxa"/>
        <w:tblInd w:w="1630" w:type="dxa"/>
        <w:tblCellMar>
          <w:left w:w="70" w:type="dxa"/>
          <w:right w:w="70" w:type="dxa"/>
        </w:tblCellMar>
        <w:tblLook w:val="04A0" w:firstRow="1" w:lastRow="0" w:firstColumn="1" w:lastColumn="0" w:noHBand="0" w:noVBand="1"/>
      </w:tblPr>
      <w:tblGrid>
        <w:gridCol w:w="4064"/>
        <w:gridCol w:w="1237"/>
        <w:gridCol w:w="798"/>
      </w:tblGrid>
      <w:tr w:rsidR="00DC449F" w:rsidRPr="0013314C" w:rsidTr="007572D7">
        <w:trPr>
          <w:trHeight w:val="227"/>
        </w:trPr>
        <w:tc>
          <w:tcPr>
            <w:tcW w:w="6099" w:type="dxa"/>
            <w:gridSpan w:val="3"/>
            <w:tcBorders>
              <w:top w:val="nil"/>
              <w:left w:val="nil"/>
              <w:bottom w:val="single" w:sz="4" w:space="0" w:color="auto"/>
              <w:right w:val="nil"/>
            </w:tcBorders>
            <w:shd w:val="clear" w:color="auto" w:fill="auto"/>
            <w:noWrap/>
            <w:vAlign w:val="bottom"/>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Tabla 3.1-48  Índice de Desarrollo Humano 2007</w:t>
            </w:r>
          </w:p>
        </w:tc>
      </w:tr>
      <w:tr w:rsidR="00DC449F" w:rsidRPr="007226D7" w:rsidTr="007572D7">
        <w:trPr>
          <w:trHeight w:val="227"/>
        </w:trPr>
        <w:tc>
          <w:tcPr>
            <w:tcW w:w="4064" w:type="dxa"/>
            <w:tcBorders>
              <w:top w:val="single" w:sz="4" w:space="0" w:color="auto"/>
              <w:left w:val="single" w:sz="4" w:space="0" w:color="auto"/>
              <w:bottom w:val="single" w:sz="4" w:space="0" w:color="auto"/>
              <w:right w:val="single" w:sz="4" w:space="0" w:color="auto"/>
            </w:tcBorders>
            <w:shd w:val="clear" w:color="auto" w:fill="99CCFF"/>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Ubicación</w:t>
            </w:r>
          </w:p>
        </w:tc>
        <w:tc>
          <w:tcPr>
            <w:tcW w:w="1237" w:type="dxa"/>
            <w:tcBorders>
              <w:top w:val="single" w:sz="4" w:space="0" w:color="auto"/>
              <w:left w:val="nil"/>
              <w:bottom w:val="single" w:sz="4" w:space="0" w:color="auto"/>
              <w:right w:val="nil"/>
            </w:tcBorders>
            <w:shd w:val="clear" w:color="auto"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Población</w:t>
            </w:r>
          </w:p>
        </w:tc>
        <w:tc>
          <w:tcPr>
            <w:tcW w:w="798" w:type="dxa"/>
            <w:tcBorders>
              <w:top w:val="single" w:sz="4" w:space="0" w:color="auto"/>
              <w:left w:val="single" w:sz="4" w:space="0" w:color="auto"/>
              <w:bottom w:val="single" w:sz="4" w:space="0" w:color="auto"/>
              <w:right w:val="single" w:sz="4" w:space="0" w:color="auto"/>
            </w:tcBorders>
            <w:shd w:val="clear" w:color="auto" w:fill="99CCFF"/>
            <w:noWrap/>
            <w:vAlign w:val="center"/>
          </w:tcPr>
          <w:p w:rsidR="00DC449F" w:rsidRPr="007226D7" w:rsidRDefault="00DC449F" w:rsidP="007572D7">
            <w:pPr>
              <w:spacing w:after="0" w:line="240" w:lineRule="auto"/>
              <w:jc w:val="center"/>
              <w:rPr>
                <w:rFonts w:cs="Arial"/>
                <w:b/>
                <w:bCs/>
                <w:color w:val="000000"/>
                <w:sz w:val="16"/>
                <w:szCs w:val="16"/>
                <w:lang w:eastAsia="es-ES"/>
              </w:rPr>
            </w:pPr>
            <w:r w:rsidRPr="007226D7">
              <w:rPr>
                <w:rFonts w:cs="Arial"/>
                <w:b/>
                <w:bCs/>
                <w:color w:val="000000"/>
                <w:sz w:val="16"/>
                <w:szCs w:val="16"/>
                <w:lang w:eastAsia="es-ES"/>
              </w:rPr>
              <w:t>IDH</w:t>
            </w:r>
          </w:p>
        </w:tc>
      </w:tr>
      <w:tr w:rsidR="00DC449F" w:rsidRPr="007226D7" w:rsidTr="007572D7">
        <w:trPr>
          <w:trHeight w:val="227"/>
        </w:trPr>
        <w:tc>
          <w:tcPr>
            <w:tcW w:w="406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Dpto. Lima</w:t>
            </w:r>
          </w:p>
        </w:tc>
        <w:tc>
          <w:tcPr>
            <w:tcW w:w="1237" w:type="dxa"/>
            <w:tcBorders>
              <w:top w:val="single" w:sz="4" w:space="0" w:color="auto"/>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8,445,211</w:t>
            </w:r>
          </w:p>
        </w:tc>
        <w:tc>
          <w:tcPr>
            <w:tcW w:w="798" w:type="dxa"/>
            <w:tcBorders>
              <w:top w:val="single" w:sz="4" w:space="0" w:color="auto"/>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b/>
                <w:bCs/>
                <w:sz w:val="16"/>
                <w:szCs w:val="16"/>
                <w:lang w:eastAsia="es-ES"/>
              </w:rPr>
            </w:pPr>
            <w:r w:rsidRPr="007226D7">
              <w:rPr>
                <w:rFonts w:cs="Arial"/>
                <w:b/>
                <w:bCs/>
                <w:sz w:val="16"/>
                <w:szCs w:val="16"/>
                <w:lang w:eastAsia="es-ES"/>
              </w:rPr>
              <w:t>0.6788</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Prov. Lima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rPr>
              <w:t>7,605,742</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0.7166</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Prov. Callao</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876,877</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0.6803</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Callao</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415,888</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0.6801</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val="es-ES" w:eastAsia="es-ES"/>
              </w:rPr>
            </w:pPr>
            <w:r w:rsidRPr="007226D7">
              <w:rPr>
                <w:rFonts w:cs="Arial"/>
                <w:color w:val="000000"/>
                <w:sz w:val="16"/>
                <w:szCs w:val="16"/>
                <w:lang w:val="es-ES" w:eastAsia="es-ES"/>
              </w:rPr>
              <w:t xml:space="preserve"> Dist. Carmen de la Legua Reynoso</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41,863</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0.6775</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Bellavista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75,163</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0.7129</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Perla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61,698</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0.7166</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Miguel</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rPr>
            </w:pPr>
            <w:r w:rsidRPr="007226D7">
              <w:rPr>
                <w:rFonts w:cs="Arial"/>
                <w:sz w:val="16"/>
                <w:szCs w:val="16"/>
              </w:rPr>
              <w:t>129,107</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rPr>
            </w:pPr>
            <w:r w:rsidRPr="007226D7">
              <w:rPr>
                <w:rFonts w:cs="Arial"/>
                <w:sz w:val="16"/>
                <w:szCs w:val="16"/>
              </w:rPr>
              <w:t>0.7273</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Lima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299,493</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0.6972</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Breña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81,909</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0.7098</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Jesús María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66,171</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0.7359</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La Victoria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192,724</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0.6898</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El Agustino</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180,262</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0.6699</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San Luis</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54,634</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0.7043</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w:t>
            </w:r>
            <w:proofErr w:type="gramStart"/>
            <w:r w:rsidRPr="007226D7">
              <w:rPr>
                <w:rFonts w:cs="Arial"/>
                <w:color w:val="000000"/>
                <w:sz w:val="16"/>
                <w:szCs w:val="16"/>
                <w:lang w:eastAsia="es-ES"/>
              </w:rPr>
              <w:t xml:space="preserve">Santa </w:t>
            </w:r>
            <w:proofErr w:type="gramEnd"/>
            <w:r w:rsidRPr="007226D7">
              <w:rPr>
                <w:rFonts w:cs="Arial"/>
                <w:color w:val="000000"/>
                <w:sz w:val="16"/>
                <w:szCs w:val="16"/>
                <w:lang w:eastAsia="es-ES"/>
              </w:rPr>
              <w:t>Anita</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184,614</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0.6770</w:t>
            </w:r>
          </w:p>
        </w:tc>
      </w:tr>
      <w:tr w:rsidR="00DC449F" w:rsidRPr="007226D7" w:rsidTr="007572D7">
        <w:trPr>
          <w:trHeight w:val="227"/>
        </w:trPr>
        <w:tc>
          <w:tcPr>
            <w:tcW w:w="4064" w:type="dxa"/>
            <w:tcBorders>
              <w:top w:val="nil"/>
              <w:left w:val="single" w:sz="4" w:space="0" w:color="auto"/>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rPr>
                <w:rFonts w:cs="Arial"/>
                <w:color w:val="000000"/>
                <w:sz w:val="16"/>
                <w:szCs w:val="16"/>
                <w:lang w:eastAsia="es-ES"/>
              </w:rPr>
            </w:pPr>
            <w:r w:rsidRPr="007226D7">
              <w:rPr>
                <w:rFonts w:cs="Arial"/>
                <w:color w:val="000000"/>
                <w:sz w:val="16"/>
                <w:szCs w:val="16"/>
                <w:lang w:eastAsia="es-ES"/>
              </w:rPr>
              <w:t xml:space="preserve"> Dist. Ate</w:t>
            </w:r>
          </w:p>
        </w:tc>
        <w:tc>
          <w:tcPr>
            <w:tcW w:w="1237"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478,278</w:t>
            </w:r>
          </w:p>
        </w:tc>
        <w:tc>
          <w:tcPr>
            <w:tcW w:w="798" w:type="dxa"/>
            <w:tcBorders>
              <w:top w:val="nil"/>
              <w:left w:val="nil"/>
              <w:bottom w:val="single" w:sz="4" w:space="0" w:color="auto"/>
              <w:right w:val="single" w:sz="4" w:space="0" w:color="auto"/>
            </w:tcBorders>
            <w:shd w:val="clear" w:color="auto" w:fill="auto"/>
            <w:noWrap/>
            <w:vAlign w:val="center"/>
          </w:tcPr>
          <w:p w:rsidR="00DC449F" w:rsidRPr="007226D7" w:rsidRDefault="00DC449F" w:rsidP="007572D7">
            <w:pPr>
              <w:spacing w:after="0" w:line="240" w:lineRule="auto"/>
              <w:jc w:val="center"/>
              <w:rPr>
                <w:rFonts w:cs="Arial"/>
                <w:sz w:val="16"/>
                <w:szCs w:val="16"/>
                <w:lang w:eastAsia="es-ES"/>
              </w:rPr>
            </w:pPr>
            <w:r w:rsidRPr="007226D7">
              <w:rPr>
                <w:rFonts w:cs="Arial"/>
                <w:sz w:val="16"/>
                <w:szCs w:val="16"/>
                <w:lang w:eastAsia="es-ES"/>
              </w:rPr>
              <w:t>0.6692</w:t>
            </w:r>
          </w:p>
        </w:tc>
      </w:tr>
      <w:tr w:rsidR="00DC449F" w:rsidRPr="0013314C" w:rsidTr="007572D7">
        <w:trPr>
          <w:trHeight w:val="227"/>
        </w:trPr>
        <w:tc>
          <w:tcPr>
            <w:tcW w:w="6099" w:type="dxa"/>
            <w:gridSpan w:val="3"/>
            <w:tcBorders>
              <w:top w:val="nil"/>
              <w:left w:val="nil"/>
              <w:bottom w:val="nil"/>
              <w:right w:val="nil"/>
            </w:tcBorders>
            <w:shd w:val="clear" w:color="auto" w:fill="auto"/>
            <w:noWrap/>
            <w:vAlign w:val="center"/>
          </w:tcPr>
          <w:p w:rsidR="00DC449F" w:rsidRPr="007226D7" w:rsidRDefault="00DC449F" w:rsidP="007572D7">
            <w:pPr>
              <w:spacing w:after="0" w:line="240" w:lineRule="auto"/>
              <w:rPr>
                <w:rFonts w:cs="Arial"/>
                <w:sz w:val="14"/>
                <w:szCs w:val="14"/>
                <w:lang w:val="es-ES" w:eastAsia="es-ES"/>
              </w:rPr>
            </w:pPr>
            <w:r w:rsidRPr="007226D7">
              <w:rPr>
                <w:rFonts w:cs="Arial"/>
                <w:sz w:val="14"/>
                <w:szCs w:val="14"/>
                <w:lang w:val="es-ES" w:eastAsia="es-ES"/>
              </w:rPr>
              <w:t xml:space="preserve">Fuente: PNUD: Informe sobre Desarrollo Humano </w:t>
            </w:r>
          </w:p>
        </w:tc>
      </w:tr>
    </w:tbl>
    <w:p w:rsidR="0056369A" w:rsidRPr="007226D7" w:rsidRDefault="0056369A" w:rsidP="0056369A">
      <w:pPr>
        <w:rPr>
          <w:lang w:val="es-ES"/>
        </w:rPr>
      </w:pPr>
    </w:p>
    <w:p w:rsidR="0056369A" w:rsidRPr="007226D7" w:rsidRDefault="00DC449F" w:rsidP="00DC449F">
      <w:pPr>
        <w:jc w:val="center"/>
        <w:rPr>
          <w:lang w:val="es-ES"/>
        </w:rPr>
      </w:pPr>
      <w:r w:rsidRPr="007226D7">
        <w:rPr>
          <w:noProof/>
          <w:lang w:val="en-US" w:eastAsia="en-US"/>
        </w:rPr>
        <w:lastRenderedPageBreak/>
        <w:drawing>
          <wp:inline distT="0" distB="0" distL="0" distR="0" wp14:anchorId="5E5F4732" wp14:editId="083B433A">
            <wp:extent cx="4337154" cy="2274953"/>
            <wp:effectExtent l="19050" t="0" r="6246" b="0"/>
            <wp:docPr id="178"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42045" cy="2277518"/>
                    </a:xfrm>
                    <a:prstGeom prst="rect">
                      <a:avLst/>
                    </a:prstGeom>
                    <a:noFill/>
                    <a:ln>
                      <a:noFill/>
                    </a:ln>
                  </pic:spPr>
                </pic:pic>
              </a:graphicData>
            </a:graphic>
          </wp:inline>
        </w:drawing>
      </w:r>
    </w:p>
    <w:p w:rsidR="0056369A" w:rsidRPr="007226D7" w:rsidRDefault="0056369A" w:rsidP="0073326C">
      <w:pPr>
        <w:pStyle w:val="Figuras"/>
        <w:spacing w:after="120"/>
      </w:pPr>
      <w:r w:rsidRPr="007226D7">
        <w:t xml:space="preserve"> Figura 3.1-23  Índice De Desarrollo Humano Distrital</w:t>
      </w:r>
    </w:p>
    <w:p w:rsidR="0056369A" w:rsidRPr="007226D7" w:rsidRDefault="0056369A" w:rsidP="0073326C">
      <w:pPr>
        <w:spacing w:after="0" w:line="240" w:lineRule="auto"/>
        <w:rPr>
          <w:lang w:val="es-ES"/>
        </w:rPr>
      </w:pPr>
    </w:p>
    <w:p w:rsidR="0056369A" w:rsidRPr="007226D7" w:rsidRDefault="0056369A" w:rsidP="0073326C">
      <w:pPr>
        <w:pStyle w:val="Heading5"/>
        <w:spacing w:before="120"/>
        <w:rPr>
          <w:lang w:val="es-ES"/>
        </w:rPr>
      </w:pPr>
      <w:r w:rsidRPr="007226D7">
        <w:rPr>
          <w:lang w:val="es-ES"/>
        </w:rPr>
        <w:t>Nivel de ingreso</w:t>
      </w:r>
    </w:p>
    <w:p w:rsidR="00DC449F" w:rsidRPr="007226D7" w:rsidRDefault="00DC449F" w:rsidP="00DC449F">
      <w:pPr>
        <w:rPr>
          <w:lang w:val="es-ES"/>
        </w:rPr>
      </w:pPr>
      <w:r w:rsidRPr="007226D7">
        <w:rPr>
          <w:lang w:val="es-ES"/>
        </w:rPr>
        <w:t>Según información del INEI</w:t>
      </w:r>
      <w:r w:rsidRPr="007226D7">
        <w:rPr>
          <w:rStyle w:val="FootnoteReference"/>
          <w:rFonts w:cs="Arial"/>
        </w:rPr>
        <w:footnoteReference w:id="6"/>
      </w:r>
      <w:r w:rsidRPr="007226D7">
        <w:rPr>
          <w:lang w:val="es-ES"/>
        </w:rPr>
        <w:t xml:space="preserve"> los ingresos promedio por trabajo en el año 2010 para Lima Metropolitana y la Provincia Constitucional del Callao  ascendieron a S/. 1,289.2 mensuales con un crecimiento promedio de 3.3% en el periodo 2001-2010, la base de datos de la información proviene de la Encuesta Nacional de Hogares (ENAHO). (Ver Tabla 3.1-49)</w:t>
      </w:r>
    </w:p>
    <w:p w:rsidR="00DC449F" w:rsidRPr="007226D7" w:rsidRDefault="00DC449F" w:rsidP="00DC449F">
      <w:pPr>
        <w:rPr>
          <w:lang w:val="es-ES"/>
        </w:rPr>
      </w:pPr>
    </w:p>
    <w:p w:rsidR="0056369A" w:rsidRPr="007226D7" w:rsidRDefault="0056369A" w:rsidP="0056369A">
      <w:pPr>
        <w:rPr>
          <w:lang w:val="es-ES"/>
        </w:rPr>
      </w:pPr>
      <w:r w:rsidRPr="007226D7">
        <w:rPr>
          <w:lang w:val="es-ES"/>
        </w:rPr>
        <w:t>En el periodo Julio-Agosto-Setiembre 2012 el ingreso promedio de la población en Lima Metropolitana ascendió a S/. 1,307 mensuales. El ingreso promedio mensual de los hombres alcanzó a 1 532,4 nuevos soles y de las mujeres 1 013,5 nuevos soles. (Ver Tabla 3.1-50)</w:t>
      </w:r>
    </w:p>
    <w:p w:rsidR="00DC449F" w:rsidRPr="007226D7" w:rsidRDefault="00DC449F" w:rsidP="0056369A">
      <w:pPr>
        <w:rPr>
          <w:lang w:val="es-ES"/>
        </w:rPr>
      </w:pPr>
    </w:p>
    <w:tbl>
      <w:tblPr>
        <w:tblW w:w="9498" w:type="dxa"/>
        <w:tblInd w:w="70" w:type="dxa"/>
        <w:tblCellMar>
          <w:left w:w="70" w:type="dxa"/>
          <w:right w:w="70" w:type="dxa"/>
        </w:tblCellMar>
        <w:tblLook w:val="04A0" w:firstRow="1" w:lastRow="0" w:firstColumn="1" w:lastColumn="0" w:noHBand="0" w:noVBand="1"/>
      </w:tblPr>
      <w:tblGrid>
        <w:gridCol w:w="1724"/>
        <w:gridCol w:w="554"/>
        <w:gridCol w:w="674"/>
        <w:gridCol w:w="674"/>
        <w:gridCol w:w="674"/>
        <w:gridCol w:w="674"/>
        <w:gridCol w:w="674"/>
        <w:gridCol w:w="674"/>
        <w:gridCol w:w="674"/>
        <w:gridCol w:w="674"/>
        <w:gridCol w:w="674"/>
        <w:gridCol w:w="1154"/>
      </w:tblGrid>
      <w:tr w:rsidR="00DC449F" w:rsidRPr="0013314C" w:rsidTr="007572D7">
        <w:trPr>
          <w:trHeight w:val="170"/>
        </w:trPr>
        <w:tc>
          <w:tcPr>
            <w:tcW w:w="9498" w:type="dxa"/>
            <w:gridSpan w:val="12"/>
            <w:tcBorders>
              <w:top w:val="nil"/>
              <w:left w:val="nil"/>
              <w:bottom w:val="single" w:sz="4" w:space="0" w:color="auto"/>
              <w:right w:val="nil"/>
            </w:tcBorders>
            <w:shd w:val="clear" w:color="auto" w:fill="auto"/>
            <w:noWrap/>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Tabla  3.1-49  Perú: Ingreso promedio mensual por trabajo 2001-2010 (Nuevos soles corrientes)</w:t>
            </w:r>
          </w:p>
        </w:tc>
      </w:tr>
      <w:tr w:rsidR="00DC449F" w:rsidRPr="007226D7" w:rsidTr="007572D7">
        <w:trPr>
          <w:trHeight w:val="170"/>
        </w:trPr>
        <w:tc>
          <w:tcPr>
            <w:tcW w:w="1724" w:type="dxa"/>
            <w:tcBorders>
              <w:top w:val="nil"/>
              <w:left w:val="single" w:sz="4" w:space="0" w:color="auto"/>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Ámbito geográfico</w:t>
            </w:r>
          </w:p>
        </w:tc>
        <w:tc>
          <w:tcPr>
            <w:tcW w:w="55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2001</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2002</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2003</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2004</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2005</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2006</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2007</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2008</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2009</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2010</w:t>
            </w:r>
          </w:p>
        </w:tc>
        <w:tc>
          <w:tcPr>
            <w:tcW w:w="115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Tasa crec. Prom. Anual</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b/>
                <w:bCs/>
                <w:sz w:val="16"/>
                <w:szCs w:val="16"/>
                <w:lang w:val="es-ES" w:eastAsia="es-ES"/>
              </w:rPr>
            </w:pPr>
            <w:r w:rsidRPr="007226D7">
              <w:rPr>
                <w:rFonts w:cs="Arial"/>
                <w:b/>
                <w:bCs/>
                <w:sz w:val="16"/>
                <w:szCs w:val="16"/>
                <w:lang w:val="es-ES" w:eastAsia="es-ES"/>
              </w:rPr>
              <w:t>Total</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633.8</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698.7</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716.2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679.1</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693.1</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733.0</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796.7</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893.2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959.3</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979.5</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5.0</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Lima Metropolitana 1/</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960.4</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1,107.2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1,196.7</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1,024.2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1,061.2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1,083.6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1,128.4</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1,245.8</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1,319.6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1,289.2</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3.3</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Resto de país</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474.1</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501.4</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470.2</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507.6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515.4</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555.3</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627.7</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711.0</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774.0</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820.0</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6.3</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 </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 </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 xml:space="preserve">Área de </w:t>
            </w:r>
            <w:r w:rsidR="00E41450" w:rsidRPr="007226D7">
              <w:rPr>
                <w:rFonts w:cs="Arial"/>
                <w:sz w:val="16"/>
                <w:szCs w:val="16"/>
                <w:lang w:val="es-ES" w:eastAsia="es-ES"/>
              </w:rPr>
              <w:t>residencia</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 </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 </w:t>
            </w:r>
          </w:p>
        </w:tc>
      </w:tr>
      <w:tr w:rsidR="00DC449F" w:rsidRPr="007226D7" w:rsidTr="007572D7">
        <w:trPr>
          <w:trHeight w:val="170"/>
        </w:trPr>
        <w:tc>
          <w:tcPr>
            <w:tcW w:w="172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Urbana</w:t>
            </w:r>
          </w:p>
        </w:tc>
        <w:tc>
          <w:tcPr>
            <w:tcW w:w="554"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761.6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844.8</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863.3</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802.6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820.7</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860.6</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929.5</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1,026.1</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1,097.1</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1,108.4</w:t>
            </w:r>
          </w:p>
        </w:tc>
        <w:tc>
          <w:tcPr>
            <w:tcW w:w="115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4.3</w:t>
            </w:r>
          </w:p>
        </w:tc>
      </w:tr>
      <w:tr w:rsidR="00DC449F" w:rsidRPr="007226D7" w:rsidTr="007572D7">
        <w:trPr>
          <w:trHeight w:val="170"/>
        </w:trPr>
        <w:tc>
          <w:tcPr>
            <w:tcW w:w="1724" w:type="dxa"/>
            <w:tcBorders>
              <w:top w:val="nil"/>
              <w:left w:val="single" w:sz="4" w:space="0" w:color="auto"/>
              <w:bottom w:val="single" w:sz="4" w:space="0" w:color="auto"/>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Rural</w:t>
            </w:r>
          </w:p>
        </w:tc>
        <w:tc>
          <w:tcPr>
            <w:tcW w:w="554" w:type="dxa"/>
            <w:tcBorders>
              <w:top w:val="nil"/>
              <w:left w:val="single" w:sz="4" w:space="0" w:color="auto"/>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287.1</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292.7</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275.7</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313.0</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310.1</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331.5</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368.6</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447.6</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490.4</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526.0</w:t>
            </w:r>
          </w:p>
        </w:tc>
        <w:tc>
          <w:tcPr>
            <w:tcW w:w="115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7.0</w:t>
            </w:r>
          </w:p>
        </w:tc>
      </w:tr>
      <w:tr w:rsidR="00DC449F" w:rsidRPr="0013314C" w:rsidTr="007572D7">
        <w:trPr>
          <w:trHeight w:val="170"/>
        </w:trPr>
        <w:tc>
          <w:tcPr>
            <w:tcW w:w="9498" w:type="dxa"/>
            <w:gridSpan w:val="12"/>
            <w:tcBorders>
              <w:top w:val="single" w:sz="4" w:space="0" w:color="auto"/>
              <w:left w:val="nil"/>
              <w:bottom w:val="nil"/>
              <w:right w:val="nil"/>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1/ Comprende: Provincia de Lima y Provincia Constitucional del Callao.</w:t>
            </w:r>
          </w:p>
        </w:tc>
      </w:tr>
    </w:tbl>
    <w:p w:rsidR="0056369A" w:rsidRPr="007226D7" w:rsidRDefault="0056369A" w:rsidP="0056369A">
      <w:pPr>
        <w:rPr>
          <w:lang w:val="es-ES"/>
        </w:rPr>
      </w:pPr>
    </w:p>
    <w:p w:rsidR="00DC449F" w:rsidRPr="007226D7" w:rsidRDefault="00DC449F">
      <w:pPr>
        <w:spacing w:after="0" w:line="240" w:lineRule="auto"/>
        <w:jc w:val="left"/>
        <w:rPr>
          <w:lang w:val="es-ES"/>
        </w:rPr>
      </w:pPr>
      <w:r w:rsidRPr="007226D7">
        <w:rPr>
          <w:lang w:val="es-ES"/>
        </w:rPr>
        <w:br w:type="page"/>
      </w:r>
    </w:p>
    <w:p w:rsidR="0056369A" w:rsidRPr="007226D7" w:rsidRDefault="0056369A" w:rsidP="00DC449F">
      <w:pPr>
        <w:pStyle w:val="Figuras"/>
      </w:pPr>
      <w:r w:rsidRPr="007226D7">
        <w:lastRenderedPageBreak/>
        <w:t>Tabla 3.1-50  Lima Metropolitana: Ingreso promedio mensual</w:t>
      </w:r>
      <w:r w:rsidR="00DC449F" w:rsidRPr="007226D7">
        <w:t xml:space="preserve">  </w:t>
      </w:r>
      <w:r w:rsidRPr="007226D7">
        <w:t>(Nuevos soles corrientes)</w:t>
      </w:r>
    </w:p>
    <w:tbl>
      <w:tblPr>
        <w:tblW w:w="4357" w:type="dxa"/>
        <w:jc w:val="center"/>
        <w:tblInd w:w="70" w:type="dxa"/>
        <w:tblCellMar>
          <w:left w:w="70" w:type="dxa"/>
          <w:right w:w="70" w:type="dxa"/>
        </w:tblCellMar>
        <w:tblLook w:val="04A0" w:firstRow="1" w:lastRow="0" w:firstColumn="1" w:lastColumn="0" w:noHBand="0" w:noVBand="1"/>
      </w:tblPr>
      <w:tblGrid>
        <w:gridCol w:w="1698"/>
        <w:gridCol w:w="674"/>
        <w:gridCol w:w="674"/>
        <w:gridCol w:w="692"/>
        <w:gridCol w:w="619"/>
      </w:tblGrid>
      <w:tr w:rsidR="00DC449F" w:rsidRPr="007226D7" w:rsidTr="007572D7">
        <w:trPr>
          <w:trHeight w:val="170"/>
          <w:jc w:val="center"/>
        </w:trPr>
        <w:tc>
          <w:tcPr>
            <w:tcW w:w="1698" w:type="dxa"/>
            <w:vMerge w:val="restart"/>
            <w:tcBorders>
              <w:top w:val="single" w:sz="4" w:space="0" w:color="auto"/>
              <w:left w:val="single" w:sz="4" w:space="0" w:color="auto"/>
              <w:bottom w:val="single" w:sz="4" w:space="0" w:color="000000"/>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Características</w:t>
            </w:r>
          </w:p>
        </w:tc>
        <w:tc>
          <w:tcPr>
            <w:tcW w:w="1348" w:type="dxa"/>
            <w:gridSpan w:val="2"/>
            <w:tcBorders>
              <w:top w:val="single" w:sz="4" w:space="0" w:color="auto"/>
              <w:left w:val="nil"/>
              <w:bottom w:val="single" w:sz="4" w:space="0" w:color="auto"/>
              <w:right w:val="single" w:sz="4" w:space="0" w:color="000000"/>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Trimestre Julio Agosto Setiembre</w:t>
            </w:r>
          </w:p>
        </w:tc>
        <w:tc>
          <w:tcPr>
            <w:tcW w:w="1311" w:type="dxa"/>
            <w:gridSpan w:val="2"/>
            <w:tcBorders>
              <w:top w:val="single" w:sz="4" w:space="0" w:color="auto"/>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Variación</w:t>
            </w:r>
          </w:p>
        </w:tc>
      </w:tr>
      <w:tr w:rsidR="00DC449F" w:rsidRPr="007226D7" w:rsidTr="007572D7">
        <w:trPr>
          <w:trHeight w:val="170"/>
          <w:jc w:val="center"/>
        </w:trPr>
        <w:tc>
          <w:tcPr>
            <w:tcW w:w="1698" w:type="dxa"/>
            <w:vMerge/>
            <w:tcBorders>
              <w:top w:val="nil"/>
              <w:left w:val="single" w:sz="4" w:space="0" w:color="auto"/>
              <w:bottom w:val="single" w:sz="4" w:space="0" w:color="auto"/>
              <w:right w:val="single" w:sz="4" w:space="0" w:color="auto"/>
            </w:tcBorders>
            <w:vAlign w:val="center"/>
            <w:hideMark/>
          </w:tcPr>
          <w:p w:rsidR="00DC449F" w:rsidRPr="007226D7" w:rsidRDefault="00DC449F" w:rsidP="007572D7">
            <w:pPr>
              <w:spacing w:after="0" w:line="240" w:lineRule="auto"/>
              <w:jc w:val="left"/>
              <w:rPr>
                <w:rFonts w:cs="Arial"/>
                <w:b/>
                <w:bCs/>
                <w:sz w:val="16"/>
                <w:szCs w:val="16"/>
                <w:lang w:val="es-ES" w:eastAsia="es-ES"/>
              </w:rPr>
            </w:pP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2011</w:t>
            </w:r>
          </w:p>
        </w:tc>
        <w:tc>
          <w:tcPr>
            <w:tcW w:w="674"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2012</w:t>
            </w:r>
          </w:p>
        </w:tc>
        <w:tc>
          <w:tcPr>
            <w:tcW w:w="692" w:type="dxa"/>
            <w:tcBorders>
              <w:top w:val="nil"/>
              <w:left w:val="nil"/>
              <w:bottom w:val="single" w:sz="4" w:space="0" w:color="auto"/>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2011</w:t>
            </w:r>
          </w:p>
        </w:tc>
        <w:tc>
          <w:tcPr>
            <w:tcW w:w="619" w:type="dxa"/>
            <w:tcBorders>
              <w:top w:val="nil"/>
              <w:left w:val="nil"/>
              <w:bottom w:val="nil"/>
              <w:right w:val="single" w:sz="4" w:space="0" w:color="auto"/>
            </w:tcBorders>
            <w:shd w:val="clear" w:color="000000" w:fill="99CCFF"/>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2012</w:t>
            </w:r>
          </w:p>
        </w:tc>
      </w:tr>
      <w:tr w:rsidR="00DC449F" w:rsidRPr="007226D7" w:rsidTr="007572D7">
        <w:trPr>
          <w:trHeight w:val="170"/>
          <w:jc w:val="center"/>
        </w:trPr>
        <w:tc>
          <w:tcPr>
            <w:tcW w:w="1698" w:type="dxa"/>
            <w:tcBorders>
              <w:top w:val="single" w:sz="4" w:space="0" w:color="auto"/>
              <w:left w:val="single" w:sz="4" w:space="0" w:color="auto"/>
              <w:bottom w:val="nil"/>
              <w:right w:val="single" w:sz="4" w:space="0" w:color="auto"/>
            </w:tcBorders>
            <w:shd w:val="clear" w:color="auto" w:fill="auto"/>
            <w:noWrap/>
            <w:vAlign w:val="bottom"/>
            <w:hideMark/>
          </w:tcPr>
          <w:p w:rsidR="00DC449F" w:rsidRPr="007226D7" w:rsidRDefault="00DC449F" w:rsidP="007572D7">
            <w:pPr>
              <w:spacing w:after="0" w:line="240" w:lineRule="auto"/>
              <w:jc w:val="left"/>
              <w:rPr>
                <w:rFonts w:cs="Arial"/>
                <w:b/>
                <w:bCs/>
                <w:sz w:val="16"/>
                <w:szCs w:val="16"/>
                <w:lang w:val="es-ES" w:eastAsia="es-ES"/>
              </w:rPr>
            </w:pPr>
            <w:r w:rsidRPr="007226D7">
              <w:rPr>
                <w:rFonts w:cs="Arial"/>
                <w:b/>
                <w:bCs/>
                <w:sz w:val="16"/>
                <w:szCs w:val="16"/>
                <w:lang w:val="es-ES" w:eastAsia="es-ES"/>
              </w:rPr>
              <w:t>Total</w:t>
            </w:r>
          </w:p>
        </w:tc>
        <w:tc>
          <w:tcPr>
            <w:tcW w:w="674" w:type="dxa"/>
            <w:tcBorders>
              <w:top w:val="single" w:sz="4" w:space="0" w:color="auto"/>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1,231.9</w:t>
            </w:r>
          </w:p>
        </w:tc>
        <w:tc>
          <w:tcPr>
            <w:tcW w:w="674" w:type="dxa"/>
            <w:tcBorders>
              <w:top w:val="single" w:sz="4" w:space="0" w:color="auto"/>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b/>
                <w:bCs/>
                <w:sz w:val="16"/>
                <w:szCs w:val="16"/>
                <w:lang w:val="es-ES" w:eastAsia="es-ES"/>
              </w:rPr>
            </w:pPr>
            <w:r w:rsidRPr="007226D7">
              <w:rPr>
                <w:rFonts w:cs="Arial"/>
                <w:b/>
                <w:bCs/>
                <w:sz w:val="16"/>
                <w:szCs w:val="16"/>
                <w:lang w:val="es-ES" w:eastAsia="es-ES"/>
              </w:rPr>
              <w:t>1,307.0</w:t>
            </w:r>
          </w:p>
        </w:tc>
        <w:tc>
          <w:tcPr>
            <w:tcW w:w="692" w:type="dxa"/>
            <w:tcBorders>
              <w:top w:val="single" w:sz="4" w:space="0" w:color="auto"/>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75.1</w:t>
            </w:r>
          </w:p>
        </w:tc>
        <w:tc>
          <w:tcPr>
            <w:tcW w:w="619" w:type="dxa"/>
            <w:tcBorders>
              <w:top w:val="single" w:sz="4" w:space="0" w:color="auto"/>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b/>
                <w:bCs/>
                <w:sz w:val="16"/>
                <w:szCs w:val="16"/>
                <w:lang w:val="es-ES" w:eastAsia="es-ES"/>
              </w:rPr>
            </w:pPr>
            <w:r w:rsidRPr="007226D7">
              <w:rPr>
                <w:rFonts w:cs="Arial"/>
                <w:b/>
                <w:bCs/>
                <w:sz w:val="16"/>
                <w:szCs w:val="16"/>
                <w:lang w:val="es-ES" w:eastAsia="es-ES"/>
              </w:rPr>
              <w:t>6.1</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bottom"/>
            <w:hideMark/>
          </w:tcPr>
          <w:p w:rsidR="00DC449F" w:rsidRPr="007226D7" w:rsidRDefault="00DC449F" w:rsidP="007572D7">
            <w:pPr>
              <w:spacing w:after="0" w:line="240" w:lineRule="auto"/>
              <w:jc w:val="left"/>
              <w:rPr>
                <w:rFonts w:cs="Arial"/>
                <w:b/>
                <w:bCs/>
                <w:sz w:val="16"/>
                <w:szCs w:val="16"/>
                <w:lang w:val="es-ES" w:eastAsia="es-ES"/>
              </w:rPr>
            </w:pPr>
            <w:r w:rsidRPr="007226D7">
              <w:rPr>
                <w:rFonts w:cs="Arial"/>
                <w:b/>
                <w:bCs/>
                <w:sz w:val="16"/>
                <w:szCs w:val="16"/>
                <w:lang w:val="es-ES" w:eastAsia="es-ES"/>
              </w:rPr>
              <w:t>Sexo</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bottom"/>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Hombre</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1,445.4</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1,532.4</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87.0</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6.0</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bottom"/>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Mujer</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948.1</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1,013.5</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65.4</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6.9</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bottom"/>
            <w:hideMark/>
          </w:tcPr>
          <w:p w:rsidR="00DC449F" w:rsidRPr="007226D7" w:rsidRDefault="00DC449F" w:rsidP="007572D7">
            <w:pPr>
              <w:spacing w:after="0" w:line="240" w:lineRule="auto"/>
              <w:jc w:val="left"/>
              <w:rPr>
                <w:rFonts w:cs="Arial"/>
                <w:b/>
                <w:bCs/>
                <w:sz w:val="16"/>
                <w:szCs w:val="16"/>
                <w:lang w:val="es-ES" w:eastAsia="es-ES"/>
              </w:rPr>
            </w:pPr>
            <w:r w:rsidRPr="007226D7">
              <w:rPr>
                <w:rFonts w:cs="Arial"/>
                <w:b/>
                <w:bCs/>
                <w:sz w:val="16"/>
                <w:szCs w:val="16"/>
                <w:lang w:val="es-ES" w:eastAsia="es-ES"/>
              </w:rPr>
              <w:t>Grupos de Edad</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De 14 a 24 años</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782.0</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842.2</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60.2</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7.7</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De 14 a 17 años</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411.7</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430.9</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19.2</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4.7</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De 18 a 24 años</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829.9</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897.9</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68.0</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8.2</w:t>
            </w:r>
          </w:p>
        </w:tc>
      </w:tr>
      <w:tr w:rsidR="00DC449F" w:rsidRPr="007226D7" w:rsidTr="007572D7">
        <w:trPr>
          <w:trHeight w:val="170"/>
          <w:jc w:val="center"/>
        </w:trPr>
        <w:tc>
          <w:tcPr>
            <w:tcW w:w="1698"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De 25 a 44 años</w:t>
            </w:r>
          </w:p>
        </w:tc>
        <w:tc>
          <w:tcPr>
            <w:tcW w:w="674" w:type="dxa"/>
            <w:tcBorders>
              <w:top w:val="nil"/>
              <w:left w:val="nil"/>
              <w:bottom w:val="nil"/>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1,317.0</w:t>
            </w:r>
          </w:p>
        </w:tc>
        <w:tc>
          <w:tcPr>
            <w:tcW w:w="674" w:type="dxa"/>
            <w:tcBorders>
              <w:top w:val="nil"/>
              <w:left w:val="single" w:sz="4" w:space="0" w:color="auto"/>
              <w:bottom w:val="nil"/>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1,397.1</w:t>
            </w:r>
          </w:p>
        </w:tc>
        <w:tc>
          <w:tcPr>
            <w:tcW w:w="692"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80.1</w:t>
            </w:r>
          </w:p>
        </w:tc>
        <w:tc>
          <w:tcPr>
            <w:tcW w:w="619" w:type="dxa"/>
            <w:tcBorders>
              <w:top w:val="nil"/>
              <w:left w:val="single" w:sz="4" w:space="0" w:color="auto"/>
              <w:bottom w:val="nil"/>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6.1</w:t>
            </w:r>
          </w:p>
        </w:tc>
      </w:tr>
      <w:tr w:rsidR="00DC449F" w:rsidRPr="007226D7" w:rsidTr="007572D7">
        <w:trPr>
          <w:trHeight w:val="170"/>
          <w:jc w:val="center"/>
        </w:trPr>
        <w:tc>
          <w:tcPr>
            <w:tcW w:w="1698" w:type="dxa"/>
            <w:tcBorders>
              <w:top w:val="nil"/>
              <w:left w:val="single" w:sz="4" w:space="0" w:color="auto"/>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left"/>
              <w:rPr>
                <w:rFonts w:cs="Arial"/>
                <w:sz w:val="16"/>
                <w:szCs w:val="16"/>
                <w:lang w:val="es-ES" w:eastAsia="es-ES"/>
              </w:rPr>
            </w:pPr>
            <w:r w:rsidRPr="007226D7">
              <w:rPr>
                <w:rFonts w:cs="Arial"/>
                <w:sz w:val="16"/>
                <w:szCs w:val="16"/>
                <w:lang w:val="es-ES" w:eastAsia="es-ES"/>
              </w:rPr>
              <w:t>De 45 y más años</w:t>
            </w:r>
          </w:p>
        </w:tc>
        <w:tc>
          <w:tcPr>
            <w:tcW w:w="674" w:type="dxa"/>
            <w:tcBorders>
              <w:top w:val="nil"/>
              <w:left w:val="nil"/>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1,422.9</w:t>
            </w:r>
          </w:p>
        </w:tc>
        <w:tc>
          <w:tcPr>
            <w:tcW w:w="674" w:type="dxa"/>
            <w:tcBorders>
              <w:top w:val="nil"/>
              <w:left w:val="single" w:sz="4" w:space="0" w:color="auto"/>
              <w:bottom w:val="single" w:sz="4" w:space="0" w:color="auto"/>
              <w:right w:val="nil"/>
            </w:tcBorders>
            <w:shd w:val="clear" w:color="auto" w:fill="auto"/>
            <w:noWrap/>
            <w:vAlign w:val="center"/>
            <w:hideMark/>
          </w:tcPr>
          <w:p w:rsidR="00DC449F" w:rsidRPr="007226D7" w:rsidRDefault="00DC449F" w:rsidP="007572D7">
            <w:pPr>
              <w:spacing w:after="0" w:line="240" w:lineRule="auto"/>
              <w:jc w:val="right"/>
              <w:rPr>
                <w:rFonts w:cs="Arial"/>
                <w:sz w:val="16"/>
                <w:szCs w:val="16"/>
                <w:lang w:val="es-ES" w:eastAsia="es-ES"/>
              </w:rPr>
            </w:pPr>
            <w:r w:rsidRPr="007226D7">
              <w:rPr>
                <w:rFonts w:cs="Arial"/>
                <w:sz w:val="16"/>
                <w:szCs w:val="16"/>
                <w:lang w:val="es-ES" w:eastAsia="es-ES"/>
              </w:rPr>
              <w:t>1,501.6</w:t>
            </w:r>
          </w:p>
        </w:tc>
        <w:tc>
          <w:tcPr>
            <w:tcW w:w="692" w:type="dxa"/>
            <w:tcBorders>
              <w:top w:val="nil"/>
              <w:left w:val="single" w:sz="4" w:space="0" w:color="auto"/>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78.7</w:t>
            </w:r>
          </w:p>
        </w:tc>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DC449F" w:rsidRPr="007226D7" w:rsidRDefault="00DC449F" w:rsidP="007572D7">
            <w:pPr>
              <w:spacing w:after="0" w:line="240" w:lineRule="auto"/>
              <w:jc w:val="center"/>
              <w:rPr>
                <w:rFonts w:cs="Arial"/>
                <w:sz w:val="16"/>
                <w:szCs w:val="16"/>
                <w:lang w:val="es-ES" w:eastAsia="es-ES"/>
              </w:rPr>
            </w:pPr>
            <w:r w:rsidRPr="007226D7">
              <w:rPr>
                <w:rFonts w:cs="Arial"/>
                <w:sz w:val="16"/>
                <w:szCs w:val="16"/>
                <w:lang w:val="es-ES" w:eastAsia="es-ES"/>
              </w:rPr>
              <w:t>5.5</w:t>
            </w:r>
          </w:p>
        </w:tc>
      </w:tr>
    </w:tbl>
    <w:p w:rsidR="0056369A" w:rsidRPr="007226D7" w:rsidRDefault="0056369A" w:rsidP="00DC449F">
      <w:pPr>
        <w:pStyle w:val="Figuras"/>
      </w:pPr>
      <w:r w:rsidRPr="007226D7">
        <w:t>Fuente: INEI - Informe Técnico No. 10 Oct.12012</w:t>
      </w:r>
    </w:p>
    <w:p w:rsidR="00DC449F" w:rsidRPr="007226D7" w:rsidRDefault="00DC449F">
      <w:pPr>
        <w:spacing w:after="0" w:line="240" w:lineRule="auto"/>
        <w:jc w:val="left"/>
        <w:rPr>
          <w:lang w:val="es-ES"/>
        </w:rPr>
      </w:pPr>
      <w:r w:rsidRPr="007226D7">
        <w:rPr>
          <w:lang w:val="es-ES"/>
        </w:rPr>
        <w:br w:type="page"/>
      </w:r>
    </w:p>
    <w:p w:rsidR="008A37E4" w:rsidRPr="007226D7" w:rsidRDefault="008A37E4" w:rsidP="0073326C">
      <w:pPr>
        <w:pStyle w:val="Heading3"/>
        <w:ind w:left="709" w:hanging="709"/>
        <w:rPr>
          <w:lang w:val="es-ES"/>
        </w:rPr>
      </w:pPr>
      <w:bookmarkStart w:id="23" w:name="_Toc341644977"/>
      <w:bookmarkStart w:id="24" w:name="_Toc346541912"/>
      <w:r w:rsidRPr="007226D7">
        <w:rPr>
          <w:lang w:val="es-ES"/>
        </w:rPr>
        <w:lastRenderedPageBreak/>
        <w:t>Los servicios que intervendrá el Proyecto</w:t>
      </w:r>
      <w:bookmarkEnd w:id="23"/>
      <w:bookmarkEnd w:id="24"/>
    </w:p>
    <w:p w:rsidR="008A37E4" w:rsidRPr="007226D7" w:rsidRDefault="008A37E4" w:rsidP="00BB081C">
      <w:pPr>
        <w:pStyle w:val="Heading4"/>
      </w:pPr>
      <w:bookmarkStart w:id="25" w:name="_Toc341642822"/>
      <w:bookmarkStart w:id="26" w:name="_Toc341644631"/>
      <w:bookmarkStart w:id="27" w:name="_Toc341644978"/>
      <w:r w:rsidRPr="007226D7">
        <w:t>Diagnóstico de la situación actual</w:t>
      </w:r>
      <w:bookmarkEnd w:id="25"/>
      <w:bookmarkEnd w:id="26"/>
      <w:bookmarkEnd w:id="27"/>
    </w:p>
    <w:p w:rsidR="008A37E4" w:rsidRPr="007226D7" w:rsidRDefault="008A37E4" w:rsidP="008A37E4">
      <w:pPr>
        <w:rPr>
          <w:lang w:val="es-ES"/>
        </w:rPr>
      </w:pPr>
      <w:r w:rsidRPr="007226D7">
        <w:rPr>
          <w:lang w:val="es-ES"/>
        </w:rPr>
        <w:t>El tema de la movilidad es sin duda uno de los más complejos en la sociedad moderna porque afecta profundamente la calidad de vida de las personas, sobre todo en el área urbana y metropolitana. Tambi</w:t>
      </w:r>
      <w:r w:rsidRPr="007226D7">
        <w:rPr>
          <w:rFonts w:cs="Arial"/>
          <w:lang w:val="es-ES"/>
        </w:rPr>
        <w:t>é</w:t>
      </w:r>
      <w:r w:rsidRPr="007226D7">
        <w:rPr>
          <w:lang w:val="es-ES"/>
        </w:rPr>
        <w:t>n es uno de los más complejos de hacer frente porque las exigencias que hay que abordar son muchas y en ocasiones contradictorias.</w:t>
      </w:r>
    </w:p>
    <w:p w:rsidR="008A37E4" w:rsidRPr="007226D7" w:rsidRDefault="008A37E4" w:rsidP="008A37E4">
      <w:pPr>
        <w:rPr>
          <w:lang w:val="es-ES"/>
        </w:rPr>
      </w:pPr>
      <w:r w:rsidRPr="007226D7">
        <w:rPr>
          <w:rStyle w:val="hps"/>
          <w:lang w:val="es-ES"/>
        </w:rPr>
        <w:t>Por otra parte, la diferente percepción que cada ciudadano o en general</w:t>
      </w:r>
      <w:r w:rsidRPr="007226D7">
        <w:rPr>
          <w:lang w:val="es-ES"/>
        </w:rPr>
        <w:t xml:space="preserve">, cada usuario tiene, </w:t>
      </w:r>
      <w:r w:rsidRPr="007226D7">
        <w:rPr>
          <w:rStyle w:val="hps"/>
          <w:lang w:val="es-ES"/>
        </w:rPr>
        <w:t>es a menudo un obstáculo para el desarrollo de estrategias que aborden los diferentes aspectos de la movilidad de una manera orgánica</w:t>
      </w:r>
      <w:r w:rsidRPr="007226D7">
        <w:rPr>
          <w:lang w:val="es-ES"/>
        </w:rPr>
        <w:t xml:space="preserve">. Por </w:t>
      </w:r>
      <w:r w:rsidRPr="007226D7">
        <w:rPr>
          <w:rFonts w:cs="Arial"/>
          <w:lang w:val="es-ES"/>
        </w:rPr>
        <w:t>ú</w:t>
      </w:r>
      <w:r w:rsidRPr="007226D7">
        <w:rPr>
          <w:lang w:val="es-ES"/>
        </w:rPr>
        <w:t>ltimo, la planificaci</w:t>
      </w:r>
      <w:r w:rsidRPr="007226D7">
        <w:rPr>
          <w:rFonts w:cs="Arial"/>
          <w:lang w:val="es-ES"/>
        </w:rPr>
        <w:t>ó</w:t>
      </w:r>
      <w:r w:rsidRPr="007226D7">
        <w:rPr>
          <w:lang w:val="es-ES"/>
        </w:rPr>
        <w:t>n de las intervenciones estrat</w:t>
      </w:r>
      <w:r w:rsidRPr="007226D7">
        <w:rPr>
          <w:rFonts w:cs="Arial"/>
          <w:lang w:val="es-ES"/>
        </w:rPr>
        <w:t>é</w:t>
      </w:r>
      <w:r w:rsidRPr="007226D7">
        <w:rPr>
          <w:lang w:val="es-ES"/>
        </w:rPr>
        <w:t>gicas de largo plazo muchas veces se</w:t>
      </w:r>
      <w:r w:rsidRPr="007226D7">
        <w:rPr>
          <w:rStyle w:val="hps"/>
          <w:lang w:val="es-ES"/>
        </w:rPr>
        <w:t xml:space="preserve"> sustituye por la aplicación de medidas de urgencia para satisfacer las necesidades contingentes de personas o ciertos grupos de usuarios.</w:t>
      </w:r>
    </w:p>
    <w:p w:rsidR="008A37E4" w:rsidRPr="007226D7" w:rsidRDefault="008A37E4" w:rsidP="008A37E4">
      <w:pPr>
        <w:rPr>
          <w:rFonts w:cs="Arial"/>
          <w:szCs w:val="22"/>
          <w:lang w:val="es-ES" w:eastAsia="en-US"/>
        </w:rPr>
      </w:pPr>
      <w:r w:rsidRPr="007226D7">
        <w:rPr>
          <w:rFonts w:cs="Arial"/>
          <w:szCs w:val="22"/>
          <w:lang w:val="es-ES" w:eastAsia="en-US"/>
        </w:rPr>
        <w:t>El tema de la movilidad debe partir de un hecho. La movilidad se genera por la necesidad y el deseo de los individuos para hacer su propio trabajo o actividades de ocio en lugares diferentes a donde residen.</w:t>
      </w:r>
    </w:p>
    <w:p w:rsidR="008A37E4" w:rsidRPr="007226D7" w:rsidRDefault="008A37E4" w:rsidP="008A37E4">
      <w:pPr>
        <w:rPr>
          <w:lang w:val="es-ES"/>
        </w:rPr>
      </w:pPr>
      <w:r w:rsidRPr="007226D7">
        <w:rPr>
          <w:rStyle w:val="hps"/>
          <w:lang w:val="es-ES"/>
        </w:rPr>
        <w:t>La necesidad de movilidades un requisito innato en el hombre que se hace</w:t>
      </w:r>
      <w:r w:rsidRPr="007226D7">
        <w:rPr>
          <w:lang w:val="es-ES"/>
        </w:rPr>
        <w:t xml:space="preserve">, con </w:t>
      </w:r>
      <w:r w:rsidRPr="007226D7">
        <w:rPr>
          <w:rStyle w:val="hps"/>
          <w:lang w:val="es-ES"/>
        </w:rPr>
        <w:t>la evolución hacia formas de vida social cada vez más complejas</w:t>
      </w:r>
      <w:r w:rsidRPr="007226D7">
        <w:rPr>
          <w:lang w:val="es-ES"/>
        </w:rPr>
        <w:t xml:space="preserve">, </w:t>
      </w:r>
      <w:r w:rsidRPr="007226D7">
        <w:rPr>
          <w:rStyle w:val="hps"/>
          <w:lang w:val="es-ES"/>
        </w:rPr>
        <w:t>siempre muy importante</w:t>
      </w:r>
      <w:r w:rsidRPr="007226D7">
        <w:rPr>
          <w:lang w:val="es-ES"/>
        </w:rPr>
        <w:t xml:space="preserve">. </w:t>
      </w:r>
      <w:r w:rsidRPr="007226D7">
        <w:rPr>
          <w:rStyle w:val="hps"/>
          <w:lang w:val="es-ES"/>
        </w:rPr>
        <w:t>De esto se puede comprender fácilmente el éxito del coche privado que</w:t>
      </w:r>
      <w:r w:rsidRPr="007226D7">
        <w:rPr>
          <w:lang w:val="es-ES"/>
        </w:rPr>
        <w:t xml:space="preserve">, siendo </w:t>
      </w:r>
      <w:r w:rsidRPr="007226D7">
        <w:rPr>
          <w:rStyle w:val="hps"/>
          <w:lang w:val="es-ES"/>
        </w:rPr>
        <w:t>un medio único de libertad, ha sido capaz de interpretar mejor el deseo del movimiento de las personas, convirti</w:t>
      </w:r>
      <w:r w:rsidRPr="007226D7">
        <w:rPr>
          <w:rStyle w:val="hps"/>
          <w:rFonts w:cs="Arial"/>
          <w:lang w:val="es-ES"/>
        </w:rPr>
        <w:t>é</w:t>
      </w:r>
      <w:r w:rsidRPr="007226D7">
        <w:rPr>
          <w:rStyle w:val="hps"/>
          <w:lang w:val="es-ES"/>
        </w:rPr>
        <w:t xml:space="preserve">ndose a sí mismo como un buen símbolo de nuestro tiempo. El desarrollo que ha caracterizado a lo largo de los últimos años, tanto en términos de seguridad y </w:t>
      </w:r>
      <w:r w:rsidR="00E41450" w:rsidRPr="007226D7">
        <w:rPr>
          <w:rStyle w:val="hps"/>
          <w:lang w:val="es-ES"/>
        </w:rPr>
        <w:t>comodidad, no</w:t>
      </w:r>
      <w:r w:rsidRPr="007226D7">
        <w:rPr>
          <w:rStyle w:val="hps"/>
          <w:lang w:val="es-ES"/>
        </w:rPr>
        <w:t xml:space="preserve"> ha afectado</w:t>
      </w:r>
      <w:r w:rsidRPr="007226D7">
        <w:rPr>
          <w:lang w:val="es-ES"/>
        </w:rPr>
        <w:t xml:space="preserve">, por el contrario, el </w:t>
      </w:r>
      <w:r w:rsidRPr="007226D7">
        <w:rPr>
          <w:rStyle w:val="hps"/>
          <w:lang w:val="es-ES"/>
        </w:rPr>
        <w:t xml:space="preserve">sistema de transporte público limitado ante todo a satisfacer las necesidades básicas de los desplazamientos de aquellos que no tienen otras alternativas sin dar una respuesta válida a las necesidades cada vez más </w:t>
      </w:r>
      <w:r w:rsidR="00E41450" w:rsidRPr="007226D7">
        <w:rPr>
          <w:rStyle w:val="hps"/>
          <w:lang w:val="es-ES"/>
        </w:rPr>
        <w:t>complejas</w:t>
      </w:r>
      <w:r w:rsidRPr="007226D7">
        <w:rPr>
          <w:rStyle w:val="hps"/>
          <w:lang w:val="es-ES"/>
        </w:rPr>
        <w:t xml:space="preserve"> variadas de la movilidad.</w:t>
      </w:r>
    </w:p>
    <w:p w:rsidR="008A37E4" w:rsidRPr="007226D7" w:rsidRDefault="008A37E4" w:rsidP="008A37E4">
      <w:pPr>
        <w:rPr>
          <w:rFonts w:cs="Arial"/>
          <w:szCs w:val="22"/>
          <w:lang w:val="es-ES" w:eastAsia="en-US"/>
        </w:rPr>
      </w:pPr>
      <w:r w:rsidRPr="007226D7">
        <w:rPr>
          <w:rFonts w:cs="Arial"/>
          <w:szCs w:val="22"/>
          <w:lang w:val="es-ES" w:eastAsia="en-US"/>
        </w:rPr>
        <w:t>El vehículo sin embargo necesita espacio para su movimiento y estacionamiento. El aumento de la movilidad en automóvil en los últimos años ha llevado a una ocupación gradual de los espacios urbanos que conducen a un deterioro progresivo de la calidad de vida.</w:t>
      </w:r>
    </w:p>
    <w:p w:rsidR="008A37E4" w:rsidRPr="007226D7" w:rsidRDefault="008A37E4" w:rsidP="008A37E4">
      <w:pPr>
        <w:rPr>
          <w:lang w:val="es-ES"/>
        </w:rPr>
      </w:pPr>
      <w:r w:rsidRPr="007226D7">
        <w:rPr>
          <w:rStyle w:val="hps"/>
          <w:lang w:val="es-ES"/>
        </w:rPr>
        <w:t>El intrusismo y la intrusión visual de los coches en las ciudades se suman a los efectos negativos de la congestión en términos de contaminación acústica y del aire para la reducción de los cuales no</w:t>
      </w:r>
      <w:r w:rsidRPr="007226D7">
        <w:rPr>
          <w:lang w:val="es-ES"/>
        </w:rPr>
        <w:t xml:space="preserve"> se </w:t>
      </w:r>
      <w:r w:rsidRPr="007226D7">
        <w:rPr>
          <w:rStyle w:val="hps"/>
          <w:lang w:val="es-ES"/>
        </w:rPr>
        <w:t>puede confiar solo en el desarrollo tecnológico y la difusión de combustible innovador</w:t>
      </w:r>
      <w:r w:rsidRPr="007226D7">
        <w:rPr>
          <w:lang w:val="es-ES"/>
        </w:rPr>
        <w:t>.</w:t>
      </w:r>
    </w:p>
    <w:p w:rsidR="008A37E4" w:rsidRPr="007226D7" w:rsidRDefault="008A37E4" w:rsidP="008A37E4">
      <w:pPr>
        <w:rPr>
          <w:rFonts w:cs="Arial"/>
          <w:szCs w:val="22"/>
          <w:lang w:val="es-ES" w:eastAsia="en-US"/>
        </w:rPr>
      </w:pPr>
      <w:r w:rsidRPr="007226D7">
        <w:rPr>
          <w:rFonts w:cs="Arial"/>
          <w:szCs w:val="22"/>
          <w:lang w:val="es-ES" w:eastAsia="en-US"/>
        </w:rPr>
        <w:t>El verdadero reto al que nos enfrentamos es por lo tanto, desarrollar sistemas alternativos de conducción privadas que puedan satisfacer las complejas necesidades de movilidad en un medio ambiente sostenible, satisfaciendo el deseo de las personas a circular libremente y hacer la ciudad más habitable y más accesible.</w:t>
      </w:r>
    </w:p>
    <w:p w:rsidR="008A37E4" w:rsidRPr="007226D7" w:rsidRDefault="008A37E4" w:rsidP="008A37E4">
      <w:pPr>
        <w:rPr>
          <w:rFonts w:cs="Arial"/>
          <w:szCs w:val="22"/>
          <w:lang w:val="es-ES" w:eastAsia="en-US"/>
        </w:rPr>
      </w:pPr>
      <w:r w:rsidRPr="007226D7">
        <w:rPr>
          <w:rFonts w:cs="Arial"/>
          <w:szCs w:val="22"/>
          <w:lang w:val="es-ES" w:eastAsia="en-US"/>
        </w:rPr>
        <w:t>Este paradigma ha caracterizado a casi todas las experiencias de movilidad urbana en el llamado mundo desarrollado y también está encontrando aplicaciones en las naciones que en los últimos veinte años han sido objeto de un desarrollo económico increíble.</w:t>
      </w:r>
      <w:r w:rsidRPr="007226D7">
        <w:rPr>
          <w:rFonts w:cs="Arial"/>
          <w:szCs w:val="22"/>
          <w:lang w:val="es-ES" w:eastAsia="en-US"/>
        </w:rPr>
        <w:br/>
        <w:t>Es interesante observar que, de hecho, el éxito de cada medio de transporte personal se ha colado en la manera de vivir cambiando los hábitos de viajes y progresivamente los tiempos y lugares de vida.</w:t>
      </w:r>
    </w:p>
    <w:p w:rsidR="008A37E4" w:rsidRPr="007226D7" w:rsidRDefault="008A37E4" w:rsidP="008A37E4">
      <w:pPr>
        <w:rPr>
          <w:lang w:val="es-ES" w:eastAsia="en-US"/>
        </w:rPr>
      </w:pPr>
      <w:r w:rsidRPr="007226D7">
        <w:rPr>
          <w:lang w:val="es-ES" w:eastAsia="en-US"/>
        </w:rPr>
        <w:lastRenderedPageBreak/>
        <w:t>Tenemos la experiencia de ciudades como Moscú, donde, a pesar de una red de transporte masivo eficiente, y anterior a la gran popularidad de los automóviles, el tráfico privado esencialmente ha saturado la red de carreteras convirtiéndose en un factor de ineficiencia de la red de transporte de superficie.</w:t>
      </w:r>
    </w:p>
    <w:p w:rsidR="008A37E4" w:rsidRPr="007226D7" w:rsidRDefault="008A37E4" w:rsidP="008A37E4">
      <w:pPr>
        <w:rPr>
          <w:lang w:val="es-ES" w:eastAsia="en-US"/>
        </w:rPr>
      </w:pPr>
      <w:r w:rsidRPr="007226D7">
        <w:rPr>
          <w:lang w:val="es-ES" w:eastAsia="en-US"/>
        </w:rPr>
        <w:t>O se puede mirar hacia el este como en Vietnam en el que el aumento de la riqueza, se ha unido a la ineficiencia del transporte público y están transformando rápidamente las bicicletas y las motos en coches pero las ciudades no están preparadas para esto.</w:t>
      </w:r>
    </w:p>
    <w:p w:rsidR="008A37E4" w:rsidRPr="007226D7" w:rsidRDefault="008A37E4" w:rsidP="008A37E4">
      <w:pPr>
        <w:rPr>
          <w:lang w:val="es-ES" w:eastAsia="en-US"/>
        </w:rPr>
      </w:pPr>
      <w:r w:rsidRPr="007226D7">
        <w:rPr>
          <w:lang w:val="es-ES" w:eastAsia="en-US"/>
        </w:rPr>
        <w:t xml:space="preserve">En este marco, Lima, la cual puede en efecto ser considerada como una gran ciudad, todavía puede contar con una propensión significativa para el uso del transporte público, que es un patrimonio que debe ser preservado para aspirar a un futuro de sostenibilidad. </w:t>
      </w:r>
    </w:p>
    <w:p w:rsidR="008A37E4" w:rsidRPr="007226D7" w:rsidRDefault="008A37E4" w:rsidP="008A37E4">
      <w:pPr>
        <w:rPr>
          <w:lang w:val="es-ES" w:eastAsia="en-US"/>
        </w:rPr>
      </w:pPr>
      <w:r w:rsidRPr="007226D7">
        <w:rPr>
          <w:lang w:val="es-ES" w:eastAsia="en-US"/>
        </w:rPr>
        <w:t>Se debe señalar que la utilización del transporte colectivo, en un contexto donde el servicio ofrecido es de calidad, no es una elección limitada a los estratos sociales más bajos, sino también una elección de individuos de sectores sociales económicamente más altos. En este sentido, son emblemáticos los casos de Londres, Hong Kong y Tokio.</w:t>
      </w:r>
    </w:p>
    <w:p w:rsidR="008A37E4" w:rsidRPr="007226D7" w:rsidRDefault="008A37E4" w:rsidP="008A37E4">
      <w:pPr>
        <w:rPr>
          <w:lang w:val="es-ES" w:eastAsia="en-US"/>
        </w:rPr>
      </w:pPr>
      <w:r w:rsidRPr="007226D7">
        <w:rPr>
          <w:lang w:val="es-ES" w:eastAsia="en-US"/>
        </w:rPr>
        <w:t xml:space="preserve">En definitiva, es fundamental recordar que la cultura de utilización del transporte colectivo tiene que difundirse de forma coordinada a la evolución del sistema de transporte. </w:t>
      </w:r>
    </w:p>
    <w:p w:rsidR="008A37E4" w:rsidRPr="007226D7" w:rsidRDefault="008A37E4" w:rsidP="008A37E4">
      <w:pPr>
        <w:rPr>
          <w:lang w:val="es-ES" w:eastAsia="en-US"/>
        </w:rPr>
      </w:pPr>
      <w:r w:rsidRPr="007226D7">
        <w:rPr>
          <w:lang w:val="es-ES" w:eastAsia="en-US"/>
        </w:rPr>
        <w:t>El proyecto de la Línea 2 del Tren Eléctrico se inscribe en este contexto, y traduce en la práctica la voluntad de la ciudad para seguir el camino de la movilidad sostenible como elemento fundamental de la calidad de vida y el crecimiento económico para sus habitantes.</w:t>
      </w:r>
    </w:p>
    <w:p w:rsidR="008A37E4" w:rsidRPr="007226D7" w:rsidRDefault="008A37E4" w:rsidP="008A37E4">
      <w:pPr>
        <w:keepNext/>
      </w:pPr>
      <w:r w:rsidRPr="007226D7">
        <w:rPr>
          <w:noProof/>
          <w:lang w:val="en-US" w:eastAsia="en-US"/>
        </w:rPr>
        <w:drawing>
          <wp:inline distT="0" distB="0" distL="0" distR="0" wp14:anchorId="6FDB396E" wp14:editId="48371B82">
            <wp:extent cx="5937885" cy="3930650"/>
            <wp:effectExtent l="0" t="0" r="0" b="0"/>
            <wp:docPr id="179" name="Imagen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1"/>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7885" cy="3930650"/>
                    </a:xfrm>
                    <a:prstGeom prst="rect">
                      <a:avLst/>
                    </a:prstGeom>
                    <a:noFill/>
                    <a:ln>
                      <a:noFill/>
                    </a:ln>
                  </pic:spPr>
                </pic:pic>
              </a:graphicData>
            </a:graphic>
          </wp:inline>
        </w:drawing>
      </w:r>
    </w:p>
    <w:p w:rsidR="008A37E4" w:rsidRPr="007226D7" w:rsidRDefault="008A37E4" w:rsidP="008A37E4">
      <w:pPr>
        <w:pStyle w:val="Figuras"/>
        <w:rPr>
          <w:lang w:val="es-PE"/>
        </w:rPr>
      </w:pPr>
      <w:r w:rsidRPr="007226D7">
        <w:t>Tabla 3.</w:t>
      </w:r>
      <w:r w:rsidR="00B16923" w:rsidRPr="007226D7">
        <w:fldChar w:fldCharType="begin"/>
      </w:r>
      <w:r w:rsidRPr="007226D7">
        <w:rPr>
          <w:lang w:val="es-PE"/>
        </w:rPr>
        <w:instrText xml:space="preserve"> SEQ Cuadro \* ARABIC </w:instrText>
      </w:r>
      <w:r w:rsidR="00B16923" w:rsidRPr="007226D7">
        <w:fldChar w:fldCharType="separate"/>
      </w:r>
      <w:r w:rsidR="003142BB">
        <w:rPr>
          <w:noProof/>
          <w:lang w:val="es-PE"/>
        </w:rPr>
        <w:t>1</w:t>
      </w:r>
      <w:r w:rsidR="00B16923" w:rsidRPr="007226D7">
        <w:fldChar w:fldCharType="end"/>
      </w:r>
      <w:r w:rsidRPr="007226D7">
        <w:t>-51: Poblaci</w:t>
      </w:r>
      <w:r w:rsidRPr="007226D7">
        <w:rPr>
          <w:rFonts w:cs="Arial"/>
        </w:rPr>
        <w:t>ó</w:t>
      </w:r>
      <w:r w:rsidRPr="007226D7">
        <w:t>n en la provincia de Lima y del Callao - 2000-2015 (Fuente: Censo Nacional del 2007, INEI)</w:t>
      </w:r>
    </w:p>
    <w:p w:rsidR="008A37E4" w:rsidRPr="007226D7" w:rsidRDefault="008A37E4" w:rsidP="008A37E4">
      <w:pPr>
        <w:spacing w:after="0" w:line="240" w:lineRule="auto"/>
        <w:jc w:val="left"/>
        <w:rPr>
          <w:rStyle w:val="hps"/>
        </w:rPr>
      </w:pPr>
      <w:r w:rsidRPr="007226D7">
        <w:rPr>
          <w:rStyle w:val="hps"/>
          <w:lang w:val="es-ES"/>
        </w:rPr>
        <w:br w:type="page"/>
      </w:r>
      <w:r w:rsidRPr="007226D7">
        <w:rPr>
          <w:noProof/>
          <w:lang w:val="en-US" w:eastAsia="en-US"/>
        </w:rPr>
        <w:lastRenderedPageBreak/>
        <w:drawing>
          <wp:inline distT="0" distB="0" distL="0" distR="0" wp14:anchorId="05272F4F" wp14:editId="4B4E9E73">
            <wp:extent cx="5937885" cy="2789555"/>
            <wp:effectExtent l="0" t="0" r="0" b="0"/>
            <wp:docPr id="180" name="Gráfico 6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A37E4" w:rsidRPr="007226D7" w:rsidRDefault="008A37E4" w:rsidP="008A37E4">
      <w:pPr>
        <w:pStyle w:val="Figuras"/>
        <w:rPr>
          <w:rStyle w:val="hps"/>
        </w:rPr>
      </w:pPr>
      <w:r w:rsidRPr="007226D7">
        <w:t>Figura 3.1-24 Poblaci</w:t>
      </w:r>
      <w:r w:rsidRPr="007226D7">
        <w:rPr>
          <w:rFonts w:cs="Arial"/>
        </w:rPr>
        <w:t>ó</w:t>
      </w:r>
      <w:r w:rsidRPr="007226D7">
        <w:t xml:space="preserve">n Y Parque Vehicular Estimado en las provincias de Lima y del Callao - 2000-2015  </w:t>
      </w:r>
      <w:r w:rsidRPr="007226D7">
        <w:tab/>
        <w:t>(Fuente: Censo Nacional del 2007, INEI/ Superintendencia Nacional De Los Registros Públicos - SUNARP.)</w:t>
      </w:r>
      <w:r w:rsidRPr="007226D7">
        <w:rPr>
          <w:noProof/>
          <w:lang w:val="en-US" w:eastAsia="en-US"/>
        </w:rPr>
        <w:drawing>
          <wp:inline distT="0" distB="0" distL="0" distR="0" wp14:anchorId="222176D3" wp14:editId="78D83658">
            <wp:extent cx="5949315" cy="2268220"/>
            <wp:effectExtent l="0" t="0" r="0" b="0"/>
            <wp:docPr id="181" name="Gráfico 6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A37E4" w:rsidRPr="007226D7" w:rsidRDefault="008A37E4" w:rsidP="008A37E4">
      <w:pPr>
        <w:pStyle w:val="Figuras"/>
        <w:rPr>
          <w:rStyle w:val="hps"/>
        </w:rPr>
      </w:pPr>
      <w:r w:rsidRPr="007226D7">
        <w:t>Figura 3.</w:t>
      </w:r>
      <w:r w:rsidR="00B16923" w:rsidRPr="007226D7">
        <w:fldChar w:fldCharType="begin"/>
      </w:r>
      <w:r w:rsidR="00CB2190" w:rsidRPr="007226D7">
        <w:instrText xml:space="preserve"> SEQ Figura \* ARABIC </w:instrText>
      </w:r>
      <w:r w:rsidR="00B16923" w:rsidRPr="007226D7">
        <w:fldChar w:fldCharType="separate"/>
      </w:r>
      <w:r w:rsidR="003142BB">
        <w:rPr>
          <w:noProof/>
        </w:rPr>
        <w:t>1</w:t>
      </w:r>
      <w:r w:rsidR="00B16923" w:rsidRPr="007226D7">
        <w:rPr>
          <w:noProof/>
        </w:rPr>
        <w:fldChar w:fldCharType="end"/>
      </w:r>
      <w:r w:rsidRPr="007226D7">
        <w:rPr>
          <w:noProof/>
        </w:rPr>
        <w:t xml:space="preserve">-25 </w:t>
      </w:r>
      <w:r w:rsidRPr="007226D7">
        <w:t xml:space="preserve"> Tasa de motorizaci</w:t>
      </w:r>
      <w:r w:rsidRPr="007226D7">
        <w:rPr>
          <w:rFonts w:cs="Arial"/>
        </w:rPr>
        <w:t>ó</w:t>
      </w:r>
      <w:r w:rsidRPr="007226D7">
        <w:t>n en las provincias de Lima y del Callao - 2000-2015 (Elaboraci</w:t>
      </w:r>
      <w:r w:rsidRPr="007226D7">
        <w:rPr>
          <w:rFonts w:cs="Arial"/>
        </w:rPr>
        <w:t>ó</w:t>
      </w:r>
      <w:r w:rsidRPr="007226D7">
        <w:t>n Consorcio GEODATA, ESAN, SERCONSULT)</w:t>
      </w:r>
    </w:p>
    <w:p w:rsidR="008A37E4" w:rsidRPr="007226D7" w:rsidRDefault="008A37E4" w:rsidP="008A37E4">
      <w:pPr>
        <w:rPr>
          <w:rStyle w:val="hps"/>
          <w:lang w:val="es-ES"/>
        </w:rPr>
      </w:pPr>
      <w:r w:rsidRPr="007226D7">
        <w:rPr>
          <w:rStyle w:val="hps"/>
          <w:lang w:val="es-ES"/>
        </w:rPr>
        <w:t>En este sentido, dotar a la ciudad con un sistema más  moderno y eficiente, teniendo en cuenta tambi</w:t>
      </w:r>
      <w:r w:rsidRPr="007226D7">
        <w:rPr>
          <w:rStyle w:val="hps"/>
          <w:rFonts w:cs="Arial"/>
          <w:lang w:val="es-ES"/>
        </w:rPr>
        <w:t>é</w:t>
      </w:r>
      <w:r w:rsidRPr="007226D7">
        <w:rPr>
          <w:rStyle w:val="hps"/>
          <w:lang w:val="es-ES"/>
        </w:rPr>
        <w:t>n la gran inclinación a la utilización del transporte público,</w:t>
      </w:r>
      <w:r w:rsidRPr="007226D7">
        <w:rPr>
          <w:lang w:val="es-ES"/>
        </w:rPr>
        <w:t xml:space="preserve"> representa </w:t>
      </w:r>
      <w:r w:rsidRPr="007226D7">
        <w:rPr>
          <w:rStyle w:val="hps"/>
          <w:lang w:val="es-ES"/>
        </w:rPr>
        <w:t xml:space="preserve">una oportunidad increíble y sienta las bases para el éxito </w:t>
      </w:r>
      <w:r w:rsidR="00E41450" w:rsidRPr="007226D7">
        <w:rPr>
          <w:rStyle w:val="hps"/>
          <w:lang w:val="es-ES"/>
        </w:rPr>
        <w:t>de esta</w:t>
      </w:r>
      <w:r w:rsidRPr="007226D7">
        <w:rPr>
          <w:rStyle w:val="hps"/>
          <w:lang w:val="es-ES"/>
        </w:rPr>
        <w:t xml:space="preserve"> inversión pública que tiene como objetivo cumplir con los objetivos de:</w:t>
      </w:r>
    </w:p>
    <w:p w:rsidR="008A37E4" w:rsidRPr="007226D7" w:rsidRDefault="008A37E4" w:rsidP="006E6A64">
      <w:pPr>
        <w:pStyle w:val="ListParagraph"/>
        <w:numPr>
          <w:ilvl w:val="0"/>
          <w:numId w:val="23"/>
        </w:numPr>
        <w:rPr>
          <w:lang w:val="es-ES"/>
        </w:rPr>
      </w:pPr>
      <w:r w:rsidRPr="007226D7">
        <w:rPr>
          <w:lang w:val="es-ES"/>
        </w:rPr>
        <w:t>satisfacer las necesidades de movilidad;</w:t>
      </w:r>
    </w:p>
    <w:p w:rsidR="008A37E4" w:rsidRPr="007226D7" w:rsidRDefault="008A37E4" w:rsidP="006E6A64">
      <w:pPr>
        <w:pStyle w:val="ListParagraph"/>
        <w:numPr>
          <w:ilvl w:val="0"/>
          <w:numId w:val="23"/>
        </w:numPr>
        <w:rPr>
          <w:lang w:val="es-ES"/>
        </w:rPr>
      </w:pPr>
      <w:r w:rsidRPr="007226D7">
        <w:rPr>
          <w:lang w:val="es-ES"/>
        </w:rPr>
        <w:t>la mejora de la seguridad del transporte p</w:t>
      </w:r>
      <w:r w:rsidRPr="007226D7">
        <w:rPr>
          <w:rFonts w:cs="Arial"/>
          <w:lang w:val="es-ES"/>
        </w:rPr>
        <w:t>ú</w:t>
      </w:r>
      <w:r w:rsidRPr="007226D7">
        <w:rPr>
          <w:lang w:val="es-ES"/>
        </w:rPr>
        <w:t>blico e, indirectamente , tambi</w:t>
      </w:r>
      <w:r w:rsidRPr="007226D7">
        <w:rPr>
          <w:rFonts w:cs="Arial"/>
          <w:lang w:val="es-ES"/>
        </w:rPr>
        <w:t>é</w:t>
      </w:r>
      <w:r w:rsidRPr="007226D7">
        <w:rPr>
          <w:lang w:val="es-ES"/>
        </w:rPr>
        <w:t>n el sector privado;</w:t>
      </w:r>
    </w:p>
    <w:p w:rsidR="008A37E4" w:rsidRPr="007226D7" w:rsidRDefault="008A37E4" w:rsidP="006E6A64">
      <w:pPr>
        <w:pStyle w:val="ListParagraph"/>
        <w:numPr>
          <w:ilvl w:val="0"/>
          <w:numId w:val="23"/>
        </w:numPr>
        <w:rPr>
          <w:lang w:val="es-ES"/>
        </w:rPr>
      </w:pPr>
      <w:r w:rsidRPr="007226D7">
        <w:rPr>
          <w:lang w:val="es-ES"/>
        </w:rPr>
        <w:t>la mejora de la calidad del servicio;</w:t>
      </w:r>
    </w:p>
    <w:p w:rsidR="008A37E4" w:rsidRPr="007226D7" w:rsidRDefault="008A37E4" w:rsidP="006E6A64">
      <w:pPr>
        <w:pStyle w:val="ListParagraph"/>
        <w:numPr>
          <w:ilvl w:val="0"/>
          <w:numId w:val="23"/>
        </w:numPr>
        <w:rPr>
          <w:lang w:val="es-ES"/>
        </w:rPr>
      </w:pPr>
      <w:r w:rsidRPr="007226D7">
        <w:rPr>
          <w:lang w:val="es-ES"/>
        </w:rPr>
        <w:t>mejora de la eficiencia econ</w:t>
      </w:r>
      <w:r w:rsidRPr="007226D7">
        <w:rPr>
          <w:rFonts w:cs="Arial"/>
          <w:lang w:val="es-ES"/>
        </w:rPr>
        <w:t>ó</w:t>
      </w:r>
      <w:r w:rsidRPr="007226D7">
        <w:rPr>
          <w:lang w:val="es-ES"/>
        </w:rPr>
        <w:t>mica del transporte</w:t>
      </w:r>
    </w:p>
    <w:p w:rsidR="008A37E4" w:rsidRPr="007226D7" w:rsidRDefault="008A37E4" w:rsidP="008A37E4">
      <w:pPr>
        <w:pStyle w:val="ListParagraph"/>
        <w:rPr>
          <w:lang w:val="es-ES"/>
        </w:rPr>
      </w:pPr>
    </w:p>
    <w:p w:rsidR="008A37E4" w:rsidRPr="007226D7" w:rsidRDefault="008A37E4" w:rsidP="00BB081C">
      <w:pPr>
        <w:pStyle w:val="Heading5"/>
      </w:pPr>
      <w:bookmarkStart w:id="28" w:name="_Toc341644979"/>
      <w:r w:rsidRPr="007226D7">
        <w:lastRenderedPageBreak/>
        <w:t>Características generales</w:t>
      </w:r>
      <w:bookmarkEnd w:id="28"/>
    </w:p>
    <w:p w:rsidR="008A37E4" w:rsidRPr="007226D7" w:rsidRDefault="008A37E4" w:rsidP="008A37E4">
      <w:pPr>
        <w:rPr>
          <w:lang w:val="es-ES"/>
        </w:rPr>
      </w:pPr>
      <w:r w:rsidRPr="007226D7">
        <w:rPr>
          <w:lang w:val="es-ES"/>
        </w:rPr>
        <w:t xml:space="preserve">Lima es la ciudad capital de la República del Perú. Se encuentra situada en la costa central del país, a orillas del océano Pacífico, conformando una extensa y populosa área urbana conocida como Lima Metropolitana, flanqueada por el desierto costero y extendida sobre los valles de los ríos Chillón, Rímac y Lurín. </w:t>
      </w:r>
    </w:p>
    <w:p w:rsidR="008A37E4" w:rsidRPr="007226D7" w:rsidRDefault="008A37E4" w:rsidP="008A37E4">
      <w:pPr>
        <w:rPr>
          <w:lang w:val="es-ES"/>
        </w:rPr>
      </w:pPr>
      <w:r w:rsidRPr="007226D7">
        <w:rPr>
          <w:lang w:val="es-ES"/>
        </w:rPr>
        <w:t xml:space="preserve">La capital peruana es el principal centro industrial del país y uno de los centros financieros más importantes de Latinoamérica. Las principales actividades económicas son la industria manufacturera, el comercio, los servicios y el turismo. Lima es responsable de más de dos tercios de la producción industrial del Perú y la mayoría de su sector terciario. </w:t>
      </w:r>
    </w:p>
    <w:p w:rsidR="008A37E4" w:rsidRPr="007226D7" w:rsidRDefault="008A37E4" w:rsidP="008A37E4">
      <w:pPr>
        <w:rPr>
          <w:lang w:val="es-ES"/>
        </w:rPr>
      </w:pPr>
      <w:r w:rsidRPr="007226D7">
        <w:rPr>
          <w:lang w:val="es-ES"/>
        </w:rPr>
        <w:t>En 2007, Lima contaba con más de 7,6 millones de habitantes; mientras que su aglomeración urbana conocida como Lima Metropolitana contaba con más de 8,4 millones de habitantes, el 30% de la población peruana, cifras que la convierten en la ciudad más poblada del país. El área metropolitana de Lima, conocida también como Lima-Callao, es la metrópoli conformada por la gran conurbación central de la ciudad de Lima y su extensión hacia el norte, sur y este, la cual abarca gran parte de las provincias de Lima y del Callao. Se concentra principalmente en la zona costera y se extiende de norte a sur a lo largo de la costa del océano Pacífico durante casi 200 km.</w:t>
      </w:r>
    </w:p>
    <w:p w:rsidR="008A37E4" w:rsidRPr="007226D7" w:rsidRDefault="008A37E4" w:rsidP="008A37E4">
      <w:pPr>
        <w:rPr>
          <w:lang w:val="es-ES"/>
        </w:rPr>
      </w:pPr>
      <w:r w:rsidRPr="007226D7">
        <w:rPr>
          <w:lang w:val="es-ES"/>
        </w:rPr>
        <w:t xml:space="preserve">Lima y el Callao, hace años separadas por un semidesierto y conectadas en el siglo XIX por un ferrocarril, se encuentran hoy totalmente unidos, debiendo señalarse sus límites según las avenidas o mediante carteles para que éstos no pasen totalmente inadvertidos. </w:t>
      </w:r>
    </w:p>
    <w:p w:rsidR="008A37E4" w:rsidRPr="007226D7" w:rsidRDefault="008A37E4" w:rsidP="008A37E4">
      <w:r w:rsidRPr="007226D7">
        <w:rPr>
          <w:lang w:val="es-ES"/>
        </w:rPr>
        <w:t xml:space="preserve">El área metropolitana se compone de seis subregiones, cuyos extremos localmente se denominan conos. </w:t>
      </w:r>
      <w:r w:rsidRPr="007226D7">
        <w:t>Estas subregiones son las siguientes:</w:t>
      </w:r>
    </w:p>
    <w:p w:rsidR="008A37E4" w:rsidRPr="007226D7" w:rsidRDefault="008A37E4" w:rsidP="006E6A64">
      <w:pPr>
        <w:pStyle w:val="ListParagraph"/>
        <w:numPr>
          <w:ilvl w:val="0"/>
          <w:numId w:val="27"/>
        </w:numPr>
        <w:rPr>
          <w:lang w:val="es-ES"/>
        </w:rPr>
      </w:pPr>
      <w:r w:rsidRPr="007226D7">
        <w:rPr>
          <w:lang w:val="es-ES"/>
        </w:rPr>
        <w:t>El Cercado de Lima, que comprende los distritos de: Breña, La Victoria, Lima, Lince y Rímac (azul).</w:t>
      </w:r>
    </w:p>
    <w:p w:rsidR="008A37E4" w:rsidRPr="007226D7" w:rsidRDefault="008A37E4" w:rsidP="006E6A64">
      <w:pPr>
        <w:pStyle w:val="ListParagraph"/>
        <w:numPr>
          <w:ilvl w:val="0"/>
          <w:numId w:val="27"/>
        </w:numPr>
        <w:rPr>
          <w:lang w:val="es-ES"/>
        </w:rPr>
      </w:pPr>
      <w:r w:rsidRPr="007226D7">
        <w:rPr>
          <w:lang w:val="es-ES"/>
        </w:rPr>
        <w:t>La Zona Residencial y Comercial, que comprende los distritos de: Barranco, Jesús María, La Molina, Magdalena del Mar, Miraflores, Pueblo Libre, San Borja, San Isidro, San Luis, San Miguel, Santiago de Surco y Surquillo (rojo).</w:t>
      </w:r>
    </w:p>
    <w:p w:rsidR="008A37E4" w:rsidRPr="007226D7" w:rsidRDefault="008A37E4" w:rsidP="006E6A64">
      <w:pPr>
        <w:pStyle w:val="ListParagraph"/>
        <w:numPr>
          <w:ilvl w:val="0"/>
          <w:numId w:val="27"/>
        </w:numPr>
        <w:rPr>
          <w:lang w:val="es-ES"/>
        </w:rPr>
      </w:pPr>
      <w:r w:rsidRPr="007226D7">
        <w:rPr>
          <w:lang w:val="es-ES"/>
        </w:rPr>
        <w:t>El Cono Este, que comprende los distritos de: Ate, Chaclacayo, Cieneguilla, El Agustino, Lurigancho-Chosica y Santa Anita (marrón).</w:t>
      </w:r>
    </w:p>
    <w:p w:rsidR="008A37E4" w:rsidRPr="007226D7" w:rsidRDefault="008A37E4" w:rsidP="006E6A64">
      <w:pPr>
        <w:pStyle w:val="ListParagraph"/>
        <w:numPr>
          <w:ilvl w:val="0"/>
          <w:numId w:val="27"/>
        </w:numPr>
        <w:rPr>
          <w:lang w:val="es-ES"/>
        </w:rPr>
      </w:pPr>
      <w:r w:rsidRPr="007226D7">
        <w:rPr>
          <w:lang w:val="es-ES"/>
        </w:rPr>
        <w:t>El Cono Norte, que comprende los distritos de: Ancón, Carabayllo, Comas, Independencia, Los Olivos, Puente Piedra, San Juan de Lurigancho, San Martín de Porres y Santa Rosa (verte).</w:t>
      </w:r>
    </w:p>
    <w:p w:rsidR="008A37E4" w:rsidRPr="007226D7" w:rsidRDefault="008A37E4" w:rsidP="006E6A64">
      <w:pPr>
        <w:pStyle w:val="ListParagraph"/>
        <w:numPr>
          <w:ilvl w:val="0"/>
          <w:numId w:val="27"/>
        </w:numPr>
        <w:rPr>
          <w:lang w:val="es-ES"/>
        </w:rPr>
      </w:pPr>
      <w:r w:rsidRPr="007226D7">
        <w:rPr>
          <w:lang w:val="es-ES"/>
        </w:rPr>
        <w:t>El Cono Sur, que comprende los distritos de: Chorrillos, Lurín, Pachacámac, Pucusana, Punta Hermosa, Punta Negra, San Bartolo, San Juan de Miraflores, Santa María del Mar, Villa el Salvador y Villa María del Triunfo (amarillo).</w:t>
      </w:r>
    </w:p>
    <w:p w:rsidR="008A37E4" w:rsidRPr="007226D7" w:rsidRDefault="008A37E4" w:rsidP="006E6A64">
      <w:pPr>
        <w:pStyle w:val="ListParagraph"/>
        <w:numPr>
          <w:ilvl w:val="0"/>
          <w:numId w:val="27"/>
        </w:numPr>
        <w:rPr>
          <w:lang w:val="es-ES"/>
        </w:rPr>
      </w:pPr>
      <w:r w:rsidRPr="007226D7">
        <w:rPr>
          <w:lang w:val="es-ES"/>
        </w:rPr>
        <w:t>El Callao, que comprende los distritos de: Callao, Bellavista, Carmen de la Legua, La Perla, La Punta y Ventanilla (púrpura).</w:t>
      </w:r>
    </w:p>
    <w:p w:rsidR="008A37E4" w:rsidRPr="007226D7" w:rsidRDefault="008A37E4" w:rsidP="008A37E4">
      <w:pPr>
        <w:rPr>
          <w:lang w:val="es-ES"/>
        </w:rPr>
      </w:pPr>
      <w:r w:rsidRPr="007226D7">
        <w:rPr>
          <w:noProof/>
          <w:lang w:val="en-US" w:eastAsia="en-US"/>
        </w:rPr>
        <w:lastRenderedPageBreak/>
        <w:drawing>
          <wp:anchor distT="0" distB="0" distL="114300" distR="114300" simplePos="0" relativeHeight="251811840" behindDoc="0" locked="0" layoutInCell="1" allowOverlap="1" wp14:anchorId="19A9C8EE" wp14:editId="218E08C9">
            <wp:simplePos x="0" y="0"/>
            <wp:positionH relativeFrom="column">
              <wp:posOffset>22225</wp:posOffset>
            </wp:positionH>
            <wp:positionV relativeFrom="paragraph">
              <wp:posOffset>146050</wp:posOffset>
            </wp:positionV>
            <wp:extent cx="5895340" cy="6148070"/>
            <wp:effectExtent l="38100" t="19050" r="10160" b="24130"/>
            <wp:wrapTopAndBottom/>
            <wp:docPr id="779" name="Immagine 40" descr="Descripción: http://www.urbano.org.pe/downloads/documento/crecimiento%20lima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descr="Descripción: http://www.urbano.org.pe/downloads/documento/crecimiento%20limaR13.jpg"/>
                    <pic:cNvPicPr>
                      <a:picLocks noChangeAspect="1" noChangeArrowheads="1"/>
                    </pic:cNvPicPr>
                  </pic:nvPicPr>
                  <pic:blipFill>
                    <a:blip r:embed="rId60" cstate="print"/>
                    <a:srcRect/>
                    <a:stretch>
                      <a:fillRect/>
                    </a:stretch>
                  </pic:blipFill>
                  <pic:spPr bwMode="auto">
                    <a:xfrm>
                      <a:off x="0" y="0"/>
                      <a:ext cx="5895340" cy="6148070"/>
                    </a:xfrm>
                    <a:prstGeom prst="rect">
                      <a:avLst/>
                    </a:prstGeom>
                    <a:noFill/>
                    <a:ln w="12700">
                      <a:solidFill>
                        <a:srgbClr val="000000"/>
                      </a:solidFill>
                      <a:miter lim="800000"/>
                      <a:headEnd/>
                      <a:tailEnd/>
                    </a:ln>
                  </pic:spPr>
                </pic:pic>
              </a:graphicData>
            </a:graphic>
          </wp:anchor>
        </w:drawing>
      </w:r>
    </w:p>
    <w:p w:rsidR="008A37E4" w:rsidRPr="007226D7" w:rsidRDefault="008A37E4" w:rsidP="008A37E4">
      <w:pPr>
        <w:pStyle w:val="Figuras"/>
      </w:pPr>
      <w:r w:rsidRPr="007226D7">
        <w:t>Figura 3.1-26 Crecimiento urbano Lima Metropolitana (Fuente: Observatorio Urbano).</w:t>
      </w:r>
    </w:p>
    <w:p w:rsidR="008A37E4" w:rsidRPr="007226D7" w:rsidRDefault="008A37E4" w:rsidP="008A37E4">
      <w:pPr>
        <w:rPr>
          <w:lang w:val="es-ES"/>
        </w:rPr>
      </w:pPr>
      <w:r w:rsidRPr="007226D7">
        <w:rPr>
          <w:lang w:val="es-ES"/>
        </w:rPr>
        <w:t xml:space="preserve">Por su ubicación en el centro del litoral peruano, Lima es el punto de confluencia de las principales carreteras del país. La capital se comunica con todas las ciudades de la costa a través de la Carretera Panamericana, que corre paralela al mar; su sección norte llega a Tumbes (límite con Ecuador), a 1370 km de distancia y la sección sur recorre 1291 km hasta Tacna (frontera con Chile). La conexión con las ciudades de la sierra se da a través de la Carretera Central y de algunas vías de penetración afirmadas hacia Yauyos, Huancayo, Huacho, Oyón, Huánuco, Canta, La Oroya, Pucallpa, entre otros. </w:t>
      </w:r>
    </w:p>
    <w:p w:rsidR="008A37E4" w:rsidRPr="007226D7" w:rsidRDefault="008A37E4" w:rsidP="008A37E4">
      <w:pPr>
        <w:keepNext/>
        <w:jc w:val="center"/>
        <w:rPr>
          <w:lang w:val="es-ES"/>
        </w:rPr>
      </w:pPr>
      <w:r w:rsidRPr="007226D7">
        <w:rPr>
          <w:noProof/>
          <w:lang w:val="en-US" w:eastAsia="en-US"/>
        </w:rPr>
        <w:lastRenderedPageBreak/>
        <w:drawing>
          <wp:inline distT="0" distB="0" distL="0" distR="0" wp14:anchorId="60F3D4F1" wp14:editId="053D1E29">
            <wp:extent cx="6049627" cy="5787623"/>
            <wp:effectExtent l="19050" t="0" r="8273" b="0"/>
            <wp:docPr id="182" name="Immagine 79" descr="Distr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tos.png"/>
                    <pic:cNvPicPr/>
                  </pic:nvPicPr>
                  <pic:blipFill>
                    <a:blip r:embed="rId61" cstate="print"/>
                    <a:srcRect l="23166" t="2762" r="8519" b="4697"/>
                    <a:stretch>
                      <a:fillRect/>
                    </a:stretch>
                  </pic:blipFill>
                  <pic:spPr>
                    <a:xfrm>
                      <a:off x="0" y="0"/>
                      <a:ext cx="6058932" cy="5796525"/>
                    </a:xfrm>
                    <a:prstGeom prst="rect">
                      <a:avLst/>
                    </a:prstGeom>
                  </pic:spPr>
                </pic:pic>
              </a:graphicData>
            </a:graphic>
          </wp:inline>
        </w:drawing>
      </w:r>
      <w:r w:rsidRPr="007226D7">
        <w:rPr>
          <w:lang w:val="es-ES"/>
        </w:rPr>
        <w:t xml:space="preserve"> </w:t>
      </w:r>
    </w:p>
    <w:p w:rsidR="008A37E4" w:rsidRPr="007226D7" w:rsidRDefault="008A37E4" w:rsidP="008A37E4">
      <w:pPr>
        <w:pStyle w:val="Figuras"/>
      </w:pPr>
      <w:r w:rsidRPr="007226D7">
        <w:t xml:space="preserve">Figura </w:t>
      </w:r>
      <w:r w:rsidR="00B16923" w:rsidRPr="007226D7">
        <w:fldChar w:fldCharType="begin"/>
      </w:r>
      <w:r w:rsidR="00CB2190" w:rsidRPr="007226D7">
        <w:instrText xml:space="preserve"> SEQ Figura \* ARABIC </w:instrText>
      </w:r>
      <w:r w:rsidR="00B16923" w:rsidRPr="007226D7">
        <w:fldChar w:fldCharType="separate"/>
      </w:r>
      <w:r w:rsidR="003142BB">
        <w:rPr>
          <w:noProof/>
        </w:rPr>
        <w:t>2</w:t>
      </w:r>
      <w:r w:rsidR="00B16923" w:rsidRPr="007226D7">
        <w:rPr>
          <w:noProof/>
        </w:rPr>
        <w:fldChar w:fldCharType="end"/>
      </w:r>
      <w:r w:rsidRPr="007226D7">
        <w:rPr>
          <w:noProof/>
        </w:rPr>
        <w:t xml:space="preserve">.1-27 </w:t>
      </w:r>
      <w:r w:rsidRPr="007226D7">
        <w:t xml:space="preserve"> División de Lima Metropolitana por distritos – (fuente INEI – </w:t>
      </w:r>
      <w:r w:rsidR="00E41450" w:rsidRPr="007226D7">
        <w:t>elaboración</w:t>
      </w:r>
      <w:r w:rsidRPr="007226D7">
        <w:t xml:space="preserve"> grafica propia) </w:t>
      </w:r>
    </w:p>
    <w:p w:rsidR="008A37E4" w:rsidRPr="007226D7" w:rsidRDefault="008A37E4" w:rsidP="008A37E4">
      <w:pPr>
        <w:rPr>
          <w:lang w:val="es-ES"/>
        </w:rPr>
      </w:pPr>
    </w:p>
    <w:p w:rsidR="008A37E4" w:rsidRPr="007226D7" w:rsidRDefault="008A37E4" w:rsidP="008A37E4">
      <w:pPr>
        <w:spacing w:after="0"/>
        <w:rPr>
          <w:lang w:val="es-ES"/>
        </w:rPr>
      </w:pPr>
      <w:r w:rsidRPr="007226D7">
        <w:rPr>
          <w:lang w:val="es-ES"/>
        </w:rPr>
        <w:t>Las vías troncales que nacen de Lima y que comunican a todo el Perú son tres:</w:t>
      </w:r>
    </w:p>
    <w:p w:rsidR="008A37E4" w:rsidRPr="007226D7" w:rsidRDefault="008A37E4" w:rsidP="008A37E4">
      <w:pPr>
        <w:spacing w:after="0" w:line="240" w:lineRule="auto"/>
        <w:rPr>
          <w:lang w:val="es-ES"/>
        </w:rPr>
      </w:pPr>
    </w:p>
    <w:p w:rsidR="008A37E4" w:rsidRPr="007226D7" w:rsidRDefault="008A37E4" w:rsidP="006E6A64">
      <w:pPr>
        <w:pStyle w:val="ListParagraph"/>
        <w:numPr>
          <w:ilvl w:val="0"/>
          <w:numId w:val="27"/>
        </w:numPr>
        <w:spacing w:after="0"/>
        <w:ind w:left="426" w:hanging="426"/>
        <w:rPr>
          <w:lang w:val="es-ES"/>
        </w:rPr>
      </w:pPr>
      <w:r w:rsidRPr="007226D7">
        <w:rPr>
          <w:lang w:val="es-ES"/>
        </w:rPr>
        <w:t>Carretera Panamericana Norte, comunica los distritos del norte de la ciudad (distritos de San Martín de Porres, Independencia, Los Olivos, Comas, Puente Piedra y Ancón) con los departamentos norteños (norte de Lima, Áncash, La Libertad, Lambayeque, Piura y Tumbes). Del recorrido de esta carretera nacen varias vías de penetración a los demás departamentos del norte del país.</w:t>
      </w:r>
    </w:p>
    <w:p w:rsidR="008A37E4" w:rsidRPr="007226D7" w:rsidRDefault="008A37E4" w:rsidP="006E6A64">
      <w:pPr>
        <w:pStyle w:val="ListParagraph"/>
        <w:numPr>
          <w:ilvl w:val="0"/>
          <w:numId w:val="27"/>
        </w:numPr>
        <w:spacing w:after="0"/>
        <w:ind w:left="426" w:hanging="426"/>
        <w:rPr>
          <w:lang w:val="es-ES"/>
        </w:rPr>
      </w:pPr>
      <w:r w:rsidRPr="007226D7">
        <w:rPr>
          <w:lang w:val="es-ES"/>
        </w:rPr>
        <w:t xml:space="preserve">Carretera Central, comunica los distritos del este de la ciudad (distritos de Ate, Santa Anita, Chaclacayo y Lurigancho) con los departamentos del centro del país (departamentos de </w:t>
      </w:r>
      <w:r w:rsidRPr="007226D7">
        <w:rPr>
          <w:lang w:val="es-ES"/>
        </w:rPr>
        <w:lastRenderedPageBreak/>
        <w:t>Junín, Pasco, Huánuco, Ucayali). La carretera central tiene varias ramas de penetración en cada uno de estos departamentos.</w:t>
      </w:r>
    </w:p>
    <w:p w:rsidR="008A37E4" w:rsidRPr="007226D7" w:rsidRDefault="008A37E4" w:rsidP="006E6A64">
      <w:pPr>
        <w:pStyle w:val="ListParagraph"/>
        <w:numPr>
          <w:ilvl w:val="0"/>
          <w:numId w:val="27"/>
        </w:numPr>
        <w:spacing w:after="0"/>
        <w:ind w:left="426" w:hanging="426"/>
        <w:rPr>
          <w:lang w:val="es-ES"/>
        </w:rPr>
      </w:pPr>
      <w:r w:rsidRPr="007226D7">
        <w:rPr>
          <w:lang w:val="es-ES"/>
        </w:rPr>
        <w:t>Carretera Panamericana Sur, comunica los distritos del sur de la ciudad (distritos de Surco, San Juan de Miraflores, Villa El Salvador, Lurín, Punta Hermosa y Pucusana, entre otros) con los departamentos sureños (sur de Lima, Ica, Arequipa, Moquegua y Tacna). Del recorrido de esta carretera nacen varias vías de penetración a los demás departamentos del sur del país.</w:t>
      </w:r>
    </w:p>
    <w:p w:rsidR="008A37E4" w:rsidRPr="007226D7" w:rsidRDefault="008A37E4" w:rsidP="008A37E4">
      <w:pPr>
        <w:rPr>
          <w:lang w:val="es-ES"/>
        </w:rPr>
      </w:pPr>
      <w:r w:rsidRPr="007226D7">
        <w:rPr>
          <w:lang w:val="es-ES"/>
        </w:rPr>
        <w:t>La ciudad de Lima sufre de deficiencias infraestructurales relacionadas con la planificación, que durante demasiado tiempo ha apoyado el desarrollo de la red vial en comparación con la del transporte público masivo combinada con políticas de desarrollo local que han generado con o sin razón, un aglomerado urbano de baja densidad que amplifica las distancias y los tiempos de viaje y no favorece la creación de eficaces zonas de captación para el transporte público.</w:t>
      </w:r>
    </w:p>
    <w:p w:rsidR="008A37E4" w:rsidRPr="007226D7" w:rsidRDefault="008A37E4" w:rsidP="008A37E4">
      <w:pPr>
        <w:rPr>
          <w:b/>
          <w:u w:val="single"/>
          <w:lang w:val="es-ES"/>
        </w:rPr>
      </w:pPr>
      <w:r w:rsidRPr="007226D7">
        <w:rPr>
          <w:b/>
          <w:u w:val="single"/>
          <w:lang w:val="es-ES"/>
        </w:rPr>
        <w:t>Transporte urbano</w:t>
      </w:r>
    </w:p>
    <w:p w:rsidR="008A37E4" w:rsidRPr="007226D7" w:rsidRDefault="008A37E4" w:rsidP="008A37E4">
      <w:pPr>
        <w:rPr>
          <w:lang w:val="es-ES"/>
        </w:rPr>
      </w:pPr>
      <w:r w:rsidRPr="007226D7">
        <w:rPr>
          <w:lang w:val="es-ES"/>
        </w:rPr>
        <w:t>Uno de los grandes problemas actuales de la ciudad de Lima es el relativo al transporte público. Esta situación ha llevado a la construcción, por parte de las autoridades municipales, de viaductos, puentes, intercambios viales, vías expresas y pasos a desnivel como fórmula para solucionar los constantes congestionamientos. Es por ello que se empezaron a desarrollar sistemas de transporte públicos y privados como es el caso del Sistema Metropolitano de Transporte cuyo objetivo es mejorar la seguridad y calidad del servicio de transporte en Lima, además de la construcción de más de 100 km de ciclovías en Lima Metropolitana.</w:t>
      </w:r>
    </w:p>
    <w:p w:rsidR="008A37E4" w:rsidRPr="007226D7" w:rsidRDefault="008A37E4" w:rsidP="008A37E4">
      <w:pPr>
        <w:rPr>
          <w:b/>
          <w:u w:val="single"/>
          <w:lang w:val="es-ES"/>
        </w:rPr>
      </w:pPr>
      <w:r w:rsidRPr="007226D7">
        <w:rPr>
          <w:b/>
          <w:u w:val="single"/>
          <w:lang w:val="es-ES"/>
        </w:rPr>
        <w:t>Autobuses</w:t>
      </w:r>
    </w:p>
    <w:p w:rsidR="008A37E4" w:rsidRPr="007226D7" w:rsidRDefault="008A37E4" w:rsidP="008A37E4">
      <w:pPr>
        <w:rPr>
          <w:lang w:val="es-ES"/>
        </w:rPr>
      </w:pPr>
      <w:r w:rsidRPr="007226D7">
        <w:rPr>
          <w:lang w:val="es-ES"/>
        </w:rPr>
        <w:t>Este sistema se caracteriza por la falta de renovación de las unidades y en varios casos conlleva cierta informalidad de operación, aún cuando las empresas tienen rutas establecidas. Las camionetas rurales conocidas popularmente como combis, son el típico vehículo de transporte público para distancias cortas, y si bien las rutas cubren casi toda el área metropolitana, el servicio es deficiente en cuanto a estándares de seguridad y comodidad. La tarifa promedio es de S/. 1 o $ 0,35.</w:t>
      </w:r>
    </w:p>
    <w:p w:rsidR="008A37E4" w:rsidRPr="007226D7" w:rsidRDefault="008A37E4" w:rsidP="008A37E4">
      <w:pPr>
        <w:rPr>
          <w:b/>
          <w:u w:val="single"/>
          <w:lang w:val="es-ES"/>
        </w:rPr>
      </w:pPr>
      <w:r w:rsidRPr="007226D7">
        <w:rPr>
          <w:b/>
          <w:u w:val="single"/>
          <w:lang w:val="es-ES"/>
        </w:rPr>
        <w:t>El Metropolitano</w:t>
      </w:r>
    </w:p>
    <w:p w:rsidR="008A37E4" w:rsidRPr="007226D7" w:rsidRDefault="008A37E4" w:rsidP="008A37E4">
      <w:pPr>
        <w:rPr>
          <w:lang w:val="es-ES"/>
        </w:rPr>
      </w:pPr>
      <w:r w:rsidRPr="007226D7">
        <w:rPr>
          <w:lang w:val="es-ES"/>
        </w:rPr>
        <w:t>El Sistema Metropolitano de Transporte, es un sistema integrado de transporte público, que cuenta con buses articulados de gran capacidad que circulan por corredores exclusivos, bajo el esquema de autobuses de tránsito rápido (BRT). Su construcción se inició en 2006 y su operación comercial inició el 28 de julio de 2010 de manera parcial. El Corredor Segregado de Alta Capacidad (COSAC) cubre una ruta segregada que de sur a norte recorre dieciséis distritos de la ciudad desde Chorrillos hasta Lima Norte.</w:t>
      </w:r>
    </w:p>
    <w:p w:rsidR="008A37E4" w:rsidRPr="007226D7" w:rsidRDefault="008A37E4" w:rsidP="008A37E4">
      <w:pPr>
        <w:rPr>
          <w:lang w:val="es-ES"/>
        </w:rPr>
      </w:pPr>
      <w:r w:rsidRPr="007226D7">
        <w:rPr>
          <w:lang w:val="es-ES"/>
        </w:rPr>
        <w:t>La longitud de esta ruta troncal es de 26 km y el número total de estaciones es de 38; además se complementa con rutas alimentadoras en sus extremos sur y norte. Este servicio beneficia a más de 700 000 usuarios por día. El objetivo de este moderno sistema es elevar la calidad de vida de los ciudadanos, al ahorrarles tiempo en el traslado diario, proteger el medio ambiente, brindarles mayor seguridad, una mejor calidad de servicio y trato más humano, especialmente a las personas de la tercera edad y con discapacidad. Este sistema es similar al TransMilenio de Bogotá o al Transantiago de Santiago de Chile.</w:t>
      </w:r>
    </w:p>
    <w:p w:rsidR="008A37E4" w:rsidRPr="007226D7" w:rsidRDefault="008A37E4" w:rsidP="008A37E4">
      <w:pPr>
        <w:rPr>
          <w:b/>
          <w:u w:val="single"/>
          <w:lang w:val="es-ES"/>
        </w:rPr>
      </w:pPr>
      <w:r w:rsidRPr="007226D7">
        <w:rPr>
          <w:b/>
          <w:u w:val="single"/>
          <w:lang w:val="es-ES"/>
        </w:rPr>
        <w:lastRenderedPageBreak/>
        <w:t>Metro de Lima</w:t>
      </w:r>
    </w:p>
    <w:p w:rsidR="008A37E4" w:rsidRPr="007226D7" w:rsidRDefault="008A37E4" w:rsidP="008A37E4">
      <w:pPr>
        <w:rPr>
          <w:lang w:val="es-ES"/>
        </w:rPr>
      </w:pPr>
      <w:r w:rsidRPr="007226D7">
        <w:rPr>
          <w:lang w:val="es-ES"/>
        </w:rPr>
        <w:t xml:space="preserve">El Metro de Lima, conocido también como Tren Eléctrico de Lima es un ferrocarril metropolitano que recorre la ciudad de Lima, desde su extremo sur hasta las inmediaciones de su centro histórico. La Línea 1 del Metro de Lima opera casi en su totalidad bajo el sistema de viaducto elevado, no obstante se determinó que la Línea 2 y las siguientes cuatro líneas serán subterráneas. Al concluirse su primer tramo en 1990, el sistema contaba con una línea de metro en viaducto de 9,2 km, atravesando tres distritos: Villa El Salvador, Villa María del Triunfo y San Juan de Miraflores. A comienzos de 2010 se inició el proyecto de construcción de la extensión de la Línea 1 desde la Estación Atocongo en el distrito de San Juan de Miraflores hasta el Hospital Nacional Dos de Mayo en la Avenida Grau (en el centro de Lima) sumando un total de 21,48 km de recorrido. Con la conclusión de este nuevo tramo, el Metro de Lima fue inaugurado oficialmente el 11 de julio de 2011. En noviembre de 2011 se inició la construcción del tramo final de la Línea 1, la cual alcanzará un total de 35 km de extensión y cuya puesta en funcionamiento está </w:t>
      </w:r>
      <w:proofErr w:type="gramStart"/>
      <w:r w:rsidRPr="007226D7">
        <w:rPr>
          <w:lang w:val="es-ES"/>
        </w:rPr>
        <w:t>previsto</w:t>
      </w:r>
      <w:proofErr w:type="gramEnd"/>
      <w:r w:rsidRPr="007226D7">
        <w:rPr>
          <w:lang w:val="es-ES"/>
        </w:rPr>
        <w:t xml:space="preserve"> para fines del 2013.</w:t>
      </w:r>
    </w:p>
    <w:p w:rsidR="008A37E4" w:rsidRPr="007226D7" w:rsidRDefault="008A37E4" w:rsidP="008A37E4">
      <w:pPr>
        <w:rPr>
          <w:b/>
          <w:u w:val="single"/>
          <w:lang w:val="es-ES"/>
        </w:rPr>
      </w:pPr>
      <w:r w:rsidRPr="007226D7">
        <w:rPr>
          <w:b/>
          <w:u w:val="single"/>
          <w:lang w:val="es-ES"/>
        </w:rPr>
        <w:t>Taxis</w:t>
      </w:r>
    </w:p>
    <w:p w:rsidR="008A37E4" w:rsidRPr="007226D7" w:rsidRDefault="008A37E4" w:rsidP="008A37E4">
      <w:pPr>
        <w:rPr>
          <w:lang w:val="es-ES"/>
        </w:rPr>
      </w:pPr>
      <w:r w:rsidRPr="007226D7">
        <w:rPr>
          <w:lang w:val="es-ES"/>
        </w:rPr>
        <w:t>Debido a los grandes márgenes de desempleo que afrontó el Perú en los años 1980 y la libre importación de autos usados, existe una sobreoferta de taxis. Aunque la Municipalidad Metropolitana de Lima inició hace varios años una reorganización del Servicio de Taxis Metropolitanos (SETAME), aún circulan taxis informales. Los vehículos no cuentan con taxímetros por lo que el monto de la tarifa se negocia al momento de tomar el servicio. No obstante, existen numerosas empresas privadas de radiotaxi que brindan servicio puerta a puerta y ofrecen un servicio confiable y seguro. Por otro lado también existen empresas de taxi remisse para servicios entre el aeropuerto internacional y los diferentes hoteles que posee la ciudad.</w:t>
      </w:r>
    </w:p>
    <w:p w:rsidR="008A37E4" w:rsidRPr="007226D7" w:rsidRDefault="008A37E4" w:rsidP="00BB081C">
      <w:pPr>
        <w:pStyle w:val="Heading5"/>
      </w:pPr>
      <w:bookmarkStart w:id="29" w:name="_Toc341644980"/>
      <w:r w:rsidRPr="007226D7">
        <w:t>Características de la red vial</w:t>
      </w:r>
      <w:bookmarkEnd w:id="29"/>
    </w:p>
    <w:p w:rsidR="008A37E4" w:rsidRPr="007226D7" w:rsidRDefault="008A37E4" w:rsidP="00BB081C">
      <w:pPr>
        <w:pStyle w:val="Heading6"/>
        <w:rPr>
          <w:rStyle w:val="BookTitle"/>
          <w:b/>
        </w:rPr>
      </w:pPr>
      <w:r w:rsidRPr="007226D7">
        <w:t>Sistema Vial Metropolitano</w:t>
      </w:r>
    </w:p>
    <w:p w:rsidR="008A37E4" w:rsidRPr="007226D7" w:rsidRDefault="008A37E4" w:rsidP="008A37E4">
      <w:pPr>
        <w:rPr>
          <w:lang w:val="es-ES"/>
        </w:rPr>
      </w:pPr>
      <w:r w:rsidRPr="007226D7">
        <w:rPr>
          <w:lang w:val="es-ES"/>
        </w:rPr>
        <w:t xml:space="preserve">La red vial principal de Lima y Callao tiene una extensión de 1,100 km (proyectados 1,800 km). Asimismo existen 68 intercambios viales (proyectados: 230). </w:t>
      </w:r>
    </w:p>
    <w:p w:rsidR="008A37E4" w:rsidRPr="007226D7" w:rsidRDefault="008A37E4" w:rsidP="008A37E4">
      <w:pPr>
        <w:rPr>
          <w:lang w:val="es-ES"/>
        </w:rPr>
      </w:pPr>
      <w:r w:rsidRPr="007226D7">
        <w:rPr>
          <w:lang w:val="es-ES"/>
        </w:rPr>
        <w:t>Se estima que la totalidad de las vías de la ciudad alcanzan los 13,000 km incluyendo ciclovías y veredas peatonales.</w:t>
      </w: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pPr>
        <w:rPr>
          <w:lang w:val="es-ES"/>
        </w:rPr>
      </w:pPr>
    </w:p>
    <w:tbl>
      <w:tblPr>
        <w:tblW w:w="5103"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127"/>
        <w:gridCol w:w="2976"/>
      </w:tblGrid>
      <w:tr w:rsidR="008A37E4" w:rsidRPr="007226D7" w:rsidTr="007572D7">
        <w:trPr>
          <w:trHeight w:val="251"/>
          <w:jc w:val="center"/>
        </w:trPr>
        <w:tc>
          <w:tcPr>
            <w:tcW w:w="2127" w:type="dxa"/>
            <w:tcBorders>
              <w:top w:val="single" w:sz="8" w:space="0" w:color="4F81BD"/>
              <w:left w:val="single" w:sz="8" w:space="0" w:color="4F81BD"/>
              <w:bottom w:val="single" w:sz="18" w:space="0" w:color="4F81BD"/>
              <w:right w:val="single" w:sz="8" w:space="0" w:color="4F81BD"/>
            </w:tcBorders>
            <w:shd w:val="clear" w:color="auto" w:fill="auto"/>
            <w:noWrap/>
            <w:vAlign w:val="center"/>
            <w:hideMark/>
          </w:tcPr>
          <w:p w:rsidR="008A37E4" w:rsidRPr="007226D7" w:rsidRDefault="008A37E4" w:rsidP="007572D7">
            <w:pPr>
              <w:jc w:val="center"/>
              <w:rPr>
                <w:b/>
                <w:bCs/>
              </w:rPr>
            </w:pPr>
            <w:r w:rsidRPr="007226D7">
              <w:rPr>
                <w:b/>
                <w:bCs/>
              </w:rPr>
              <w:lastRenderedPageBreak/>
              <w:t>LONGITUD [km]</w:t>
            </w:r>
          </w:p>
        </w:tc>
        <w:tc>
          <w:tcPr>
            <w:tcW w:w="2976" w:type="dxa"/>
            <w:tcBorders>
              <w:top w:val="single" w:sz="8" w:space="0" w:color="4F81BD"/>
              <w:left w:val="single" w:sz="8" w:space="0" w:color="4F81BD"/>
              <w:bottom w:val="single" w:sz="18" w:space="0" w:color="4F81BD"/>
              <w:right w:val="single" w:sz="8" w:space="0" w:color="4F81BD"/>
            </w:tcBorders>
            <w:shd w:val="clear" w:color="auto" w:fill="auto"/>
            <w:vAlign w:val="center"/>
          </w:tcPr>
          <w:p w:rsidR="008A37E4" w:rsidRPr="007226D7" w:rsidRDefault="008A37E4" w:rsidP="007572D7">
            <w:pPr>
              <w:jc w:val="center"/>
              <w:rPr>
                <w:b/>
                <w:bCs/>
              </w:rPr>
            </w:pPr>
            <w:r w:rsidRPr="007226D7">
              <w:rPr>
                <w:b/>
                <w:bCs/>
              </w:rPr>
              <w:t>TIPOLOGIA CARRETERA</w:t>
            </w:r>
          </w:p>
        </w:tc>
      </w:tr>
      <w:tr w:rsidR="008A37E4" w:rsidRPr="007226D7" w:rsidTr="007572D7">
        <w:trPr>
          <w:trHeight w:hRule="exact" w:val="284"/>
          <w:jc w:val="center"/>
        </w:trPr>
        <w:tc>
          <w:tcPr>
            <w:tcW w:w="2127" w:type="dxa"/>
            <w:vMerge w:val="restart"/>
            <w:tcBorders>
              <w:top w:val="single" w:sz="8" w:space="0" w:color="4F81BD"/>
              <w:left w:val="single" w:sz="8" w:space="0" w:color="4F81BD"/>
              <w:right w:val="single" w:sz="8" w:space="0" w:color="4F81BD"/>
            </w:tcBorders>
            <w:shd w:val="clear" w:color="auto" w:fill="D3DFEE"/>
            <w:noWrap/>
            <w:vAlign w:val="center"/>
            <w:hideMark/>
          </w:tcPr>
          <w:p w:rsidR="008A37E4" w:rsidRPr="007226D7" w:rsidRDefault="008A37E4" w:rsidP="007572D7">
            <w:pPr>
              <w:jc w:val="center"/>
            </w:pPr>
            <w:r w:rsidRPr="007226D7">
              <w:t>350.1</w:t>
            </w:r>
          </w:p>
        </w:tc>
        <w:tc>
          <w:tcPr>
            <w:tcW w:w="2976" w:type="dxa"/>
            <w:vMerge w:val="restart"/>
            <w:tcBorders>
              <w:top w:val="single" w:sz="18" w:space="0" w:color="4F81BD"/>
              <w:left w:val="single" w:sz="8" w:space="0" w:color="4F81BD"/>
              <w:bottom w:val="single" w:sz="8" w:space="0" w:color="4F81BD"/>
              <w:right w:val="single" w:sz="8" w:space="0" w:color="4F81BD"/>
            </w:tcBorders>
            <w:shd w:val="clear" w:color="auto" w:fill="E5B8B7"/>
            <w:vAlign w:val="center"/>
          </w:tcPr>
          <w:p w:rsidR="008A37E4" w:rsidRPr="007226D7" w:rsidRDefault="008A37E4" w:rsidP="007572D7">
            <w:pPr>
              <w:jc w:val="center"/>
              <w:rPr>
                <w:rFonts w:eastAsia="Calibri" w:cs="Arial"/>
                <w:b/>
                <w:bCs/>
                <w:color w:val="171717"/>
                <w:szCs w:val="22"/>
                <w:lang w:eastAsia="en-US"/>
              </w:rPr>
            </w:pPr>
            <w:r w:rsidRPr="007226D7">
              <w:rPr>
                <w:rFonts w:eastAsia="Calibri" w:cs="Arial"/>
                <w:b/>
                <w:bCs/>
                <w:color w:val="171717"/>
                <w:szCs w:val="22"/>
                <w:lang w:eastAsia="en-US"/>
              </w:rPr>
              <w:t>Vías Expresas</w:t>
            </w:r>
          </w:p>
        </w:tc>
      </w:tr>
      <w:tr w:rsidR="008A37E4" w:rsidRPr="007226D7" w:rsidTr="007572D7">
        <w:trPr>
          <w:trHeight w:val="411"/>
          <w:jc w:val="center"/>
        </w:trPr>
        <w:tc>
          <w:tcPr>
            <w:tcW w:w="2127" w:type="dxa"/>
            <w:vMerge/>
            <w:tcBorders>
              <w:left w:val="single" w:sz="8" w:space="0" w:color="4F81BD"/>
              <w:right w:val="single" w:sz="8" w:space="0" w:color="4F81BD"/>
            </w:tcBorders>
            <w:shd w:val="clear" w:color="auto" w:fill="auto"/>
            <w:noWrap/>
            <w:vAlign w:val="center"/>
            <w:hideMark/>
          </w:tcPr>
          <w:p w:rsidR="008A37E4" w:rsidRPr="007226D7" w:rsidRDefault="008A37E4" w:rsidP="007572D7">
            <w:pPr>
              <w:jc w:val="center"/>
            </w:pPr>
          </w:p>
        </w:tc>
        <w:tc>
          <w:tcPr>
            <w:tcW w:w="2976" w:type="dxa"/>
            <w:vMerge/>
            <w:tcBorders>
              <w:top w:val="single" w:sz="8" w:space="0" w:color="4F81BD"/>
              <w:left w:val="single" w:sz="8" w:space="0" w:color="4F81BD"/>
              <w:bottom w:val="single" w:sz="8" w:space="0" w:color="4F81BD"/>
              <w:right w:val="single" w:sz="8" w:space="0" w:color="4F81BD"/>
            </w:tcBorders>
            <w:shd w:val="clear" w:color="auto" w:fill="E5B8B7"/>
            <w:vAlign w:val="center"/>
          </w:tcPr>
          <w:p w:rsidR="008A37E4" w:rsidRPr="007226D7" w:rsidRDefault="008A37E4" w:rsidP="007572D7">
            <w:pPr>
              <w:jc w:val="center"/>
              <w:rPr>
                <w:rFonts w:eastAsia="Calibri"/>
                <w:szCs w:val="22"/>
                <w:lang w:eastAsia="en-US"/>
              </w:rPr>
            </w:pPr>
          </w:p>
        </w:tc>
      </w:tr>
      <w:tr w:rsidR="008A37E4" w:rsidRPr="007226D7" w:rsidTr="007572D7">
        <w:trPr>
          <w:trHeight w:hRule="exact" w:val="284"/>
          <w:jc w:val="center"/>
        </w:trPr>
        <w:tc>
          <w:tcPr>
            <w:tcW w:w="2127" w:type="dxa"/>
            <w:vMerge/>
            <w:tcBorders>
              <w:left w:val="single" w:sz="8" w:space="0" w:color="4F81BD"/>
              <w:bottom w:val="single" w:sz="8" w:space="0" w:color="4F81BD"/>
              <w:right w:val="single" w:sz="8" w:space="0" w:color="4F81BD"/>
            </w:tcBorders>
            <w:shd w:val="clear" w:color="auto" w:fill="D3DFEE"/>
            <w:noWrap/>
            <w:vAlign w:val="center"/>
            <w:hideMark/>
          </w:tcPr>
          <w:p w:rsidR="008A37E4" w:rsidRPr="007226D7" w:rsidRDefault="008A37E4" w:rsidP="007572D7">
            <w:pPr>
              <w:jc w:val="center"/>
            </w:pPr>
          </w:p>
        </w:tc>
        <w:tc>
          <w:tcPr>
            <w:tcW w:w="2976" w:type="dxa"/>
            <w:vMerge/>
            <w:tcBorders>
              <w:top w:val="single" w:sz="8" w:space="0" w:color="4F81BD"/>
              <w:left w:val="single" w:sz="8" w:space="0" w:color="4F81BD"/>
              <w:bottom w:val="single" w:sz="8" w:space="0" w:color="4F81BD"/>
              <w:right w:val="single" w:sz="8" w:space="0" w:color="4F81BD"/>
            </w:tcBorders>
            <w:shd w:val="clear" w:color="auto" w:fill="E5B8B7"/>
            <w:vAlign w:val="center"/>
          </w:tcPr>
          <w:p w:rsidR="008A37E4" w:rsidRPr="007226D7" w:rsidRDefault="008A37E4" w:rsidP="007572D7">
            <w:pPr>
              <w:jc w:val="center"/>
              <w:rPr>
                <w:rFonts w:eastAsia="Calibri"/>
                <w:szCs w:val="22"/>
                <w:lang w:eastAsia="en-US"/>
              </w:rPr>
            </w:pPr>
          </w:p>
        </w:tc>
      </w:tr>
      <w:tr w:rsidR="008A37E4" w:rsidRPr="007226D7" w:rsidTr="007572D7">
        <w:trPr>
          <w:trHeight w:hRule="exact" w:val="284"/>
          <w:jc w:val="center"/>
        </w:trPr>
        <w:tc>
          <w:tcPr>
            <w:tcW w:w="2127"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8A37E4" w:rsidRPr="007226D7" w:rsidRDefault="008A37E4" w:rsidP="007572D7">
            <w:pPr>
              <w:jc w:val="center"/>
            </w:pPr>
            <w:r w:rsidRPr="007226D7">
              <w:t>547.69</w:t>
            </w:r>
          </w:p>
        </w:tc>
        <w:tc>
          <w:tcPr>
            <w:tcW w:w="2976" w:type="dxa"/>
            <w:tcBorders>
              <w:top w:val="single" w:sz="8" w:space="0" w:color="4F81BD"/>
              <w:left w:val="single" w:sz="8" w:space="0" w:color="4F81BD"/>
              <w:bottom w:val="single" w:sz="8" w:space="0" w:color="4F81BD"/>
              <w:right w:val="single" w:sz="8" w:space="0" w:color="4F81BD"/>
            </w:tcBorders>
            <w:shd w:val="clear" w:color="auto" w:fill="CCC0D9"/>
            <w:vAlign w:val="center"/>
          </w:tcPr>
          <w:p w:rsidR="008A37E4" w:rsidRPr="007226D7" w:rsidRDefault="008A37E4" w:rsidP="007572D7">
            <w:pPr>
              <w:jc w:val="center"/>
              <w:rPr>
                <w:rFonts w:eastAsia="Calibri" w:cs="Arial"/>
                <w:b/>
                <w:bCs/>
                <w:color w:val="171717"/>
                <w:szCs w:val="22"/>
                <w:lang w:eastAsia="en-US"/>
              </w:rPr>
            </w:pPr>
            <w:r w:rsidRPr="007226D7">
              <w:rPr>
                <w:rFonts w:eastAsia="Calibri" w:cs="Arial"/>
                <w:b/>
                <w:bCs/>
                <w:color w:val="171717"/>
                <w:szCs w:val="22"/>
                <w:lang w:eastAsia="en-US"/>
              </w:rPr>
              <w:t>Vías Arteriales</w:t>
            </w:r>
          </w:p>
        </w:tc>
      </w:tr>
      <w:tr w:rsidR="008A37E4" w:rsidRPr="007226D7" w:rsidTr="007572D7">
        <w:trPr>
          <w:trHeight w:hRule="exact" w:val="284"/>
          <w:jc w:val="center"/>
        </w:trPr>
        <w:tc>
          <w:tcPr>
            <w:tcW w:w="2127" w:type="dxa"/>
            <w:tcBorders>
              <w:top w:val="single" w:sz="8" w:space="0" w:color="4F81BD"/>
              <w:left w:val="single" w:sz="8" w:space="0" w:color="4F81BD"/>
              <w:bottom w:val="single" w:sz="8" w:space="0" w:color="4F81BD"/>
              <w:right w:val="single" w:sz="8" w:space="0" w:color="4F81BD"/>
            </w:tcBorders>
            <w:shd w:val="clear" w:color="auto" w:fill="D3DFEE"/>
            <w:noWrap/>
            <w:vAlign w:val="center"/>
            <w:hideMark/>
          </w:tcPr>
          <w:p w:rsidR="008A37E4" w:rsidRPr="007226D7" w:rsidRDefault="008A37E4" w:rsidP="007572D7">
            <w:pPr>
              <w:jc w:val="center"/>
            </w:pPr>
            <w:r w:rsidRPr="007226D7">
              <w:t>605.8</w:t>
            </w:r>
          </w:p>
        </w:tc>
        <w:tc>
          <w:tcPr>
            <w:tcW w:w="2976" w:type="dxa"/>
            <w:tcBorders>
              <w:top w:val="single" w:sz="8" w:space="0" w:color="4F81BD"/>
              <w:left w:val="single" w:sz="8" w:space="0" w:color="4F81BD"/>
              <w:bottom w:val="single" w:sz="8" w:space="0" w:color="4F81BD"/>
              <w:right w:val="single" w:sz="8" w:space="0" w:color="4F81BD"/>
            </w:tcBorders>
            <w:shd w:val="clear" w:color="auto" w:fill="E5B8B7"/>
            <w:vAlign w:val="center"/>
          </w:tcPr>
          <w:p w:rsidR="008A37E4" w:rsidRPr="007226D7" w:rsidRDefault="008A37E4" w:rsidP="007572D7">
            <w:pPr>
              <w:jc w:val="center"/>
              <w:rPr>
                <w:rFonts w:eastAsia="Calibri" w:cs="Arial"/>
                <w:b/>
                <w:bCs/>
                <w:color w:val="171717"/>
                <w:szCs w:val="22"/>
                <w:lang w:eastAsia="en-US"/>
              </w:rPr>
            </w:pPr>
            <w:r w:rsidRPr="007226D7">
              <w:rPr>
                <w:rFonts w:eastAsia="Calibri" w:cs="Arial"/>
                <w:b/>
                <w:bCs/>
                <w:color w:val="171717"/>
                <w:szCs w:val="22"/>
                <w:lang w:eastAsia="en-US"/>
              </w:rPr>
              <w:t>Vías Colectoras</w:t>
            </w:r>
          </w:p>
        </w:tc>
      </w:tr>
      <w:tr w:rsidR="008A37E4" w:rsidRPr="007226D7" w:rsidTr="007572D7">
        <w:trPr>
          <w:trHeight w:hRule="exact" w:val="284"/>
          <w:jc w:val="center"/>
        </w:trPr>
        <w:tc>
          <w:tcPr>
            <w:tcW w:w="2127" w:type="dxa"/>
            <w:vMerge w:val="restart"/>
            <w:tcBorders>
              <w:top w:val="single" w:sz="8" w:space="0" w:color="4F81BD"/>
              <w:left w:val="single" w:sz="8" w:space="0" w:color="4F81BD"/>
              <w:right w:val="single" w:sz="8" w:space="0" w:color="4F81BD"/>
            </w:tcBorders>
            <w:shd w:val="clear" w:color="auto" w:fill="auto"/>
            <w:noWrap/>
            <w:vAlign w:val="center"/>
            <w:hideMark/>
          </w:tcPr>
          <w:p w:rsidR="008A37E4" w:rsidRPr="007226D7" w:rsidRDefault="008A37E4" w:rsidP="007572D7">
            <w:pPr>
              <w:jc w:val="center"/>
            </w:pPr>
            <w:r w:rsidRPr="007226D7">
              <w:t>1694.5</w:t>
            </w:r>
          </w:p>
        </w:tc>
        <w:tc>
          <w:tcPr>
            <w:tcW w:w="2976" w:type="dxa"/>
            <w:vMerge w:val="restart"/>
            <w:tcBorders>
              <w:top w:val="single" w:sz="8" w:space="0" w:color="4F81BD"/>
              <w:left w:val="single" w:sz="8" w:space="0" w:color="4F81BD"/>
              <w:bottom w:val="single" w:sz="8" w:space="0" w:color="4F81BD"/>
              <w:right w:val="single" w:sz="8" w:space="0" w:color="4F81BD"/>
            </w:tcBorders>
            <w:shd w:val="clear" w:color="auto" w:fill="CCC0D9"/>
            <w:vAlign w:val="center"/>
          </w:tcPr>
          <w:p w:rsidR="008A37E4" w:rsidRPr="007226D7" w:rsidRDefault="008A37E4" w:rsidP="007572D7">
            <w:pPr>
              <w:jc w:val="center"/>
              <w:rPr>
                <w:rFonts w:eastAsia="Calibri" w:cs="Arial"/>
                <w:b/>
                <w:bCs/>
                <w:color w:val="171717"/>
                <w:szCs w:val="22"/>
                <w:lang w:eastAsia="en-US"/>
              </w:rPr>
            </w:pPr>
            <w:r w:rsidRPr="007226D7">
              <w:rPr>
                <w:rFonts w:eastAsia="Calibri" w:cs="Arial"/>
                <w:b/>
                <w:bCs/>
                <w:color w:val="171717"/>
                <w:szCs w:val="22"/>
                <w:lang w:eastAsia="en-US"/>
              </w:rPr>
              <w:t>Vías Locales</w:t>
            </w:r>
          </w:p>
        </w:tc>
      </w:tr>
      <w:tr w:rsidR="008A37E4" w:rsidRPr="007226D7" w:rsidTr="007572D7">
        <w:trPr>
          <w:trHeight w:val="411"/>
          <w:jc w:val="center"/>
        </w:trPr>
        <w:tc>
          <w:tcPr>
            <w:tcW w:w="2127" w:type="dxa"/>
            <w:vMerge/>
            <w:tcBorders>
              <w:left w:val="single" w:sz="8" w:space="0" w:color="4F81BD"/>
              <w:right w:val="single" w:sz="8" w:space="0" w:color="4F81BD"/>
            </w:tcBorders>
            <w:shd w:val="clear" w:color="auto" w:fill="D3DFEE"/>
            <w:noWrap/>
            <w:vAlign w:val="center"/>
            <w:hideMark/>
          </w:tcPr>
          <w:p w:rsidR="008A37E4" w:rsidRPr="007226D7" w:rsidRDefault="008A37E4" w:rsidP="007572D7">
            <w:pPr>
              <w:jc w:val="center"/>
            </w:pPr>
          </w:p>
        </w:tc>
        <w:tc>
          <w:tcPr>
            <w:tcW w:w="2976" w:type="dxa"/>
            <w:vMerge/>
            <w:tcBorders>
              <w:top w:val="single" w:sz="8" w:space="0" w:color="4F81BD"/>
              <w:left w:val="single" w:sz="8" w:space="0" w:color="4F81BD"/>
              <w:bottom w:val="single" w:sz="8" w:space="0" w:color="4F81BD"/>
              <w:right w:val="single" w:sz="8" w:space="0" w:color="4F81BD"/>
            </w:tcBorders>
            <w:shd w:val="clear" w:color="auto" w:fill="CCC0D9"/>
            <w:vAlign w:val="center"/>
          </w:tcPr>
          <w:p w:rsidR="008A37E4" w:rsidRPr="007226D7" w:rsidRDefault="008A37E4" w:rsidP="007572D7">
            <w:pPr>
              <w:jc w:val="center"/>
              <w:rPr>
                <w:rFonts w:eastAsia="Calibri"/>
                <w:szCs w:val="22"/>
                <w:lang w:eastAsia="en-US"/>
              </w:rPr>
            </w:pPr>
          </w:p>
        </w:tc>
      </w:tr>
      <w:tr w:rsidR="008A37E4" w:rsidRPr="007226D7" w:rsidTr="007572D7">
        <w:trPr>
          <w:trHeight w:hRule="exact" w:val="284"/>
          <w:jc w:val="center"/>
        </w:trPr>
        <w:tc>
          <w:tcPr>
            <w:tcW w:w="2127" w:type="dxa"/>
            <w:vMerge/>
            <w:tcBorders>
              <w:left w:val="single" w:sz="8" w:space="0" w:color="4F81BD"/>
              <w:right w:val="single" w:sz="8" w:space="0" w:color="4F81BD"/>
            </w:tcBorders>
            <w:shd w:val="clear" w:color="auto" w:fill="auto"/>
            <w:noWrap/>
            <w:vAlign w:val="center"/>
            <w:hideMark/>
          </w:tcPr>
          <w:p w:rsidR="008A37E4" w:rsidRPr="007226D7" w:rsidRDefault="008A37E4" w:rsidP="007572D7">
            <w:pPr>
              <w:jc w:val="center"/>
            </w:pPr>
          </w:p>
        </w:tc>
        <w:tc>
          <w:tcPr>
            <w:tcW w:w="2976" w:type="dxa"/>
            <w:vMerge/>
            <w:tcBorders>
              <w:top w:val="single" w:sz="8" w:space="0" w:color="4F81BD"/>
              <w:left w:val="single" w:sz="8" w:space="0" w:color="4F81BD"/>
              <w:bottom w:val="single" w:sz="8" w:space="0" w:color="4F81BD"/>
              <w:right w:val="single" w:sz="8" w:space="0" w:color="4F81BD"/>
            </w:tcBorders>
            <w:shd w:val="clear" w:color="auto" w:fill="CCC0D9"/>
            <w:vAlign w:val="center"/>
          </w:tcPr>
          <w:p w:rsidR="008A37E4" w:rsidRPr="007226D7" w:rsidRDefault="008A37E4" w:rsidP="007572D7">
            <w:pPr>
              <w:jc w:val="center"/>
              <w:rPr>
                <w:rFonts w:eastAsia="Calibri"/>
                <w:szCs w:val="22"/>
                <w:lang w:eastAsia="en-US"/>
              </w:rPr>
            </w:pPr>
          </w:p>
        </w:tc>
      </w:tr>
      <w:tr w:rsidR="008A37E4" w:rsidRPr="007226D7" w:rsidTr="007572D7">
        <w:trPr>
          <w:trHeight w:val="411"/>
          <w:jc w:val="center"/>
        </w:trPr>
        <w:tc>
          <w:tcPr>
            <w:tcW w:w="2127" w:type="dxa"/>
            <w:vMerge/>
            <w:tcBorders>
              <w:left w:val="single" w:sz="8" w:space="0" w:color="4F81BD"/>
              <w:bottom w:val="single" w:sz="8" w:space="0" w:color="4F81BD"/>
              <w:right w:val="single" w:sz="8" w:space="0" w:color="4F81BD"/>
            </w:tcBorders>
            <w:shd w:val="clear" w:color="auto" w:fill="D3DFEE"/>
            <w:noWrap/>
            <w:vAlign w:val="center"/>
            <w:hideMark/>
          </w:tcPr>
          <w:p w:rsidR="008A37E4" w:rsidRPr="007226D7" w:rsidRDefault="008A37E4" w:rsidP="007572D7">
            <w:pPr>
              <w:jc w:val="center"/>
            </w:pPr>
          </w:p>
        </w:tc>
        <w:tc>
          <w:tcPr>
            <w:tcW w:w="2976" w:type="dxa"/>
            <w:vMerge/>
            <w:tcBorders>
              <w:top w:val="single" w:sz="8" w:space="0" w:color="4F81BD"/>
              <w:left w:val="single" w:sz="8" w:space="0" w:color="4F81BD"/>
              <w:bottom w:val="single" w:sz="8" w:space="0" w:color="4F81BD"/>
              <w:right w:val="single" w:sz="8" w:space="0" w:color="4F81BD"/>
            </w:tcBorders>
            <w:shd w:val="clear" w:color="auto" w:fill="CCC0D9"/>
            <w:vAlign w:val="center"/>
          </w:tcPr>
          <w:p w:rsidR="008A37E4" w:rsidRPr="007226D7" w:rsidRDefault="008A37E4" w:rsidP="007572D7">
            <w:pPr>
              <w:jc w:val="center"/>
              <w:rPr>
                <w:rFonts w:eastAsia="Calibri"/>
                <w:szCs w:val="22"/>
                <w:lang w:eastAsia="en-US"/>
              </w:rPr>
            </w:pPr>
          </w:p>
        </w:tc>
      </w:tr>
      <w:tr w:rsidR="008A37E4" w:rsidRPr="007226D7" w:rsidTr="007572D7">
        <w:trPr>
          <w:trHeight w:hRule="exact" w:val="284"/>
          <w:jc w:val="center"/>
        </w:trPr>
        <w:tc>
          <w:tcPr>
            <w:tcW w:w="2127"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8A37E4" w:rsidRPr="007226D7" w:rsidRDefault="008A37E4" w:rsidP="007572D7">
            <w:pPr>
              <w:jc w:val="center"/>
            </w:pPr>
            <w:r w:rsidRPr="007226D7">
              <w:t>3198.1</w:t>
            </w:r>
          </w:p>
        </w:tc>
        <w:tc>
          <w:tcPr>
            <w:tcW w:w="2976" w:type="dxa"/>
            <w:tcBorders>
              <w:top w:val="single" w:sz="8" w:space="0" w:color="4F81BD"/>
              <w:left w:val="single" w:sz="8" w:space="0" w:color="4F81BD"/>
              <w:bottom w:val="single" w:sz="8" w:space="0" w:color="4F81BD"/>
              <w:right w:val="single" w:sz="8" w:space="0" w:color="4F81BD"/>
            </w:tcBorders>
            <w:shd w:val="clear" w:color="auto" w:fill="auto"/>
            <w:vAlign w:val="center"/>
          </w:tcPr>
          <w:p w:rsidR="008A37E4" w:rsidRPr="007226D7" w:rsidRDefault="008A37E4" w:rsidP="007572D7">
            <w:pPr>
              <w:jc w:val="center"/>
              <w:rPr>
                <w:rFonts w:eastAsia="Calibri"/>
                <w:b/>
                <w:szCs w:val="22"/>
                <w:lang w:eastAsia="en-US"/>
              </w:rPr>
            </w:pPr>
            <w:r w:rsidRPr="007226D7">
              <w:rPr>
                <w:rFonts w:eastAsia="Calibri"/>
                <w:b/>
                <w:szCs w:val="22"/>
                <w:lang w:eastAsia="en-US"/>
              </w:rPr>
              <w:t>Total</w:t>
            </w:r>
          </w:p>
        </w:tc>
      </w:tr>
    </w:tbl>
    <w:p w:rsidR="008A37E4" w:rsidRPr="007226D7" w:rsidRDefault="008A37E4" w:rsidP="008A37E4">
      <w:pPr>
        <w:pStyle w:val="Figuras"/>
      </w:pPr>
      <w:r w:rsidRPr="007226D7">
        <w:t>Tabla 3.1-52 Consistencia de la Red Vial de Lima y Callao (Fuente: MTC / ST – CTLC).</w:t>
      </w:r>
    </w:p>
    <w:p w:rsidR="008A37E4" w:rsidRPr="007226D7" w:rsidRDefault="008A37E4" w:rsidP="008A37E4">
      <w:pPr>
        <w:rPr>
          <w:u w:val="single"/>
          <w:lang w:val="es-ES"/>
        </w:rPr>
      </w:pPr>
      <w:r w:rsidRPr="007226D7">
        <w:rPr>
          <w:u w:val="single"/>
          <w:lang w:val="es-ES"/>
        </w:rPr>
        <w:t>Vías Expresas</w:t>
      </w:r>
    </w:p>
    <w:p w:rsidR="008A37E4" w:rsidRPr="007226D7" w:rsidRDefault="008A37E4" w:rsidP="008A37E4">
      <w:pPr>
        <w:rPr>
          <w:lang w:val="es-ES"/>
        </w:rPr>
      </w:pPr>
      <w:r w:rsidRPr="007226D7">
        <w:rPr>
          <w:lang w:val="es-ES"/>
        </w:rPr>
        <w:t>Son aquellas vías que soportan importantes volúmenes de vehículos con circulación de alta velocidad, en condiciones de flujo libre. Estas vías unen zonas de importante generación de tránsito, extensas zonas de vivienda, concentraciones comerciales e industriales, asimismo integran la ciudad con el resto del país. En estas vías el flujo es ininterrumpido; no existen cruces al mismo nivel con otras vías, sino a diferentes niveles ó con intercambios especialmente diseñados. Las Vías Expresas sirven también a las propiedades vecinas mediante rampas y vías auxiliares de diseño especial.</w:t>
      </w:r>
    </w:p>
    <w:p w:rsidR="008A37E4" w:rsidRPr="007226D7" w:rsidRDefault="008A37E4" w:rsidP="008A37E4">
      <w:pPr>
        <w:autoSpaceDE w:val="0"/>
        <w:autoSpaceDN w:val="0"/>
        <w:adjustRightInd w:val="0"/>
        <w:spacing w:after="0" w:line="240" w:lineRule="auto"/>
        <w:jc w:val="left"/>
        <w:rPr>
          <w:rFonts w:cs="Arial"/>
          <w:szCs w:val="22"/>
          <w:lang w:val="es-ES"/>
        </w:rPr>
      </w:pPr>
    </w:p>
    <w:p w:rsidR="008A37E4" w:rsidRPr="007226D7" w:rsidRDefault="008A37E4" w:rsidP="008A37E4">
      <w:pPr>
        <w:rPr>
          <w:lang w:val="es-ES"/>
        </w:rPr>
      </w:pPr>
      <w:r w:rsidRPr="007226D7">
        <w:rPr>
          <w:lang w:val="es-ES"/>
        </w:rPr>
        <w:t>Las Vías Expresas pueden recibir vehículos livianos y cuando sea permitido vehículos pesados, cuyo tráfico debe ser tomado en consideración para el diseño geométrico, especialmente en el caso de las carreteras que unen la ciudad con el resto del país.</w:t>
      </w:r>
    </w:p>
    <w:p w:rsidR="008A37E4" w:rsidRPr="007226D7" w:rsidRDefault="008A37E4" w:rsidP="008A37E4">
      <w:pPr>
        <w:rPr>
          <w:lang w:val="es-ES"/>
        </w:rPr>
      </w:pPr>
      <w:r w:rsidRPr="007226D7">
        <w:rPr>
          <w:lang w:val="es-ES"/>
        </w:rPr>
        <w:t>En caso se permita servicio de transporte público de pasajeros, este debe desarrollarse por buses, preferentemente en calzadas exclusivas con paraderos debidamente diseñados. No se permite la circulación de vehículos menores.</w:t>
      </w:r>
    </w:p>
    <w:p w:rsidR="008A37E4" w:rsidRPr="007226D7" w:rsidRDefault="008A37E4" w:rsidP="008A37E4">
      <w:pPr>
        <w:rPr>
          <w:lang w:val="es-ES"/>
        </w:rPr>
      </w:pPr>
      <w:r w:rsidRPr="007226D7">
        <w:rPr>
          <w:lang w:val="es-ES"/>
        </w:rPr>
        <w:t>Las Vías Expresas, de acuerdo al ámbito de su jurisdicción, pueden subdividirse en:</w:t>
      </w:r>
    </w:p>
    <w:p w:rsidR="008A37E4" w:rsidRPr="007226D7" w:rsidRDefault="008A37E4" w:rsidP="006E6A64">
      <w:pPr>
        <w:pStyle w:val="ListParagraph"/>
        <w:numPr>
          <w:ilvl w:val="0"/>
          <w:numId w:val="33"/>
        </w:numPr>
        <w:rPr>
          <w:lang w:val="es-ES"/>
        </w:rPr>
      </w:pPr>
      <w:r w:rsidRPr="007226D7">
        <w:rPr>
          <w:lang w:val="es-ES"/>
        </w:rPr>
        <w:t xml:space="preserve">Nacionales/Regionales - son aquellas que forman parte del Sistema Nacional </w:t>
      </w:r>
      <w:r w:rsidRPr="007226D7">
        <w:rPr>
          <w:rFonts w:cs="Arial"/>
          <w:szCs w:val="22"/>
          <w:lang w:val="es-ES"/>
        </w:rPr>
        <w:t>de Carreteras, que cruzan el Área Metropolitana de Lima – Callao y la vinculan con el resto del país. Están destinadas fundamentalmente para el transporte interprovincial y el transporte de carga, pero en el área urbana metropolitana absorben flujos del transporte urbano</w:t>
      </w:r>
    </w:p>
    <w:p w:rsidR="008A37E4" w:rsidRPr="007226D7" w:rsidRDefault="008A37E4" w:rsidP="006E6A64">
      <w:pPr>
        <w:pStyle w:val="ListParagraph"/>
        <w:numPr>
          <w:ilvl w:val="0"/>
          <w:numId w:val="33"/>
        </w:numPr>
        <w:rPr>
          <w:lang w:val="es-ES"/>
        </w:rPr>
      </w:pPr>
      <w:r w:rsidRPr="007226D7">
        <w:rPr>
          <w:lang w:val="es-ES"/>
        </w:rPr>
        <w:t xml:space="preserve">Sub regional - son aquellas que integran la Metrópolis con </w:t>
      </w:r>
      <w:r w:rsidRPr="007226D7">
        <w:rPr>
          <w:rFonts w:cs="Arial"/>
          <w:szCs w:val="22"/>
          <w:lang w:val="es-ES"/>
        </w:rPr>
        <w:t xml:space="preserve">distintas Sub regiones del país, no reciben grandes flujos vehiculares y pueden tener </w:t>
      </w:r>
      <w:r w:rsidRPr="007226D7">
        <w:rPr>
          <w:lang w:val="es-ES"/>
        </w:rPr>
        <w:t>una menor longitud que las Vías Regionales.</w:t>
      </w:r>
    </w:p>
    <w:p w:rsidR="008A37E4" w:rsidRPr="007226D7" w:rsidRDefault="008A37E4" w:rsidP="006E6A64">
      <w:pPr>
        <w:pStyle w:val="ListParagraph"/>
        <w:numPr>
          <w:ilvl w:val="0"/>
          <w:numId w:val="33"/>
        </w:numPr>
        <w:rPr>
          <w:lang w:val="es-ES"/>
        </w:rPr>
      </w:pPr>
      <w:r w:rsidRPr="007226D7">
        <w:rPr>
          <w:lang w:val="es-ES"/>
        </w:rPr>
        <w:t>Metropolitanas - son aquellas que sirven directamente al área urbana metropolitana</w:t>
      </w:r>
    </w:p>
    <w:p w:rsidR="00BB081C" w:rsidRPr="007226D7" w:rsidRDefault="00BB081C" w:rsidP="008A37E4">
      <w:pPr>
        <w:rPr>
          <w:u w:val="single"/>
          <w:lang w:val="es-ES"/>
        </w:rPr>
      </w:pPr>
    </w:p>
    <w:p w:rsidR="008A37E4" w:rsidRPr="007226D7" w:rsidRDefault="008A37E4" w:rsidP="008A37E4">
      <w:pPr>
        <w:rPr>
          <w:u w:val="single"/>
          <w:lang w:val="es-ES"/>
        </w:rPr>
      </w:pPr>
      <w:r w:rsidRPr="007226D7">
        <w:rPr>
          <w:u w:val="single"/>
          <w:lang w:val="es-ES"/>
        </w:rPr>
        <w:lastRenderedPageBreak/>
        <w:t>Vías Arteriales</w:t>
      </w:r>
    </w:p>
    <w:p w:rsidR="008A37E4" w:rsidRPr="007226D7" w:rsidRDefault="008A37E4" w:rsidP="008A37E4">
      <w:pPr>
        <w:rPr>
          <w:lang w:val="es-ES"/>
        </w:rPr>
      </w:pPr>
      <w:r w:rsidRPr="007226D7">
        <w:rPr>
          <w:lang w:val="es-ES"/>
        </w:rPr>
        <w:t>Son aquellas que también llevan apreciables volúmenes de tránsito entre áreas principales de generación de tránsito y a velocidades medias de circulación. A grandes distancias se requiere de la construcción de pasos a desnivel y/o intercambios que garanticen una mayor velocidad de circulación. Pueden desarrollarse intersecciones a nivel con otras Vías Arteriales y/o colectoras. El diseño de las intersecciones deberá considerar carriles adicionales para volteos que permitan aumentar la capacidad de la vía.</w:t>
      </w:r>
    </w:p>
    <w:p w:rsidR="008A37E4" w:rsidRPr="007226D7" w:rsidRDefault="008A37E4" w:rsidP="008A37E4">
      <w:pPr>
        <w:rPr>
          <w:lang w:val="es-ES"/>
        </w:rPr>
      </w:pPr>
      <w:r w:rsidRPr="007226D7">
        <w:rPr>
          <w:lang w:val="es-ES"/>
        </w:rPr>
        <w:t>En las Vías Arteriales se permite el tránsito de los diferentes tipos de vehículos. El transporte público autorizado de pasajeros debe desarrollarse preferentemente por buses, debiendo realizarse por calzadas exclusivas cuando el derecho de vía así lo permita o carriles segregados y con paraderos debidamente diseñados para minimizar las interferencias con el tránsito directo.</w:t>
      </w:r>
    </w:p>
    <w:p w:rsidR="008A37E4" w:rsidRPr="007226D7" w:rsidRDefault="008A37E4" w:rsidP="008A37E4">
      <w:pPr>
        <w:rPr>
          <w:lang w:val="es-ES"/>
        </w:rPr>
      </w:pPr>
      <w:r w:rsidRPr="007226D7">
        <w:rPr>
          <w:lang w:val="es-ES"/>
        </w:rPr>
        <w:t>Las Vías Arteriales deberán tener preferentemente vías de servicio laterales para el acceso a las propiedades. En las áreas centrales u otras sujetas a limitaciones de sección, podrán no tener vías de servicio.</w:t>
      </w:r>
    </w:p>
    <w:p w:rsidR="008A37E4" w:rsidRPr="007226D7" w:rsidRDefault="008A37E4" w:rsidP="008A37E4">
      <w:pPr>
        <w:rPr>
          <w:lang w:val="es-ES"/>
        </w:rPr>
      </w:pPr>
      <w:r w:rsidRPr="007226D7">
        <w:rPr>
          <w:lang w:val="es-ES"/>
        </w:rPr>
        <w:t>Cuando los volúmenes de tránsito así lo justifiquen, se construirán pasos a desnivel entre la Vía Arterial y alguna de las vías que la interceptan, aumentando sensiblemente el régimen de capacidad y de velocidad.</w:t>
      </w:r>
    </w:p>
    <w:p w:rsidR="008A37E4" w:rsidRPr="007226D7" w:rsidRDefault="008A37E4" w:rsidP="008A37E4">
      <w:pPr>
        <w:rPr>
          <w:lang w:val="es-ES"/>
        </w:rPr>
      </w:pPr>
      <w:r w:rsidRPr="007226D7">
        <w:rPr>
          <w:lang w:val="es-ES"/>
        </w:rPr>
        <w:t>El sistema de Vías Arteriales se diseña cubriendo el área de la ciudad por una red con vías espaciadas entre 1,000 a 2,000 metros entre sí.</w:t>
      </w:r>
    </w:p>
    <w:p w:rsidR="008A37E4" w:rsidRPr="007226D7" w:rsidRDefault="008A37E4" w:rsidP="008A37E4">
      <w:pPr>
        <w:rPr>
          <w:u w:val="single"/>
          <w:lang w:val="es-ES"/>
        </w:rPr>
      </w:pPr>
      <w:r w:rsidRPr="007226D7">
        <w:rPr>
          <w:u w:val="single"/>
          <w:lang w:val="es-ES"/>
        </w:rPr>
        <w:t>Vías Colectoras</w:t>
      </w:r>
    </w:p>
    <w:p w:rsidR="008A37E4" w:rsidRPr="007226D7" w:rsidRDefault="008A37E4" w:rsidP="008A37E4">
      <w:pPr>
        <w:rPr>
          <w:lang w:val="es-ES"/>
        </w:rPr>
      </w:pPr>
      <w:r w:rsidRPr="007226D7">
        <w:rPr>
          <w:rFonts w:cs="Arial"/>
          <w:szCs w:val="22"/>
          <w:lang w:val="es-ES"/>
        </w:rPr>
        <w:t xml:space="preserve">Son aquellas que tienen por función llevar el tránsito desde un sector urbano hacía </w:t>
      </w:r>
      <w:r w:rsidRPr="007226D7">
        <w:rPr>
          <w:lang w:val="es-ES"/>
        </w:rPr>
        <w:t xml:space="preserve">las vías Arteriales y/o vías Expresas. Sirven por ello también a una buena proporción </w:t>
      </w:r>
      <w:r w:rsidRPr="007226D7">
        <w:rPr>
          <w:rFonts w:cs="Arial"/>
          <w:szCs w:val="22"/>
          <w:lang w:val="es-ES"/>
        </w:rPr>
        <w:t xml:space="preserve">de tránsito de paso. Prestan además servicio a las propiedades adyacentes. </w:t>
      </w:r>
      <w:r w:rsidRPr="007226D7">
        <w:rPr>
          <w:lang w:val="es-ES"/>
        </w:rPr>
        <w:t>El flujo de tránsito es interrumpido frecuentemente por intersecciones semaforizadas en los cruces con vías Arteriales y otras vías colectoras. En el caso que la vía sea autorizada para el transporte público de pasajeros se deben establecer y diseñar paraderos especiales.</w:t>
      </w:r>
    </w:p>
    <w:p w:rsidR="008A37E4" w:rsidRPr="007226D7" w:rsidRDefault="008A37E4" w:rsidP="008A37E4">
      <w:pPr>
        <w:rPr>
          <w:lang w:val="es-ES"/>
        </w:rPr>
      </w:pPr>
      <w:r w:rsidRPr="007226D7">
        <w:rPr>
          <w:lang w:val="es-ES"/>
        </w:rPr>
        <w:t>El sistema de Vías Colectoras se diseña cubriendo el área de la ciudad por una red con vías espaciadas entre 400 a 800 metros entre sí.</w:t>
      </w:r>
    </w:p>
    <w:p w:rsidR="008A37E4" w:rsidRPr="007226D7" w:rsidRDefault="008A37E4" w:rsidP="008A37E4">
      <w:pPr>
        <w:rPr>
          <w:u w:val="single"/>
          <w:lang w:val="es-ES"/>
        </w:rPr>
      </w:pPr>
      <w:r w:rsidRPr="007226D7">
        <w:rPr>
          <w:u w:val="single"/>
          <w:lang w:val="es-ES"/>
        </w:rPr>
        <w:t>Vías Locales</w:t>
      </w:r>
    </w:p>
    <w:p w:rsidR="008A37E4" w:rsidRPr="007226D7" w:rsidRDefault="008A37E4" w:rsidP="008A37E4">
      <w:pPr>
        <w:rPr>
          <w:lang w:val="es-ES"/>
        </w:rPr>
      </w:pPr>
      <w:r w:rsidRPr="007226D7">
        <w:rPr>
          <w:lang w:val="es-ES"/>
        </w:rPr>
        <w:t>Son aquellas cuya función es proveer acceso a los predios o lotes adyacentes. Su definición y aprobación, cuando se trate de habilitaciones urbanas corresponde a las Municipalidades Distritales.</w:t>
      </w:r>
    </w:p>
    <w:p w:rsidR="008A37E4" w:rsidRPr="007226D7" w:rsidRDefault="008A37E4" w:rsidP="00BB081C">
      <w:pPr>
        <w:pStyle w:val="Heading6"/>
        <w:rPr>
          <w:rStyle w:val="BookTitle"/>
          <w:b/>
        </w:rPr>
      </w:pPr>
      <w:r w:rsidRPr="007226D7">
        <w:t>Infraestructura vial macrorregional</w:t>
      </w:r>
    </w:p>
    <w:p w:rsidR="008A37E4" w:rsidRPr="007226D7" w:rsidRDefault="008A37E4" w:rsidP="008A37E4">
      <w:pPr>
        <w:rPr>
          <w:lang w:val="es-ES"/>
        </w:rPr>
      </w:pPr>
      <w:r w:rsidRPr="007226D7">
        <w:rPr>
          <w:lang w:val="es-ES"/>
        </w:rPr>
        <w:t>La red vial macrorregional principal de Lima está constituida por:</w:t>
      </w:r>
    </w:p>
    <w:p w:rsidR="008A37E4" w:rsidRPr="007226D7" w:rsidRDefault="008A37E4" w:rsidP="006E6A64">
      <w:pPr>
        <w:pStyle w:val="ListParagraph"/>
        <w:numPr>
          <w:ilvl w:val="0"/>
          <w:numId w:val="24"/>
        </w:numPr>
        <w:rPr>
          <w:lang w:val="es-ES"/>
        </w:rPr>
      </w:pPr>
      <w:r w:rsidRPr="007226D7">
        <w:rPr>
          <w:lang w:val="es-ES"/>
        </w:rPr>
        <w:t xml:space="preserve">Eje Norte-Sur - </w:t>
      </w:r>
      <w:r w:rsidRPr="007226D7">
        <w:rPr>
          <w:i/>
          <w:lang w:val="es-ES"/>
        </w:rPr>
        <w:t>Panamericana Norte-Vía de Evitamiento-Panamericana Sur</w:t>
      </w:r>
      <w:r w:rsidRPr="007226D7">
        <w:rPr>
          <w:lang w:val="es-ES"/>
        </w:rPr>
        <w:t>.</w:t>
      </w:r>
    </w:p>
    <w:p w:rsidR="008A37E4" w:rsidRPr="007226D7" w:rsidRDefault="008A37E4" w:rsidP="006E6A64">
      <w:pPr>
        <w:pStyle w:val="ListParagraph"/>
        <w:numPr>
          <w:ilvl w:val="0"/>
          <w:numId w:val="24"/>
        </w:numPr>
        <w:rPr>
          <w:lang w:val="es-ES"/>
        </w:rPr>
      </w:pPr>
      <w:r w:rsidRPr="007226D7">
        <w:rPr>
          <w:lang w:val="es-ES"/>
        </w:rPr>
        <w:t xml:space="preserve">Eje Oeste-Este - </w:t>
      </w:r>
      <w:r w:rsidRPr="007226D7">
        <w:rPr>
          <w:i/>
          <w:lang w:val="es-ES"/>
        </w:rPr>
        <w:t xml:space="preserve">Carretera Central. La autopista Ramiro Prialé no funciona aún como eje regional </w:t>
      </w:r>
    </w:p>
    <w:p w:rsidR="008A37E4" w:rsidRPr="007226D7" w:rsidRDefault="008A37E4" w:rsidP="006E6A64">
      <w:pPr>
        <w:pStyle w:val="ListParagraph"/>
        <w:numPr>
          <w:ilvl w:val="0"/>
          <w:numId w:val="24"/>
        </w:numPr>
        <w:rPr>
          <w:lang w:val="es-ES"/>
        </w:rPr>
      </w:pPr>
      <w:r w:rsidRPr="007226D7">
        <w:rPr>
          <w:lang w:val="es-ES"/>
        </w:rPr>
        <w:lastRenderedPageBreak/>
        <w:t xml:space="preserve">Vías departamentales (aún no implementadas)  - </w:t>
      </w:r>
      <w:r w:rsidRPr="007226D7">
        <w:rPr>
          <w:i/>
          <w:lang w:val="es-ES"/>
        </w:rPr>
        <w:t>Carretera Callao-Lima-Canta-Cerro de Pasco</w:t>
      </w:r>
    </w:p>
    <w:p w:rsidR="008A37E4" w:rsidRPr="007226D7" w:rsidRDefault="008A37E4" w:rsidP="006E6A64">
      <w:pPr>
        <w:pStyle w:val="ListParagraph"/>
        <w:numPr>
          <w:ilvl w:val="0"/>
          <w:numId w:val="24"/>
        </w:numPr>
      </w:pPr>
      <w:r w:rsidRPr="007226D7">
        <w:t>Carretera Lima-Huarochirí</w:t>
      </w:r>
    </w:p>
    <w:p w:rsidR="008A37E4" w:rsidRPr="007226D7" w:rsidRDefault="008A37E4" w:rsidP="006E6A64">
      <w:pPr>
        <w:pStyle w:val="ListParagraph"/>
        <w:numPr>
          <w:ilvl w:val="0"/>
          <w:numId w:val="24"/>
        </w:numPr>
      </w:pPr>
      <w:r w:rsidRPr="007226D7">
        <w:t>Carretera Huaral-Cerro de Pasco</w:t>
      </w:r>
    </w:p>
    <w:p w:rsidR="008A37E4" w:rsidRPr="007226D7" w:rsidRDefault="008A37E4" w:rsidP="006E6A64">
      <w:pPr>
        <w:pStyle w:val="ListParagraph"/>
        <w:numPr>
          <w:ilvl w:val="0"/>
          <w:numId w:val="24"/>
        </w:numPr>
      </w:pPr>
      <w:r w:rsidRPr="007226D7">
        <w:t>Carretera Cañete-Yauyos-Huancayo</w:t>
      </w:r>
    </w:p>
    <w:p w:rsidR="008A37E4" w:rsidRPr="007226D7" w:rsidRDefault="008A37E4" w:rsidP="006E6A64">
      <w:pPr>
        <w:pStyle w:val="ListParagraph"/>
        <w:numPr>
          <w:ilvl w:val="0"/>
          <w:numId w:val="24"/>
        </w:numPr>
      </w:pPr>
      <w:r w:rsidRPr="007226D7">
        <w:t>Carretera Huacho-Oyón-Huánuco</w:t>
      </w:r>
    </w:p>
    <w:p w:rsidR="008A37E4" w:rsidRPr="007226D7" w:rsidRDefault="008A37E4" w:rsidP="00BB081C">
      <w:pPr>
        <w:pStyle w:val="Heading6"/>
        <w:rPr>
          <w:rStyle w:val="BookTitle"/>
          <w:b/>
        </w:rPr>
      </w:pPr>
      <w:r w:rsidRPr="007226D7">
        <w:t xml:space="preserve">Red Viaria </w:t>
      </w:r>
      <w:proofErr w:type="gramStart"/>
      <w:r w:rsidRPr="007226D7">
        <w:t>del</w:t>
      </w:r>
      <w:proofErr w:type="gramEnd"/>
      <w:r w:rsidRPr="007226D7">
        <w:t xml:space="preserve"> Callao</w:t>
      </w:r>
    </w:p>
    <w:p w:rsidR="008A37E4" w:rsidRPr="007226D7" w:rsidRDefault="008A37E4" w:rsidP="008A37E4">
      <w:pPr>
        <w:rPr>
          <w:rFonts w:cs="Arial"/>
          <w:szCs w:val="22"/>
          <w:lang w:val="es-ES"/>
        </w:rPr>
      </w:pPr>
      <w:r w:rsidRPr="007226D7">
        <w:rPr>
          <w:lang w:val="es-ES"/>
        </w:rPr>
        <w:t xml:space="preserve">La integración Lima – Callao a nivel de red viaria se realiza a través de ejes viales tales </w:t>
      </w:r>
      <w:r w:rsidRPr="007226D7">
        <w:rPr>
          <w:rFonts w:cs="Arial"/>
          <w:szCs w:val="22"/>
          <w:lang w:val="es-ES"/>
        </w:rPr>
        <w:t>como Av. Morales Duárez, Av. Argentina, Av. Colonial, Av. Venezuela y Av. La Marina. En el lado Norte, la integración se realiza a través de la Panamericana Norte.</w:t>
      </w:r>
    </w:p>
    <w:p w:rsidR="008A37E4" w:rsidRPr="007226D7" w:rsidRDefault="008A37E4" w:rsidP="008A37E4">
      <w:pPr>
        <w:rPr>
          <w:rFonts w:cs="Arial"/>
          <w:szCs w:val="22"/>
          <w:lang w:val="es-ES"/>
        </w:rPr>
      </w:pPr>
      <w:r w:rsidRPr="007226D7">
        <w:rPr>
          <w:lang w:val="es-ES"/>
        </w:rPr>
        <w:t xml:space="preserve">Las otras vías de integración, o son incipientes o no tienen el desarrollo necesario en </w:t>
      </w:r>
      <w:r w:rsidRPr="007226D7">
        <w:rPr>
          <w:rFonts w:cs="Arial"/>
          <w:szCs w:val="22"/>
          <w:lang w:val="es-ES"/>
        </w:rPr>
        <w:t xml:space="preserve">términos de infraestructura y tiene bajas velocidades. </w:t>
      </w:r>
      <w:r w:rsidRPr="007226D7">
        <w:rPr>
          <w:lang w:val="es-ES"/>
        </w:rPr>
        <w:t xml:space="preserve">De acuerdo a las observaciones directas realizadas y toda la información recabada se puede concluir que existe una afluencia vehicular relacionada con el transporte de carga y de pasajeros que </w:t>
      </w:r>
      <w:r w:rsidRPr="007226D7">
        <w:rPr>
          <w:rFonts w:cs="Arial"/>
          <w:szCs w:val="22"/>
          <w:lang w:val="es-ES"/>
        </w:rPr>
        <w:t>generan problemas de congestionamiento del tránsito en las diferentes vías que acceden al Puerto y el Aeropuerto.</w:t>
      </w:r>
    </w:p>
    <w:p w:rsidR="008A37E4" w:rsidRPr="007226D7" w:rsidRDefault="008A37E4" w:rsidP="008A37E4">
      <w:pPr>
        <w:rPr>
          <w:rFonts w:cs="Arial"/>
          <w:szCs w:val="22"/>
          <w:lang w:val="es-ES"/>
        </w:rPr>
      </w:pPr>
      <w:r w:rsidRPr="007226D7">
        <w:rPr>
          <w:rFonts w:cs="Arial"/>
          <w:szCs w:val="22"/>
          <w:lang w:val="es-ES"/>
        </w:rPr>
        <w:t>Esto es un problema muy importante dado que el aeropuerto y el puerto son estratégicos para el país.</w:t>
      </w:r>
    </w:p>
    <w:p w:rsidR="008A37E4" w:rsidRPr="007226D7" w:rsidRDefault="008A37E4" w:rsidP="008A37E4">
      <w:pPr>
        <w:rPr>
          <w:rFonts w:cs="Arial"/>
          <w:szCs w:val="22"/>
          <w:lang w:val="es-ES"/>
        </w:rPr>
      </w:pPr>
      <w:r w:rsidRPr="007226D7">
        <w:rPr>
          <w:lang w:val="es-ES"/>
        </w:rPr>
        <w:t xml:space="preserve">Las vías alimentadoras del Puerto están </w:t>
      </w:r>
      <w:proofErr w:type="gramStart"/>
      <w:r w:rsidRPr="007226D7">
        <w:rPr>
          <w:lang w:val="es-ES"/>
        </w:rPr>
        <w:t>conformado</w:t>
      </w:r>
      <w:proofErr w:type="gramEnd"/>
      <w:r w:rsidRPr="007226D7">
        <w:rPr>
          <w:lang w:val="es-ES"/>
        </w:rPr>
        <w:t xml:space="preserve"> por los ejes viales a) Av. </w:t>
      </w:r>
      <w:r w:rsidRPr="007226D7">
        <w:rPr>
          <w:rFonts w:cs="Arial"/>
          <w:szCs w:val="22"/>
          <w:lang w:val="es-ES"/>
        </w:rPr>
        <w:t xml:space="preserve">Gambetta, b) Av. Tomas Valle, c) Av. Argentina y d) el Ferrocarril central. Todos estos ejes confluyen sobre la Av. Manco Cápac, donde se concentran todos los flujos de camiones, generándose problemas de congestionamiento. </w:t>
      </w:r>
      <w:r w:rsidRPr="007226D7">
        <w:rPr>
          <w:lang w:val="es-ES"/>
        </w:rPr>
        <w:t xml:space="preserve">La Av. Néstor Gambetta es un caso particular, debido a que es la única vía que </w:t>
      </w:r>
      <w:r w:rsidRPr="007226D7">
        <w:rPr>
          <w:rFonts w:cs="Arial"/>
          <w:szCs w:val="22"/>
          <w:lang w:val="es-ES"/>
        </w:rPr>
        <w:t xml:space="preserve">relaciona el lado norte con el lado sur de la Provincia. </w:t>
      </w:r>
    </w:p>
    <w:p w:rsidR="008A37E4" w:rsidRPr="007226D7" w:rsidRDefault="008A37E4" w:rsidP="008A37E4">
      <w:pPr>
        <w:rPr>
          <w:rFonts w:cs="Arial"/>
          <w:szCs w:val="22"/>
          <w:lang w:val="es-ES"/>
        </w:rPr>
      </w:pPr>
      <w:r w:rsidRPr="007226D7">
        <w:rPr>
          <w:lang w:val="es-ES"/>
        </w:rPr>
        <w:t xml:space="preserve">Además, el Aeropuerto Jorge Chávez tiene el problema de acceso por la intersección formada </w:t>
      </w:r>
      <w:r w:rsidRPr="007226D7">
        <w:rPr>
          <w:rFonts w:cs="Arial"/>
          <w:szCs w:val="22"/>
          <w:lang w:val="es-ES"/>
        </w:rPr>
        <w:t>por la Av. Faucett y la Av. Tomás Valle. Este ovalo, en las horas pico, se congestiona de manera importante.</w:t>
      </w:r>
    </w:p>
    <w:p w:rsidR="008A37E4" w:rsidRPr="007226D7" w:rsidRDefault="008C61F3" w:rsidP="008A37E4">
      <w:r>
        <w:rPr>
          <w:noProof/>
          <w:lang w:val="en-US" w:eastAsia="en-US"/>
        </w:rPr>
        <w:lastRenderedPageBreak/>
        <mc:AlternateContent>
          <mc:Choice Requires="wps">
            <w:drawing>
              <wp:anchor distT="0" distB="0" distL="114300" distR="114300" simplePos="0" relativeHeight="251827200" behindDoc="0" locked="0" layoutInCell="1" allowOverlap="1">
                <wp:simplePos x="0" y="0"/>
                <wp:positionH relativeFrom="column">
                  <wp:posOffset>499110</wp:posOffset>
                </wp:positionH>
                <wp:positionV relativeFrom="paragraph">
                  <wp:posOffset>6743700</wp:posOffset>
                </wp:positionV>
                <wp:extent cx="1233805" cy="254000"/>
                <wp:effectExtent l="0" t="0" r="4445" b="0"/>
                <wp:wrapNone/>
                <wp:docPr id="68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4CCF" w:rsidRPr="00156745" w:rsidRDefault="00724CCF" w:rsidP="008A37E4">
                            <w:pPr>
                              <w:rPr>
                                <w:b/>
                                <w:sz w:val="16"/>
                              </w:rPr>
                            </w:pPr>
                            <w:r w:rsidRPr="00156745">
                              <w:rPr>
                                <w:b/>
                                <w:sz w:val="16"/>
                              </w:rPr>
                              <w:t>Vias Expresas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29" type="#_x0000_t202" style="position:absolute;left:0;text-align:left;margin-left:39.3pt;margin-top:531pt;width:97.15pt;height:20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" stroked="f">
                <v:textbox>
                  <w:txbxContent>
                    <w:p w:rsidR="00724CCF" w:rsidRPr="00156745" w:rsidRDefault="00724CCF" w:rsidP="008A37E4">
                      <w:pPr>
                        <w:rPr>
                          <w:b/>
                          <w:sz w:val="16"/>
                        </w:rPr>
                      </w:pPr>
                      <w:r w:rsidRPr="00156745">
                        <w:rPr>
                          <w:b/>
                          <w:sz w:val="16"/>
                        </w:rPr>
                        <w:t>Vias Expresas</w:t>
                      </w:r>
                    </w:p>
                  </w:txbxContent>
                </v:textbox>
              </v:shape>
            </w:pict>
          </mc:Fallback>
        </mc:AlternateContent>
      </w:r>
      <w:r>
        <w:rPr>
          <w:noProof/>
          <w:lang w:val="en-US" w:eastAsia="en-US"/>
        </w:rPr>
        <mc:AlternateContent>
          <mc:Choice Requires="wps">
            <w:drawing>
              <wp:anchor distT="0" distB="0" distL="114300" distR="114300" simplePos="0" relativeHeight="251829248" behindDoc="0" locked="0" layoutInCell="1" allowOverlap="1">
                <wp:simplePos x="0" y="0"/>
                <wp:positionH relativeFrom="column">
                  <wp:posOffset>499110</wp:posOffset>
                </wp:positionH>
                <wp:positionV relativeFrom="paragraph">
                  <wp:posOffset>7209155</wp:posOffset>
                </wp:positionV>
                <wp:extent cx="1233805" cy="224155"/>
                <wp:effectExtent l="0" t="0" r="4445" b="4445"/>
                <wp:wrapNone/>
                <wp:docPr id="68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4CCF" w:rsidRPr="00156745" w:rsidRDefault="00724CCF" w:rsidP="008A37E4">
                            <w:pPr>
                              <w:rPr>
                                <w:b/>
                                <w:sz w:val="16"/>
                              </w:rPr>
                            </w:pPr>
                            <w:r>
                              <w:rPr>
                                <w:b/>
                                <w:sz w:val="16"/>
                              </w:rPr>
                              <w:t>Vias Colectoras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30" type="#_x0000_t202" style="position:absolute;left:0;text-align:left;margin-left:39.3pt;margin-top:567.65pt;width:97.15pt;height:17.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" stroked="f">
                <v:textbox>
                  <w:txbxContent>
                    <w:p w:rsidR="00724CCF" w:rsidRPr="00156745" w:rsidRDefault="00724CCF" w:rsidP="008A37E4">
                      <w:pPr>
                        <w:rPr>
                          <w:b/>
                          <w:sz w:val="16"/>
                        </w:rPr>
                      </w:pPr>
                      <w:r>
                        <w:rPr>
                          <w:b/>
                          <w:sz w:val="16"/>
                        </w:rPr>
                        <w:t>Vias Colectoras</w:t>
                      </w:r>
                    </w:p>
                  </w:txbxContent>
                </v:textbox>
              </v:shape>
            </w:pict>
          </mc:Fallback>
        </mc:AlternateContent>
      </w:r>
      <w:r>
        <w:rPr>
          <w:noProof/>
          <w:lang w:val="en-US" w:eastAsia="en-US"/>
        </w:rPr>
        <mc:AlternateContent>
          <mc:Choice Requires="wps">
            <w:drawing>
              <wp:anchor distT="0" distB="0" distL="114300" distR="114300" simplePos="0" relativeHeight="251828224" behindDoc="0" locked="0" layoutInCell="1" allowOverlap="1">
                <wp:simplePos x="0" y="0"/>
                <wp:positionH relativeFrom="column">
                  <wp:posOffset>499110</wp:posOffset>
                </wp:positionH>
                <wp:positionV relativeFrom="paragraph">
                  <wp:posOffset>7038340</wp:posOffset>
                </wp:positionV>
                <wp:extent cx="1233805" cy="224155"/>
                <wp:effectExtent l="0" t="0" r="4445" b="4445"/>
                <wp:wrapNone/>
                <wp:docPr id="68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4CCF" w:rsidRPr="00156745" w:rsidRDefault="00724CCF" w:rsidP="008A37E4">
                            <w:pPr>
                              <w:rPr>
                                <w:b/>
                                <w:sz w:val="16"/>
                              </w:rPr>
                            </w:pPr>
                            <w:r>
                              <w:rPr>
                                <w:b/>
                                <w:sz w:val="16"/>
                              </w:rPr>
                              <w:t>Vias Arteriales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1" type="#_x0000_t202" style="position:absolute;left:0;text-align:left;margin-left:39.3pt;margin-top:554.2pt;width:97.15pt;height:17.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" stroked="f">
                <v:textbox>
                  <w:txbxContent>
                    <w:p w:rsidR="00724CCF" w:rsidRPr="00156745" w:rsidRDefault="00724CCF" w:rsidP="008A37E4">
                      <w:pPr>
                        <w:rPr>
                          <w:b/>
                          <w:sz w:val="16"/>
                        </w:rPr>
                      </w:pPr>
                      <w:r>
                        <w:rPr>
                          <w:b/>
                          <w:sz w:val="16"/>
                        </w:rPr>
                        <w:t>Vias Arteriales</w:t>
                      </w:r>
                    </w:p>
                  </w:txbxContent>
                </v:textbox>
              </v:shape>
            </w:pict>
          </mc:Fallback>
        </mc:AlternateContent>
      </w:r>
      <w:r w:rsidR="008A37E4" w:rsidRPr="007226D7">
        <w:rPr>
          <w:noProof/>
          <w:lang w:val="en-US" w:eastAsia="en-US"/>
        </w:rPr>
        <w:drawing>
          <wp:inline distT="0" distB="0" distL="0" distR="0" wp14:anchorId="5118F5CB" wp14:editId="459A4D41">
            <wp:extent cx="5659120" cy="7452995"/>
            <wp:effectExtent l="19050" t="0" r="0" b="0"/>
            <wp:docPr id="183" name="Immagine 15" descr="Descripción: ReteViariaClassificata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descr="Descripción: ReteViariaClassificata_Urbano.png"/>
                    <pic:cNvPicPr>
                      <a:picLocks noChangeAspect="1" noChangeArrowheads="1"/>
                    </pic:cNvPicPr>
                  </pic:nvPicPr>
                  <pic:blipFill>
                    <a:blip r:embed="rId62" cstate="print"/>
                    <a:srcRect/>
                    <a:stretch>
                      <a:fillRect/>
                    </a:stretch>
                  </pic:blipFill>
                  <pic:spPr bwMode="auto">
                    <a:xfrm>
                      <a:off x="0" y="0"/>
                      <a:ext cx="5659120" cy="7452995"/>
                    </a:xfrm>
                    <a:prstGeom prst="rect">
                      <a:avLst/>
                    </a:prstGeom>
                    <a:noFill/>
                    <a:ln w="9525">
                      <a:noFill/>
                      <a:miter lim="800000"/>
                      <a:headEnd/>
                      <a:tailEnd/>
                    </a:ln>
                  </pic:spPr>
                </pic:pic>
              </a:graphicData>
            </a:graphic>
          </wp:inline>
        </w:drawing>
      </w:r>
    </w:p>
    <w:p w:rsidR="008A37E4" w:rsidRPr="007226D7" w:rsidRDefault="008A37E4" w:rsidP="008A37E4">
      <w:pPr>
        <w:pStyle w:val="Figuras"/>
      </w:pPr>
      <w:r w:rsidRPr="007226D7">
        <w:t xml:space="preserve">Figura 3.1-28  Clasificación de la red vial (elaboración propia de la información MTC / ST – CTLC) </w:t>
      </w:r>
    </w:p>
    <w:p w:rsidR="008A37E4" w:rsidRPr="007226D7" w:rsidRDefault="008A37E4" w:rsidP="008A37E4">
      <w:pPr>
        <w:pStyle w:val="Figuras"/>
        <w:rPr>
          <w:lang w:val="es-PE"/>
        </w:rPr>
        <w:sectPr w:rsidR="008A37E4" w:rsidRPr="007226D7" w:rsidSect="00616C7B">
          <w:headerReference w:type="default" r:id="rId63"/>
          <w:headerReference w:type="first" r:id="rId64"/>
          <w:footerReference w:type="first" r:id="rId65"/>
          <w:type w:val="continuous"/>
          <w:pgSz w:w="11907" w:h="16840" w:code="9"/>
          <w:pgMar w:top="1985" w:right="1134" w:bottom="1701" w:left="1418" w:header="720" w:footer="833" w:gutter="0"/>
          <w:paperSrc w:first="15" w:other="15"/>
          <w:cols w:space="720"/>
          <w:titlePg/>
          <w:docGrid w:linePitch="299"/>
        </w:sectPr>
      </w:pPr>
    </w:p>
    <w:p w:rsidR="008A37E4" w:rsidRPr="007226D7" w:rsidRDefault="008A37E4" w:rsidP="00BB081C">
      <w:pPr>
        <w:pStyle w:val="Heading6"/>
        <w:rPr>
          <w:rStyle w:val="BookTitle"/>
          <w:b/>
          <w:lang w:val="es-ES"/>
        </w:rPr>
      </w:pPr>
      <w:r w:rsidRPr="007226D7">
        <w:rPr>
          <w:lang w:val="es-ES"/>
        </w:rPr>
        <w:lastRenderedPageBreak/>
        <w:t>Aspectos critico de la estructura vial</w:t>
      </w:r>
    </w:p>
    <w:p w:rsidR="008A37E4" w:rsidRPr="007226D7" w:rsidRDefault="008A37E4" w:rsidP="008A37E4">
      <w:pPr>
        <w:rPr>
          <w:lang w:val="es-ES"/>
        </w:rPr>
      </w:pPr>
      <w:r w:rsidRPr="007226D7">
        <w:rPr>
          <w:lang w:val="es-ES"/>
        </w:rPr>
        <w:t xml:space="preserve">La estructura vial de Lima es monocéntrica por lo que genera una gran congestión en el Área Central, ocasionando una circulación sumamente restringida. </w:t>
      </w:r>
    </w:p>
    <w:p w:rsidR="008A37E4" w:rsidRPr="007226D7" w:rsidRDefault="008A37E4" w:rsidP="008A37E4">
      <w:pPr>
        <w:rPr>
          <w:lang w:val="es-ES"/>
        </w:rPr>
      </w:pPr>
      <w:r w:rsidRPr="007226D7">
        <w:rPr>
          <w:lang w:val="es-ES"/>
        </w:rPr>
        <w:t>Las propuestas de anillos viales o ejes transversales que posibiliten evitar el paso innecesario por el Área Central aún no se han implementado.</w:t>
      </w:r>
    </w:p>
    <w:p w:rsidR="008A37E4" w:rsidRPr="007226D7" w:rsidRDefault="008A37E4" w:rsidP="008A37E4">
      <w:pPr>
        <w:rPr>
          <w:lang w:val="es-ES"/>
        </w:rPr>
      </w:pPr>
      <w:r w:rsidRPr="007226D7">
        <w:rPr>
          <w:lang w:val="es-ES"/>
        </w:rPr>
        <w:t>A dicha problemática se agrega: la falta de continuidad de una serie de vías importantes, además de las intersecciones ineficientes y los pavimentos en mal estado.</w:t>
      </w:r>
    </w:p>
    <w:p w:rsidR="008A37E4" w:rsidRPr="007226D7" w:rsidRDefault="008A37E4" w:rsidP="008A37E4">
      <w:pPr>
        <w:rPr>
          <w:lang w:val="es-ES"/>
        </w:rPr>
      </w:pPr>
      <w:r w:rsidRPr="007226D7">
        <w:rPr>
          <w:lang w:val="es-ES"/>
        </w:rPr>
        <w:t>En las figuras y tablas siguientes se reportan datos sobre los tiempos de viaje y la velocidad del vehículo a través de tres ejes principales de la ciudad.</w:t>
      </w:r>
    </w:p>
    <w:p w:rsidR="008A37E4" w:rsidRPr="007226D7" w:rsidRDefault="008A37E4" w:rsidP="008A37E4">
      <w:pPr>
        <w:rPr>
          <w:lang w:val="es-ES"/>
        </w:rPr>
      </w:pPr>
    </w:p>
    <w:p w:rsidR="008A37E4" w:rsidRPr="007226D7" w:rsidRDefault="008A37E4" w:rsidP="008A37E4">
      <w:pPr>
        <w:spacing w:after="0" w:line="240" w:lineRule="auto"/>
        <w:jc w:val="left"/>
        <w:rPr>
          <w:lang w:val="es-ES"/>
        </w:rPr>
      </w:pPr>
      <w:r w:rsidRPr="007226D7">
        <w:rPr>
          <w:lang w:val="es-ES"/>
        </w:rPr>
        <w:t>. .</w:t>
      </w:r>
      <w:r w:rsidRPr="007226D7">
        <w:rPr>
          <w:noProof/>
          <w:lang w:val="en-US" w:eastAsia="en-US"/>
        </w:rPr>
        <w:drawing>
          <wp:inline distT="0" distB="0" distL="0" distR="0" wp14:anchorId="4B928EA7" wp14:editId="507786EA">
            <wp:extent cx="5934710" cy="4813300"/>
            <wp:effectExtent l="0" t="0" r="0" b="0"/>
            <wp:docPr id="184" name="Gra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A37E4" w:rsidRPr="007226D7" w:rsidRDefault="008A37E4" w:rsidP="008A37E4">
      <w:pPr>
        <w:pStyle w:val="Figuras"/>
        <w:rPr>
          <w:lang w:val="es-PE"/>
        </w:rPr>
      </w:pPr>
      <w:r w:rsidRPr="007226D7">
        <w:t>Figura 3.1-29 Tiempos de viaje en los principales corredores de Lima (</w:t>
      </w:r>
      <w:r w:rsidR="00E41450" w:rsidRPr="007226D7">
        <w:t>elaboración</w:t>
      </w:r>
      <w:r w:rsidRPr="007226D7">
        <w:t xml:space="preserve"> propia de información obtenida de: S</w:t>
      </w:r>
      <w:r w:rsidRPr="007226D7">
        <w:rPr>
          <w:lang w:val="es-PE"/>
        </w:rPr>
        <w:t>ervicio de toma y análisis de información de movilidad para la elaboración del estudio de demanda de la línea 2 del metro de lima)</w:t>
      </w:r>
    </w:p>
    <w:p w:rsidR="008A37E4" w:rsidRPr="007226D7" w:rsidRDefault="008A37E4" w:rsidP="00E54901">
      <w:pPr>
        <w:pStyle w:val="Figuras"/>
      </w:pPr>
      <w:r w:rsidRPr="007226D7">
        <w:rPr>
          <w:noProof/>
          <w:lang w:val="en-US" w:eastAsia="en-US"/>
        </w:rPr>
        <w:lastRenderedPageBreak/>
        <w:drawing>
          <wp:anchor distT="0" distB="0" distL="114300" distR="114300" simplePos="0" relativeHeight="251814912" behindDoc="0" locked="0" layoutInCell="1" allowOverlap="1" wp14:anchorId="147FAE94" wp14:editId="01592901">
            <wp:simplePos x="0" y="0"/>
            <wp:positionH relativeFrom="column">
              <wp:posOffset>13970</wp:posOffset>
            </wp:positionH>
            <wp:positionV relativeFrom="paragraph">
              <wp:posOffset>-155575</wp:posOffset>
            </wp:positionV>
            <wp:extent cx="5939790" cy="7962900"/>
            <wp:effectExtent l="19050" t="0" r="3810" b="0"/>
            <wp:wrapTopAndBottom/>
            <wp:docPr id="778" name="Immagin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rrowheads="1"/>
                    </pic:cNvPicPr>
                  </pic:nvPicPr>
                  <pic:blipFill>
                    <a:blip r:embed="rId67" cstate="print"/>
                    <a:srcRect/>
                    <a:stretch>
                      <a:fillRect/>
                    </a:stretch>
                  </pic:blipFill>
                  <pic:spPr bwMode="auto">
                    <a:xfrm>
                      <a:off x="0" y="0"/>
                      <a:ext cx="5939790" cy="7962900"/>
                    </a:xfrm>
                    <a:prstGeom prst="rect">
                      <a:avLst/>
                    </a:prstGeom>
                    <a:noFill/>
                  </pic:spPr>
                </pic:pic>
              </a:graphicData>
            </a:graphic>
          </wp:anchor>
        </w:drawing>
      </w:r>
      <w:r w:rsidRPr="007226D7">
        <w:t xml:space="preserve"> Tabla 3.1-53 EJE FAUCETT – LA MARINA- JAVIER PRADO (fuente: servicio de toma y análisis de información de movilidad para la elaboración del estudio de demanda de la línea 2 del metro de lima)</w:t>
      </w:r>
      <w:r w:rsidRPr="007226D7">
        <w:br w:type="page"/>
      </w:r>
      <w:r w:rsidRPr="007226D7">
        <w:rPr>
          <w:noProof/>
          <w:lang w:val="en-US" w:eastAsia="en-US"/>
        </w:rPr>
        <w:lastRenderedPageBreak/>
        <w:drawing>
          <wp:anchor distT="0" distB="71755" distL="114300" distR="114300" simplePos="0" relativeHeight="251815936" behindDoc="0" locked="0" layoutInCell="1" allowOverlap="1" wp14:anchorId="5486B88B" wp14:editId="4F629AA4">
            <wp:simplePos x="0" y="0"/>
            <wp:positionH relativeFrom="column">
              <wp:posOffset>25400</wp:posOffset>
            </wp:positionH>
            <wp:positionV relativeFrom="paragraph">
              <wp:posOffset>-241300</wp:posOffset>
            </wp:positionV>
            <wp:extent cx="5940425" cy="7991475"/>
            <wp:effectExtent l="19050" t="0" r="3175" b="0"/>
            <wp:wrapTopAndBottom/>
            <wp:docPr id="777" name="Immagin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rrowheads="1"/>
                    </pic:cNvPicPr>
                  </pic:nvPicPr>
                  <pic:blipFill>
                    <a:blip r:embed="rId68" cstate="print"/>
                    <a:srcRect/>
                    <a:stretch>
                      <a:fillRect/>
                    </a:stretch>
                  </pic:blipFill>
                  <pic:spPr bwMode="auto">
                    <a:xfrm>
                      <a:off x="0" y="0"/>
                      <a:ext cx="5940425" cy="7991475"/>
                    </a:xfrm>
                    <a:prstGeom prst="rect">
                      <a:avLst/>
                    </a:prstGeom>
                    <a:noFill/>
                  </pic:spPr>
                </pic:pic>
              </a:graphicData>
            </a:graphic>
          </wp:anchor>
        </w:drawing>
      </w:r>
      <w:r w:rsidRPr="007226D7">
        <w:t xml:space="preserve"> Tabla 3.1-54  EJE LÍNEA 2 DEL METRO DE LIMA (Fuente: servicio de toma y análisis de información de movilidad para la elaboración del estudio de demanda de la línea 2 del metro de lima)</w:t>
      </w:r>
      <w:r w:rsidRPr="007226D7">
        <w:br w:type="page"/>
      </w:r>
    </w:p>
    <w:p w:rsidR="008A37E4" w:rsidRPr="007226D7" w:rsidRDefault="008A37E4" w:rsidP="008A37E4">
      <w:pPr>
        <w:rPr>
          <w:b/>
          <w:sz w:val="16"/>
          <w:szCs w:val="16"/>
          <w:lang w:val="es-ES"/>
        </w:rPr>
      </w:pPr>
      <w:r w:rsidRPr="007226D7">
        <w:rPr>
          <w:noProof/>
          <w:lang w:val="en-US" w:eastAsia="en-US"/>
        </w:rPr>
        <w:lastRenderedPageBreak/>
        <w:drawing>
          <wp:anchor distT="0" distB="0" distL="114300" distR="114300" simplePos="0" relativeHeight="251820032" behindDoc="0" locked="0" layoutInCell="1" allowOverlap="1" wp14:anchorId="14D36B55" wp14:editId="0DC968FC">
            <wp:simplePos x="0" y="0"/>
            <wp:positionH relativeFrom="column">
              <wp:posOffset>20955</wp:posOffset>
            </wp:positionH>
            <wp:positionV relativeFrom="paragraph">
              <wp:posOffset>-263525</wp:posOffset>
            </wp:positionV>
            <wp:extent cx="5930265" cy="7160260"/>
            <wp:effectExtent l="19050" t="0" r="0" b="0"/>
            <wp:wrapTopAndBottom/>
            <wp:docPr id="77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69" cstate="print"/>
                    <a:srcRect/>
                    <a:stretch>
                      <a:fillRect/>
                    </a:stretch>
                  </pic:blipFill>
                  <pic:spPr bwMode="auto">
                    <a:xfrm>
                      <a:off x="0" y="0"/>
                      <a:ext cx="5930265" cy="7160260"/>
                    </a:xfrm>
                    <a:prstGeom prst="rect">
                      <a:avLst/>
                    </a:prstGeom>
                    <a:noFill/>
                  </pic:spPr>
                </pic:pic>
              </a:graphicData>
            </a:graphic>
          </wp:anchor>
        </w:drawing>
      </w:r>
      <w:r w:rsidRPr="007226D7">
        <w:rPr>
          <w:b/>
          <w:sz w:val="16"/>
          <w:szCs w:val="16"/>
          <w:lang w:val="es-ES"/>
        </w:rPr>
        <w:t>Tabla 3.1-55  EJE LÍNEA 1 DEL METRO DE LIMA (Fuente: servicio de toma y análisis de información de movilidad para la elaboración del estudio de demanda de la línea 2 del metro de lima)</w:t>
      </w:r>
    </w:p>
    <w:p w:rsidR="008A37E4" w:rsidRPr="007226D7" w:rsidRDefault="008A37E4" w:rsidP="008A37E4">
      <w:pPr>
        <w:rPr>
          <w:b/>
          <w:lang w:val="es-ES"/>
        </w:rPr>
      </w:pPr>
    </w:p>
    <w:p w:rsidR="008A37E4" w:rsidRPr="007226D7" w:rsidRDefault="008A37E4" w:rsidP="008A37E4">
      <w:pPr>
        <w:spacing w:after="0" w:line="240" w:lineRule="auto"/>
        <w:jc w:val="left"/>
        <w:rPr>
          <w:b/>
          <w:lang w:val="es-ES"/>
        </w:rPr>
        <w:sectPr w:rsidR="008A37E4" w:rsidRPr="007226D7" w:rsidSect="00616C7B">
          <w:headerReference w:type="default" r:id="rId70"/>
          <w:footerReference w:type="default" r:id="rId71"/>
          <w:pgSz w:w="11907" w:h="16840" w:code="9"/>
          <w:pgMar w:top="1985" w:right="1134" w:bottom="1701" w:left="1418" w:header="720" w:footer="833" w:gutter="0"/>
          <w:paperSrc w:first="15" w:other="15"/>
          <w:cols w:space="720"/>
          <w:docGrid w:linePitch="299"/>
        </w:sectPr>
      </w:pPr>
    </w:p>
    <w:p w:rsidR="008A37E4" w:rsidRPr="007226D7" w:rsidRDefault="008A37E4" w:rsidP="008A37E4">
      <w:r w:rsidRPr="007226D7">
        <w:rPr>
          <w:noProof/>
          <w:lang w:val="en-US" w:eastAsia="en-US"/>
        </w:rPr>
        <w:lastRenderedPageBreak/>
        <w:drawing>
          <wp:inline distT="0" distB="0" distL="0" distR="0" wp14:anchorId="02CD3B81" wp14:editId="167080EF">
            <wp:extent cx="8360410" cy="1674495"/>
            <wp:effectExtent l="0" t="0" r="0" b="0"/>
            <wp:docPr id="185" name="Imagen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4"/>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360410" cy="1674495"/>
                    </a:xfrm>
                    <a:prstGeom prst="rect">
                      <a:avLst/>
                    </a:prstGeom>
                    <a:noFill/>
                    <a:ln>
                      <a:noFill/>
                    </a:ln>
                  </pic:spPr>
                </pic:pic>
              </a:graphicData>
            </a:graphic>
          </wp:inline>
        </w:drawing>
      </w:r>
    </w:p>
    <w:p w:rsidR="008A37E4" w:rsidRPr="007226D7" w:rsidRDefault="008A37E4" w:rsidP="008A37E4">
      <w:r w:rsidRPr="007226D7">
        <w:rPr>
          <w:noProof/>
          <w:lang w:val="en-US" w:eastAsia="en-US"/>
        </w:rPr>
        <w:drawing>
          <wp:inline distT="0" distB="0" distL="0" distR="0" wp14:anchorId="750F05B9" wp14:editId="5C5B8430">
            <wp:extent cx="8275955" cy="2826385"/>
            <wp:effectExtent l="0" t="0" r="0" b="0"/>
            <wp:docPr id="186" name="Gráfico 6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A37E4" w:rsidRPr="007226D7" w:rsidRDefault="008A37E4" w:rsidP="008A37E4">
      <w:pPr>
        <w:pStyle w:val="Figuras"/>
      </w:pPr>
      <w:r w:rsidRPr="007226D7">
        <w:t xml:space="preserve">Figura 3.1-30   Velocidad y Tiempo de viaje en el eje </w:t>
      </w:r>
      <w:r w:rsidRPr="007226D7">
        <w:rPr>
          <w:lang w:val="es-PE"/>
        </w:rPr>
        <w:t>FAUCETT – LA MARINA- JAVIER PRADO – E-O (Fuente: servicio de toma y análisis de información de movilidad para la elaboración del estudio de demanda de la línea 2 del metro de lima)</w:t>
      </w:r>
    </w:p>
    <w:p w:rsidR="008A37E4" w:rsidRPr="007226D7" w:rsidRDefault="008A37E4" w:rsidP="008A37E4">
      <w:r w:rsidRPr="007226D7">
        <w:rPr>
          <w:noProof/>
          <w:lang w:val="en-US" w:eastAsia="en-US"/>
        </w:rPr>
        <w:lastRenderedPageBreak/>
        <w:drawing>
          <wp:inline distT="0" distB="0" distL="0" distR="0" wp14:anchorId="3DEB1A8D" wp14:editId="7F666963">
            <wp:extent cx="8335645" cy="1851025"/>
            <wp:effectExtent l="0" t="0" r="0" b="0"/>
            <wp:docPr id="187" name="Gráfico 6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A37E4" w:rsidRPr="007226D7" w:rsidRDefault="008A37E4" w:rsidP="008A37E4">
      <w:pPr>
        <w:rPr>
          <w:b/>
        </w:rPr>
      </w:pPr>
      <w:r w:rsidRPr="007226D7">
        <w:rPr>
          <w:b/>
          <w:noProof/>
          <w:lang w:val="en-US" w:eastAsia="en-US"/>
        </w:rPr>
        <w:drawing>
          <wp:inline distT="0" distB="0" distL="0" distR="0" wp14:anchorId="16E5F6D3" wp14:editId="0F3AB9DF">
            <wp:extent cx="8336280" cy="2621915"/>
            <wp:effectExtent l="0" t="0" r="0" b="0"/>
            <wp:docPr id="188" name="Gráfico 6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A37E4" w:rsidRPr="007226D7" w:rsidRDefault="008A37E4" w:rsidP="008A37E4">
      <w:pPr>
        <w:pStyle w:val="Figuras"/>
        <w:rPr>
          <w:lang w:val="es-PE"/>
        </w:rPr>
      </w:pPr>
      <w:r w:rsidRPr="007226D7">
        <w:t xml:space="preserve">Figura 3.1-31  Velocidad y Tiempo de viaje en el eje </w:t>
      </w:r>
      <w:r w:rsidRPr="007226D7">
        <w:rPr>
          <w:lang w:val="es-PE"/>
        </w:rPr>
        <w:t xml:space="preserve">FAUCETT – LA MARINA- JAVIER PRADO – O-E (Fuente: servicio de toma y análisis de información de movilidad para la elaboración del estudio de demanda de la línea 2 del metro de lima) </w:t>
      </w:r>
    </w:p>
    <w:p w:rsidR="008A37E4" w:rsidRPr="007226D7" w:rsidRDefault="008A37E4" w:rsidP="008A37E4">
      <w:r w:rsidRPr="007226D7">
        <w:rPr>
          <w:noProof/>
          <w:lang w:val="en-US" w:eastAsia="en-US"/>
        </w:rPr>
        <w:lastRenderedPageBreak/>
        <w:drawing>
          <wp:inline distT="0" distB="0" distL="0" distR="0" wp14:anchorId="5AF962D9" wp14:editId="2C51F992">
            <wp:extent cx="8321675" cy="2075180"/>
            <wp:effectExtent l="0" t="0" r="0" b="0"/>
            <wp:docPr id="189" name="Gráfico 6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8A37E4" w:rsidRPr="007226D7" w:rsidRDefault="008A37E4" w:rsidP="008A37E4">
      <w:r w:rsidRPr="007226D7">
        <w:rPr>
          <w:noProof/>
          <w:lang w:val="en-US" w:eastAsia="en-US"/>
        </w:rPr>
        <w:drawing>
          <wp:inline distT="0" distB="0" distL="0" distR="0" wp14:anchorId="5FE02E9A" wp14:editId="3668BE9C">
            <wp:extent cx="8322310" cy="2434590"/>
            <wp:effectExtent l="0" t="0" r="0" b="0"/>
            <wp:docPr id="190" name="Gráfico 6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8A37E4" w:rsidRPr="007226D7" w:rsidRDefault="008A37E4" w:rsidP="008A37E4">
      <w:pPr>
        <w:pStyle w:val="Figuras"/>
      </w:pPr>
      <w:r w:rsidRPr="007226D7">
        <w:t>Figura 3.1-32  Velocidad y Tiempo de viaje en el eje LÍNEA 2 DEL METRO DE LIMA</w:t>
      </w:r>
      <w:r w:rsidRPr="007226D7">
        <w:rPr>
          <w:lang w:val="es-PE"/>
        </w:rPr>
        <w:t xml:space="preserve"> – O-E (Fuente: servicio de toma y análisis de información de movilidad para la elaboración del estudio de demanda de la línea 2 del metro de lima)</w:t>
      </w:r>
    </w:p>
    <w:p w:rsidR="008A37E4" w:rsidRPr="007226D7" w:rsidRDefault="008A37E4" w:rsidP="008A37E4">
      <w:r w:rsidRPr="007226D7">
        <w:rPr>
          <w:noProof/>
          <w:lang w:val="en-US" w:eastAsia="en-US"/>
        </w:rPr>
        <w:lastRenderedPageBreak/>
        <w:drawing>
          <wp:inline distT="0" distB="0" distL="0" distR="0" wp14:anchorId="6B653964" wp14:editId="25579F8D">
            <wp:extent cx="8310880" cy="1861820"/>
            <wp:effectExtent l="0" t="0" r="0" b="0"/>
            <wp:docPr id="191" name="Gráfico 6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A37E4" w:rsidRPr="007226D7" w:rsidRDefault="008A37E4" w:rsidP="008A37E4">
      <w:r w:rsidRPr="007226D7">
        <w:rPr>
          <w:noProof/>
          <w:lang w:val="en-US" w:eastAsia="en-US"/>
        </w:rPr>
        <w:drawing>
          <wp:inline distT="0" distB="0" distL="0" distR="0" wp14:anchorId="2D909F31" wp14:editId="2037F2C5">
            <wp:extent cx="8312785" cy="2505075"/>
            <wp:effectExtent l="0" t="0" r="0" b="0"/>
            <wp:docPr id="608" name="Gráfico 6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A37E4" w:rsidRPr="007226D7" w:rsidRDefault="008A37E4" w:rsidP="008A37E4">
      <w:pPr>
        <w:pStyle w:val="Figuras"/>
        <w:rPr>
          <w:lang w:val="es-PE"/>
        </w:rPr>
      </w:pPr>
      <w:r w:rsidRPr="007226D7">
        <w:t>Figura 3.1-33  Velocidad y Tiempo de viaje en el eje LÍNEA 2 DEL METRO DE LIMA</w:t>
      </w:r>
      <w:r w:rsidRPr="007226D7">
        <w:rPr>
          <w:lang w:val="es-PE"/>
        </w:rPr>
        <w:t xml:space="preserve"> – E-O (Fuente: servicio de toma y análisis de información de movilidad para la elaboración del estudio de demanda de la línea 2 del metro de lima)</w:t>
      </w:r>
    </w:p>
    <w:p w:rsidR="008A37E4" w:rsidRPr="007226D7" w:rsidRDefault="008A37E4" w:rsidP="008A37E4">
      <w:r w:rsidRPr="007226D7">
        <w:rPr>
          <w:noProof/>
          <w:lang w:val="en-US" w:eastAsia="en-US"/>
        </w:rPr>
        <w:lastRenderedPageBreak/>
        <w:drawing>
          <wp:inline distT="0" distB="0" distL="0" distR="0" wp14:anchorId="1D692C7C" wp14:editId="66DC5E5F">
            <wp:extent cx="8394700" cy="1686560"/>
            <wp:effectExtent l="0" t="0" r="0" b="0"/>
            <wp:docPr id="609" name="Gráfico 6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A37E4" w:rsidRPr="007226D7" w:rsidRDefault="008A37E4" w:rsidP="008A37E4">
      <w:r w:rsidRPr="007226D7">
        <w:rPr>
          <w:noProof/>
          <w:lang w:val="en-US" w:eastAsia="en-US"/>
        </w:rPr>
        <w:drawing>
          <wp:inline distT="0" distB="0" distL="0" distR="0" wp14:anchorId="2F1D4DBC" wp14:editId="123BFC5E">
            <wp:extent cx="8408035" cy="2766695"/>
            <wp:effectExtent l="0" t="0" r="0" b="0"/>
            <wp:docPr id="610" name="Gráfico 6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8A37E4" w:rsidRPr="007226D7" w:rsidRDefault="008A37E4" w:rsidP="008A37E4">
      <w:pPr>
        <w:pStyle w:val="Figuras"/>
        <w:rPr>
          <w:lang w:val="es-PE"/>
        </w:rPr>
      </w:pPr>
      <w:r w:rsidRPr="007226D7">
        <w:t>Figura 3.1-34  Velocidad y Tiempo de viaje en el eje LÍNEA 1 DEL METRO DE LIMA</w:t>
      </w:r>
      <w:r w:rsidRPr="007226D7">
        <w:rPr>
          <w:lang w:val="es-PE"/>
        </w:rPr>
        <w:t xml:space="preserve"> – N-S (Fuente: servicio de toma y análisis de información de movilidad para la elaboración del estudio de demanda de la línea 2 del metro de lima</w:t>
      </w:r>
    </w:p>
    <w:p w:rsidR="008A37E4" w:rsidRPr="007226D7" w:rsidRDefault="008A37E4" w:rsidP="008A37E4">
      <w:r w:rsidRPr="007226D7">
        <w:rPr>
          <w:noProof/>
          <w:lang w:val="en-US" w:eastAsia="en-US"/>
        </w:rPr>
        <w:lastRenderedPageBreak/>
        <w:drawing>
          <wp:inline distT="0" distB="0" distL="0" distR="0" wp14:anchorId="224D582D" wp14:editId="0C3C6867">
            <wp:extent cx="8383905" cy="1686560"/>
            <wp:effectExtent l="0" t="0" r="0" b="0"/>
            <wp:docPr id="611" name="Gráfico 6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8A37E4" w:rsidRPr="007226D7" w:rsidRDefault="008A37E4" w:rsidP="008A37E4">
      <w:r w:rsidRPr="007226D7">
        <w:rPr>
          <w:noProof/>
          <w:lang w:val="en-US" w:eastAsia="en-US"/>
        </w:rPr>
        <w:drawing>
          <wp:inline distT="0" distB="0" distL="0" distR="0" wp14:anchorId="047DF7C9" wp14:editId="6F978E9E">
            <wp:extent cx="8371840" cy="2766695"/>
            <wp:effectExtent l="0" t="0" r="0" b="0"/>
            <wp:docPr id="612" name="Gráfico 6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A37E4" w:rsidRPr="007226D7" w:rsidRDefault="008A37E4" w:rsidP="008A37E4">
      <w:pPr>
        <w:pStyle w:val="Figuras"/>
        <w:rPr>
          <w:lang w:val="es-PE"/>
        </w:rPr>
      </w:pPr>
      <w:r w:rsidRPr="007226D7">
        <w:t>Figura 3.1-35  Velocidad y Tiempo de viaje en el eje LÍNEA 1 DEL METRO DE LIMA</w:t>
      </w:r>
      <w:r w:rsidRPr="007226D7">
        <w:rPr>
          <w:lang w:val="es-PE"/>
        </w:rPr>
        <w:t xml:space="preserve"> – S-N (Fuente: servicio de toma y análisis de información de movilidad para la elaboración del estudio de demanda de la línea 2 del metro de lima</w:t>
      </w:r>
    </w:p>
    <w:p w:rsidR="008A37E4" w:rsidRPr="007226D7" w:rsidRDefault="008A37E4" w:rsidP="008A37E4">
      <w:pPr>
        <w:pStyle w:val="Figuras"/>
        <w:rPr>
          <w:lang w:val="es-PE"/>
        </w:rPr>
        <w:sectPr w:rsidR="008A37E4" w:rsidRPr="007226D7" w:rsidSect="00616C7B">
          <w:headerReference w:type="default" r:id="rId84"/>
          <w:footerReference w:type="default" r:id="rId85"/>
          <w:pgSz w:w="16840" w:h="11907" w:orient="landscape" w:code="9"/>
          <w:pgMar w:top="1418" w:right="1985" w:bottom="1134" w:left="1701" w:header="720" w:footer="833" w:gutter="0"/>
          <w:paperSrc w:first="15" w:other="15"/>
          <w:cols w:space="720"/>
          <w:docGrid w:linePitch="299"/>
        </w:sectPr>
      </w:pPr>
    </w:p>
    <w:p w:rsidR="008A37E4" w:rsidRPr="007226D7" w:rsidRDefault="008A37E4" w:rsidP="008A37E4">
      <w:pPr>
        <w:rPr>
          <w:lang w:val="es-ES"/>
        </w:rPr>
      </w:pPr>
      <w:r w:rsidRPr="007226D7">
        <w:rPr>
          <w:lang w:val="es-ES"/>
        </w:rPr>
        <w:lastRenderedPageBreak/>
        <w:t>Muchas de estas observaciones recientes (mayo de 2012) son testigo de velocidades de funcionamiento muy bajas en el centro de la ciudad, especialmente en la hora pico de la tarde. Vehículos viajan a menos de 15-20 km/h y el cruce de la ciudad puede tomar más de una hora para llevar a cabo.</w:t>
      </w:r>
    </w:p>
    <w:p w:rsidR="008A37E4" w:rsidRPr="007226D7" w:rsidRDefault="008A37E4" w:rsidP="008A37E4">
      <w:pPr>
        <w:rPr>
          <w:lang w:val="es-ES"/>
        </w:rPr>
      </w:pPr>
      <w:r w:rsidRPr="007226D7">
        <w:rPr>
          <w:lang w:val="es-ES"/>
        </w:rPr>
        <w:t>Las figuras abajo muestran la distribución de los cuellos de botellas por la mañana, la tarde y la noche. Los puntos rojos son el índice de velocidad inferior a 10 kmh.</w:t>
      </w:r>
    </w:p>
    <w:p w:rsidR="008A37E4" w:rsidRPr="007226D7" w:rsidRDefault="008A37E4" w:rsidP="008A37E4">
      <w:pPr>
        <w:spacing w:after="0" w:line="240" w:lineRule="auto"/>
        <w:jc w:val="center"/>
        <w:rPr>
          <w:b/>
        </w:rPr>
      </w:pPr>
      <w:r w:rsidRPr="007226D7">
        <w:rPr>
          <w:b/>
          <w:noProof/>
          <w:lang w:val="en-US" w:eastAsia="en-US"/>
        </w:rPr>
        <w:drawing>
          <wp:inline distT="0" distB="0" distL="0" distR="0" wp14:anchorId="244730DF" wp14:editId="5A2A9D06">
            <wp:extent cx="2517775" cy="3075940"/>
            <wp:effectExtent l="0" t="0" r="0" b="0"/>
            <wp:docPr id="613" name="Imagen 660" descr="Descripción: anexo CUELLOS_BOTELL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6" descr="Descripción: anexo CUELLOS_BOTELLA 2.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7775" cy="3075940"/>
                    </a:xfrm>
                    <a:prstGeom prst="rect">
                      <a:avLst/>
                    </a:prstGeom>
                    <a:noFill/>
                    <a:ln>
                      <a:noFill/>
                    </a:ln>
                  </pic:spPr>
                </pic:pic>
              </a:graphicData>
            </a:graphic>
          </wp:inline>
        </w:drawing>
      </w:r>
      <w:r w:rsidRPr="007226D7">
        <w:rPr>
          <w:b/>
          <w:noProof/>
          <w:lang w:val="en-US" w:eastAsia="en-US"/>
        </w:rPr>
        <w:drawing>
          <wp:inline distT="0" distB="0" distL="0" distR="0" wp14:anchorId="2FD6C9FE" wp14:editId="5E0FF4CE">
            <wp:extent cx="2541270" cy="3040380"/>
            <wp:effectExtent l="0" t="0" r="0" b="0"/>
            <wp:docPr id="614" name="Imagen 659" descr="Descripción: anexo CUELLOS_BOTEL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5" descr="Descripción: anexo CUELLOS_BOTELLA 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1270" cy="3040380"/>
                    </a:xfrm>
                    <a:prstGeom prst="rect">
                      <a:avLst/>
                    </a:prstGeom>
                    <a:noFill/>
                    <a:ln>
                      <a:noFill/>
                    </a:ln>
                  </pic:spPr>
                </pic:pic>
              </a:graphicData>
            </a:graphic>
          </wp:inline>
        </w:drawing>
      </w:r>
    </w:p>
    <w:p w:rsidR="008A37E4" w:rsidRPr="007226D7" w:rsidRDefault="008A37E4" w:rsidP="008A37E4">
      <w:pPr>
        <w:pStyle w:val="Figuras"/>
        <w:rPr>
          <w:lang w:val="es-PE"/>
        </w:rPr>
      </w:pPr>
      <w:r w:rsidRPr="007226D7">
        <w:t>Figura 3.1-36: Cuellos de Botellas – HPM (Fuente: MTC / ST-CTLC 2010) – sentido entrante (der.) y sentido saliente a (izq.)</w:t>
      </w:r>
    </w:p>
    <w:p w:rsidR="008A37E4" w:rsidRPr="007226D7" w:rsidRDefault="008A37E4" w:rsidP="008A37E4">
      <w:pPr>
        <w:spacing w:after="0" w:line="240" w:lineRule="auto"/>
        <w:jc w:val="center"/>
        <w:rPr>
          <w:b/>
        </w:rPr>
      </w:pPr>
      <w:r w:rsidRPr="007226D7">
        <w:rPr>
          <w:b/>
          <w:noProof/>
          <w:lang w:val="en-US" w:eastAsia="en-US"/>
        </w:rPr>
        <w:drawing>
          <wp:inline distT="0" distB="0" distL="0" distR="0" wp14:anchorId="252F7361" wp14:editId="286A2356">
            <wp:extent cx="2553335" cy="3063875"/>
            <wp:effectExtent l="0" t="0" r="0" b="0"/>
            <wp:docPr id="615" name="Imagen 658" descr="Descripción: anexo CUELLOS_BOTELL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7" descr="Descripción: anexo CUELLOS_BOTELLA 4.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53335" cy="3063875"/>
                    </a:xfrm>
                    <a:prstGeom prst="rect">
                      <a:avLst/>
                    </a:prstGeom>
                    <a:noFill/>
                    <a:ln>
                      <a:noFill/>
                    </a:ln>
                  </pic:spPr>
                </pic:pic>
              </a:graphicData>
            </a:graphic>
          </wp:inline>
        </w:drawing>
      </w:r>
      <w:r w:rsidRPr="007226D7">
        <w:rPr>
          <w:b/>
          <w:noProof/>
          <w:lang w:val="en-US" w:eastAsia="en-US"/>
        </w:rPr>
        <w:drawing>
          <wp:inline distT="0" distB="0" distL="0" distR="0" wp14:anchorId="0ADA5E95" wp14:editId="766B206A">
            <wp:extent cx="2541270" cy="3075940"/>
            <wp:effectExtent l="0" t="0" r="0" b="0"/>
            <wp:docPr id="616" name="Imagen 657" descr="Descripción: anexo CUELLOS_BOTELL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9" descr="Descripción: anexo CUELLOS_BOTELLA 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41270" cy="3075940"/>
                    </a:xfrm>
                    <a:prstGeom prst="rect">
                      <a:avLst/>
                    </a:prstGeom>
                    <a:noFill/>
                    <a:ln>
                      <a:noFill/>
                    </a:ln>
                  </pic:spPr>
                </pic:pic>
              </a:graphicData>
            </a:graphic>
          </wp:inline>
        </w:drawing>
      </w:r>
    </w:p>
    <w:p w:rsidR="008A37E4" w:rsidRPr="007226D7" w:rsidRDefault="008A37E4" w:rsidP="008A37E4">
      <w:pPr>
        <w:pStyle w:val="Figuras"/>
      </w:pPr>
      <w:r w:rsidRPr="007226D7">
        <w:t>Figura 3.1-37   Cuellos de Botellas – HPT (Fuente: MTC / ST-CTLC 2010) – sentido entrante (der.) y sentido saliente a (izq.)</w:t>
      </w:r>
      <w:r w:rsidRPr="007226D7">
        <w:br w:type="page"/>
      </w:r>
    </w:p>
    <w:p w:rsidR="008A37E4" w:rsidRPr="007226D7" w:rsidRDefault="008A37E4" w:rsidP="008A37E4">
      <w:pPr>
        <w:spacing w:after="0" w:line="240" w:lineRule="auto"/>
        <w:jc w:val="center"/>
        <w:rPr>
          <w:b/>
        </w:rPr>
      </w:pPr>
      <w:r w:rsidRPr="007226D7">
        <w:rPr>
          <w:b/>
          <w:noProof/>
          <w:lang w:val="en-US" w:eastAsia="en-US"/>
        </w:rPr>
        <w:lastRenderedPageBreak/>
        <w:drawing>
          <wp:inline distT="0" distB="0" distL="0" distR="0" wp14:anchorId="06C77BBF" wp14:editId="2DE2FDD1">
            <wp:extent cx="2541270" cy="3051810"/>
            <wp:effectExtent l="0" t="0" r="0" b="0"/>
            <wp:docPr id="617" name="Imagen 656" descr="Descripción: anexo CUELLOS_BOTELL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1" descr="Descripción: anexo CUELLOS_BOTELLA 6.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41270" cy="3051810"/>
                    </a:xfrm>
                    <a:prstGeom prst="rect">
                      <a:avLst/>
                    </a:prstGeom>
                    <a:noFill/>
                    <a:ln>
                      <a:noFill/>
                    </a:ln>
                  </pic:spPr>
                </pic:pic>
              </a:graphicData>
            </a:graphic>
          </wp:inline>
        </w:drawing>
      </w:r>
      <w:r w:rsidRPr="007226D7">
        <w:rPr>
          <w:b/>
          <w:noProof/>
          <w:lang w:val="en-US" w:eastAsia="en-US"/>
        </w:rPr>
        <w:drawing>
          <wp:inline distT="0" distB="0" distL="0" distR="0" wp14:anchorId="783013F0" wp14:editId="6779D64C">
            <wp:extent cx="2576830" cy="3075940"/>
            <wp:effectExtent l="0" t="0" r="0" b="0"/>
            <wp:docPr id="618" name="Imagen 655" descr="Descripción: anexo CUELLOS_BOTELL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9" descr="Descripción: anexo CUELLOS_BOTELLA 5.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6830" cy="3075940"/>
                    </a:xfrm>
                    <a:prstGeom prst="rect">
                      <a:avLst/>
                    </a:prstGeom>
                    <a:noFill/>
                    <a:ln>
                      <a:noFill/>
                    </a:ln>
                  </pic:spPr>
                </pic:pic>
              </a:graphicData>
            </a:graphic>
          </wp:inline>
        </w:drawing>
      </w:r>
    </w:p>
    <w:p w:rsidR="008A37E4" w:rsidRPr="007226D7" w:rsidRDefault="008A37E4" w:rsidP="008A37E4">
      <w:pPr>
        <w:pStyle w:val="Figuras"/>
        <w:rPr>
          <w:lang w:val="es-PE"/>
        </w:rPr>
      </w:pPr>
      <w:bookmarkStart w:id="30" w:name="OLE_LINK3"/>
      <w:bookmarkStart w:id="31" w:name="OLE_LINK4"/>
      <w:r w:rsidRPr="007226D7">
        <w:t xml:space="preserve">Figura 3.1-38  Cuellos </w:t>
      </w:r>
      <w:bookmarkEnd w:id="30"/>
      <w:bookmarkEnd w:id="31"/>
      <w:r w:rsidRPr="007226D7">
        <w:t>de Botellas – HV (Fuente: MTC / ST-CTLC 2010) – sentido entrante (der.) y sentido saliente a (izq.)</w:t>
      </w:r>
    </w:p>
    <w:p w:rsidR="008A37E4" w:rsidRPr="007226D7" w:rsidRDefault="008A37E4" w:rsidP="00BB081C">
      <w:pPr>
        <w:pStyle w:val="Heading6"/>
      </w:pPr>
      <w:bookmarkStart w:id="32" w:name="_Toc341644981"/>
      <w:r w:rsidRPr="007226D7">
        <w:t>Características del transporte público</w:t>
      </w:r>
      <w:bookmarkEnd w:id="32"/>
    </w:p>
    <w:p w:rsidR="008A37E4" w:rsidRPr="007226D7" w:rsidRDefault="008A37E4" w:rsidP="008A37E4">
      <w:pPr>
        <w:rPr>
          <w:lang w:val="es-ES"/>
        </w:rPr>
      </w:pPr>
      <w:r w:rsidRPr="007226D7">
        <w:rPr>
          <w:lang w:val="es-ES"/>
        </w:rPr>
        <w:t>Dado el efecto transversal que tiene el transporte urbano en el funcionamiento de la actividad económica de una ciudad, es que su desempeño afecta directa e indirectamente a la población, ya que está ligada directamente a su movilidad cotidiana. La calidad del servicio de transporte público urbano, está estrechamente relacionada con el tiempo de viaje, el costo del servicio, las condiciones en que se presta dicho servicio (velocidad, confiabilidad, seguridad, etc.) y las externalidades que produce (accidentes, daños a la salud por contaminación, etc.).</w:t>
      </w:r>
    </w:p>
    <w:p w:rsidR="008A37E4" w:rsidRPr="007226D7" w:rsidRDefault="008A37E4" w:rsidP="008A37E4">
      <w:pPr>
        <w:rPr>
          <w:lang w:val="es-ES"/>
        </w:rPr>
      </w:pPr>
      <w:r w:rsidRPr="007226D7">
        <w:rPr>
          <w:lang w:val="es-ES"/>
        </w:rPr>
        <w:t>El Transporte urbano de Lima, sin embargo, con ciertas excepciones relacionadas con el corredor del Metropolitano y el de la Línea 1 del Metro, se caracteriza por una alta fragmentación de las líneas y del sistema de gestión de servicios que consta de varias asignaturas y niveles que hacen que sea imposible una gesti</w:t>
      </w:r>
      <w:r w:rsidRPr="007226D7">
        <w:rPr>
          <w:rFonts w:cs="Arial"/>
          <w:lang w:val="es-ES"/>
        </w:rPr>
        <w:t>ó</w:t>
      </w:r>
      <w:r w:rsidRPr="007226D7">
        <w:rPr>
          <w:lang w:val="es-ES"/>
        </w:rPr>
        <w:t xml:space="preserve">n eficiente debido a los intereses en conflicto. En general el transporte colectivo genera actualmente problemas de gran escala como: </w:t>
      </w:r>
    </w:p>
    <w:p w:rsidR="008A37E4" w:rsidRPr="007226D7" w:rsidRDefault="008A37E4" w:rsidP="006E6A64">
      <w:pPr>
        <w:pStyle w:val="ListParagraph"/>
        <w:numPr>
          <w:ilvl w:val="0"/>
          <w:numId w:val="25"/>
        </w:numPr>
        <w:spacing w:after="0"/>
        <w:ind w:left="714" w:hanging="357"/>
        <w:rPr>
          <w:lang w:val="es-ES"/>
        </w:rPr>
      </w:pPr>
      <w:r w:rsidRPr="007226D7">
        <w:rPr>
          <w:lang w:val="es-ES"/>
        </w:rPr>
        <w:t xml:space="preserve">Gran cantidad de accidentes de tránsito. </w:t>
      </w:r>
    </w:p>
    <w:p w:rsidR="008A37E4" w:rsidRPr="007226D7" w:rsidRDefault="008A37E4" w:rsidP="006E6A64">
      <w:pPr>
        <w:pStyle w:val="ListParagraph"/>
        <w:numPr>
          <w:ilvl w:val="0"/>
          <w:numId w:val="25"/>
        </w:numPr>
        <w:spacing w:after="0"/>
        <w:ind w:left="714" w:hanging="357"/>
        <w:rPr>
          <w:lang w:val="es-ES"/>
        </w:rPr>
      </w:pPr>
      <w:r w:rsidRPr="007226D7">
        <w:rPr>
          <w:lang w:val="es-ES"/>
        </w:rPr>
        <w:t xml:space="preserve">Congestión de tránsito y contaminación ambiental. </w:t>
      </w:r>
    </w:p>
    <w:p w:rsidR="008A37E4" w:rsidRPr="007226D7" w:rsidRDefault="008A37E4" w:rsidP="006E6A64">
      <w:pPr>
        <w:pStyle w:val="ListParagraph"/>
        <w:numPr>
          <w:ilvl w:val="0"/>
          <w:numId w:val="25"/>
        </w:numPr>
        <w:spacing w:after="0"/>
        <w:ind w:left="714" w:hanging="357"/>
      </w:pPr>
      <w:r w:rsidRPr="007226D7">
        <w:t xml:space="preserve">Excesivos tiempos de viaje. </w:t>
      </w:r>
    </w:p>
    <w:p w:rsidR="008A37E4" w:rsidRPr="007226D7" w:rsidRDefault="008A37E4" w:rsidP="006E6A64">
      <w:pPr>
        <w:pStyle w:val="ListParagraph"/>
        <w:numPr>
          <w:ilvl w:val="0"/>
          <w:numId w:val="25"/>
        </w:numPr>
        <w:spacing w:after="0"/>
        <w:ind w:left="714" w:hanging="357"/>
      </w:pPr>
      <w:r w:rsidRPr="007226D7">
        <w:t xml:space="preserve">Pésima calidad del servicio. </w:t>
      </w:r>
    </w:p>
    <w:p w:rsidR="008A37E4" w:rsidRPr="008C61F3" w:rsidRDefault="008A37E4" w:rsidP="006E6A64">
      <w:pPr>
        <w:pStyle w:val="ListParagraph"/>
        <w:numPr>
          <w:ilvl w:val="0"/>
          <w:numId w:val="25"/>
        </w:numPr>
        <w:spacing w:after="0"/>
        <w:ind w:left="714" w:hanging="357"/>
        <w:rPr>
          <w:lang w:val="pt-BR"/>
        </w:rPr>
      </w:pPr>
      <w:r w:rsidRPr="008C61F3">
        <w:rPr>
          <w:lang w:val="pt-BR"/>
        </w:rPr>
        <w:t xml:space="preserve">Numerosas e irracionales rutas de transporte público. </w:t>
      </w:r>
    </w:p>
    <w:p w:rsidR="008A37E4" w:rsidRPr="007226D7" w:rsidRDefault="008A37E4" w:rsidP="006E6A64">
      <w:pPr>
        <w:pStyle w:val="ListParagraph"/>
        <w:numPr>
          <w:ilvl w:val="0"/>
          <w:numId w:val="25"/>
        </w:numPr>
        <w:spacing w:after="0"/>
        <w:ind w:left="714" w:hanging="357"/>
        <w:rPr>
          <w:lang w:val="es-ES"/>
        </w:rPr>
      </w:pPr>
      <w:r w:rsidRPr="007226D7">
        <w:rPr>
          <w:lang w:val="es-ES"/>
        </w:rPr>
        <w:t xml:space="preserve">Sobreoferta y carencia de sostenibilidad económica. </w:t>
      </w:r>
    </w:p>
    <w:p w:rsidR="008A37E4" w:rsidRPr="007226D7" w:rsidRDefault="008A37E4" w:rsidP="006E6A64">
      <w:pPr>
        <w:pStyle w:val="ListParagraph"/>
        <w:numPr>
          <w:ilvl w:val="0"/>
          <w:numId w:val="25"/>
        </w:numPr>
        <w:spacing w:after="0"/>
        <w:ind w:left="714" w:hanging="357"/>
        <w:rPr>
          <w:lang w:val="es-ES"/>
        </w:rPr>
      </w:pPr>
      <w:r w:rsidRPr="007226D7">
        <w:rPr>
          <w:lang w:val="es-ES"/>
        </w:rPr>
        <w:t xml:space="preserve">Flota antigua y en mal estado. </w:t>
      </w:r>
    </w:p>
    <w:p w:rsidR="008A37E4" w:rsidRPr="007226D7" w:rsidRDefault="008A37E4" w:rsidP="006E6A64">
      <w:pPr>
        <w:pStyle w:val="ListParagraph"/>
        <w:numPr>
          <w:ilvl w:val="0"/>
          <w:numId w:val="25"/>
        </w:numPr>
        <w:spacing w:after="0"/>
        <w:ind w:left="714" w:hanging="357"/>
      </w:pPr>
      <w:r w:rsidRPr="007226D7">
        <w:t xml:space="preserve">Número excesivo de operadores. </w:t>
      </w:r>
    </w:p>
    <w:p w:rsidR="008A37E4" w:rsidRPr="007226D7" w:rsidRDefault="008A37E4" w:rsidP="006E6A64">
      <w:pPr>
        <w:pStyle w:val="ListParagraph"/>
        <w:numPr>
          <w:ilvl w:val="0"/>
          <w:numId w:val="25"/>
        </w:numPr>
        <w:spacing w:after="0"/>
        <w:ind w:left="714" w:hanging="357"/>
      </w:pPr>
      <w:r w:rsidRPr="007226D7">
        <w:t xml:space="preserve">Altos costos de transporte. </w:t>
      </w:r>
    </w:p>
    <w:p w:rsidR="008A37E4" w:rsidRPr="007226D7" w:rsidRDefault="008A37E4" w:rsidP="006E6A64">
      <w:pPr>
        <w:pStyle w:val="ListParagraph"/>
        <w:numPr>
          <w:ilvl w:val="0"/>
          <w:numId w:val="25"/>
        </w:numPr>
        <w:spacing w:after="0"/>
        <w:ind w:left="714" w:hanging="357"/>
        <w:rPr>
          <w:lang w:val="es-ES"/>
        </w:rPr>
      </w:pPr>
      <w:r w:rsidRPr="007226D7">
        <w:rPr>
          <w:lang w:val="es-ES"/>
        </w:rPr>
        <w:t xml:space="preserve">Sobreutilización de automóviles (taxis y colectivos). </w:t>
      </w:r>
    </w:p>
    <w:p w:rsidR="008A37E4" w:rsidRPr="007226D7" w:rsidRDefault="008A37E4" w:rsidP="006E6A64">
      <w:pPr>
        <w:pStyle w:val="ListParagraph"/>
        <w:numPr>
          <w:ilvl w:val="0"/>
          <w:numId w:val="25"/>
        </w:numPr>
        <w:ind w:left="714" w:hanging="357"/>
      </w:pPr>
      <w:r w:rsidRPr="007226D7">
        <w:t xml:space="preserve">Inequidad y exclusión social. </w:t>
      </w:r>
    </w:p>
    <w:p w:rsidR="008A37E4" w:rsidRPr="007226D7" w:rsidRDefault="008A37E4" w:rsidP="008A37E4">
      <w:pPr>
        <w:rPr>
          <w:lang w:val="es-ES"/>
        </w:rPr>
      </w:pPr>
      <w:r w:rsidRPr="007226D7">
        <w:rPr>
          <w:lang w:val="es-ES"/>
        </w:rPr>
        <w:lastRenderedPageBreak/>
        <w:t>La red de transporte público de Lima del año 2012 comprende un total de 1122 líneas de ida y vuelta estructuradas en un sistema de camionetas rurales, microbuses y omnibuses, sistema que se completa con el Metropolitano, sus alimentadoras y el Metro.</w:t>
      </w:r>
    </w:p>
    <w:p w:rsidR="008A37E4" w:rsidRPr="007226D7" w:rsidRDefault="008A37E4" w:rsidP="008A37E4">
      <w:pPr>
        <w:rPr>
          <w:lang w:val="es-ES"/>
        </w:rPr>
      </w:pPr>
    </w:p>
    <w:p w:rsidR="008A37E4" w:rsidRPr="007226D7" w:rsidRDefault="008A37E4" w:rsidP="008A37E4">
      <w:pPr>
        <w:rPr>
          <w:lang w:val="es-ES"/>
        </w:rPr>
      </w:pPr>
      <w:r w:rsidRPr="007226D7">
        <w:rPr>
          <w:lang w:val="es-ES"/>
        </w:rPr>
        <w:t>En este contexto, el límite principal a la regularidad operativa del servicio, aunque es un fenómeno inducido por la estructura de tarifas que se discutirá más adelante, es la longitud de las líneas. De acuerdo con la base de datos GTU 2009 la duración media de las líneas de ida y vuelta es de aproximadamente 30 km (Por tramo). Esto indica que las rutas no sólo a través de la ciudad, sino que también poseen un alto grado de tortuosidad.</w:t>
      </w:r>
    </w:p>
    <w:p w:rsidR="008A37E4" w:rsidRPr="007226D7" w:rsidRDefault="008A37E4" w:rsidP="008A37E4">
      <w:pPr>
        <w:spacing w:after="0" w:line="240" w:lineRule="auto"/>
        <w:jc w:val="left"/>
        <w:rPr>
          <w:lang w:val="es-ES"/>
        </w:rPr>
      </w:pPr>
      <w:r w:rsidRPr="007226D7">
        <w:rPr>
          <w:lang w:val="es-ES"/>
        </w:rPr>
        <w:br w:type="page"/>
      </w:r>
    </w:p>
    <w:p w:rsidR="008A37E4" w:rsidRPr="007226D7" w:rsidRDefault="008A37E4" w:rsidP="008A37E4">
      <w:pPr>
        <w:spacing w:after="0" w:line="240" w:lineRule="auto"/>
        <w:jc w:val="left"/>
      </w:pPr>
      <w:r w:rsidRPr="007226D7">
        <w:rPr>
          <w:noProof/>
          <w:lang w:val="en-US" w:eastAsia="en-US"/>
        </w:rPr>
        <w:lastRenderedPageBreak/>
        <w:drawing>
          <wp:inline distT="0" distB="0" distL="0" distR="0" wp14:anchorId="481F020B" wp14:editId="689E3111">
            <wp:extent cx="5534025" cy="7719060"/>
            <wp:effectExtent l="0" t="0" r="0" b="0"/>
            <wp:docPr id="619" name="Imagen 654" descr="Descripción: GTU2012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6" descr="Descripción: GTU2012_Urbano.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34025" cy="7719060"/>
                    </a:xfrm>
                    <a:prstGeom prst="rect">
                      <a:avLst/>
                    </a:prstGeom>
                    <a:noFill/>
                    <a:ln>
                      <a:noFill/>
                    </a:ln>
                  </pic:spPr>
                </pic:pic>
              </a:graphicData>
            </a:graphic>
          </wp:inline>
        </w:drawing>
      </w:r>
    </w:p>
    <w:p w:rsidR="008A37E4" w:rsidRPr="007226D7" w:rsidRDefault="008A37E4" w:rsidP="008A37E4">
      <w:pPr>
        <w:pStyle w:val="Figuras"/>
        <w:rPr>
          <w:lang w:val="es-PE"/>
        </w:rPr>
      </w:pPr>
      <w:r w:rsidRPr="007226D7">
        <w:t xml:space="preserve">Figura 3.1-39  Esquema de las rutas de transporte público convencionales (fuente: </w:t>
      </w:r>
      <w:r w:rsidR="00E41450" w:rsidRPr="007226D7">
        <w:t>elaboración</w:t>
      </w:r>
      <w:r w:rsidRPr="007226D7">
        <w:t xml:space="preserve"> propia de información obtenida a partir del modelo de transporte proporcionado por la AATE - Antecedente “Estudio de Demanda y Diseño Operacional de la </w:t>
      </w:r>
      <w:r w:rsidR="00E41450" w:rsidRPr="007226D7">
        <w:t>Línea</w:t>
      </w:r>
      <w:r w:rsidRPr="007226D7">
        <w:t xml:space="preserve"> 2 del Metro de Lima”)</w:t>
      </w:r>
      <w:r w:rsidRPr="007226D7">
        <w:rPr>
          <w:lang w:val="es-PE"/>
        </w:rPr>
        <w:br w:type="page"/>
      </w:r>
    </w:p>
    <w:p w:rsidR="008A37E4" w:rsidRPr="007226D7" w:rsidRDefault="008A37E4" w:rsidP="008A37E4">
      <w:pPr>
        <w:spacing w:after="0" w:line="240" w:lineRule="auto"/>
        <w:jc w:val="left"/>
      </w:pPr>
      <w:r w:rsidRPr="007226D7">
        <w:rPr>
          <w:noProof/>
          <w:lang w:val="en-US" w:eastAsia="en-US"/>
        </w:rPr>
        <w:lastRenderedPageBreak/>
        <w:drawing>
          <wp:inline distT="0" distB="0" distL="0" distR="0" wp14:anchorId="17CD478C" wp14:editId="393E8EB1">
            <wp:extent cx="5521960" cy="7766685"/>
            <wp:effectExtent l="0" t="0" r="0" b="0"/>
            <wp:docPr id="620" name="Imagen 653" descr="Descripción: GTU2012_RedTransporteMasivo_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8" descr="Descripción: GTU2012_RedTransporteMasivo_Urbano.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21960" cy="7766685"/>
                    </a:xfrm>
                    <a:prstGeom prst="rect">
                      <a:avLst/>
                    </a:prstGeom>
                    <a:noFill/>
                    <a:ln>
                      <a:noFill/>
                    </a:ln>
                  </pic:spPr>
                </pic:pic>
              </a:graphicData>
            </a:graphic>
          </wp:inline>
        </w:drawing>
      </w:r>
    </w:p>
    <w:p w:rsidR="008A37E4" w:rsidRPr="007226D7" w:rsidRDefault="008A37E4" w:rsidP="008A37E4">
      <w:pPr>
        <w:pStyle w:val="Figuras"/>
        <w:spacing w:before="0" w:after="0" w:line="240" w:lineRule="auto"/>
      </w:pPr>
      <w:r w:rsidRPr="007226D7">
        <w:t xml:space="preserve">Figura 3.1-40  Esquema de la red de transporte masivo 2012 (fuente: </w:t>
      </w:r>
      <w:r w:rsidR="00E41450" w:rsidRPr="007226D7">
        <w:t>elaboración</w:t>
      </w:r>
      <w:r w:rsidRPr="007226D7">
        <w:t xml:space="preserve"> propia de información obtenida a partir del modelo de transporte proporcionado por la AATE - Antecedente “Estudio de Demanda y Diseño Operacional de la </w:t>
      </w:r>
      <w:r w:rsidR="00E41450" w:rsidRPr="007226D7">
        <w:t>Línea</w:t>
      </w:r>
      <w:r w:rsidRPr="007226D7">
        <w:t xml:space="preserve"> 2 del Metro de Lima”)</w:t>
      </w:r>
      <w:r w:rsidRPr="007226D7">
        <w:rPr>
          <w:lang w:val="es-PE"/>
        </w:rPr>
        <w:br w:type="page"/>
      </w:r>
    </w:p>
    <w:p w:rsidR="008A37E4" w:rsidRPr="007226D7" w:rsidRDefault="008A37E4" w:rsidP="00BB081C">
      <w:pPr>
        <w:pStyle w:val="Heading6"/>
        <w:rPr>
          <w:rStyle w:val="BookTitle"/>
          <w:b/>
        </w:rPr>
      </w:pPr>
      <w:proofErr w:type="gramStart"/>
      <w:r w:rsidRPr="007226D7">
        <w:lastRenderedPageBreak/>
        <w:t xml:space="preserve">La </w:t>
      </w:r>
      <w:proofErr w:type="gramEnd"/>
      <w:r w:rsidRPr="007226D7">
        <w:t>estructura del mercado</w:t>
      </w:r>
    </w:p>
    <w:p w:rsidR="008A37E4" w:rsidRPr="007226D7" w:rsidRDefault="008A37E4" w:rsidP="008A37E4">
      <w:pPr>
        <w:rPr>
          <w:i/>
          <w:u w:val="single"/>
        </w:rPr>
      </w:pPr>
      <w:r w:rsidRPr="007226D7">
        <w:rPr>
          <w:u w:val="single"/>
        </w:rPr>
        <w:t>Competencia extrema</w:t>
      </w:r>
    </w:p>
    <w:p w:rsidR="008A37E4" w:rsidRPr="007226D7" w:rsidRDefault="008A37E4" w:rsidP="008A37E4">
      <w:pPr>
        <w:rPr>
          <w:lang w:val="es-ES"/>
        </w:rPr>
      </w:pPr>
      <w:r w:rsidRPr="007226D7">
        <w:rPr>
          <w:lang w:val="es-ES"/>
        </w:rPr>
        <w:t xml:space="preserve">Para que un mercado logre llegar al equilibrio y transfiera beneficios tiene que operar bajo competencia perfecta, y que el máximo beneficio depende de la organización de la producción, la productividad y la tecnología utilizada. </w:t>
      </w:r>
    </w:p>
    <w:p w:rsidR="008A37E4" w:rsidRPr="007226D7" w:rsidRDefault="008A37E4" w:rsidP="008A37E4">
      <w:pPr>
        <w:rPr>
          <w:lang w:val="es-ES"/>
        </w:rPr>
      </w:pPr>
      <w:r w:rsidRPr="007226D7">
        <w:rPr>
          <w:lang w:val="es-ES"/>
        </w:rPr>
        <w:t xml:space="preserve">Se distorsiona el mercado cuando la competencia obvia el equilibrio entre la oferta y la demanda para conseguir retornos a través de mecanismos como: </w:t>
      </w:r>
    </w:p>
    <w:p w:rsidR="008A37E4" w:rsidRPr="007226D7" w:rsidRDefault="008A37E4" w:rsidP="006E6A64">
      <w:pPr>
        <w:numPr>
          <w:ilvl w:val="0"/>
          <w:numId w:val="20"/>
        </w:numPr>
        <w:rPr>
          <w:lang w:val="es-ES"/>
        </w:rPr>
      </w:pPr>
      <w:r w:rsidRPr="007226D7">
        <w:rPr>
          <w:lang w:val="es-ES"/>
        </w:rPr>
        <w:t xml:space="preserve">uso pernicioso de equipos (tecnología obsoleta) </w:t>
      </w:r>
    </w:p>
    <w:p w:rsidR="008A37E4" w:rsidRPr="007226D7" w:rsidRDefault="008A37E4" w:rsidP="006E6A64">
      <w:pPr>
        <w:numPr>
          <w:ilvl w:val="0"/>
          <w:numId w:val="20"/>
        </w:numPr>
        <w:rPr>
          <w:lang w:val="es-ES"/>
        </w:rPr>
      </w:pPr>
      <w:r w:rsidRPr="007226D7">
        <w:rPr>
          <w:lang w:val="es-ES"/>
        </w:rPr>
        <w:t xml:space="preserve">traslado de impactos negativos al mercado (subóptimo en la provisión del servicio) </w:t>
      </w:r>
    </w:p>
    <w:p w:rsidR="008A37E4" w:rsidRPr="007226D7" w:rsidRDefault="008A37E4" w:rsidP="006E6A64">
      <w:pPr>
        <w:numPr>
          <w:ilvl w:val="0"/>
          <w:numId w:val="20"/>
        </w:numPr>
        <w:rPr>
          <w:lang w:val="es-ES"/>
        </w:rPr>
      </w:pPr>
      <w:r w:rsidRPr="007226D7">
        <w:rPr>
          <w:lang w:val="es-ES"/>
        </w:rPr>
        <w:t xml:space="preserve">recurrencia a tarifas irreales, es decir cuando el precio no es igual al costo marginal </w:t>
      </w:r>
    </w:p>
    <w:p w:rsidR="008A37E4" w:rsidRPr="007226D7" w:rsidRDefault="008A37E4" w:rsidP="006E6A64">
      <w:pPr>
        <w:numPr>
          <w:ilvl w:val="0"/>
          <w:numId w:val="20"/>
        </w:numPr>
        <w:rPr>
          <w:lang w:val="es-ES"/>
        </w:rPr>
      </w:pPr>
      <w:r w:rsidRPr="007226D7">
        <w:rPr>
          <w:lang w:val="es-ES"/>
        </w:rPr>
        <w:t xml:space="preserve">cuando no considera la tasa de depreciación obviando la reposición de los bienes de capital </w:t>
      </w:r>
    </w:p>
    <w:p w:rsidR="008A37E4" w:rsidRPr="007226D7" w:rsidRDefault="008A37E4" w:rsidP="006E6A64">
      <w:pPr>
        <w:numPr>
          <w:ilvl w:val="0"/>
          <w:numId w:val="20"/>
        </w:numPr>
        <w:rPr>
          <w:lang w:val="es-ES"/>
        </w:rPr>
      </w:pPr>
      <w:r w:rsidRPr="007226D7">
        <w:rPr>
          <w:lang w:val="es-ES"/>
        </w:rPr>
        <w:t xml:space="preserve">recurre a un régimen laboral informal, provocando que los salarios no estén acordes con la productividad marginal de cada trabajador </w:t>
      </w:r>
    </w:p>
    <w:p w:rsidR="008A37E4" w:rsidRPr="007226D7" w:rsidRDefault="008A37E4" w:rsidP="006E6A64">
      <w:pPr>
        <w:numPr>
          <w:ilvl w:val="0"/>
          <w:numId w:val="20"/>
        </w:numPr>
        <w:rPr>
          <w:lang w:val="es-ES"/>
        </w:rPr>
      </w:pPr>
      <w:r w:rsidRPr="007226D7">
        <w:rPr>
          <w:lang w:val="es-ES"/>
        </w:rPr>
        <w:t xml:space="preserve">trabajo prescindiendo del planeamiento de las operaciones. </w:t>
      </w:r>
    </w:p>
    <w:p w:rsidR="008A37E4" w:rsidRPr="007226D7" w:rsidRDefault="008A37E4" w:rsidP="008A37E4">
      <w:pPr>
        <w:rPr>
          <w:lang w:val="es-ES"/>
        </w:rPr>
      </w:pPr>
      <w:r w:rsidRPr="007226D7">
        <w:rPr>
          <w:lang w:val="es-ES"/>
        </w:rPr>
        <w:t xml:space="preserve">Todos estos elementos se encuentran en el servicio de transporte urbano de pasajeros como un efecto larvado de la etapa de informalidad y desregulación por la que atravesó el sector. </w:t>
      </w:r>
    </w:p>
    <w:p w:rsidR="008A37E4" w:rsidRPr="007226D7" w:rsidRDefault="008A37E4" w:rsidP="008A37E4">
      <w:pPr>
        <w:rPr>
          <w:lang w:val="es-ES"/>
        </w:rPr>
      </w:pPr>
      <w:r w:rsidRPr="007226D7">
        <w:rPr>
          <w:lang w:val="es-ES"/>
        </w:rPr>
        <w:t xml:space="preserve">Suele señalarse que el transporte urbano de pasajeros es una actividad que se presta en condiciones de monopolio natural, con la intención de evitar dichas distorsiones, provenientes de la saturación de la oferta que provoca un deterioro en la atención de la demanda, es por ello que se requiere de intervención regulatoria para evitar que los efectos de la prestación monopólica del servicio retroalimenten las fallas del mercado. </w:t>
      </w:r>
    </w:p>
    <w:p w:rsidR="008A37E4" w:rsidRPr="007226D7" w:rsidRDefault="008A37E4" w:rsidP="008A37E4">
      <w:pPr>
        <w:rPr>
          <w:u w:val="single"/>
          <w:lang w:val="es-ES"/>
        </w:rPr>
      </w:pPr>
      <w:r w:rsidRPr="007226D7">
        <w:rPr>
          <w:u w:val="single"/>
          <w:lang w:val="es-ES"/>
        </w:rPr>
        <w:t xml:space="preserve">Estructuración de los Precios </w:t>
      </w:r>
    </w:p>
    <w:p w:rsidR="008A37E4" w:rsidRPr="007226D7" w:rsidRDefault="008A37E4" w:rsidP="008A37E4">
      <w:pPr>
        <w:rPr>
          <w:lang w:val="es-ES"/>
        </w:rPr>
      </w:pPr>
      <w:r w:rsidRPr="007226D7">
        <w:rPr>
          <w:lang w:val="es-ES"/>
        </w:rPr>
        <w:t xml:space="preserve">Ante fallas como las señaladas la estructuración de las tarifas no responde al costo de las operaciones, sino se encuentran subvaluadas a costa de la calidad del servicio, como consecuencia, se satura el uso de unidades (exceso de pasajeros), además de utilizarse unidades inadecuadas. </w:t>
      </w:r>
    </w:p>
    <w:p w:rsidR="008A37E4" w:rsidRPr="007226D7" w:rsidRDefault="008A37E4" w:rsidP="008A37E4">
      <w:pPr>
        <w:rPr>
          <w:lang w:val="es-ES"/>
        </w:rPr>
      </w:pPr>
      <w:r w:rsidRPr="007226D7">
        <w:rPr>
          <w:lang w:val="es-ES"/>
        </w:rPr>
        <w:t xml:space="preserve">El supuesto beneficio al usuario, al mantener tarifas por debajo del costo real, se neutraliza al negársele un servicio adecuado, es decir, se deja de lado aspectos básicos como seguridad, comodidad, trato, confiabilidad y responsabilidad. </w:t>
      </w:r>
    </w:p>
    <w:p w:rsidR="008A37E4" w:rsidRPr="007226D7" w:rsidRDefault="008A37E4" w:rsidP="00BB081C">
      <w:pPr>
        <w:pStyle w:val="Heading6"/>
        <w:rPr>
          <w:rStyle w:val="BookTitle"/>
          <w:b/>
          <w:lang w:val="es-ES"/>
        </w:rPr>
      </w:pPr>
      <w:r w:rsidRPr="007226D7">
        <w:rPr>
          <w:lang w:val="es-ES"/>
        </w:rPr>
        <w:br w:type="page"/>
      </w:r>
      <w:r w:rsidRPr="007226D7">
        <w:rPr>
          <w:lang w:val="es-ES"/>
        </w:rPr>
        <w:lastRenderedPageBreak/>
        <w:t>Fragmentación en el sistema de gestión</w:t>
      </w:r>
    </w:p>
    <w:p w:rsidR="008A37E4" w:rsidRPr="007226D7" w:rsidRDefault="008A37E4" w:rsidP="008A37E4">
      <w:pPr>
        <w:rPr>
          <w:lang w:val="es-ES"/>
        </w:rPr>
      </w:pPr>
      <w:r w:rsidRPr="007226D7">
        <w:rPr>
          <w:lang w:val="es-ES"/>
        </w:rPr>
        <w:t xml:space="preserve">Otra de las características del mercado de transporte urbano de pasajeros es que la estructura empresarial está fraccionada; esto a pesar que en los últimos años se ha ido corrigiendo de manera parcial. </w:t>
      </w:r>
    </w:p>
    <w:p w:rsidR="008A37E4" w:rsidRPr="007226D7" w:rsidRDefault="008A37E4" w:rsidP="008A37E4">
      <w:pPr>
        <w:rPr>
          <w:lang w:val="es-ES"/>
        </w:rPr>
      </w:pPr>
      <w:r w:rsidRPr="007226D7">
        <w:rPr>
          <w:lang w:val="es-ES"/>
        </w:rPr>
        <w:t xml:space="preserve">Si bien las empresas han logrado registrarse cumpliendo con los requisitos de inscripción y registro con la finalidad de lograr la asignación de rutas, la producción del servicio se sigue prestando en forma artesanal y el grado de capitalización sigue siendo bajo. </w:t>
      </w:r>
    </w:p>
    <w:p w:rsidR="008A37E4" w:rsidRPr="007226D7" w:rsidRDefault="008A37E4" w:rsidP="008A37E4">
      <w:pPr>
        <w:rPr>
          <w:lang w:val="es-ES"/>
        </w:rPr>
      </w:pPr>
      <w:r w:rsidRPr="007226D7">
        <w:rPr>
          <w:lang w:val="es-ES"/>
        </w:rPr>
        <w:t xml:space="preserve">Salvo un núcleo muy activo de empresas que están formando sus propias flotas, el fenómeno de empresas afiladoras mantiene una presencia importante, impactando en forma de costos de transacción en la organización del servicio. </w:t>
      </w:r>
    </w:p>
    <w:p w:rsidR="008A37E4" w:rsidRPr="007226D7" w:rsidRDefault="008A37E4" w:rsidP="008A37E4">
      <w:pPr>
        <w:rPr>
          <w:lang w:val="es-ES"/>
        </w:rPr>
      </w:pPr>
      <w:r w:rsidRPr="007226D7">
        <w:rPr>
          <w:lang w:val="es-ES"/>
        </w:rPr>
        <w:t xml:space="preserve">La dinámica de las condiciones descritas, provocan su retroalimentación, por lo que los cambios en el sector si bien han comenzado a manifestarse, aún hay un gran espacio en el aspecto de organización de las empresas, la toma de decisiones y el planeamiento de sus operaciones en el que se tiene que crear condiciones distintas con miras a configurar un sector empresarial competitivo. </w:t>
      </w:r>
    </w:p>
    <w:p w:rsidR="008A37E4" w:rsidRPr="007226D7" w:rsidRDefault="008A37E4" w:rsidP="008A37E4">
      <w:pPr>
        <w:rPr>
          <w:lang w:val="es-ES"/>
        </w:rPr>
      </w:pPr>
      <w:r w:rsidRPr="007226D7">
        <w:rPr>
          <w:lang w:val="es-ES"/>
        </w:rPr>
        <w:t xml:space="preserve">El mercado de transporte tanto en Lima como en el Callao se presenta como un sector atomizado empresarialmente, en donde no se presenta un dominio de mercado sobre la oferta. </w:t>
      </w:r>
    </w:p>
    <w:p w:rsidR="008A37E4" w:rsidRPr="007226D7" w:rsidRDefault="008A37E4" w:rsidP="008A37E4">
      <w:pPr>
        <w:rPr>
          <w:lang w:val="es-ES"/>
        </w:rPr>
      </w:pPr>
      <w:r w:rsidRPr="007226D7">
        <w:rPr>
          <w:lang w:val="es-ES"/>
        </w:rPr>
        <w:t>Como se puede apreciar en la siguiente tabla, más que el 50% de las empresas que operan en Lima, sólo operan una ruta, lo cual representa una deseconomía de recursos para el sistema. Así como se presenta un mercado atomizado empresarialmente, la oferta también presenta la misma característica.</w:t>
      </w:r>
    </w:p>
    <w:p w:rsidR="008A37E4" w:rsidRPr="007226D7" w:rsidRDefault="008A37E4" w:rsidP="008A37E4">
      <w:pPr>
        <w:rPr>
          <w:lang w:val="es-ES"/>
        </w:rPr>
      </w:pPr>
    </w:p>
    <w:tbl>
      <w:tblPr>
        <w:tblW w:w="946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660"/>
        <w:gridCol w:w="1134"/>
        <w:gridCol w:w="1134"/>
        <w:gridCol w:w="1134"/>
        <w:gridCol w:w="1134"/>
        <w:gridCol w:w="1134"/>
        <w:gridCol w:w="1134"/>
      </w:tblGrid>
      <w:tr w:rsidR="008A37E4" w:rsidRPr="007226D7" w:rsidTr="007572D7">
        <w:trPr>
          <w:trHeight w:val="300"/>
        </w:trPr>
        <w:tc>
          <w:tcPr>
            <w:tcW w:w="2660"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Rutas/Empresa</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N° de Empresas</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8C61F3" w:rsidRDefault="008A37E4" w:rsidP="007572D7">
            <w:pPr>
              <w:spacing w:after="0" w:line="240" w:lineRule="auto"/>
              <w:jc w:val="center"/>
              <w:rPr>
                <w:rFonts w:ascii="Calibri" w:hAnsi="Calibri" w:cs="Calibri"/>
                <w:b/>
                <w:bCs/>
                <w:color w:val="171717"/>
                <w:szCs w:val="22"/>
                <w:lang w:val="pt-BR"/>
              </w:rPr>
            </w:pPr>
            <w:r w:rsidRPr="008C61F3">
              <w:rPr>
                <w:rFonts w:ascii="Calibri" w:hAnsi="Calibri" w:cs="Calibri"/>
                <w:b/>
                <w:bCs/>
                <w:color w:val="171717"/>
                <w:szCs w:val="22"/>
                <w:lang w:val="pt-BR"/>
              </w:rPr>
              <w:t>N° de Rutas I/V</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Flota</w:t>
            </w:r>
          </w:p>
        </w:tc>
        <w:tc>
          <w:tcPr>
            <w:tcW w:w="1134" w:type="dxa"/>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spacing w:after="0" w:line="240" w:lineRule="auto"/>
              <w:jc w:val="center"/>
              <w:rPr>
                <w:rFonts w:ascii="Calibri" w:hAnsi="Calibri" w:cs="Calibri"/>
                <w:b/>
                <w:bCs/>
                <w:color w:val="171717"/>
                <w:szCs w:val="22"/>
              </w:rPr>
            </w:pPr>
            <w:r w:rsidRPr="007226D7">
              <w:rPr>
                <w:rFonts w:ascii="Calibri" w:hAnsi="Calibri" w:cs="Calibri"/>
                <w:b/>
                <w:bCs/>
                <w:color w:val="171717"/>
                <w:szCs w:val="22"/>
              </w:rPr>
              <w:t>%</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6</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1.23%</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24</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5.12%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1930</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6.16%</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5</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0.31%</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5</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1.07%</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426</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1.36%</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4</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6</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1.85%</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24</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5.12%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1752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5.60%</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3</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24</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7.41%</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72</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15.35%</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4940</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15.78%</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2</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56</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17.28%</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112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23.88%</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6960</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22.23%</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 xml:space="preserve">Empresas con </w:t>
            </w:r>
            <w:proofErr w:type="gramStart"/>
            <w:r w:rsidRPr="007226D7">
              <w:rPr>
                <w:rFonts w:ascii="Calibri" w:hAnsi="Calibri" w:cs="Calibri"/>
                <w:b/>
                <w:bCs/>
                <w:color w:val="171717"/>
                <w:szCs w:val="22"/>
              </w:rPr>
              <w:t>1</w:t>
            </w:r>
            <w:proofErr w:type="gramEnd"/>
            <w:r w:rsidRPr="007226D7">
              <w:rPr>
                <w:rFonts w:ascii="Calibri" w:hAnsi="Calibri" w:cs="Calibri"/>
                <w:b/>
                <w:bCs/>
                <w:color w:val="171717"/>
                <w:szCs w:val="22"/>
              </w:rPr>
              <w:t xml:space="preserve"> Rutas</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233</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71.91%</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233</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49.68%</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15299</w:t>
            </w:r>
          </w:p>
        </w:tc>
        <w:tc>
          <w:tcPr>
            <w:tcW w:w="113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48.87%</w:t>
            </w:r>
          </w:p>
        </w:tc>
      </w:tr>
      <w:tr w:rsidR="008A37E4" w:rsidRPr="007226D7" w:rsidTr="007572D7">
        <w:trPr>
          <w:trHeight w:val="300"/>
        </w:trPr>
        <w:tc>
          <w:tcPr>
            <w:tcW w:w="266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left"/>
              <w:rPr>
                <w:rFonts w:ascii="Calibri" w:hAnsi="Calibri" w:cs="Calibri"/>
                <w:b/>
                <w:bCs/>
                <w:color w:val="171717"/>
                <w:szCs w:val="22"/>
              </w:rPr>
            </w:pPr>
            <w:r w:rsidRPr="007226D7">
              <w:rPr>
                <w:rFonts w:ascii="Calibri" w:hAnsi="Calibri" w:cs="Calibri"/>
                <w:b/>
                <w:bCs/>
                <w:color w:val="171717"/>
                <w:szCs w:val="22"/>
              </w:rPr>
              <w:t>Total</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324</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100.00%</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469</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100.00%</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31306</w:t>
            </w:r>
          </w:p>
        </w:tc>
        <w:tc>
          <w:tcPr>
            <w:tcW w:w="113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spacing w:after="0" w:line="240" w:lineRule="auto"/>
              <w:jc w:val="right"/>
              <w:rPr>
                <w:rFonts w:ascii="Calibri" w:hAnsi="Calibri" w:cs="Calibri"/>
                <w:color w:val="171717"/>
                <w:szCs w:val="22"/>
              </w:rPr>
            </w:pPr>
            <w:r w:rsidRPr="007226D7">
              <w:rPr>
                <w:rFonts w:ascii="Calibri" w:hAnsi="Calibri" w:cs="Calibri"/>
                <w:color w:val="171717"/>
                <w:szCs w:val="22"/>
              </w:rPr>
              <w:t>100.00%</w:t>
            </w:r>
          </w:p>
        </w:tc>
      </w:tr>
    </w:tbl>
    <w:p w:rsidR="008A37E4" w:rsidRPr="007226D7" w:rsidRDefault="008A37E4" w:rsidP="008A37E4"/>
    <w:p w:rsidR="008A37E4" w:rsidRPr="007226D7" w:rsidRDefault="008A37E4" w:rsidP="008A37E4">
      <w:pPr>
        <w:pStyle w:val="Figuras"/>
        <w:rPr>
          <w:lang w:val="es-PE"/>
        </w:rPr>
      </w:pPr>
      <w:r w:rsidRPr="007226D7">
        <w:t xml:space="preserve">Tabla 3.1-56  </w:t>
      </w:r>
      <w:r w:rsidRPr="007226D7">
        <w:rPr>
          <w:lang w:val="es-PE"/>
        </w:rPr>
        <w:t xml:space="preserve"> Distribución de Empresas, Rutas y Flota en Lima Metropolitana por tamaño de empresa- fuente GTU 2009</w:t>
      </w:r>
    </w:p>
    <w:p w:rsidR="008A37E4" w:rsidRPr="007226D7" w:rsidRDefault="008A37E4" w:rsidP="008A37E4">
      <w:pPr>
        <w:rPr>
          <w:lang w:val="es-ES"/>
        </w:rPr>
      </w:pPr>
    </w:p>
    <w:p w:rsidR="008A37E4" w:rsidRPr="007226D7" w:rsidRDefault="008A37E4" w:rsidP="008A37E4">
      <w:pPr>
        <w:rPr>
          <w:lang w:val="es-ES"/>
        </w:rPr>
      </w:pPr>
    </w:p>
    <w:p w:rsidR="008A37E4" w:rsidRPr="007226D7" w:rsidRDefault="008A37E4" w:rsidP="008A37E4">
      <w:r w:rsidRPr="007226D7">
        <w:rPr>
          <w:noProof/>
          <w:lang w:val="en-US" w:eastAsia="en-US"/>
        </w:rPr>
        <w:lastRenderedPageBreak/>
        <w:drawing>
          <wp:inline distT="0" distB="0" distL="0" distR="0" wp14:anchorId="058A9458" wp14:editId="3069B5C2">
            <wp:extent cx="5934710" cy="3028315"/>
            <wp:effectExtent l="0" t="0" r="0" b="0"/>
            <wp:docPr id="621" name="Gráfico 6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A37E4" w:rsidRPr="007226D7" w:rsidRDefault="008A37E4" w:rsidP="008A37E4">
      <w:pPr>
        <w:pStyle w:val="Figuras"/>
        <w:rPr>
          <w:lang w:val="es-PE"/>
        </w:rPr>
      </w:pPr>
      <w:r w:rsidRPr="007226D7">
        <w:t xml:space="preserve">Figura 3.1-41 </w:t>
      </w:r>
      <w:r w:rsidRPr="007226D7">
        <w:rPr>
          <w:lang w:val="es-PE"/>
        </w:rPr>
        <w:t xml:space="preserve"> Distribución de Empresas, Rutas y Flota en Lima Metropolitana por tamaño de empresa- fuente GTU 2009</w:t>
      </w:r>
    </w:p>
    <w:p w:rsidR="008A37E4" w:rsidRPr="007226D7" w:rsidRDefault="008A37E4" w:rsidP="00262DA3">
      <w:pPr>
        <w:spacing w:after="0"/>
        <w:rPr>
          <w:lang w:val="es-ES"/>
        </w:rPr>
      </w:pPr>
    </w:p>
    <w:p w:rsidR="008A37E4" w:rsidRPr="007226D7" w:rsidRDefault="008A37E4" w:rsidP="008A37E4">
      <w:pPr>
        <w:rPr>
          <w:lang w:val="es-ES"/>
        </w:rPr>
      </w:pPr>
      <w:r w:rsidRPr="007226D7">
        <w:rPr>
          <w:lang w:val="es-ES"/>
        </w:rPr>
        <w:t>Con referencia a las cifras consolidadas del GTU año 2009, es posible destacar algunas consideraciones en términos de organización de la flota y del servicio. El número de Rutas de Lima es de 469 (en el 2009) mientras para el 2012 el valor es de 562 que se reduce a 385 al excluir el componente del Callao con el fin de comparar los datos de una manera homogénea.</w:t>
      </w:r>
    </w:p>
    <w:p w:rsidR="00262DA3" w:rsidRPr="007226D7" w:rsidRDefault="00262DA3" w:rsidP="00262DA3">
      <w:pPr>
        <w:spacing w:after="0"/>
        <w:rPr>
          <w:lang w:val="es-ES"/>
        </w:rPr>
      </w:pPr>
    </w:p>
    <w:p w:rsidR="00262DA3" w:rsidRPr="007226D7" w:rsidRDefault="00262DA3" w:rsidP="00262DA3">
      <w:pPr>
        <w:spacing w:after="40"/>
        <w:jc w:val="center"/>
        <w:rPr>
          <w:b/>
          <w:sz w:val="16"/>
          <w:szCs w:val="16"/>
          <w:lang w:val="es-ES"/>
        </w:rPr>
      </w:pPr>
      <w:r w:rsidRPr="006C214F">
        <w:rPr>
          <w:b/>
          <w:sz w:val="16"/>
          <w:szCs w:val="16"/>
          <w:lang w:val="es-ES"/>
        </w:rPr>
        <w:t>Tabla 3.1-57  Rutas por modo de transporte (Fuente GTU, 2009).</w:t>
      </w:r>
    </w:p>
    <w:tbl>
      <w:tblPr>
        <w:tblW w:w="8080" w:type="dxa"/>
        <w:jc w:val="center"/>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058"/>
        <w:gridCol w:w="931"/>
        <w:gridCol w:w="2091"/>
      </w:tblGrid>
      <w:tr w:rsidR="008A37E4" w:rsidRPr="007226D7" w:rsidTr="007572D7">
        <w:trPr>
          <w:trHeight w:val="300"/>
          <w:jc w:val="center"/>
        </w:trPr>
        <w:tc>
          <w:tcPr>
            <w:tcW w:w="8080" w:type="dxa"/>
            <w:gridSpan w:val="3"/>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rPr>
              <w:t>RUTAS</w:t>
            </w:r>
          </w:p>
        </w:tc>
      </w:tr>
      <w:tr w:rsidR="008A37E4" w:rsidRPr="007226D7" w:rsidTr="007572D7">
        <w:trPr>
          <w:trHeight w:hRule="exact" w:val="397"/>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MODO DE TRANSPORTE</w:t>
            </w:r>
          </w:p>
        </w:tc>
        <w:tc>
          <w:tcPr>
            <w:tcW w:w="93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2009</w:t>
            </w:r>
          </w:p>
        </w:tc>
        <w:tc>
          <w:tcPr>
            <w:tcW w:w="209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2012 (estimaci</w:t>
            </w:r>
            <w:r w:rsidRPr="007226D7">
              <w:rPr>
                <w:rFonts w:cs="Arial"/>
                <w:b/>
                <w:bCs/>
              </w:rPr>
              <w:t>ó</w:t>
            </w:r>
            <w:r w:rsidRPr="007226D7">
              <w:rPr>
                <w:b/>
                <w:bCs/>
              </w:rPr>
              <w:t>n)</w:t>
            </w:r>
          </w:p>
        </w:tc>
      </w:tr>
      <w:tr w:rsidR="008A37E4" w:rsidRPr="007226D7" w:rsidTr="007572D7">
        <w:trPr>
          <w:trHeight w:hRule="exact" w:val="397"/>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BUS</w:t>
            </w:r>
          </w:p>
        </w:tc>
        <w:tc>
          <w:tcPr>
            <w:tcW w:w="93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469</w:t>
            </w:r>
          </w:p>
        </w:tc>
        <w:tc>
          <w:tcPr>
            <w:tcW w:w="209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385 (+177 Callao)</w:t>
            </w:r>
          </w:p>
        </w:tc>
      </w:tr>
      <w:tr w:rsidR="008A37E4" w:rsidRPr="007226D7" w:rsidTr="007572D7">
        <w:trPr>
          <w:trHeight w:hRule="exact" w:val="284"/>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Camioneta</w:t>
            </w:r>
          </w:p>
        </w:tc>
        <w:tc>
          <w:tcPr>
            <w:tcW w:w="93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210</w:t>
            </w:r>
          </w:p>
        </w:tc>
        <w:tc>
          <w:tcPr>
            <w:tcW w:w="209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288</w:t>
            </w:r>
          </w:p>
        </w:tc>
      </w:tr>
      <w:tr w:rsidR="008A37E4" w:rsidRPr="007226D7" w:rsidTr="007572D7">
        <w:trPr>
          <w:trHeight w:hRule="exact" w:val="284"/>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Cs/>
              </w:rPr>
              <w:t>Microbús</w:t>
            </w:r>
          </w:p>
        </w:tc>
        <w:tc>
          <w:tcPr>
            <w:tcW w:w="93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171</w:t>
            </w:r>
          </w:p>
        </w:tc>
        <w:tc>
          <w:tcPr>
            <w:tcW w:w="209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191</w:t>
            </w:r>
          </w:p>
        </w:tc>
      </w:tr>
      <w:tr w:rsidR="008A37E4" w:rsidRPr="007226D7" w:rsidTr="007572D7">
        <w:trPr>
          <w:trHeight w:hRule="exact" w:val="284"/>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Ómnibus</w:t>
            </w:r>
          </w:p>
        </w:tc>
        <w:tc>
          <w:tcPr>
            <w:tcW w:w="93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63</w:t>
            </w:r>
          </w:p>
        </w:tc>
        <w:tc>
          <w:tcPr>
            <w:tcW w:w="209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83</w:t>
            </w:r>
          </w:p>
        </w:tc>
      </w:tr>
      <w:tr w:rsidR="008A37E4" w:rsidRPr="007226D7" w:rsidTr="007572D7">
        <w:trPr>
          <w:trHeight w:hRule="exact" w:val="397"/>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No Autorizado</w:t>
            </w:r>
          </w:p>
        </w:tc>
        <w:tc>
          <w:tcPr>
            <w:tcW w:w="93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rPr>
            </w:pPr>
            <w:r w:rsidRPr="007226D7">
              <w:rPr>
                <w:b/>
              </w:rPr>
              <w:t>26</w:t>
            </w:r>
          </w:p>
        </w:tc>
        <w:tc>
          <w:tcPr>
            <w:tcW w:w="209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rPr>
            </w:pPr>
            <w:r w:rsidRPr="007226D7">
              <w:rPr>
                <w:b/>
              </w:rPr>
              <w:t>0</w:t>
            </w:r>
          </w:p>
        </w:tc>
      </w:tr>
      <w:tr w:rsidR="008A37E4" w:rsidRPr="007226D7" w:rsidTr="007572D7">
        <w:trPr>
          <w:trHeight w:hRule="exact" w:val="397"/>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Metropolitano</w:t>
            </w:r>
            <w:proofErr w:type="gramStart"/>
            <w:r w:rsidRPr="007226D7">
              <w:rPr>
                <w:b/>
                <w:bCs/>
              </w:rPr>
              <w:t>(</w:t>
            </w:r>
            <w:proofErr w:type="gramEnd"/>
            <w:r w:rsidRPr="007226D7">
              <w:rPr>
                <w:b/>
                <w:bCs/>
              </w:rPr>
              <w:t>Ómnibus)</w:t>
            </w:r>
          </w:p>
        </w:tc>
        <w:tc>
          <w:tcPr>
            <w:tcW w:w="93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w:t>
            </w:r>
          </w:p>
        </w:tc>
        <w:tc>
          <w:tcPr>
            <w:tcW w:w="209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27</w:t>
            </w:r>
          </w:p>
        </w:tc>
      </w:tr>
      <w:tr w:rsidR="008A37E4" w:rsidRPr="007226D7" w:rsidTr="007572D7">
        <w:trPr>
          <w:trHeight w:hRule="exact" w:val="284"/>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Cs/>
              </w:rPr>
              <w:t>Red Troncal</w:t>
            </w:r>
          </w:p>
        </w:tc>
        <w:tc>
          <w:tcPr>
            <w:tcW w:w="93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w:t>
            </w:r>
          </w:p>
        </w:tc>
        <w:tc>
          <w:tcPr>
            <w:tcW w:w="209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18</w:t>
            </w:r>
          </w:p>
        </w:tc>
      </w:tr>
      <w:tr w:rsidR="008A37E4" w:rsidRPr="007226D7" w:rsidTr="007572D7">
        <w:trPr>
          <w:trHeight w:hRule="exact" w:val="284"/>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Red Expreso</w:t>
            </w:r>
          </w:p>
        </w:tc>
        <w:tc>
          <w:tcPr>
            <w:tcW w:w="93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w:t>
            </w:r>
          </w:p>
        </w:tc>
        <w:tc>
          <w:tcPr>
            <w:tcW w:w="2091"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9</w:t>
            </w:r>
          </w:p>
        </w:tc>
      </w:tr>
      <w:tr w:rsidR="008A37E4" w:rsidRPr="007226D7" w:rsidTr="007572D7">
        <w:trPr>
          <w:trHeight w:hRule="exact" w:val="397"/>
          <w:jc w:val="center"/>
        </w:trPr>
        <w:tc>
          <w:tcPr>
            <w:tcW w:w="5058"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Tren Eléctrico</w:t>
            </w:r>
          </w:p>
        </w:tc>
        <w:tc>
          <w:tcPr>
            <w:tcW w:w="93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w:t>
            </w:r>
          </w:p>
        </w:tc>
        <w:tc>
          <w:tcPr>
            <w:tcW w:w="2091"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1</w:t>
            </w:r>
          </w:p>
        </w:tc>
      </w:tr>
    </w:tbl>
    <w:p w:rsidR="008A37E4" w:rsidRPr="007226D7" w:rsidRDefault="008A37E4" w:rsidP="008A37E4">
      <w:pPr>
        <w:pStyle w:val="Figuras"/>
      </w:pPr>
    </w:p>
    <w:p w:rsidR="008A37E4" w:rsidRPr="007226D7" w:rsidRDefault="008A37E4" w:rsidP="008A37E4">
      <w:pPr>
        <w:rPr>
          <w:lang w:val="es-ES"/>
        </w:rPr>
      </w:pPr>
      <w:r w:rsidRPr="007226D7">
        <w:rPr>
          <w:lang w:val="es-ES"/>
        </w:rPr>
        <w:t>Para los indicadores del número de las Empresas y de  Rutas en la única zona de Lima, se puede trazar una tendencia a la disminución en el número de empresas y de líneas. Sin embargo, sigue siendo un alto grado de entropía en el sistema de gestión del transporte público.</w:t>
      </w:r>
    </w:p>
    <w:p w:rsidR="00262DA3" w:rsidRPr="007226D7" w:rsidRDefault="00262DA3" w:rsidP="00262DA3">
      <w:pPr>
        <w:jc w:val="center"/>
        <w:rPr>
          <w:b/>
          <w:sz w:val="16"/>
          <w:szCs w:val="16"/>
          <w:lang w:val="es-ES"/>
        </w:rPr>
      </w:pPr>
      <w:r w:rsidRPr="006C214F">
        <w:rPr>
          <w:b/>
          <w:sz w:val="16"/>
          <w:szCs w:val="16"/>
          <w:lang w:val="es-ES"/>
        </w:rPr>
        <w:lastRenderedPageBreak/>
        <w:t>Tabla 3.1- 58  Serie temporal del tamaño de la flota desde 2008 hasta 2011 (Fuente GTU, 2009)</w:t>
      </w: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899"/>
        <w:gridCol w:w="1899"/>
        <w:gridCol w:w="1899"/>
      </w:tblGrid>
      <w:tr w:rsidR="008A37E4" w:rsidRPr="007226D7" w:rsidTr="007572D7">
        <w:trPr>
          <w:jc w:val="center"/>
        </w:trPr>
        <w:tc>
          <w:tcPr>
            <w:tcW w:w="1899" w:type="dxa"/>
            <w:tcBorders>
              <w:top w:val="single" w:sz="8" w:space="0" w:color="4F81BD"/>
              <w:left w:val="single" w:sz="8" w:space="0" w:color="4F81BD"/>
              <w:bottom w:val="single" w:sz="18" w:space="0" w:color="4F81BD"/>
              <w:right w:val="single" w:sz="8" w:space="0" w:color="4F81BD"/>
            </w:tcBorders>
            <w:shd w:val="clear" w:color="auto" w:fill="auto"/>
          </w:tcPr>
          <w:p w:rsidR="008A37E4" w:rsidRPr="007226D7" w:rsidRDefault="008A37E4" w:rsidP="007572D7">
            <w:pPr>
              <w:jc w:val="left"/>
              <w:rPr>
                <w:b/>
                <w:bCs/>
                <w:szCs w:val="22"/>
                <w:lang w:eastAsia="en-US"/>
              </w:rPr>
            </w:pPr>
            <w:r w:rsidRPr="007226D7">
              <w:rPr>
                <w:b/>
                <w:bCs/>
                <w:szCs w:val="22"/>
                <w:lang w:eastAsia="en-US"/>
              </w:rPr>
              <w:t>A</w:t>
            </w:r>
            <w:r w:rsidRPr="007226D7">
              <w:rPr>
                <w:rFonts w:cs="Arial"/>
                <w:b/>
                <w:bCs/>
                <w:szCs w:val="22"/>
                <w:lang w:eastAsia="en-US"/>
              </w:rPr>
              <w:t>Ň</w:t>
            </w:r>
            <w:r w:rsidRPr="007226D7">
              <w:rPr>
                <w:b/>
                <w:bCs/>
                <w:szCs w:val="22"/>
                <w:lang w:eastAsia="en-US"/>
              </w:rPr>
              <w:t>O</w:t>
            </w:r>
          </w:p>
        </w:tc>
        <w:tc>
          <w:tcPr>
            <w:tcW w:w="1899" w:type="dxa"/>
            <w:tcBorders>
              <w:top w:val="single" w:sz="8" w:space="0" w:color="4F81BD"/>
              <w:left w:val="single" w:sz="8" w:space="0" w:color="4F81BD"/>
              <w:bottom w:val="single" w:sz="18" w:space="0" w:color="4F81BD"/>
              <w:right w:val="single" w:sz="8" w:space="0" w:color="4F81BD"/>
            </w:tcBorders>
            <w:shd w:val="clear" w:color="auto" w:fill="auto"/>
          </w:tcPr>
          <w:p w:rsidR="008A37E4" w:rsidRPr="007226D7" w:rsidRDefault="008A37E4" w:rsidP="007572D7">
            <w:pPr>
              <w:jc w:val="left"/>
              <w:rPr>
                <w:b/>
                <w:bCs/>
                <w:szCs w:val="22"/>
                <w:lang w:eastAsia="en-US"/>
              </w:rPr>
            </w:pPr>
            <w:r w:rsidRPr="007226D7">
              <w:rPr>
                <w:b/>
                <w:bCs/>
                <w:szCs w:val="22"/>
                <w:lang w:eastAsia="en-US"/>
              </w:rPr>
              <w:t>N° DE EMPRESAS</w:t>
            </w:r>
          </w:p>
        </w:tc>
        <w:tc>
          <w:tcPr>
            <w:tcW w:w="1899" w:type="dxa"/>
            <w:tcBorders>
              <w:top w:val="single" w:sz="8" w:space="0" w:color="4F81BD"/>
              <w:left w:val="single" w:sz="8" w:space="0" w:color="4F81BD"/>
              <w:bottom w:val="single" w:sz="18" w:space="0" w:color="4F81BD"/>
              <w:right w:val="single" w:sz="8" w:space="0" w:color="4F81BD"/>
            </w:tcBorders>
            <w:shd w:val="clear" w:color="auto" w:fill="auto"/>
          </w:tcPr>
          <w:p w:rsidR="008A37E4" w:rsidRPr="007226D7" w:rsidRDefault="008A37E4" w:rsidP="007572D7">
            <w:pPr>
              <w:rPr>
                <w:b/>
                <w:bCs/>
                <w:szCs w:val="22"/>
                <w:lang w:eastAsia="en-US"/>
              </w:rPr>
            </w:pPr>
            <w:r w:rsidRPr="007226D7">
              <w:rPr>
                <w:b/>
                <w:bCs/>
                <w:szCs w:val="22"/>
                <w:lang w:eastAsia="en-US"/>
              </w:rPr>
              <w:t>N° DE RUTAS</w:t>
            </w:r>
          </w:p>
        </w:tc>
      </w:tr>
      <w:tr w:rsidR="008A37E4" w:rsidRPr="007226D7" w:rsidTr="007572D7">
        <w:trPr>
          <w:jc w:val="center"/>
        </w:trPr>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b/>
                <w:bCs/>
                <w:szCs w:val="22"/>
                <w:lang w:eastAsia="en-US"/>
              </w:rPr>
            </w:pPr>
            <w:r w:rsidRPr="007226D7">
              <w:rPr>
                <w:b/>
                <w:bCs/>
                <w:szCs w:val="22"/>
                <w:lang w:eastAsia="en-US"/>
              </w:rPr>
              <w:t>2008</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N.D.</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487</w:t>
            </w:r>
          </w:p>
        </w:tc>
      </w:tr>
      <w:tr w:rsidR="008A37E4" w:rsidRPr="007226D7" w:rsidTr="007572D7">
        <w:trPr>
          <w:jc w:val="center"/>
        </w:trPr>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b/>
                <w:bCs/>
                <w:szCs w:val="22"/>
                <w:lang w:eastAsia="en-US"/>
              </w:rPr>
            </w:pPr>
            <w:r w:rsidRPr="007226D7">
              <w:rPr>
                <w:b/>
                <w:bCs/>
                <w:szCs w:val="22"/>
                <w:lang w:eastAsia="en-US"/>
              </w:rPr>
              <w:t>2009</w:t>
            </w:r>
          </w:p>
        </w:tc>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rFonts w:eastAsia="Calibri"/>
                <w:szCs w:val="22"/>
                <w:lang w:eastAsia="en-US"/>
              </w:rPr>
            </w:pPr>
            <w:r w:rsidRPr="007226D7">
              <w:rPr>
                <w:rFonts w:eastAsia="Calibri"/>
                <w:szCs w:val="22"/>
                <w:lang w:eastAsia="en-US"/>
              </w:rPr>
              <w:t>324</w:t>
            </w:r>
          </w:p>
        </w:tc>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rFonts w:eastAsia="Calibri"/>
                <w:szCs w:val="22"/>
                <w:lang w:eastAsia="en-US"/>
              </w:rPr>
            </w:pPr>
            <w:r w:rsidRPr="007226D7">
              <w:rPr>
                <w:rFonts w:eastAsia="Calibri"/>
                <w:szCs w:val="22"/>
                <w:lang w:eastAsia="en-US"/>
              </w:rPr>
              <w:t>469</w:t>
            </w:r>
          </w:p>
        </w:tc>
      </w:tr>
      <w:tr w:rsidR="008A37E4" w:rsidRPr="007226D7" w:rsidTr="007572D7">
        <w:trPr>
          <w:jc w:val="center"/>
        </w:trPr>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b/>
                <w:bCs/>
                <w:szCs w:val="22"/>
                <w:lang w:eastAsia="en-US"/>
              </w:rPr>
            </w:pPr>
            <w:r w:rsidRPr="007226D7">
              <w:rPr>
                <w:b/>
                <w:bCs/>
                <w:szCs w:val="22"/>
                <w:lang w:eastAsia="en-US"/>
              </w:rPr>
              <w:t>2010</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309</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445</w:t>
            </w:r>
          </w:p>
        </w:tc>
      </w:tr>
      <w:tr w:rsidR="008A37E4" w:rsidRPr="007226D7" w:rsidTr="007572D7">
        <w:trPr>
          <w:jc w:val="center"/>
        </w:trPr>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b/>
                <w:bCs/>
                <w:szCs w:val="22"/>
                <w:lang w:eastAsia="en-US"/>
              </w:rPr>
            </w:pPr>
            <w:r w:rsidRPr="007226D7">
              <w:rPr>
                <w:b/>
                <w:bCs/>
                <w:szCs w:val="22"/>
                <w:lang w:eastAsia="en-US"/>
              </w:rPr>
              <w:t>2011</w:t>
            </w:r>
          </w:p>
        </w:tc>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rFonts w:eastAsia="Calibri"/>
                <w:szCs w:val="22"/>
                <w:lang w:eastAsia="en-US"/>
              </w:rPr>
            </w:pPr>
            <w:r w:rsidRPr="007226D7">
              <w:rPr>
                <w:rFonts w:eastAsia="Calibri"/>
                <w:szCs w:val="22"/>
                <w:lang w:eastAsia="en-US"/>
              </w:rPr>
              <w:t>306</w:t>
            </w:r>
          </w:p>
        </w:tc>
        <w:tc>
          <w:tcPr>
            <w:tcW w:w="1899"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rPr>
                <w:rFonts w:eastAsia="Calibri"/>
                <w:szCs w:val="22"/>
                <w:lang w:eastAsia="en-US"/>
              </w:rPr>
            </w:pPr>
            <w:r w:rsidRPr="007226D7">
              <w:rPr>
                <w:rFonts w:eastAsia="Calibri"/>
                <w:szCs w:val="22"/>
                <w:lang w:eastAsia="en-US"/>
              </w:rPr>
              <w:t>424</w:t>
            </w:r>
          </w:p>
        </w:tc>
      </w:tr>
      <w:tr w:rsidR="008A37E4" w:rsidRPr="007226D7" w:rsidTr="007572D7">
        <w:trPr>
          <w:jc w:val="center"/>
        </w:trPr>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b/>
                <w:bCs/>
                <w:szCs w:val="22"/>
                <w:lang w:eastAsia="en-US"/>
              </w:rPr>
            </w:pPr>
            <w:r w:rsidRPr="007226D7">
              <w:rPr>
                <w:b/>
                <w:bCs/>
                <w:szCs w:val="22"/>
                <w:lang w:eastAsia="en-US"/>
              </w:rPr>
              <w:t>2012</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N.D.</w:t>
            </w:r>
          </w:p>
        </w:tc>
        <w:tc>
          <w:tcPr>
            <w:tcW w:w="1899"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rPr>
                <w:rFonts w:eastAsia="Calibri"/>
                <w:szCs w:val="22"/>
                <w:lang w:eastAsia="en-US"/>
              </w:rPr>
            </w:pPr>
            <w:r w:rsidRPr="007226D7">
              <w:rPr>
                <w:rFonts w:eastAsia="Calibri"/>
                <w:szCs w:val="22"/>
                <w:lang w:eastAsia="en-US"/>
              </w:rPr>
              <w:t>385 (estimado)</w:t>
            </w:r>
          </w:p>
        </w:tc>
      </w:tr>
    </w:tbl>
    <w:p w:rsidR="008A37E4" w:rsidRPr="007226D7" w:rsidRDefault="008A37E4" w:rsidP="008A37E4">
      <w:pPr>
        <w:pStyle w:val="Figuras"/>
      </w:pPr>
    </w:p>
    <w:p w:rsidR="008A37E4" w:rsidRPr="006C214F" w:rsidRDefault="00262DA3" w:rsidP="00262DA3">
      <w:pPr>
        <w:jc w:val="center"/>
        <w:rPr>
          <w:b/>
          <w:sz w:val="16"/>
          <w:szCs w:val="16"/>
          <w:lang w:val="es-ES"/>
        </w:rPr>
      </w:pPr>
      <w:r w:rsidRPr="006C214F">
        <w:rPr>
          <w:b/>
          <w:sz w:val="16"/>
          <w:szCs w:val="16"/>
          <w:lang w:val="es-ES"/>
        </w:rPr>
        <w:t>Tabla 3.1- 59. Estadísticas año 2009 (Fuente GTU, 2009).</w:t>
      </w:r>
    </w:p>
    <w:tbl>
      <w:tblPr>
        <w:tblW w:w="569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794"/>
        <w:gridCol w:w="1900"/>
      </w:tblGrid>
      <w:tr w:rsidR="008A37E4" w:rsidRPr="007226D7" w:rsidTr="007572D7">
        <w:trPr>
          <w:trHeight w:val="300"/>
          <w:jc w:val="center"/>
        </w:trPr>
        <w:tc>
          <w:tcPr>
            <w:tcW w:w="3794"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lang w:val="es-ES"/>
              </w:rPr>
              <w:t> </w:t>
            </w:r>
            <w:r w:rsidRPr="007226D7">
              <w:rPr>
                <w:b/>
                <w:bCs/>
              </w:rPr>
              <w:t>ESTADISTICA</w:t>
            </w:r>
          </w:p>
        </w:tc>
        <w:tc>
          <w:tcPr>
            <w:tcW w:w="1900"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rPr>
              <w:t>AÑO 2009</w:t>
            </w:r>
          </w:p>
        </w:tc>
      </w:tr>
      <w:tr w:rsidR="008A37E4" w:rsidRPr="007226D7" w:rsidTr="007572D7">
        <w:trPr>
          <w:trHeight w:val="300"/>
          <w:jc w:val="center"/>
        </w:trPr>
        <w:tc>
          <w:tcPr>
            <w:tcW w:w="379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left"/>
              <w:rPr>
                <w:b/>
                <w:bCs/>
              </w:rPr>
            </w:pPr>
            <w:r w:rsidRPr="007226D7">
              <w:rPr>
                <w:b/>
                <w:bCs/>
              </w:rPr>
              <w:t>N° Operadores Transporte</w:t>
            </w:r>
          </w:p>
        </w:tc>
        <w:tc>
          <w:tcPr>
            <w:tcW w:w="190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324</w:t>
            </w:r>
          </w:p>
        </w:tc>
      </w:tr>
      <w:tr w:rsidR="008A37E4" w:rsidRPr="007226D7" w:rsidTr="007572D7">
        <w:trPr>
          <w:trHeight w:val="300"/>
          <w:jc w:val="center"/>
        </w:trPr>
        <w:tc>
          <w:tcPr>
            <w:tcW w:w="379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Longitud Ruta</w:t>
            </w:r>
          </w:p>
        </w:tc>
        <w:tc>
          <w:tcPr>
            <w:tcW w:w="190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30.55</w:t>
            </w:r>
          </w:p>
        </w:tc>
      </w:tr>
      <w:tr w:rsidR="008A37E4" w:rsidRPr="007226D7" w:rsidTr="007572D7">
        <w:trPr>
          <w:trHeight w:val="300"/>
          <w:jc w:val="center"/>
        </w:trPr>
        <w:tc>
          <w:tcPr>
            <w:tcW w:w="379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Antigüedad [Años]</w:t>
            </w:r>
          </w:p>
        </w:tc>
        <w:tc>
          <w:tcPr>
            <w:tcW w:w="190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18.2</w:t>
            </w:r>
          </w:p>
        </w:tc>
      </w:tr>
      <w:tr w:rsidR="008A37E4" w:rsidRPr="007226D7" w:rsidTr="007572D7">
        <w:trPr>
          <w:trHeight w:val="300"/>
          <w:jc w:val="center"/>
        </w:trPr>
        <w:tc>
          <w:tcPr>
            <w:tcW w:w="379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Velocidad [Km/h]</w:t>
            </w:r>
          </w:p>
        </w:tc>
        <w:tc>
          <w:tcPr>
            <w:tcW w:w="190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21.1</w:t>
            </w:r>
          </w:p>
        </w:tc>
      </w:tr>
    </w:tbl>
    <w:p w:rsidR="008A37E4" w:rsidRPr="007226D7" w:rsidRDefault="008A37E4" w:rsidP="00E54901">
      <w:pPr>
        <w:pStyle w:val="Figuras"/>
      </w:pPr>
    </w:p>
    <w:p w:rsidR="00262DA3" w:rsidRPr="007226D7" w:rsidRDefault="00262DA3" w:rsidP="00262DA3">
      <w:pPr>
        <w:pStyle w:val="Figuras"/>
        <w:spacing w:after="80"/>
      </w:pPr>
      <w:r w:rsidRPr="007226D7">
        <w:t>Tabla 3.1-60  Se muestra la frecuencia media del transporte público durante la hora punta y la hora de valle desagregados en función del tipo de vehículo</w:t>
      </w:r>
      <w:r w:rsidRPr="007226D7">
        <w:rPr>
          <w:b w:val="0"/>
        </w:rPr>
        <w:t>.</w:t>
      </w:r>
    </w:p>
    <w:tbl>
      <w:tblPr>
        <w:tblW w:w="6626"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949"/>
        <w:gridCol w:w="1384"/>
        <w:gridCol w:w="1293"/>
      </w:tblGrid>
      <w:tr w:rsidR="008A37E4" w:rsidRPr="007226D7" w:rsidTr="007572D7">
        <w:trPr>
          <w:trHeight w:val="277"/>
          <w:jc w:val="center"/>
        </w:trPr>
        <w:tc>
          <w:tcPr>
            <w:tcW w:w="6626" w:type="dxa"/>
            <w:gridSpan w:val="3"/>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rPr>
              <w:t>FRECUENCIA</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MODO DE TRANSPORTE</w:t>
            </w:r>
          </w:p>
        </w:tc>
        <w:tc>
          <w:tcPr>
            <w:tcW w:w="138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HORA DE PICO</w:t>
            </w:r>
          </w:p>
        </w:tc>
        <w:tc>
          <w:tcPr>
            <w:tcW w:w="1293"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HORA DE VALLE</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Bus</w:t>
            </w:r>
          </w:p>
        </w:tc>
        <w:tc>
          <w:tcPr>
            <w:tcW w:w="138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20.38</w:t>
            </w:r>
          </w:p>
        </w:tc>
        <w:tc>
          <w:tcPr>
            <w:tcW w:w="1293"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16.00</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Camioneta</w:t>
            </w:r>
          </w:p>
        </w:tc>
        <w:tc>
          <w:tcPr>
            <w:tcW w:w="138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15.35</w:t>
            </w:r>
          </w:p>
        </w:tc>
        <w:tc>
          <w:tcPr>
            <w:tcW w:w="1293"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12.08</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Cs/>
              </w:rPr>
              <w:t>Microbús</w:t>
            </w:r>
          </w:p>
        </w:tc>
        <w:tc>
          <w:tcPr>
            <w:tcW w:w="138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21.57</w:t>
            </w:r>
          </w:p>
        </w:tc>
        <w:tc>
          <w:tcPr>
            <w:tcW w:w="1293"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15.17</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Ómnibus</w:t>
            </w:r>
          </w:p>
        </w:tc>
        <w:tc>
          <w:tcPr>
            <w:tcW w:w="138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35.07</w:t>
            </w:r>
          </w:p>
        </w:tc>
        <w:tc>
          <w:tcPr>
            <w:tcW w:w="1293"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31.44</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Metropolitano (Ómnibus)</w:t>
            </w:r>
          </w:p>
        </w:tc>
        <w:tc>
          <w:tcPr>
            <w:tcW w:w="138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7.62</w:t>
            </w:r>
          </w:p>
        </w:tc>
        <w:tc>
          <w:tcPr>
            <w:tcW w:w="1293"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6.86</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Cs/>
              </w:rPr>
              <w:t>Red Troncal</w:t>
            </w:r>
          </w:p>
        </w:tc>
        <w:tc>
          <w:tcPr>
            <w:tcW w:w="138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9.50</w:t>
            </w:r>
          </w:p>
        </w:tc>
        <w:tc>
          <w:tcPr>
            <w:tcW w:w="1293"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r w:rsidRPr="007226D7">
              <w:t>7.83</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Cs/>
              </w:rPr>
              <w:t>Red Expreso</w:t>
            </w:r>
          </w:p>
        </w:tc>
        <w:tc>
          <w:tcPr>
            <w:tcW w:w="138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3.84</w:t>
            </w:r>
          </w:p>
        </w:tc>
        <w:tc>
          <w:tcPr>
            <w:tcW w:w="1293"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r w:rsidRPr="007226D7">
              <w:t>4.92</w:t>
            </w:r>
          </w:p>
        </w:tc>
      </w:tr>
      <w:tr w:rsidR="008A37E4" w:rsidRPr="007226D7" w:rsidTr="007572D7">
        <w:trPr>
          <w:trHeight w:val="277"/>
          <w:jc w:val="center"/>
        </w:trPr>
        <w:tc>
          <w:tcPr>
            <w:tcW w:w="394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Tren Eléctrico</w:t>
            </w:r>
          </w:p>
        </w:tc>
        <w:tc>
          <w:tcPr>
            <w:tcW w:w="138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20.00</w:t>
            </w:r>
          </w:p>
        </w:tc>
        <w:tc>
          <w:tcPr>
            <w:tcW w:w="1293"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15.00</w:t>
            </w:r>
          </w:p>
        </w:tc>
      </w:tr>
    </w:tbl>
    <w:p w:rsidR="008A37E4" w:rsidRPr="007226D7" w:rsidRDefault="008A37E4" w:rsidP="006A75F8">
      <w:pPr>
        <w:jc w:val="center"/>
        <w:rPr>
          <w:b/>
          <w:color w:val="000000"/>
          <w:sz w:val="16"/>
          <w:szCs w:val="16"/>
          <w:lang w:val="es-ES"/>
        </w:rPr>
      </w:pPr>
      <w:r w:rsidRPr="007226D7">
        <w:rPr>
          <w:b/>
          <w:color w:val="000000"/>
          <w:sz w:val="16"/>
          <w:szCs w:val="16"/>
          <w:lang w:val="es-ES"/>
        </w:rPr>
        <w:br w:type="page"/>
      </w:r>
    </w:p>
    <w:p w:rsidR="008A37E4" w:rsidRPr="007226D7" w:rsidRDefault="008A37E4" w:rsidP="00BB081C">
      <w:pPr>
        <w:pStyle w:val="Heading6"/>
        <w:rPr>
          <w:rStyle w:val="BookTitle"/>
          <w:b/>
          <w:lang w:val="es-ES"/>
        </w:rPr>
      </w:pPr>
      <w:r w:rsidRPr="007226D7">
        <w:rPr>
          <w:lang w:val="es-ES"/>
        </w:rPr>
        <w:lastRenderedPageBreak/>
        <w:t>Datos de las observaciones de campo</w:t>
      </w:r>
    </w:p>
    <w:p w:rsidR="008A37E4" w:rsidRPr="007226D7" w:rsidRDefault="008A37E4" w:rsidP="008A37E4">
      <w:pPr>
        <w:rPr>
          <w:lang w:val="es-ES"/>
        </w:rPr>
      </w:pPr>
      <w:r w:rsidRPr="007226D7">
        <w:rPr>
          <w:lang w:val="es-ES"/>
        </w:rPr>
        <w:t>Como parte del procesamiento de los datos de campo referidos a los tiempos de viaje en transporte público y privado de las vías en evaluación, se ha segmentado en períodos punta mañana, valle y punta tarde a fin de dar un contraste que permita diferenciar las variaciones de las mismas en el día.</w:t>
      </w:r>
    </w:p>
    <w:p w:rsidR="008A37E4" w:rsidRPr="007226D7" w:rsidRDefault="008A37E4" w:rsidP="008A37E4">
      <w:pPr>
        <w:rPr>
          <w:lang w:val="es-ES"/>
        </w:rPr>
      </w:pPr>
      <w:r w:rsidRPr="007226D7">
        <w:rPr>
          <w:lang w:val="es-ES"/>
        </w:rPr>
        <w:t>De acuerdo a las evaluaciones de campo realizadas se ha definido el periodo punta de la mañana al correspondiente a las 7:00 hasta las 9:00 horas, el periodo punta tarde al correspondiente a las 17:00 hasta  las 20:00 horas.</w:t>
      </w:r>
    </w:p>
    <w:p w:rsidR="008A37E4" w:rsidRPr="007226D7" w:rsidRDefault="008A37E4" w:rsidP="008A37E4">
      <w:pPr>
        <w:rPr>
          <w:lang w:val="es-ES"/>
        </w:rPr>
      </w:pPr>
      <w:r w:rsidRPr="007226D7">
        <w:rPr>
          <w:lang w:val="es-ES"/>
        </w:rPr>
        <w:t>El proceso realizado para la elaboración de las tablas presentadas a continuación, se realizó calculando los promedios de tiempo de recorrido por tramo de todas las rutas evaluadas y para el cálculo de las velocidades se realizo también el cálculo de la longitud de cada tramo.</w:t>
      </w:r>
    </w:p>
    <w:p w:rsidR="008A37E4" w:rsidRPr="007226D7" w:rsidRDefault="008A37E4" w:rsidP="008A37E4">
      <w:pPr>
        <w:rPr>
          <w:lang w:val="es-ES"/>
        </w:rPr>
      </w:pPr>
      <w:r w:rsidRPr="007226D7">
        <w:rPr>
          <w:lang w:val="es-ES"/>
        </w:rPr>
        <w:t xml:space="preserve">Los datos muestran velocidades muy bajas, con picos de hasta 4 km / h durante las horas de punta en la parte central de la ciudad. </w:t>
      </w:r>
    </w:p>
    <w:p w:rsidR="008A37E4" w:rsidRPr="007226D7" w:rsidRDefault="008A37E4" w:rsidP="008A37E4">
      <w:pPr>
        <w:rPr>
          <w:lang w:val="es-ES"/>
        </w:rPr>
      </w:pPr>
      <w:r w:rsidRPr="007226D7">
        <w:rPr>
          <w:lang w:val="es-ES"/>
        </w:rPr>
        <w:t>En estas condiciones, el transporte público no juega su función de infraestructura estratégica para el desarrollo de la economía urbana, y especialmente con el crecimiento del PIB y la capacidad de gasto de sus ciudadanos, expone la ciudad al riesgo de ver una reducción significativa en el reparto modal en favor de la movilidad colectiva.</w:t>
      </w:r>
    </w:p>
    <w:p w:rsidR="008A37E4" w:rsidRPr="007226D7" w:rsidRDefault="008A37E4" w:rsidP="008A37E4">
      <w:pPr>
        <w:rPr>
          <w:lang w:val="es-ES"/>
        </w:rPr>
      </w:pPr>
    </w:p>
    <w:p w:rsidR="008A37E4" w:rsidRPr="007226D7" w:rsidRDefault="008A37E4" w:rsidP="008A37E4">
      <w:pPr>
        <w:spacing w:after="0" w:line="240" w:lineRule="auto"/>
        <w:jc w:val="center"/>
        <w:rPr>
          <w:b/>
          <w:sz w:val="16"/>
          <w:szCs w:val="16"/>
          <w:lang w:val="es-ES"/>
        </w:rPr>
      </w:pPr>
      <w:r w:rsidRPr="007226D7">
        <w:rPr>
          <w:lang w:val="es-ES"/>
        </w:rPr>
        <w:br w:type="page"/>
      </w:r>
      <w:r w:rsidRPr="007226D7">
        <w:rPr>
          <w:noProof/>
          <w:lang w:val="en-US" w:eastAsia="en-US"/>
        </w:rPr>
        <w:lastRenderedPageBreak/>
        <w:drawing>
          <wp:anchor distT="0" distB="0" distL="114300" distR="114300" simplePos="0" relativeHeight="251816960" behindDoc="0" locked="0" layoutInCell="1" allowOverlap="1" wp14:anchorId="2F0265E9" wp14:editId="0A0C5BA3">
            <wp:simplePos x="0" y="0"/>
            <wp:positionH relativeFrom="column">
              <wp:posOffset>13970</wp:posOffset>
            </wp:positionH>
            <wp:positionV relativeFrom="paragraph">
              <wp:posOffset>-155575</wp:posOffset>
            </wp:positionV>
            <wp:extent cx="5939790" cy="7962900"/>
            <wp:effectExtent l="19050" t="0" r="3810" b="0"/>
            <wp:wrapTopAndBottom/>
            <wp:docPr id="775" name="Immagin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rrowheads="1"/>
                    </pic:cNvPicPr>
                  </pic:nvPicPr>
                  <pic:blipFill>
                    <a:blip r:embed="rId67" cstate="print"/>
                    <a:srcRect/>
                    <a:stretch>
                      <a:fillRect/>
                    </a:stretch>
                  </pic:blipFill>
                  <pic:spPr bwMode="auto">
                    <a:xfrm>
                      <a:off x="0" y="0"/>
                      <a:ext cx="5939790" cy="7962900"/>
                    </a:xfrm>
                    <a:prstGeom prst="rect">
                      <a:avLst/>
                    </a:prstGeom>
                    <a:noFill/>
                  </pic:spPr>
                </pic:pic>
              </a:graphicData>
            </a:graphic>
          </wp:anchor>
        </w:drawing>
      </w:r>
      <w:r w:rsidRPr="007226D7">
        <w:rPr>
          <w:b/>
          <w:sz w:val="16"/>
          <w:szCs w:val="16"/>
          <w:lang w:val="es-ES"/>
        </w:rPr>
        <w:t>Tabla 3.1-61  EJE FAUCETT – LA MARINA- JAVIER PRADO (Fuente: servicio de toma y análisis de información de movilidad para la elaboración del estudio de demanda de la línea 2 del metro de lima)</w:t>
      </w:r>
    </w:p>
    <w:p w:rsidR="008A37E4" w:rsidRPr="007226D7" w:rsidRDefault="008A37E4" w:rsidP="008A37E4">
      <w:pPr>
        <w:pStyle w:val="Figuras"/>
      </w:pPr>
      <w:r w:rsidRPr="007226D7">
        <w:lastRenderedPageBreak/>
        <w:t>Tabla 3.1-62   EJE LÍNEA 2 DEL METRO DE LIMA (Fuente: servicio de toma y análisis de información de movilidad para la elaboración del estudio de demanda de la línea 2 del metro de lima</w:t>
      </w:r>
      <w:r w:rsidRPr="007226D7">
        <w:rPr>
          <w:noProof/>
          <w:lang w:val="en-US" w:eastAsia="en-US"/>
        </w:rPr>
        <w:drawing>
          <wp:anchor distT="0" distB="71755" distL="114300" distR="114300" simplePos="0" relativeHeight="251817984" behindDoc="0" locked="0" layoutInCell="1" allowOverlap="1" wp14:anchorId="17243457" wp14:editId="62F8A2F4">
            <wp:simplePos x="0" y="0"/>
            <wp:positionH relativeFrom="column">
              <wp:posOffset>22225</wp:posOffset>
            </wp:positionH>
            <wp:positionV relativeFrom="paragraph">
              <wp:posOffset>-197485</wp:posOffset>
            </wp:positionV>
            <wp:extent cx="5775325" cy="7995285"/>
            <wp:effectExtent l="19050" t="0" r="0" b="0"/>
            <wp:wrapTopAndBottom/>
            <wp:docPr id="774" name="Immagin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8"/>
                    <pic:cNvPicPr>
                      <a:picLocks noChangeArrowheads="1"/>
                    </pic:cNvPicPr>
                  </pic:nvPicPr>
                  <pic:blipFill>
                    <a:blip r:embed="rId95" cstate="print"/>
                    <a:srcRect/>
                    <a:stretch>
                      <a:fillRect/>
                    </a:stretch>
                  </pic:blipFill>
                  <pic:spPr bwMode="auto">
                    <a:xfrm>
                      <a:off x="0" y="0"/>
                      <a:ext cx="5775325" cy="7995285"/>
                    </a:xfrm>
                    <a:prstGeom prst="rect">
                      <a:avLst/>
                    </a:prstGeom>
                    <a:noFill/>
                  </pic:spPr>
                </pic:pic>
              </a:graphicData>
            </a:graphic>
          </wp:anchor>
        </w:drawing>
      </w:r>
      <w:r w:rsidRPr="007226D7">
        <w:br w:type="page"/>
      </w:r>
    </w:p>
    <w:p w:rsidR="008A37E4" w:rsidRPr="007226D7" w:rsidRDefault="008A37E4" w:rsidP="008A37E4">
      <w:r w:rsidRPr="007226D7">
        <w:rPr>
          <w:noProof/>
          <w:lang w:val="en-US" w:eastAsia="en-US"/>
        </w:rPr>
        <w:lastRenderedPageBreak/>
        <w:drawing>
          <wp:inline distT="0" distB="0" distL="0" distR="0" wp14:anchorId="77905111" wp14:editId="7682DEA0">
            <wp:extent cx="5949315" cy="7671435"/>
            <wp:effectExtent l="0" t="0" r="0" b="0"/>
            <wp:docPr id="622" name="Imagen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9315" cy="7671435"/>
                    </a:xfrm>
                    <a:prstGeom prst="rect">
                      <a:avLst/>
                    </a:prstGeom>
                    <a:noFill/>
                    <a:ln>
                      <a:noFill/>
                    </a:ln>
                  </pic:spPr>
                </pic:pic>
              </a:graphicData>
            </a:graphic>
          </wp:inline>
        </w:drawing>
      </w:r>
    </w:p>
    <w:p w:rsidR="008A37E4" w:rsidRPr="007226D7" w:rsidRDefault="008A37E4" w:rsidP="008A37E4">
      <w:pPr>
        <w:pStyle w:val="Figuras"/>
        <w:rPr>
          <w:b w:val="0"/>
          <w:lang w:val="es-PE"/>
        </w:rPr>
      </w:pPr>
      <w:r w:rsidRPr="007226D7">
        <w:t xml:space="preserve">Tabla 3.1-63  EJE LÍNEA 1 DEL METRO DE LIMA (Fuente: servicio de toma y análisis de información de movilidad para la elaboración del estudio de demanda de la línea 2 del metro de lima </w:t>
      </w:r>
    </w:p>
    <w:p w:rsidR="008A37E4" w:rsidRPr="007226D7" w:rsidRDefault="008A37E4" w:rsidP="008A37E4">
      <w:pPr>
        <w:spacing w:after="0" w:line="240" w:lineRule="auto"/>
        <w:jc w:val="left"/>
        <w:rPr>
          <w:b/>
          <w:lang w:val="es-ES"/>
        </w:rPr>
        <w:sectPr w:rsidR="008A37E4" w:rsidRPr="007226D7" w:rsidSect="00616C7B">
          <w:headerReference w:type="default" r:id="rId97"/>
          <w:footerReference w:type="default" r:id="rId98"/>
          <w:pgSz w:w="11907" w:h="16840" w:code="9"/>
          <w:pgMar w:top="1985" w:right="1134" w:bottom="1701" w:left="1418" w:header="720" w:footer="833" w:gutter="0"/>
          <w:paperSrc w:first="15" w:other="15"/>
          <w:cols w:space="720"/>
          <w:docGrid w:linePitch="299"/>
        </w:sectPr>
      </w:pPr>
    </w:p>
    <w:p w:rsidR="008A37E4" w:rsidRPr="007226D7" w:rsidRDefault="008A37E4" w:rsidP="008A37E4">
      <w:pPr>
        <w:spacing w:after="0" w:line="240" w:lineRule="auto"/>
        <w:jc w:val="left"/>
        <w:rPr>
          <w:b/>
        </w:rPr>
      </w:pPr>
      <w:r w:rsidRPr="007226D7">
        <w:rPr>
          <w:b/>
          <w:noProof/>
          <w:lang w:val="en-US" w:eastAsia="en-US"/>
        </w:rPr>
        <w:lastRenderedPageBreak/>
        <w:drawing>
          <wp:inline distT="0" distB="0" distL="0" distR="0" wp14:anchorId="15A39E15" wp14:editId="40F44C24">
            <wp:extent cx="8347075" cy="1744345"/>
            <wp:effectExtent l="0" t="0" r="0" b="0"/>
            <wp:docPr id="623" name="Gráfico 6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A37E4" w:rsidRPr="007226D7" w:rsidRDefault="008A37E4" w:rsidP="008A37E4">
      <w:pPr>
        <w:spacing w:after="0" w:line="240" w:lineRule="auto"/>
        <w:jc w:val="left"/>
        <w:rPr>
          <w:b/>
        </w:rPr>
      </w:pPr>
      <w:r w:rsidRPr="007226D7">
        <w:rPr>
          <w:b/>
          <w:noProof/>
          <w:lang w:val="en-US" w:eastAsia="en-US"/>
        </w:rPr>
        <w:drawing>
          <wp:inline distT="0" distB="0" distL="0" distR="0" wp14:anchorId="7719E9FA" wp14:editId="3832010D">
            <wp:extent cx="8347075" cy="3004185"/>
            <wp:effectExtent l="0" t="0" r="0" b="0"/>
            <wp:docPr id="624" name="Gráfico 6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8A37E4" w:rsidRPr="007226D7" w:rsidRDefault="008A37E4" w:rsidP="008A37E4">
      <w:pPr>
        <w:pStyle w:val="Figuras"/>
        <w:rPr>
          <w:lang w:val="es-PE"/>
        </w:rPr>
      </w:pPr>
      <w:r w:rsidRPr="007226D7">
        <w:t xml:space="preserve">Figura 3.1-42 Tiempo de viaje en el eje </w:t>
      </w:r>
      <w:r w:rsidRPr="007226D7">
        <w:rPr>
          <w:lang w:val="es-PE"/>
        </w:rPr>
        <w:t xml:space="preserve">FAUCETT – LA MARINA- JAVIER PRADO – E-O </w:t>
      </w:r>
      <w:r w:rsidRPr="007226D7">
        <w:t xml:space="preserve">(Fuente: servicio de toma y análisis de información de movilidad para la elaboración del estudio de demanda de la línea 2 del metro de lima </w:t>
      </w:r>
    </w:p>
    <w:p w:rsidR="008A37E4" w:rsidRPr="007226D7" w:rsidRDefault="008A37E4" w:rsidP="008A37E4">
      <w:pPr>
        <w:spacing w:after="0" w:line="240" w:lineRule="auto"/>
        <w:jc w:val="left"/>
        <w:rPr>
          <w:b/>
        </w:rPr>
      </w:pPr>
      <w:r w:rsidRPr="007226D7">
        <w:rPr>
          <w:b/>
          <w:noProof/>
          <w:lang w:val="en-US" w:eastAsia="en-US"/>
        </w:rPr>
        <w:lastRenderedPageBreak/>
        <w:drawing>
          <wp:inline distT="0" distB="0" distL="0" distR="0" wp14:anchorId="715F127B" wp14:editId="6754F2D1">
            <wp:extent cx="8335645" cy="1840865"/>
            <wp:effectExtent l="0" t="0" r="0" b="0"/>
            <wp:docPr id="625" name="Gráfico 6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A37E4" w:rsidRPr="007226D7" w:rsidRDefault="008A37E4" w:rsidP="008A37E4">
      <w:pPr>
        <w:spacing w:after="0" w:line="240" w:lineRule="auto"/>
        <w:jc w:val="left"/>
        <w:rPr>
          <w:b/>
        </w:rPr>
      </w:pPr>
    </w:p>
    <w:p w:rsidR="008A37E4" w:rsidRPr="007226D7" w:rsidRDefault="008A37E4" w:rsidP="008A37E4">
      <w:pPr>
        <w:spacing w:after="0" w:line="240" w:lineRule="auto"/>
        <w:jc w:val="left"/>
        <w:rPr>
          <w:b/>
        </w:rPr>
      </w:pPr>
      <w:r w:rsidRPr="007226D7">
        <w:rPr>
          <w:b/>
          <w:noProof/>
          <w:lang w:val="en-US" w:eastAsia="en-US"/>
        </w:rPr>
        <w:drawing>
          <wp:inline distT="0" distB="0" distL="0" distR="0" wp14:anchorId="40F4189D" wp14:editId="6F610CF5">
            <wp:extent cx="8335010" cy="2849245"/>
            <wp:effectExtent l="0" t="0" r="0" b="0"/>
            <wp:docPr id="626" name="Gráfico 6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A37E4" w:rsidRPr="007226D7" w:rsidRDefault="008A37E4" w:rsidP="008A37E4">
      <w:pPr>
        <w:pStyle w:val="Figuras"/>
        <w:rPr>
          <w:b w:val="0"/>
          <w:lang w:val="es-PE"/>
        </w:rPr>
      </w:pPr>
      <w:r w:rsidRPr="007226D7">
        <w:t xml:space="preserve">Figura 3.1-43 Tiempo de viaje en el eje </w:t>
      </w:r>
      <w:r w:rsidRPr="007226D7">
        <w:rPr>
          <w:lang w:val="es-PE"/>
        </w:rPr>
        <w:t xml:space="preserve">FAUCETT – LA MARINA- JAVIER PRADO – O-E </w:t>
      </w:r>
      <w:r w:rsidRPr="007226D7">
        <w:t>(Fuente: servicio de toma y análisis de información de movilidad para la elaboración del estudio de demanda de la línea 2 del metro de lima</w:t>
      </w:r>
      <w:r w:rsidRPr="007226D7">
        <w:rPr>
          <w:b w:val="0"/>
          <w:lang w:val="es-PE"/>
        </w:rPr>
        <w:br w:type="page"/>
      </w:r>
    </w:p>
    <w:p w:rsidR="008A37E4" w:rsidRPr="007226D7" w:rsidRDefault="008A37E4" w:rsidP="008A37E4">
      <w:pPr>
        <w:spacing w:after="0" w:line="240" w:lineRule="auto"/>
        <w:jc w:val="left"/>
      </w:pPr>
      <w:r w:rsidRPr="007226D7">
        <w:rPr>
          <w:noProof/>
          <w:lang w:val="en-US" w:eastAsia="en-US"/>
        </w:rPr>
        <w:lastRenderedPageBreak/>
        <w:drawing>
          <wp:inline distT="0" distB="0" distL="0" distR="0" wp14:anchorId="793B0F9B" wp14:editId="69D2B035">
            <wp:extent cx="8347075" cy="1745615"/>
            <wp:effectExtent l="0" t="0" r="0" b="0"/>
            <wp:docPr id="627" name="Gráfico 6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A37E4" w:rsidRPr="007226D7" w:rsidRDefault="008A37E4" w:rsidP="008A37E4">
      <w:pPr>
        <w:keepNext/>
      </w:pPr>
      <w:r w:rsidRPr="007226D7">
        <w:rPr>
          <w:noProof/>
          <w:lang w:val="en-US" w:eastAsia="en-US"/>
        </w:rPr>
        <w:drawing>
          <wp:inline distT="0" distB="0" distL="0" distR="0" wp14:anchorId="52BEC7AE" wp14:editId="7BFF43A9">
            <wp:extent cx="8419465" cy="3111500"/>
            <wp:effectExtent l="0" t="0" r="0" b="0"/>
            <wp:docPr id="628" name="Gráfico 6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A37E4" w:rsidRPr="007226D7" w:rsidRDefault="008A37E4" w:rsidP="008A37E4">
      <w:pPr>
        <w:pStyle w:val="Figuras"/>
      </w:pPr>
      <w:r w:rsidRPr="007226D7">
        <w:t xml:space="preserve">Figura 3.1-44  Velocidad y Tiempo de viaje en el eje (Este-Oeste) de la línea 2 (Fuente: servicio de toma y análisis de información de movilidad para la elaboración del estudio de demanda de la línea 2 del metro de lima </w:t>
      </w:r>
    </w:p>
    <w:p w:rsidR="008A37E4" w:rsidRPr="007226D7" w:rsidRDefault="008A37E4" w:rsidP="008A37E4">
      <w:r w:rsidRPr="007226D7">
        <w:rPr>
          <w:noProof/>
          <w:lang w:val="en-US" w:eastAsia="en-US"/>
        </w:rPr>
        <w:lastRenderedPageBreak/>
        <w:drawing>
          <wp:inline distT="0" distB="0" distL="0" distR="0" wp14:anchorId="0AD3A85A" wp14:editId="74EE4535">
            <wp:extent cx="8335645" cy="1755140"/>
            <wp:effectExtent l="0" t="0" r="0" b="0"/>
            <wp:docPr id="736" name="Gráfico 6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A37E4" w:rsidRPr="007226D7" w:rsidRDefault="008A37E4" w:rsidP="008A37E4">
      <w:pPr>
        <w:spacing w:after="0" w:line="240" w:lineRule="auto"/>
        <w:jc w:val="left"/>
        <w:rPr>
          <w:b/>
        </w:rPr>
      </w:pPr>
      <w:r w:rsidRPr="007226D7">
        <w:rPr>
          <w:b/>
          <w:noProof/>
          <w:lang w:val="en-US" w:eastAsia="en-US"/>
        </w:rPr>
        <w:drawing>
          <wp:inline distT="0" distB="0" distL="0" distR="0" wp14:anchorId="73E1EB27" wp14:editId="3D071C66">
            <wp:extent cx="8335645" cy="3004185"/>
            <wp:effectExtent l="0" t="0" r="0" b="0"/>
            <wp:docPr id="737" name="Gráfico 6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A37E4" w:rsidRPr="007226D7" w:rsidRDefault="008A37E4" w:rsidP="008A37E4">
      <w:pPr>
        <w:pStyle w:val="Figuras"/>
      </w:pPr>
      <w:r w:rsidRPr="007226D7">
        <w:t>Figura 3.1-45  Velocidad y Tiempo de viaje en el eje (Oeste-Este) de la línea 2 (Fuente: servicio de toma y análisis de información de movilidad para la elaboración del estudio de demanda de la línea 2 del metro de lima</w:t>
      </w:r>
    </w:p>
    <w:p w:rsidR="008A37E4" w:rsidRPr="007226D7" w:rsidRDefault="008A37E4" w:rsidP="008A37E4">
      <w:pPr>
        <w:spacing w:after="0" w:line="240" w:lineRule="auto"/>
        <w:jc w:val="left"/>
        <w:rPr>
          <w:b/>
        </w:rPr>
      </w:pPr>
      <w:r w:rsidRPr="007226D7">
        <w:rPr>
          <w:b/>
          <w:noProof/>
          <w:lang w:val="en-US" w:eastAsia="en-US"/>
        </w:rPr>
        <w:lastRenderedPageBreak/>
        <w:drawing>
          <wp:inline distT="0" distB="0" distL="0" distR="0" wp14:anchorId="54D937D1" wp14:editId="2C3F20B2">
            <wp:extent cx="8321675" cy="1840865"/>
            <wp:effectExtent l="0" t="0" r="0" b="0"/>
            <wp:docPr id="738" name="Gráfico 6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A37E4" w:rsidRPr="007226D7" w:rsidRDefault="008A37E4" w:rsidP="008A37E4">
      <w:pPr>
        <w:spacing w:after="0" w:line="240" w:lineRule="auto"/>
        <w:jc w:val="left"/>
        <w:rPr>
          <w:b/>
        </w:rPr>
      </w:pPr>
      <w:r w:rsidRPr="007226D7">
        <w:rPr>
          <w:b/>
          <w:noProof/>
          <w:lang w:val="en-US" w:eastAsia="en-US"/>
        </w:rPr>
        <w:drawing>
          <wp:inline distT="0" distB="0" distL="0" distR="0" wp14:anchorId="0CD6295B" wp14:editId="0EFD2FA0">
            <wp:extent cx="8335645" cy="2849880"/>
            <wp:effectExtent l="0" t="0" r="0" b="0"/>
            <wp:docPr id="739" name="Gráfico 6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A37E4" w:rsidRPr="007226D7" w:rsidRDefault="008A37E4" w:rsidP="008A37E4">
      <w:pPr>
        <w:pStyle w:val="Figuras"/>
      </w:pPr>
      <w:r w:rsidRPr="007226D7">
        <w:t>Figura 3.1-46  Velocidad y Tiempo de viaje en el eje LÍNEA 1 DEL METRO DE LIMA</w:t>
      </w:r>
      <w:r w:rsidRPr="007226D7">
        <w:rPr>
          <w:lang w:val="es-PE"/>
        </w:rPr>
        <w:t xml:space="preserve"> – N-S (Fuente: servicio de toma y análisis de información de movilidad para la elaboración del estudio de demanda de la línea 2 del metro de lima</w:t>
      </w:r>
    </w:p>
    <w:p w:rsidR="008A37E4" w:rsidRPr="007226D7" w:rsidRDefault="008A37E4" w:rsidP="008A37E4">
      <w:pPr>
        <w:spacing w:after="0" w:line="240" w:lineRule="auto"/>
        <w:jc w:val="left"/>
        <w:rPr>
          <w:b/>
        </w:rPr>
      </w:pPr>
      <w:r w:rsidRPr="007226D7">
        <w:rPr>
          <w:b/>
          <w:noProof/>
          <w:lang w:val="en-US" w:eastAsia="en-US"/>
        </w:rPr>
        <w:lastRenderedPageBreak/>
        <w:drawing>
          <wp:inline distT="0" distB="0" distL="0" distR="0" wp14:anchorId="2218BD02" wp14:editId="2A17ABD4">
            <wp:extent cx="8408035" cy="1840865"/>
            <wp:effectExtent l="0" t="0" r="0" b="0"/>
            <wp:docPr id="740" name="Imagen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73"/>
                    <pic:cNvPicPr>
                      <a:picLocks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408035" cy="1840865"/>
                    </a:xfrm>
                    <a:prstGeom prst="rect">
                      <a:avLst/>
                    </a:prstGeom>
                    <a:noFill/>
                    <a:ln>
                      <a:noFill/>
                    </a:ln>
                  </pic:spPr>
                </pic:pic>
              </a:graphicData>
            </a:graphic>
          </wp:inline>
        </w:drawing>
      </w:r>
    </w:p>
    <w:p w:rsidR="008A37E4" w:rsidRPr="007226D7" w:rsidRDefault="008A37E4" w:rsidP="008A37E4">
      <w:pPr>
        <w:spacing w:after="0" w:line="240" w:lineRule="auto"/>
        <w:jc w:val="left"/>
        <w:rPr>
          <w:b/>
        </w:rPr>
      </w:pPr>
      <w:r w:rsidRPr="007226D7">
        <w:rPr>
          <w:b/>
          <w:noProof/>
          <w:lang w:val="en-US" w:eastAsia="en-US"/>
        </w:rPr>
        <w:drawing>
          <wp:inline distT="0" distB="0" distL="0" distR="0" wp14:anchorId="69279D09" wp14:editId="2FC044E0">
            <wp:extent cx="8406130" cy="3025775"/>
            <wp:effectExtent l="0" t="0" r="0" b="0"/>
            <wp:docPr id="741" name="Gráfico 6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A37E4" w:rsidRPr="007226D7" w:rsidRDefault="008A37E4" w:rsidP="008A37E4">
      <w:pPr>
        <w:pStyle w:val="Figuras"/>
        <w:rPr>
          <w:lang w:val="es-PE"/>
        </w:rPr>
        <w:sectPr w:rsidR="008A37E4" w:rsidRPr="007226D7" w:rsidSect="00616C7B">
          <w:headerReference w:type="default" r:id="rId111"/>
          <w:pgSz w:w="16840" w:h="11907" w:orient="landscape" w:code="9"/>
          <w:pgMar w:top="1418" w:right="1985" w:bottom="1134" w:left="1701" w:header="720" w:footer="833" w:gutter="0"/>
          <w:paperSrc w:first="15" w:other="15"/>
          <w:cols w:space="720"/>
          <w:docGrid w:linePitch="299"/>
        </w:sectPr>
      </w:pPr>
      <w:r w:rsidRPr="007226D7">
        <w:t>Figura 3.1-47  Velocidad y Tiempo de viaje en el eje LÍNEA 1 DEL METRO DE LIMA</w:t>
      </w:r>
      <w:r w:rsidRPr="007226D7">
        <w:rPr>
          <w:lang w:val="es-PE"/>
        </w:rPr>
        <w:t xml:space="preserve"> – S-N (Fuente: servicio de toma y análisis de información de movilidad para la elaboración del estudio de demanda de la línea 2 del metro de lima</w:t>
      </w:r>
    </w:p>
    <w:p w:rsidR="008A37E4" w:rsidRPr="007226D7" w:rsidRDefault="008A37E4" w:rsidP="00BB081C">
      <w:pPr>
        <w:pStyle w:val="Heading6"/>
        <w:rPr>
          <w:rStyle w:val="BookTitle"/>
          <w:b/>
          <w:lang w:val="es-ES"/>
        </w:rPr>
      </w:pPr>
      <w:r w:rsidRPr="007226D7">
        <w:rPr>
          <w:lang w:val="es-ES"/>
        </w:rPr>
        <w:lastRenderedPageBreak/>
        <w:t>Seguridad Vial y Accidentes de tránsito fatales</w:t>
      </w:r>
    </w:p>
    <w:p w:rsidR="008A37E4" w:rsidRPr="007226D7" w:rsidRDefault="008A37E4" w:rsidP="008A37E4">
      <w:pPr>
        <w:rPr>
          <w:lang w:val="es-ES"/>
        </w:rPr>
      </w:pPr>
      <w:r w:rsidRPr="007226D7">
        <w:rPr>
          <w:lang w:val="es-ES"/>
        </w:rPr>
        <w:t>En los últimos años la seguridad de las personas ha sido seriamente vulnerada por los distintos accidentes de tránsito que se han presentado. Así mismo, por ejemplo durante el año 2007, de un total de 79,972 accidentes en todo el país, 47,941 se presentaron en Lima (representando aproximadamente el 59,9% del total), dejando 653 muertos y 24 730 heridos.6</w:t>
      </w:r>
    </w:p>
    <w:p w:rsidR="008A37E4" w:rsidRPr="007226D7" w:rsidRDefault="008A37E4" w:rsidP="008A37E4">
      <w:pPr>
        <w:rPr>
          <w:lang w:val="es-ES"/>
        </w:rPr>
      </w:pPr>
      <w:r w:rsidRPr="007226D7">
        <w:rPr>
          <w:lang w:val="es-ES"/>
        </w:rPr>
        <w:t>En Lima Centro se producen al año aproximadamente 20,000 accidentes de tránsito (48%), en los que fallecen 140 personas (30%). El Eje Panamericana Norte-Sur es el más fatal: 3,000 accidentes de tránsito, en los que fallecen 150 personas.</w:t>
      </w:r>
    </w:p>
    <w:p w:rsidR="008A37E4" w:rsidRPr="007226D7" w:rsidRDefault="008A37E4" w:rsidP="008A37E4">
      <w:pPr>
        <w:rPr>
          <w:lang w:val="es-ES"/>
        </w:rPr>
      </w:pPr>
      <w:r w:rsidRPr="007226D7">
        <w:rPr>
          <w:lang w:val="es-ES"/>
        </w:rPr>
        <w:t>Este es un factor de alto impacto.</w:t>
      </w:r>
    </w:p>
    <w:p w:rsidR="008A37E4" w:rsidRPr="007226D7" w:rsidRDefault="008A37E4" w:rsidP="008A37E4">
      <w:pPr>
        <w:rPr>
          <w:lang w:val="es-ES"/>
        </w:rPr>
      </w:pPr>
      <w:r w:rsidRPr="007226D7">
        <w:rPr>
          <w:lang w:val="es-ES"/>
        </w:rPr>
        <w:t>Además, es preciso mencionar, que las vías en donde se produce la mayor cantidad de accidentes fatales son en las vías periféricas de la ciudad, poniendo en riesgo constante a los pobladores de estas. Por otro lado, la forma en que se producen las muertes se puede apreciar de la siguiente manera: tres de cada cuatro personas muertas fallecen atropelladas, la otra persona muere a causa de un choque. Todo esto evidencia la necesidad de una reforma que permita asegurar la integridad de las vidas de los ciudadanos.</w:t>
      </w:r>
    </w:p>
    <w:p w:rsidR="008A37E4" w:rsidRPr="007226D7" w:rsidRDefault="008A37E4" w:rsidP="008A37E4">
      <w:pPr>
        <w:rPr>
          <w:lang w:val="es-ES"/>
        </w:rPr>
      </w:pPr>
      <w:r w:rsidRPr="007226D7">
        <w:rPr>
          <w:lang w:val="es-ES"/>
        </w:rPr>
        <w:t>En este sentido, la decisión de construir una línea de metro, completamente separada del tráfico en superficie permitir</w:t>
      </w:r>
      <w:r w:rsidRPr="007226D7">
        <w:rPr>
          <w:rFonts w:cs="Arial"/>
          <w:lang w:val="es-ES"/>
        </w:rPr>
        <w:t>á</w:t>
      </w:r>
      <w:r w:rsidRPr="007226D7">
        <w:rPr>
          <w:lang w:val="es-ES"/>
        </w:rPr>
        <w:t xml:space="preserve"> una liberación gradual de los espacios ya asignados al tráfico vehicular permitiendo el recupero de los mismos en favor de los componentes más débiles de la movilidad: peatones y ciclistas.</w:t>
      </w:r>
    </w:p>
    <w:p w:rsidR="008A37E4" w:rsidRPr="007226D7" w:rsidRDefault="008A37E4" w:rsidP="008A37E4">
      <w:pPr>
        <w:rPr>
          <w:lang w:val="es-ES"/>
        </w:rPr>
      </w:pPr>
      <w:r w:rsidRPr="007226D7">
        <w:rPr>
          <w:lang w:val="es-ES"/>
        </w:rPr>
        <w:t>Además, la reducción en el número de vehículos en circulación producir</w:t>
      </w:r>
      <w:r w:rsidRPr="007226D7">
        <w:rPr>
          <w:rFonts w:cs="Arial"/>
          <w:lang w:val="es-ES"/>
        </w:rPr>
        <w:t>á</w:t>
      </w:r>
      <w:r w:rsidRPr="007226D7">
        <w:rPr>
          <w:lang w:val="es-ES"/>
        </w:rPr>
        <w:t xml:space="preserve"> una reducción del riesgo general del índice de accidentes.</w:t>
      </w:r>
    </w:p>
    <w:p w:rsidR="008A37E4" w:rsidRPr="007226D7" w:rsidRDefault="008A37E4" w:rsidP="008A37E4">
      <w:pPr>
        <w:rPr>
          <w:lang w:val="es-ES"/>
        </w:rPr>
      </w:pPr>
      <w:r w:rsidRPr="007226D7">
        <w:rPr>
          <w:lang w:val="es-ES"/>
        </w:rPr>
        <w:t>Si bien el actual servicio de transporte urbano es deficiente, no se puede atribuir toda la culpa a los operadores y gestores del sistema, debido a que también son causantes de éste los usuarios del mismo. Esto se puede ver reflejado en que según cifras de la Policía Nacional del Perú (PNP), la causa principal de los accidentes fatales en Lima es el factor humano, encontrándose por ejemplo que el 21% de éstos son producto de la imprudencia del peatón y el 17% de la ebriedad del peatón. Esto último demuestra la falta de conciencia vial de los peatones y pasajeros, los cuales contribuyen a atentar contra la propia integridad de sus vidas.</w:t>
      </w:r>
    </w:p>
    <w:p w:rsidR="008A37E4" w:rsidRPr="007226D7" w:rsidRDefault="008A37E4" w:rsidP="008A37E4">
      <w:pPr>
        <w:rPr>
          <w:lang w:val="es-ES"/>
        </w:rPr>
      </w:pPr>
      <w:r w:rsidRPr="007226D7">
        <w:rPr>
          <w:lang w:val="es-ES"/>
        </w:rPr>
        <w:t>Con mayor razón es necesario un replanteamiento de la carretera que no ponga m</w:t>
      </w:r>
      <w:r w:rsidRPr="007226D7">
        <w:rPr>
          <w:rFonts w:cs="Arial"/>
          <w:lang w:val="es-ES"/>
        </w:rPr>
        <w:t>á</w:t>
      </w:r>
      <w:r w:rsidRPr="007226D7">
        <w:rPr>
          <w:lang w:val="es-ES"/>
        </w:rPr>
        <w:t>s la fluidez vehicular como par</w:t>
      </w:r>
      <w:r w:rsidRPr="007226D7">
        <w:rPr>
          <w:rFonts w:cs="Arial"/>
          <w:lang w:val="es-ES"/>
        </w:rPr>
        <w:t>á</w:t>
      </w:r>
      <w:r w:rsidRPr="007226D7">
        <w:rPr>
          <w:lang w:val="es-ES"/>
        </w:rPr>
        <w:t>metro central de diseño, sino empiece, si necesario, de las necesidades de los peatones diseñando intersecciones capaces tambi</w:t>
      </w:r>
      <w:r w:rsidRPr="007226D7">
        <w:rPr>
          <w:rFonts w:cs="Arial"/>
          <w:lang w:val="es-ES"/>
        </w:rPr>
        <w:t>é</w:t>
      </w:r>
      <w:r w:rsidRPr="007226D7">
        <w:rPr>
          <w:lang w:val="es-ES"/>
        </w:rPr>
        <w:t>n de educar ellos mismos a comportamientos más correctos y seguros.</w:t>
      </w:r>
    </w:p>
    <w:p w:rsidR="008A37E4" w:rsidRPr="007226D7" w:rsidRDefault="008A37E4" w:rsidP="008A37E4">
      <w:pPr>
        <w:rPr>
          <w:lang w:val="es-ES"/>
        </w:rPr>
      </w:pPr>
      <w:r w:rsidRPr="007226D7">
        <w:rPr>
          <w:rStyle w:val="hps"/>
          <w:lang w:val="es-ES"/>
        </w:rPr>
        <w:t>Es importante controlar los indicadores clave de la seguridad vial con el fin de comprender y corregir</w:t>
      </w:r>
      <w:r w:rsidRPr="007226D7">
        <w:rPr>
          <w:lang w:val="es-ES"/>
        </w:rPr>
        <w:t xml:space="preserve"> posibles </w:t>
      </w:r>
      <w:r w:rsidRPr="007226D7">
        <w:rPr>
          <w:rStyle w:val="hps"/>
          <w:lang w:val="es-ES"/>
        </w:rPr>
        <w:t>errores de diseño. Si el problema es la interpretación de la infraestructura por los usuarios</w:t>
      </w:r>
      <w:r w:rsidRPr="007226D7">
        <w:rPr>
          <w:lang w:val="es-ES"/>
        </w:rPr>
        <w:t xml:space="preserve">, es muy </w:t>
      </w:r>
      <w:r w:rsidRPr="007226D7">
        <w:rPr>
          <w:rStyle w:val="hps"/>
          <w:lang w:val="es-ES"/>
        </w:rPr>
        <w:t>importante asegurarse que la misma sea diseñada de acuerdo con esta visión.</w:t>
      </w:r>
      <w:r w:rsidRPr="007226D7">
        <w:rPr>
          <w:lang w:val="es-ES"/>
        </w:rPr>
        <w:t xml:space="preserve"> Sin embargo uno de los problemas en la cuantificación de la accidentalidad en Lima, es que no existe un seguimiento del registro de accidentalidad, pues una vez ocurrido el accidente, algunas de las víctimas que se encontraban gravemente heridas, fallecen. Esto tiene que ser corregido porque en caso contrario se encuentra una incapacidad en la producci</w:t>
      </w:r>
      <w:r w:rsidRPr="007226D7">
        <w:rPr>
          <w:rFonts w:cs="Arial"/>
          <w:lang w:val="es-ES"/>
        </w:rPr>
        <w:t>ó</w:t>
      </w:r>
      <w:r w:rsidRPr="007226D7">
        <w:rPr>
          <w:lang w:val="es-ES"/>
        </w:rPr>
        <w:t>n de juicios informados.</w:t>
      </w:r>
    </w:p>
    <w:p w:rsidR="008A37E4" w:rsidRPr="007226D7" w:rsidRDefault="008A37E4" w:rsidP="00BB081C">
      <w:pPr>
        <w:pStyle w:val="Heading6"/>
        <w:rPr>
          <w:rStyle w:val="BookTitle"/>
          <w:b/>
        </w:rPr>
      </w:pPr>
      <w:r w:rsidRPr="007226D7">
        <w:lastRenderedPageBreak/>
        <w:t>Congestión y contaminación</w:t>
      </w:r>
    </w:p>
    <w:p w:rsidR="008A37E4" w:rsidRPr="007226D7" w:rsidRDefault="008A37E4" w:rsidP="008A37E4">
      <w:pPr>
        <w:rPr>
          <w:lang w:val="es-ES"/>
        </w:rPr>
      </w:pPr>
      <w:r w:rsidRPr="007226D7">
        <w:rPr>
          <w:lang w:val="es-ES"/>
        </w:rPr>
        <w:t>La congestión vehicular ocasiona que los viajes metropolitanos se hagan en más de dos horas; la velocidad promedio de los vehículos es de 15 km/h.</w:t>
      </w:r>
    </w:p>
    <w:p w:rsidR="008A37E4" w:rsidRPr="007226D7" w:rsidRDefault="008A37E4" w:rsidP="008A37E4">
      <w:pPr>
        <w:rPr>
          <w:lang w:val="es-ES"/>
        </w:rPr>
      </w:pPr>
      <w:r w:rsidRPr="007226D7">
        <w:rPr>
          <w:lang w:val="es-ES"/>
        </w:rPr>
        <w:t>Una persona puede perder hasta 8 años de su vida en transporte público.</w:t>
      </w:r>
    </w:p>
    <w:p w:rsidR="008A37E4" w:rsidRPr="007226D7" w:rsidRDefault="008A37E4" w:rsidP="008A37E4">
      <w:pPr>
        <w:rPr>
          <w:lang w:val="es-ES"/>
        </w:rPr>
      </w:pPr>
      <w:r w:rsidRPr="007226D7">
        <w:rPr>
          <w:lang w:val="es-ES"/>
        </w:rPr>
        <w:t>Como la mayoría de la flota de transporte público es antigua (promedio 17 años), está en mal estado y genera además una gran contaminación ambiental.</w:t>
      </w:r>
    </w:p>
    <w:p w:rsidR="008A37E4" w:rsidRPr="007226D7" w:rsidRDefault="008A37E4" w:rsidP="00BB081C">
      <w:pPr>
        <w:pStyle w:val="Heading6"/>
        <w:rPr>
          <w:rStyle w:val="BookTitle"/>
          <w:b/>
        </w:rPr>
      </w:pPr>
      <w:r w:rsidRPr="007226D7">
        <w:t>Obsolescencia Parque Automotor</w:t>
      </w:r>
    </w:p>
    <w:p w:rsidR="008A37E4" w:rsidRPr="007226D7" w:rsidRDefault="008A37E4" w:rsidP="008A37E4">
      <w:pPr>
        <w:rPr>
          <w:lang w:val="es-ES"/>
        </w:rPr>
      </w:pPr>
      <w:r w:rsidRPr="007226D7">
        <w:rPr>
          <w:lang w:val="es-ES"/>
        </w:rPr>
        <w:t xml:space="preserve">A noviembre del 2008, existían en Lima Metropolitana alrededor de 25,874 vehículos de transporte urbano regular, de los cuales 3,631 son ómnibus, 10,962 son microbuses y 11,281 son camionetas rurales o combis que tienen poca capacidad. De estos, la mayoría cuenta con una antigüedad promedio similar, las cuales se distinguen por los tipos de vehículos, así para el ómnibus es de 20 años, el del microbús 18 años, el de una combi 15 años. </w:t>
      </w:r>
    </w:p>
    <w:p w:rsidR="008A37E4" w:rsidRPr="007226D7" w:rsidRDefault="008A37E4" w:rsidP="008A37E4">
      <w:pPr>
        <w:rPr>
          <w:lang w:val="es-ES"/>
        </w:rPr>
      </w:pPr>
      <w:r w:rsidRPr="007226D7">
        <w:rPr>
          <w:lang w:val="es-ES"/>
        </w:rPr>
        <w:t xml:space="preserve">Esta antigüedad, comparada con promedios de otras ciudades es mucho mayor, por ejemplo, en el caso de Santiago de Chile se ha establecido como medida de antigüedad el kilometraje recorrido, el cual debe ser 1’000,000 de kilómetros como máximo, lo que en promedio resultaría en 10 o 12 años; y en el caso de Buenos Aires durante el 2006 el promedio de su parque automotor fue de 8,3 años, en ambos casos, cifras muy por debajo de los vehículos de transporte urbano de Lima. </w:t>
      </w:r>
    </w:p>
    <w:p w:rsidR="008A37E4" w:rsidRPr="007226D7" w:rsidRDefault="008A37E4" w:rsidP="008A37E4">
      <w:pPr>
        <w:rPr>
          <w:lang w:val="es-ES"/>
        </w:rPr>
      </w:pPr>
      <w:r w:rsidRPr="007226D7">
        <w:rPr>
          <w:lang w:val="es-ES"/>
        </w:rPr>
        <w:t xml:space="preserve">Si se hiciera efectivo lo dispuesto por el DS - 017-2009-MTC, el cual establece una antigüedad máxima de 15 años para los vehículos de transporte público de personas, Lima se quedaría prácticamente sin servicio. </w:t>
      </w:r>
    </w:p>
    <w:p w:rsidR="008A37E4" w:rsidRPr="007226D7" w:rsidRDefault="008A37E4" w:rsidP="008A37E4">
      <w:pPr>
        <w:rPr>
          <w:lang w:val="es-ES"/>
        </w:rPr>
      </w:pPr>
      <w:r w:rsidRPr="007226D7">
        <w:rPr>
          <w:lang w:val="es-ES"/>
        </w:rPr>
        <w:t>Otra característica del servicio es lo inadecuado de su tecnología vehicular. La mayoría de la oferta del servicio se realiza en Camionetas Rurales, cuya capacidad máxima de transporte es de 16 pasajeros, mientras que sólo el 15% se realiza en buses.</w:t>
      </w:r>
    </w:p>
    <w:p w:rsidR="008A37E4" w:rsidRPr="007226D7" w:rsidRDefault="008A37E4" w:rsidP="008A37E4">
      <w:pPr>
        <w:rPr>
          <w:lang w:val="es-ES"/>
        </w:rPr>
      </w:pPr>
      <w:r w:rsidRPr="007226D7">
        <w:rPr>
          <w:lang w:val="es-ES"/>
        </w:rPr>
        <w:t>En la tabla siguiente se muestran en manera sint</w:t>
      </w:r>
      <w:r w:rsidRPr="007226D7">
        <w:rPr>
          <w:rFonts w:cs="Arial"/>
          <w:lang w:val="es-ES"/>
        </w:rPr>
        <w:t>é</w:t>
      </w:r>
      <w:r w:rsidRPr="007226D7">
        <w:rPr>
          <w:lang w:val="es-ES"/>
        </w:rPr>
        <w:t>tica los valores de la antigüedad del parque vehicular, agregados por tipo, seg</w:t>
      </w:r>
      <w:r w:rsidRPr="007226D7">
        <w:rPr>
          <w:rFonts w:cs="Arial"/>
          <w:lang w:val="es-ES"/>
        </w:rPr>
        <w:t>ú</w:t>
      </w:r>
      <w:r w:rsidRPr="007226D7">
        <w:rPr>
          <w:lang w:val="es-ES"/>
        </w:rPr>
        <w:t>n la base de datos GTU a</w:t>
      </w:r>
      <w:r w:rsidRPr="007226D7">
        <w:rPr>
          <w:rFonts w:cs="Arial"/>
          <w:lang w:val="es-ES"/>
        </w:rPr>
        <w:t>ñ</w:t>
      </w:r>
      <w:r w:rsidRPr="007226D7">
        <w:rPr>
          <w:lang w:val="es-ES"/>
        </w:rPr>
        <w:t>o 2009.</w:t>
      </w:r>
    </w:p>
    <w:p w:rsidR="008A37E4" w:rsidRPr="007226D7" w:rsidRDefault="008A37E4" w:rsidP="008A37E4">
      <w:pPr>
        <w:rPr>
          <w:lang w:val="es-ES"/>
        </w:rPr>
      </w:pPr>
    </w:p>
    <w:p w:rsidR="00262DA3" w:rsidRPr="007226D7" w:rsidRDefault="00262DA3" w:rsidP="00262DA3">
      <w:pPr>
        <w:jc w:val="center"/>
        <w:rPr>
          <w:b/>
          <w:sz w:val="16"/>
          <w:szCs w:val="16"/>
          <w:lang w:val="es-ES"/>
        </w:rPr>
      </w:pPr>
      <w:r w:rsidRPr="006C214F">
        <w:rPr>
          <w:b/>
          <w:sz w:val="16"/>
          <w:szCs w:val="16"/>
          <w:lang w:val="es-ES"/>
        </w:rPr>
        <w:t>Tabla 3.1-64  Antigüedad parque vehicular por el año 2009 (Fuente GTU, 2009).</w:t>
      </w:r>
    </w:p>
    <w:tbl>
      <w:tblPr>
        <w:tblW w:w="569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804"/>
        <w:gridCol w:w="1890"/>
      </w:tblGrid>
      <w:tr w:rsidR="008A37E4" w:rsidRPr="007226D7" w:rsidTr="007572D7">
        <w:trPr>
          <w:trHeight w:val="297"/>
          <w:jc w:val="center"/>
        </w:trPr>
        <w:tc>
          <w:tcPr>
            <w:tcW w:w="3804"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rPr>
              <w:t>TIPOLOGIA VEHICULAR</w:t>
            </w:r>
          </w:p>
        </w:tc>
        <w:tc>
          <w:tcPr>
            <w:tcW w:w="1890"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7572D7">
            <w:pPr>
              <w:rPr>
                <w:b/>
                <w:bCs/>
              </w:rPr>
            </w:pPr>
            <w:r w:rsidRPr="007226D7">
              <w:rPr>
                <w:b/>
                <w:bCs/>
              </w:rPr>
              <w:t>ANTIGUEDAD [años]</w:t>
            </w:r>
          </w:p>
        </w:tc>
      </w:tr>
      <w:tr w:rsidR="008A37E4" w:rsidRPr="007226D7" w:rsidTr="007572D7">
        <w:trPr>
          <w:trHeight w:val="297"/>
          <w:jc w:val="center"/>
        </w:trPr>
        <w:tc>
          <w:tcPr>
            <w:tcW w:w="380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Camioneta</w:t>
            </w:r>
          </w:p>
        </w:tc>
        <w:tc>
          <w:tcPr>
            <w:tcW w:w="189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center"/>
            </w:pPr>
            <w:r w:rsidRPr="007226D7">
              <w:t>17.7</w:t>
            </w:r>
          </w:p>
        </w:tc>
      </w:tr>
      <w:tr w:rsidR="008A37E4" w:rsidRPr="007226D7" w:rsidTr="007572D7">
        <w:trPr>
          <w:trHeight w:val="297"/>
          <w:jc w:val="center"/>
        </w:trPr>
        <w:tc>
          <w:tcPr>
            <w:tcW w:w="3804"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rPr>
                <w:b/>
                <w:bCs/>
              </w:rPr>
            </w:pPr>
            <w:r w:rsidRPr="007226D7">
              <w:rPr>
                <w:b/>
                <w:bCs/>
              </w:rPr>
              <w:t>Microbús</w:t>
            </w:r>
          </w:p>
        </w:tc>
        <w:tc>
          <w:tcPr>
            <w:tcW w:w="1890"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center"/>
            </w:pPr>
            <w:r w:rsidRPr="007226D7">
              <w:t>19.6</w:t>
            </w:r>
          </w:p>
        </w:tc>
      </w:tr>
      <w:tr w:rsidR="008A37E4" w:rsidRPr="007226D7" w:rsidTr="007572D7">
        <w:trPr>
          <w:trHeight w:val="297"/>
          <w:jc w:val="center"/>
        </w:trPr>
        <w:tc>
          <w:tcPr>
            <w:tcW w:w="3804"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b/>
                <w:bCs/>
              </w:rPr>
            </w:pPr>
            <w:r w:rsidRPr="007226D7">
              <w:rPr>
                <w:b/>
                <w:bCs/>
              </w:rPr>
              <w:t>Ómnibus</w:t>
            </w:r>
          </w:p>
        </w:tc>
        <w:tc>
          <w:tcPr>
            <w:tcW w:w="1890"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center"/>
            </w:pPr>
            <w:r w:rsidRPr="007226D7">
              <w:t>20.5</w:t>
            </w:r>
          </w:p>
        </w:tc>
      </w:tr>
    </w:tbl>
    <w:p w:rsidR="008A37E4" w:rsidRPr="007226D7" w:rsidRDefault="008A37E4" w:rsidP="008A37E4">
      <w:pPr>
        <w:pStyle w:val="Figuras"/>
      </w:pPr>
    </w:p>
    <w:p w:rsidR="008A37E4" w:rsidRPr="007226D7" w:rsidRDefault="008A37E4" w:rsidP="008A37E4">
      <w:pPr>
        <w:pStyle w:val="Figuras"/>
      </w:pPr>
      <w:r w:rsidRPr="007226D7">
        <w:br w:type="page"/>
      </w:r>
    </w:p>
    <w:p w:rsidR="008A37E4" w:rsidRPr="007226D7" w:rsidRDefault="008A37E4" w:rsidP="00BB081C">
      <w:pPr>
        <w:pStyle w:val="Heading6"/>
        <w:rPr>
          <w:rStyle w:val="BookTitle"/>
          <w:b/>
          <w:lang w:val="es-ES"/>
        </w:rPr>
      </w:pPr>
      <w:r w:rsidRPr="007226D7">
        <w:rPr>
          <w:lang w:val="es-ES"/>
        </w:rPr>
        <w:lastRenderedPageBreak/>
        <w:t>Violencia y maltrato en el transporte público</w:t>
      </w:r>
    </w:p>
    <w:p w:rsidR="008A37E4" w:rsidRPr="007226D7" w:rsidRDefault="008A37E4" w:rsidP="008A37E4">
      <w:pPr>
        <w:rPr>
          <w:lang w:val="es-ES"/>
        </w:rPr>
      </w:pPr>
      <w:r w:rsidRPr="007226D7">
        <w:rPr>
          <w:lang w:val="es-ES"/>
        </w:rPr>
        <w:t>Otro aspecto a considerar es la seguridad personal de los pasajeros, donde la seguridad debe ser entendida como "</w:t>
      </w:r>
      <w:r w:rsidRPr="007226D7">
        <w:rPr>
          <w:i/>
          <w:lang w:val="es-ES"/>
        </w:rPr>
        <w:t>security</w:t>
      </w:r>
      <w:r w:rsidRPr="007226D7">
        <w:rPr>
          <w:lang w:val="es-ES"/>
        </w:rPr>
        <w:t>" y no sólo "</w:t>
      </w:r>
      <w:r w:rsidRPr="007226D7">
        <w:rPr>
          <w:i/>
          <w:lang w:val="es-ES"/>
        </w:rPr>
        <w:t>safety</w:t>
      </w:r>
      <w:r w:rsidRPr="007226D7">
        <w:rPr>
          <w:lang w:val="es-ES"/>
        </w:rPr>
        <w:t xml:space="preserve">": son dos conceptos diferentes. </w:t>
      </w:r>
    </w:p>
    <w:p w:rsidR="008A37E4" w:rsidRPr="007226D7" w:rsidRDefault="008A37E4" w:rsidP="008A37E4">
      <w:pPr>
        <w:rPr>
          <w:lang w:val="es-ES"/>
        </w:rPr>
      </w:pPr>
      <w:r w:rsidRPr="007226D7">
        <w:rPr>
          <w:lang w:val="es-ES"/>
        </w:rPr>
        <w:t xml:space="preserve">Donde para </w:t>
      </w:r>
      <w:r w:rsidRPr="007226D7">
        <w:rPr>
          <w:b/>
          <w:i/>
          <w:lang w:val="es-ES"/>
        </w:rPr>
        <w:t xml:space="preserve">Security </w:t>
      </w:r>
      <w:r w:rsidRPr="007226D7">
        <w:rPr>
          <w:lang w:val="es-ES"/>
        </w:rPr>
        <w:t xml:space="preserve">en general se entiende como una protección contra el acoso y/o eventos de carácter penal, como robos, asaltos, violaciones, etc. que representan una amenaza para los pasajeros; y </w:t>
      </w:r>
      <w:r w:rsidRPr="007226D7">
        <w:rPr>
          <w:b/>
          <w:i/>
          <w:lang w:val="es-ES"/>
        </w:rPr>
        <w:t>Safety</w:t>
      </w:r>
      <w:r w:rsidRPr="007226D7">
        <w:rPr>
          <w:lang w:val="es-ES"/>
        </w:rPr>
        <w:t>, sin embargo, se debe entender como un concepto físico-mecánico, es decir la protección frente a accidentes típicos del transporte vehicular en general y en particular en la carretera.</w:t>
      </w:r>
    </w:p>
    <w:p w:rsidR="008A37E4" w:rsidRPr="007226D7" w:rsidRDefault="008A37E4" w:rsidP="008A37E4">
      <w:pPr>
        <w:rPr>
          <w:lang w:val="es-ES"/>
        </w:rPr>
      </w:pPr>
      <w:r w:rsidRPr="007226D7">
        <w:rPr>
          <w:lang w:val="es-ES"/>
        </w:rPr>
        <w:t>Desafortunadamente son conocidos los casos de:</w:t>
      </w:r>
    </w:p>
    <w:p w:rsidR="008A37E4" w:rsidRPr="007226D7" w:rsidRDefault="008A37E4" w:rsidP="006E6A64">
      <w:pPr>
        <w:pStyle w:val="ListParagraph"/>
        <w:numPr>
          <w:ilvl w:val="0"/>
          <w:numId w:val="26"/>
        </w:numPr>
        <w:rPr>
          <w:lang w:val="es-ES"/>
        </w:rPr>
      </w:pPr>
      <w:r w:rsidRPr="007226D7">
        <w:rPr>
          <w:lang w:val="es-ES"/>
        </w:rPr>
        <w:t xml:space="preserve">Asaltos dentro de los vehículos de transporte público. </w:t>
      </w:r>
    </w:p>
    <w:p w:rsidR="008A37E4" w:rsidRPr="007226D7" w:rsidRDefault="008A37E4" w:rsidP="006E6A64">
      <w:pPr>
        <w:pStyle w:val="ListParagraph"/>
        <w:numPr>
          <w:ilvl w:val="0"/>
          <w:numId w:val="26"/>
        </w:numPr>
        <w:rPr>
          <w:lang w:val="es-ES"/>
        </w:rPr>
      </w:pPr>
      <w:r w:rsidRPr="007226D7">
        <w:rPr>
          <w:lang w:val="es-ES"/>
        </w:rPr>
        <w:t xml:space="preserve">Agresión de los cobradores o conductores hacia el pasajero: “la incultura combi”. </w:t>
      </w:r>
    </w:p>
    <w:p w:rsidR="008A37E4" w:rsidRPr="007226D7" w:rsidRDefault="008A37E4" w:rsidP="006E6A64">
      <w:pPr>
        <w:pStyle w:val="ListParagraph"/>
        <w:numPr>
          <w:ilvl w:val="0"/>
          <w:numId w:val="26"/>
        </w:numPr>
        <w:rPr>
          <w:lang w:val="es-ES"/>
        </w:rPr>
      </w:pPr>
      <w:r w:rsidRPr="007226D7">
        <w:rPr>
          <w:lang w:val="es-ES"/>
        </w:rPr>
        <w:t xml:space="preserve">Maltratos a usuarios más vulnerables: violencia contra la mujer, escolares, ancianos y personas con discapacidad. </w:t>
      </w:r>
    </w:p>
    <w:p w:rsidR="008A37E4" w:rsidRPr="007226D7" w:rsidRDefault="008A37E4" w:rsidP="006E6A64">
      <w:pPr>
        <w:pStyle w:val="ListParagraph"/>
        <w:numPr>
          <w:ilvl w:val="0"/>
          <w:numId w:val="26"/>
        </w:numPr>
        <w:rPr>
          <w:lang w:val="es-ES"/>
        </w:rPr>
      </w:pPr>
      <w:r w:rsidRPr="007226D7">
        <w:rPr>
          <w:lang w:val="es-ES"/>
        </w:rPr>
        <w:t xml:space="preserve">No respetan el pasaje escolar, ni el universitario. </w:t>
      </w:r>
    </w:p>
    <w:p w:rsidR="008A37E4" w:rsidRPr="007226D7" w:rsidRDefault="008A37E4" w:rsidP="006E6A64">
      <w:pPr>
        <w:pStyle w:val="ListParagraph"/>
        <w:numPr>
          <w:ilvl w:val="0"/>
          <w:numId w:val="26"/>
        </w:numPr>
        <w:rPr>
          <w:lang w:val="es-ES"/>
        </w:rPr>
      </w:pPr>
      <w:r w:rsidRPr="007226D7">
        <w:rPr>
          <w:lang w:val="es-ES"/>
        </w:rPr>
        <w:t xml:space="preserve">Alteración de la ruta, "carreras" con otras unidades, “chantarse” en los paraderos, no recoger escolares, etc. </w:t>
      </w:r>
    </w:p>
    <w:p w:rsidR="008A37E4" w:rsidRPr="007226D7" w:rsidRDefault="008A37E4" w:rsidP="008A37E4">
      <w:pPr>
        <w:spacing w:after="0" w:line="240" w:lineRule="auto"/>
        <w:jc w:val="left"/>
        <w:rPr>
          <w:lang w:val="es-ES"/>
        </w:rPr>
      </w:pPr>
    </w:p>
    <w:p w:rsidR="008A37E4" w:rsidRPr="007226D7" w:rsidRDefault="008A37E4" w:rsidP="008A37E4">
      <w:pPr>
        <w:spacing w:after="0" w:line="240" w:lineRule="auto"/>
        <w:jc w:val="left"/>
        <w:rPr>
          <w:lang w:val="es-ES"/>
        </w:rPr>
      </w:pPr>
      <w:r w:rsidRPr="007226D7">
        <w:rPr>
          <w:lang w:val="es-ES"/>
        </w:rPr>
        <w:br w:type="page"/>
      </w:r>
    </w:p>
    <w:p w:rsidR="008A37E4" w:rsidRPr="007226D7" w:rsidRDefault="008A37E4" w:rsidP="00BB081C">
      <w:pPr>
        <w:pStyle w:val="Heading4"/>
      </w:pPr>
      <w:bookmarkStart w:id="33" w:name="_Toc341642823"/>
      <w:bookmarkStart w:id="34" w:name="_Toc341644632"/>
      <w:bookmarkStart w:id="35" w:name="_Toc341644982"/>
      <w:r w:rsidRPr="007226D7">
        <w:lastRenderedPageBreak/>
        <w:t>El corredor Este – Oeste</w:t>
      </w:r>
      <w:bookmarkEnd w:id="33"/>
      <w:bookmarkEnd w:id="34"/>
      <w:bookmarkEnd w:id="35"/>
    </w:p>
    <w:p w:rsidR="008A37E4" w:rsidRPr="007226D7" w:rsidRDefault="008A37E4" w:rsidP="00BB081C">
      <w:pPr>
        <w:pStyle w:val="Heading5"/>
      </w:pPr>
      <w:bookmarkStart w:id="36" w:name="_Toc341644983"/>
      <w:r w:rsidRPr="007226D7">
        <w:t>Distritos</w:t>
      </w:r>
      <w:bookmarkEnd w:id="36"/>
    </w:p>
    <w:p w:rsidR="008A37E4" w:rsidRPr="007226D7" w:rsidRDefault="008A37E4" w:rsidP="00BB081C">
      <w:pPr>
        <w:pStyle w:val="Heading6"/>
      </w:pPr>
      <w:r w:rsidRPr="007226D7">
        <w:t>ATE VITARTE</w:t>
      </w:r>
    </w:p>
    <w:p w:rsidR="008A37E4" w:rsidRPr="007226D7" w:rsidRDefault="008A37E4" w:rsidP="008A37E4">
      <w:pPr>
        <w:rPr>
          <w:lang w:val="es-ES"/>
        </w:rPr>
      </w:pPr>
      <w:r w:rsidRPr="007226D7">
        <w:rPr>
          <w:lang w:val="es-ES"/>
        </w:rPr>
        <w:t>Ate-Vitarte se encuentra en la parte oriental central de la Metropolitana de Lima y a la margen izquierda del río Rímac. El distrito fue creado poco después de la declaración de independencia por el general José de San Martín. El casco antiguo de Ate se encuentra a unos 14 km al este del Centro Histórico de Lima. Desde la mitad del siglo 19 Ate-Vitarte fue la zona industrial de Lima, donde están establecidas principalmente las fábricas textiles. Alrededor de las fábricas se desarrollaron rápidamente las residencias de los obreros. Desde la década de 1980, Vitarte se convirtió en uno de los principales focos receptores de la migración provinciana que, a estas alturas, ya había copado el casco tradicional de Lima. Esto trajo como consecuencia la urbanización de Ate y su integración al Aglomerado Urbano causando la pérdida de las tierras agrícolas. Actualmente se configura como un distrito periférico, con zonas residenciales y comerciales.</w:t>
      </w:r>
    </w:p>
    <w:p w:rsidR="008A37E4" w:rsidRPr="007226D7" w:rsidRDefault="008A37E4" w:rsidP="00BB081C">
      <w:pPr>
        <w:pStyle w:val="Heading6"/>
      </w:pPr>
      <w:proofErr w:type="gramStart"/>
      <w:r w:rsidRPr="007226D7">
        <w:t xml:space="preserve">SANTA </w:t>
      </w:r>
      <w:proofErr w:type="gramEnd"/>
      <w:r w:rsidRPr="007226D7">
        <w:t>ANITA</w:t>
      </w:r>
    </w:p>
    <w:p w:rsidR="008A37E4" w:rsidRPr="007226D7" w:rsidRDefault="008A37E4" w:rsidP="008A37E4">
      <w:pPr>
        <w:spacing w:after="0"/>
        <w:rPr>
          <w:rFonts w:cs="Arial"/>
          <w:lang w:val="es-ES"/>
        </w:rPr>
      </w:pPr>
      <w:r w:rsidRPr="007226D7">
        <w:rPr>
          <w:rFonts w:cs="Arial"/>
          <w:lang w:val="es-ES"/>
        </w:rPr>
        <w:t>Santa Anita se encuentra al este del centro de la ciudad de Lima. Se trata de una zona residencial de la clase media. En el distrito están el Mercado Mayorista y la Universidad Particular San Martin de Porres.</w:t>
      </w:r>
    </w:p>
    <w:p w:rsidR="008A37E4" w:rsidRPr="007226D7" w:rsidRDefault="008A37E4" w:rsidP="00BB081C">
      <w:pPr>
        <w:pStyle w:val="Heading6"/>
        <w:rPr>
          <w:b/>
        </w:rPr>
      </w:pPr>
      <w:r w:rsidRPr="007226D7">
        <w:t>EL</w:t>
      </w:r>
      <w:r w:rsidRPr="007226D7">
        <w:rPr>
          <w:b/>
        </w:rPr>
        <w:t xml:space="preserve"> </w:t>
      </w:r>
      <w:r w:rsidRPr="007226D7">
        <w:t>AGUSTINO</w:t>
      </w:r>
    </w:p>
    <w:p w:rsidR="008A37E4" w:rsidRPr="007226D7" w:rsidRDefault="008A37E4" w:rsidP="008A37E4">
      <w:pPr>
        <w:rPr>
          <w:rFonts w:cs="Arial"/>
          <w:lang w:val="es-ES"/>
        </w:rPr>
      </w:pPr>
      <w:r w:rsidRPr="007226D7">
        <w:rPr>
          <w:rStyle w:val="hps"/>
          <w:rFonts w:cs="Arial"/>
          <w:lang w:val="es-ES"/>
        </w:rPr>
        <w:t>El distrito de El Agustino está situado al este del distrito de Lima</w:t>
      </w:r>
      <w:r w:rsidRPr="007226D7">
        <w:rPr>
          <w:rFonts w:cs="Arial"/>
          <w:lang w:val="es-ES"/>
        </w:rPr>
        <w:t xml:space="preserve">. </w:t>
      </w:r>
      <w:r w:rsidRPr="007226D7">
        <w:rPr>
          <w:rStyle w:val="hps"/>
          <w:rFonts w:cs="Arial"/>
          <w:lang w:val="es-ES"/>
        </w:rPr>
        <w:t>Hasta 1925 la zona pertenecía a José Enrique de la Riva Agüero y albergó una de las muchas haciendas de Lima,</w:t>
      </w:r>
      <w:r w:rsidRPr="007226D7">
        <w:rPr>
          <w:rFonts w:cs="Arial"/>
          <w:lang w:val="es-ES"/>
        </w:rPr>
        <w:t xml:space="preserve"> con </w:t>
      </w:r>
      <w:r w:rsidRPr="007226D7">
        <w:rPr>
          <w:rStyle w:val="hps"/>
          <w:rFonts w:cs="Arial"/>
          <w:lang w:val="es-ES"/>
        </w:rPr>
        <w:t>el cultivo de frutas, verduras y flores. Después de su muerte</w:t>
      </w:r>
      <w:r w:rsidRPr="007226D7">
        <w:rPr>
          <w:rFonts w:cs="Arial"/>
          <w:lang w:val="es-ES"/>
        </w:rPr>
        <w:t xml:space="preserve"> parte </w:t>
      </w:r>
      <w:r w:rsidRPr="007226D7">
        <w:rPr>
          <w:rStyle w:val="hps"/>
          <w:rFonts w:cs="Arial"/>
          <w:lang w:val="es-ES"/>
        </w:rPr>
        <w:t>de las tierras fueron arrendadas y vendidas</w:t>
      </w:r>
      <w:r w:rsidRPr="007226D7">
        <w:rPr>
          <w:rFonts w:cs="Arial"/>
          <w:lang w:val="es-ES"/>
        </w:rPr>
        <w:t xml:space="preserve">. </w:t>
      </w:r>
      <w:r w:rsidRPr="007226D7">
        <w:rPr>
          <w:rStyle w:val="hps"/>
          <w:rFonts w:cs="Arial"/>
          <w:lang w:val="es-ES"/>
        </w:rPr>
        <w:t>Más tarde, el área fue dividida en zonas que dan cada vez más espacio  en la población de Lima para vivir. Desde el inicio de1950 hasta el 1980 El Agustino</w:t>
      </w:r>
      <w:r w:rsidRPr="007226D7">
        <w:rPr>
          <w:rFonts w:cs="Arial"/>
          <w:lang w:val="es-ES"/>
        </w:rPr>
        <w:t xml:space="preserve">, como </w:t>
      </w:r>
      <w:r w:rsidRPr="007226D7">
        <w:rPr>
          <w:rStyle w:val="hps"/>
          <w:rFonts w:cs="Arial"/>
          <w:lang w:val="es-ES"/>
        </w:rPr>
        <w:t>toda Lima tuvo que hacer frente a miles de familias migrantes de las colinas. El distrito se convirtió en uno de los más pobres y más poblados de Lima, con más de 14.000 personas que viven en un kilómetro cuadrado</w:t>
      </w:r>
      <w:r w:rsidRPr="007226D7">
        <w:rPr>
          <w:rFonts w:cs="Arial"/>
          <w:lang w:val="es-ES"/>
        </w:rPr>
        <w:t xml:space="preserve">. </w:t>
      </w:r>
      <w:r w:rsidRPr="007226D7">
        <w:rPr>
          <w:rStyle w:val="hps"/>
          <w:rFonts w:cs="Arial"/>
          <w:lang w:val="es-ES"/>
        </w:rPr>
        <w:t xml:space="preserve">Hoy, El Agustino, el municipio y muchas organizaciones de ayuda están tratando de mejorar las condiciones de vida y el desarrollo del distrito. </w:t>
      </w:r>
      <w:r w:rsidRPr="007226D7">
        <w:rPr>
          <w:rFonts w:cs="Arial"/>
          <w:lang w:val="es-ES"/>
        </w:rPr>
        <w:t>En este distrito se viene desarrollando el Mega Proyecto Urbanístico e Inmobiliario “La Pólvora”, sobre 22,7 hectáreas. Por ello, en breve plazo esta zona será la más moderna del distrito.</w:t>
      </w:r>
    </w:p>
    <w:p w:rsidR="008A37E4" w:rsidRPr="007226D7" w:rsidRDefault="008A37E4" w:rsidP="00BB081C">
      <w:pPr>
        <w:pStyle w:val="Heading6"/>
        <w:rPr>
          <w:b/>
        </w:rPr>
      </w:pPr>
      <w:r w:rsidRPr="007226D7">
        <w:t>SAN</w:t>
      </w:r>
      <w:r w:rsidRPr="007226D7">
        <w:rPr>
          <w:b/>
        </w:rPr>
        <w:t xml:space="preserve"> </w:t>
      </w:r>
      <w:r w:rsidRPr="007226D7">
        <w:t>LUIS</w:t>
      </w:r>
    </w:p>
    <w:p w:rsidR="008A37E4" w:rsidRPr="007226D7" w:rsidRDefault="008A37E4" w:rsidP="008A37E4">
      <w:pPr>
        <w:rPr>
          <w:rStyle w:val="hps"/>
          <w:rFonts w:cs="Arial"/>
          <w:lang w:val="es-ES"/>
        </w:rPr>
      </w:pPr>
      <w:r w:rsidRPr="007226D7">
        <w:rPr>
          <w:rStyle w:val="hps"/>
          <w:rFonts w:cs="Arial"/>
          <w:lang w:val="es-ES"/>
        </w:rPr>
        <w:t>San Luis es un pequeño barrio cercano al centro de la ciudad de Lima. Es sobre todo un área residencial de clase media</w:t>
      </w:r>
      <w:r w:rsidRPr="007226D7">
        <w:rPr>
          <w:rFonts w:cs="Arial"/>
          <w:lang w:val="es-ES"/>
        </w:rPr>
        <w:t xml:space="preserve">, pero se pueden encontrar </w:t>
      </w:r>
      <w:r w:rsidRPr="007226D7">
        <w:rPr>
          <w:rStyle w:val="hps"/>
          <w:rFonts w:cs="Arial"/>
          <w:lang w:val="es-ES"/>
        </w:rPr>
        <w:t>un número creciente de</w:t>
      </w:r>
      <w:r w:rsidRPr="007226D7">
        <w:rPr>
          <w:rFonts w:cs="Arial"/>
          <w:lang w:val="es-ES"/>
        </w:rPr>
        <w:t xml:space="preserve"> empresas</w:t>
      </w:r>
      <w:r w:rsidRPr="007226D7">
        <w:rPr>
          <w:rStyle w:val="hps"/>
          <w:rFonts w:cs="Arial"/>
          <w:lang w:val="es-ES"/>
        </w:rPr>
        <w:t xml:space="preserve"> pequeñas. En San Luis se encuentra</w:t>
      </w:r>
      <w:r w:rsidRPr="007226D7">
        <w:rPr>
          <w:rFonts w:cs="Arial"/>
          <w:lang w:val="es-ES"/>
        </w:rPr>
        <w:t xml:space="preserve">n el Mercado de </w:t>
      </w:r>
      <w:r w:rsidRPr="007226D7">
        <w:rPr>
          <w:rStyle w:val="hps"/>
          <w:rFonts w:cs="Arial"/>
          <w:lang w:val="es-ES"/>
        </w:rPr>
        <w:t>Frutas y la Villa Deportiva Nacional (</w:t>
      </w:r>
      <w:r w:rsidRPr="007226D7">
        <w:rPr>
          <w:rFonts w:cs="Arial"/>
          <w:lang w:val="es-ES"/>
        </w:rPr>
        <w:t xml:space="preserve">VIDENA), </w:t>
      </w:r>
      <w:r w:rsidRPr="007226D7">
        <w:rPr>
          <w:rStyle w:val="hps"/>
          <w:rFonts w:cs="Arial"/>
          <w:lang w:val="es-ES"/>
        </w:rPr>
        <w:t>una gran área que se dedica a los deportes y que alberga al instituto Peruano del Deporte</w:t>
      </w:r>
      <w:r w:rsidRPr="007226D7">
        <w:rPr>
          <w:rFonts w:cs="Arial"/>
          <w:lang w:val="es-ES"/>
        </w:rPr>
        <w:t xml:space="preserve">, la oficina central </w:t>
      </w:r>
      <w:r w:rsidRPr="007226D7">
        <w:rPr>
          <w:rStyle w:val="hps"/>
          <w:rFonts w:cs="Arial"/>
          <w:lang w:val="es-ES"/>
        </w:rPr>
        <w:t>del Comité Olímpico Peruano y la Federación Peruana de Fútbol.</w:t>
      </w:r>
    </w:p>
    <w:p w:rsidR="008A37E4" w:rsidRPr="007226D7" w:rsidRDefault="008A37E4" w:rsidP="008A37E4">
      <w:pPr>
        <w:rPr>
          <w:rStyle w:val="hps"/>
          <w:rFonts w:cs="Arial"/>
          <w:lang w:val="es-ES"/>
        </w:rPr>
      </w:pPr>
    </w:p>
    <w:p w:rsidR="008A37E4" w:rsidRPr="007226D7" w:rsidRDefault="008A37E4" w:rsidP="008A37E4">
      <w:pPr>
        <w:rPr>
          <w:rStyle w:val="hps"/>
          <w:rFonts w:cs="Arial"/>
          <w:lang w:val="es-ES"/>
        </w:rPr>
      </w:pPr>
    </w:p>
    <w:p w:rsidR="008A37E4" w:rsidRPr="007226D7" w:rsidRDefault="008A37E4" w:rsidP="008A37E4">
      <w:pPr>
        <w:rPr>
          <w:rStyle w:val="hps"/>
          <w:rFonts w:cs="Arial"/>
          <w:lang w:val="es-ES"/>
        </w:rPr>
      </w:pPr>
    </w:p>
    <w:p w:rsidR="008A37E4" w:rsidRPr="007226D7" w:rsidRDefault="008A37E4" w:rsidP="00BB081C">
      <w:pPr>
        <w:pStyle w:val="Heading6"/>
        <w:rPr>
          <w:rStyle w:val="hps"/>
          <w:rFonts w:cs="Arial"/>
          <w:b/>
        </w:rPr>
      </w:pPr>
      <w:r w:rsidRPr="007226D7">
        <w:lastRenderedPageBreak/>
        <w:t>LA</w:t>
      </w:r>
      <w:r w:rsidRPr="007226D7">
        <w:rPr>
          <w:rStyle w:val="hps"/>
          <w:rFonts w:cs="Arial"/>
          <w:b/>
        </w:rPr>
        <w:t xml:space="preserve"> </w:t>
      </w:r>
      <w:r w:rsidRPr="007226D7">
        <w:t>VICTORIA</w:t>
      </w:r>
    </w:p>
    <w:p w:rsidR="008A37E4" w:rsidRPr="007226D7" w:rsidRDefault="008A37E4" w:rsidP="008A37E4">
      <w:pPr>
        <w:rPr>
          <w:rFonts w:cs="Arial"/>
          <w:lang w:val="es-ES"/>
        </w:rPr>
      </w:pPr>
      <w:r w:rsidRPr="007226D7">
        <w:rPr>
          <w:rStyle w:val="hps"/>
          <w:rFonts w:cs="Arial"/>
          <w:lang w:val="es-ES"/>
        </w:rPr>
        <w:t>El distrito de La Victoria está localizado en la parte central del área consolidada de la ciudad</w:t>
      </w:r>
      <w:r w:rsidRPr="007226D7">
        <w:rPr>
          <w:rFonts w:cs="Arial"/>
          <w:lang w:val="es-ES"/>
        </w:rPr>
        <w:t xml:space="preserve">. Esta zona </w:t>
      </w:r>
      <w:r w:rsidRPr="007226D7">
        <w:rPr>
          <w:rStyle w:val="hps"/>
          <w:rFonts w:cs="Arial"/>
          <w:lang w:val="es-ES"/>
        </w:rPr>
        <w:t>se desarrolló cuando al final del siglo XIX la hacienda "</w:t>
      </w:r>
      <w:r w:rsidRPr="007226D7">
        <w:rPr>
          <w:rFonts w:cs="Arial"/>
          <w:lang w:val="es-ES"/>
        </w:rPr>
        <w:t xml:space="preserve">La Victoria", con sus </w:t>
      </w:r>
      <w:r w:rsidRPr="007226D7">
        <w:rPr>
          <w:rStyle w:val="hps"/>
          <w:rFonts w:cs="Arial"/>
          <w:lang w:val="es-ES"/>
        </w:rPr>
        <w:t>enormes propiedades fue dividida en lotes y urbanizadas. La Victoria se convirtió en un distrito laboral. Hoy en día La Victoria tiene un potencial económico enorme.</w:t>
      </w:r>
      <w:r w:rsidRPr="007226D7">
        <w:rPr>
          <w:rFonts w:cs="Arial"/>
          <w:lang w:val="es-ES"/>
        </w:rPr>
        <w:t xml:space="preserve"> A pesar de la fama de distrito peligroso debido a los índices de criminalidad, especialmente en la parte norte del distrito, tiene gran empuje comercial, y muestra en la parte sur un carácter más residencial y menos peligroso (Santa Catalina). </w:t>
      </w:r>
      <w:r w:rsidRPr="007226D7">
        <w:rPr>
          <w:rStyle w:val="hps"/>
          <w:rFonts w:cs="Arial"/>
          <w:lang w:val="es-ES"/>
        </w:rPr>
        <w:t>En el corazón de La Victoria se encuentra "</w:t>
      </w:r>
      <w:r w:rsidRPr="007226D7">
        <w:rPr>
          <w:rFonts w:cs="Arial"/>
          <w:lang w:val="es-ES"/>
        </w:rPr>
        <w:t xml:space="preserve">Gamarra", el </w:t>
      </w:r>
      <w:r w:rsidRPr="007226D7">
        <w:rPr>
          <w:rStyle w:val="hps"/>
          <w:rFonts w:cs="Arial"/>
          <w:lang w:val="es-ES"/>
        </w:rPr>
        <w:t>distrito de la moda</w:t>
      </w:r>
      <w:r w:rsidRPr="007226D7">
        <w:rPr>
          <w:rFonts w:cs="Arial"/>
          <w:lang w:val="es-ES"/>
        </w:rPr>
        <w:t xml:space="preserve">, </w:t>
      </w:r>
      <w:r w:rsidRPr="007226D7">
        <w:rPr>
          <w:rStyle w:val="hps"/>
          <w:rFonts w:cs="Arial"/>
          <w:lang w:val="es-ES"/>
        </w:rPr>
        <w:t>con miles de tiendas de tamaño pequeño y medio y centros comerciales repartidos en 20 bloques de venta</w:t>
      </w:r>
      <w:r w:rsidRPr="007226D7">
        <w:rPr>
          <w:rFonts w:cs="Arial"/>
          <w:lang w:val="es-ES"/>
        </w:rPr>
        <w:t>. En la actualidad, La Victoria se está convirtiendo en zona financiera. Varias empresas comerciales y de transporte terrestre ubican sus sedes en esta zona.</w:t>
      </w:r>
    </w:p>
    <w:p w:rsidR="008A37E4" w:rsidRPr="007226D7" w:rsidRDefault="008A37E4" w:rsidP="00BB081C">
      <w:pPr>
        <w:pStyle w:val="Heading6"/>
        <w:rPr>
          <w:b/>
        </w:rPr>
      </w:pPr>
      <w:r w:rsidRPr="007226D7">
        <w:t>LIMA</w:t>
      </w:r>
      <w:r w:rsidRPr="007226D7">
        <w:rPr>
          <w:b/>
        </w:rPr>
        <w:t xml:space="preserve"> </w:t>
      </w:r>
      <w:r w:rsidRPr="007226D7">
        <w:t>CERCADO</w:t>
      </w:r>
    </w:p>
    <w:p w:rsidR="008A37E4" w:rsidRPr="007226D7" w:rsidRDefault="008A37E4" w:rsidP="008A37E4">
      <w:pPr>
        <w:rPr>
          <w:rFonts w:cs="Arial"/>
          <w:lang w:val="es-ES"/>
        </w:rPr>
      </w:pPr>
      <w:r w:rsidRPr="007226D7">
        <w:rPr>
          <w:rFonts w:cs="Arial"/>
          <w:lang w:val="es-ES"/>
        </w:rPr>
        <w:t xml:space="preserve">El </w:t>
      </w:r>
      <w:r w:rsidRPr="007226D7">
        <w:rPr>
          <w:rFonts w:cs="Arial"/>
          <w:bCs/>
          <w:lang w:val="es-ES"/>
        </w:rPr>
        <w:t>distrito peruano de Lima</w:t>
      </w:r>
      <w:r w:rsidRPr="007226D7">
        <w:rPr>
          <w:rFonts w:cs="Arial"/>
          <w:lang w:val="es-ES"/>
        </w:rPr>
        <w:t xml:space="preserve"> o </w:t>
      </w:r>
      <w:r w:rsidRPr="007226D7">
        <w:rPr>
          <w:rFonts w:cs="Arial"/>
          <w:bCs/>
          <w:lang w:val="es-ES"/>
        </w:rPr>
        <w:t>Cercado de Lima</w:t>
      </w:r>
      <w:r w:rsidRPr="007226D7">
        <w:rPr>
          <w:rFonts w:cs="Arial"/>
          <w:lang w:val="es-ES"/>
        </w:rPr>
        <w:t xml:space="preserve"> (también conocido informalmente como </w:t>
      </w:r>
      <w:r w:rsidRPr="007226D7">
        <w:rPr>
          <w:rFonts w:cs="Arial"/>
          <w:bCs/>
          <w:lang w:val="es-ES"/>
        </w:rPr>
        <w:t>Centro de Lima</w:t>
      </w:r>
      <w:r w:rsidRPr="007226D7">
        <w:rPr>
          <w:rFonts w:cs="Arial"/>
          <w:lang w:val="es-ES"/>
        </w:rPr>
        <w:t xml:space="preserve"> o </w:t>
      </w:r>
      <w:r w:rsidRPr="007226D7">
        <w:rPr>
          <w:rFonts w:cs="Arial"/>
          <w:bCs/>
          <w:lang w:val="es-ES"/>
        </w:rPr>
        <w:t>Lima Centro</w:t>
      </w:r>
      <w:r w:rsidRPr="007226D7">
        <w:rPr>
          <w:rFonts w:cs="Arial"/>
          <w:lang w:val="es-ES"/>
        </w:rPr>
        <w:t>), es el primer distrito que se creó a partir de la Ciudad de los Reyes, actualmente Lima. Posee zonas muy diferenciadas entre sí, tales como los tradicionales "Barrios Altos", la residencial "Santa Beatriz", el muy turístico "Centro Histórico", la "Zona Industrial de Lima" y las urbanizaciones residenciales. También cuenta con algunas huacas (sitios arqueológicos generalmente piramidales, propios del Perú). Las más importantes instituciones públicas del Perú tienen su sede principal en el distrito del Cercado de Lima. También están presentes muchas instituciones privadas y Museos.</w:t>
      </w:r>
    </w:p>
    <w:p w:rsidR="008A37E4" w:rsidRPr="007226D7" w:rsidRDefault="008A37E4" w:rsidP="008A37E4">
      <w:pPr>
        <w:rPr>
          <w:rFonts w:cs="Arial"/>
          <w:lang w:val="es-ES"/>
        </w:rPr>
      </w:pPr>
      <w:r w:rsidRPr="007226D7">
        <w:rPr>
          <w:rFonts w:cs="Arial"/>
          <w:lang w:val="es-ES"/>
        </w:rPr>
        <w:t>En los últimos años se han realizados obras de intervención urbana, para el mejoramiento y relanzamiento del distrito, pretendiendo convertir la antigua "Zona Industrial de Lima" en un área de uso residencial de densidad media, apoyados en el proyecto "Mi Vivienda" que promueve el Ministerio de Vivienda.</w:t>
      </w:r>
    </w:p>
    <w:p w:rsidR="008A37E4" w:rsidRPr="007226D7" w:rsidRDefault="008A37E4" w:rsidP="00BB081C">
      <w:pPr>
        <w:pStyle w:val="Heading6"/>
      </w:pPr>
      <w:r w:rsidRPr="007226D7">
        <w:t>JESUS MARIA</w:t>
      </w:r>
    </w:p>
    <w:p w:rsidR="008A37E4" w:rsidRPr="007226D7" w:rsidRDefault="008A37E4" w:rsidP="008A37E4">
      <w:pPr>
        <w:rPr>
          <w:rStyle w:val="hps"/>
          <w:rFonts w:cs="Arial"/>
          <w:lang w:val="es-ES"/>
        </w:rPr>
      </w:pPr>
      <w:r w:rsidRPr="007226D7">
        <w:rPr>
          <w:rStyle w:val="hps"/>
          <w:rFonts w:cs="Arial"/>
          <w:lang w:val="es-ES"/>
        </w:rPr>
        <w:t>Jesús María se encuentra al sur oeste del centro de la ciudad de Lima. Hoy es un</w:t>
      </w:r>
      <w:r w:rsidRPr="007226D7">
        <w:rPr>
          <w:rFonts w:cs="Arial"/>
          <w:lang w:val="es-ES"/>
        </w:rPr>
        <w:t xml:space="preserve"> distrito </w:t>
      </w:r>
      <w:r w:rsidRPr="007226D7">
        <w:rPr>
          <w:rStyle w:val="hps"/>
          <w:rFonts w:cs="Arial"/>
          <w:lang w:val="es-ES"/>
        </w:rPr>
        <w:t>de alta densidad con las primeras posiciones en el Índice de Desarrollo Humano</w:t>
      </w:r>
      <w:r w:rsidRPr="007226D7">
        <w:rPr>
          <w:rFonts w:cs="Arial"/>
          <w:lang w:val="es-ES"/>
        </w:rPr>
        <w:t>.</w:t>
      </w:r>
      <w:r w:rsidRPr="007226D7">
        <w:rPr>
          <w:rStyle w:val="hps"/>
          <w:rFonts w:cs="Arial"/>
          <w:lang w:val="es-ES"/>
        </w:rPr>
        <w:t xml:space="preserve"> En este barrio se encuentran el Ministerio de Trabajo, Salud y Agricultura</w:t>
      </w:r>
      <w:r w:rsidRPr="007226D7">
        <w:rPr>
          <w:rFonts w:cs="Arial"/>
          <w:lang w:val="es-ES"/>
        </w:rPr>
        <w:t xml:space="preserve">, las embajadas </w:t>
      </w:r>
      <w:r w:rsidRPr="007226D7">
        <w:rPr>
          <w:rStyle w:val="hps"/>
          <w:rFonts w:cs="Arial"/>
          <w:lang w:val="es-ES"/>
        </w:rPr>
        <w:t>y consulados</w:t>
      </w:r>
      <w:r w:rsidRPr="007226D7">
        <w:rPr>
          <w:rFonts w:cs="Arial"/>
          <w:lang w:val="es-ES"/>
        </w:rPr>
        <w:t xml:space="preserve">, </w:t>
      </w:r>
      <w:r w:rsidRPr="007226D7">
        <w:rPr>
          <w:rStyle w:val="hps"/>
          <w:rFonts w:cs="Arial"/>
          <w:lang w:val="es-ES"/>
        </w:rPr>
        <w:t>la Nunciatura Apostólica</w:t>
      </w:r>
      <w:r w:rsidRPr="007226D7">
        <w:rPr>
          <w:rFonts w:cs="Arial"/>
          <w:lang w:val="es-ES"/>
        </w:rPr>
        <w:t xml:space="preserve">, </w:t>
      </w:r>
      <w:r w:rsidRPr="007226D7">
        <w:rPr>
          <w:rStyle w:val="hps"/>
          <w:rFonts w:cs="Arial"/>
          <w:lang w:val="es-ES"/>
        </w:rPr>
        <w:t>otras instituciones públicas</w:t>
      </w:r>
      <w:r w:rsidRPr="007226D7">
        <w:rPr>
          <w:rFonts w:cs="Arial"/>
          <w:lang w:val="es-ES"/>
        </w:rPr>
        <w:t xml:space="preserve">, </w:t>
      </w:r>
      <w:r w:rsidRPr="007226D7">
        <w:rPr>
          <w:rStyle w:val="hps"/>
          <w:rFonts w:cs="Arial"/>
          <w:lang w:val="es-ES"/>
        </w:rPr>
        <w:t>escuelas y universidades.</w:t>
      </w:r>
    </w:p>
    <w:p w:rsidR="008A37E4" w:rsidRPr="007226D7" w:rsidRDefault="008A37E4" w:rsidP="00BB081C">
      <w:pPr>
        <w:pStyle w:val="Heading6"/>
        <w:rPr>
          <w:b/>
        </w:rPr>
      </w:pPr>
      <w:r w:rsidRPr="007226D7">
        <w:t>BREÑA</w:t>
      </w:r>
    </w:p>
    <w:p w:rsidR="008A37E4" w:rsidRPr="007226D7" w:rsidRDefault="008A37E4" w:rsidP="008A37E4">
      <w:pPr>
        <w:rPr>
          <w:rStyle w:val="hps"/>
          <w:rFonts w:cs="Arial"/>
          <w:lang w:val="es-ES"/>
        </w:rPr>
      </w:pPr>
      <w:r w:rsidRPr="007226D7">
        <w:rPr>
          <w:lang w:val="es-ES"/>
        </w:rPr>
        <w:t xml:space="preserve">Breña, es el segundo distrito más pequeño de Lima, se encuentra localizada en el centro del casco urbano de Lima Metropolitana, muy próxima al </w:t>
      </w:r>
      <w:hyperlink r:id="rId112" w:tooltip="Centro histórico de Lima" w:history="1">
        <w:r w:rsidRPr="007226D7">
          <w:rPr>
            <w:lang w:val="es-ES"/>
          </w:rPr>
          <w:t>centro histórico de Lima</w:t>
        </w:r>
      </w:hyperlink>
      <w:r w:rsidRPr="007226D7">
        <w:rPr>
          <w:lang w:val="es-ES"/>
        </w:rPr>
        <w:t xml:space="preserve"> y a la zona industrial de ésta. Después de su creación oficial en 1949, Breña fue diseñado para</w:t>
      </w:r>
      <w:r w:rsidRPr="007226D7">
        <w:rPr>
          <w:rStyle w:val="hps"/>
          <w:rFonts w:cs="Arial"/>
          <w:lang w:val="es-ES"/>
        </w:rPr>
        <w:t xml:space="preserve"> ser una zona de gran industria con fábricas y barrios de trabajo. Pero sólo una década más tarde el distrito perdió casi la mitad de su área para el distrito de Cercado de Lima (</w:t>
      </w:r>
      <w:r w:rsidRPr="007226D7">
        <w:rPr>
          <w:lang w:val="es-ES"/>
        </w:rPr>
        <w:t xml:space="preserve">Lima </w:t>
      </w:r>
      <w:r w:rsidRPr="007226D7">
        <w:rPr>
          <w:rStyle w:val="hps"/>
          <w:rFonts w:cs="Arial"/>
          <w:lang w:val="es-ES"/>
        </w:rPr>
        <w:t>Centro</w:t>
      </w:r>
      <w:r w:rsidRPr="007226D7">
        <w:rPr>
          <w:lang w:val="es-ES"/>
        </w:rPr>
        <w:t xml:space="preserve">) </w:t>
      </w:r>
      <w:r w:rsidRPr="007226D7">
        <w:rPr>
          <w:rStyle w:val="hps"/>
          <w:rFonts w:cs="Arial"/>
          <w:lang w:val="es-ES"/>
        </w:rPr>
        <w:t>y nunca se acercó a las expectativas. Como muchos otros distritos de Lima, Breña está mejorando, pero todavía hay algunas zonas muy poco fiables.</w:t>
      </w:r>
    </w:p>
    <w:p w:rsidR="008A37E4" w:rsidRPr="007226D7" w:rsidRDefault="008A37E4" w:rsidP="008A37E4">
      <w:pPr>
        <w:rPr>
          <w:rStyle w:val="hps"/>
          <w:rFonts w:cs="Arial"/>
          <w:lang w:val="es-ES"/>
        </w:rPr>
      </w:pPr>
    </w:p>
    <w:p w:rsidR="008A37E4" w:rsidRPr="007226D7" w:rsidRDefault="008A37E4" w:rsidP="008A37E4">
      <w:pPr>
        <w:rPr>
          <w:rStyle w:val="hps"/>
          <w:rFonts w:cs="Arial"/>
          <w:lang w:val="es-ES"/>
        </w:rPr>
      </w:pPr>
    </w:p>
    <w:p w:rsidR="008A37E4" w:rsidRPr="007226D7" w:rsidRDefault="008A37E4" w:rsidP="00BB081C">
      <w:pPr>
        <w:pStyle w:val="Heading6"/>
      </w:pPr>
      <w:r w:rsidRPr="007226D7">
        <w:lastRenderedPageBreak/>
        <w:t>PUEBLO LIBRE</w:t>
      </w:r>
    </w:p>
    <w:p w:rsidR="008A37E4" w:rsidRPr="007226D7" w:rsidRDefault="008A37E4" w:rsidP="008A37E4">
      <w:pPr>
        <w:rPr>
          <w:rStyle w:val="hps"/>
          <w:rFonts w:cs="Arial"/>
          <w:lang w:val="es-ES"/>
        </w:rPr>
      </w:pPr>
      <w:r w:rsidRPr="007226D7">
        <w:rPr>
          <w:rStyle w:val="hps"/>
          <w:rFonts w:cs="Arial"/>
          <w:lang w:val="es-ES"/>
        </w:rPr>
        <w:t>El distrito de Pueblo Libre se encuentra a sólo 4km de la ciudad de Lima Centro</w:t>
      </w:r>
      <w:r w:rsidRPr="007226D7">
        <w:rPr>
          <w:rFonts w:cs="Arial"/>
          <w:lang w:val="es-ES"/>
        </w:rPr>
        <w:t xml:space="preserve">, </w:t>
      </w:r>
      <w:r w:rsidRPr="007226D7">
        <w:rPr>
          <w:rStyle w:val="hps"/>
          <w:rFonts w:cs="Arial"/>
          <w:lang w:val="es-ES"/>
        </w:rPr>
        <w:t>fundado en 1557 con el nombre de Magdalena Vieja</w:t>
      </w:r>
      <w:r w:rsidRPr="007226D7">
        <w:rPr>
          <w:rFonts w:cs="Arial"/>
          <w:lang w:val="es-ES"/>
        </w:rPr>
        <w:t xml:space="preserve">. </w:t>
      </w:r>
      <w:r w:rsidRPr="007226D7">
        <w:rPr>
          <w:rStyle w:val="hps"/>
          <w:rFonts w:cs="Arial"/>
          <w:lang w:val="es-ES"/>
        </w:rPr>
        <w:t>Pueblo Libre es un distrito residencial con numerosos parques y algunas hermosas mansiones restauradas en la época colonial y republicana</w:t>
      </w:r>
      <w:r w:rsidRPr="007226D7">
        <w:rPr>
          <w:rFonts w:cs="Arial"/>
          <w:lang w:val="es-ES"/>
        </w:rPr>
        <w:t xml:space="preserve">. </w:t>
      </w:r>
      <w:r w:rsidRPr="007226D7">
        <w:rPr>
          <w:rStyle w:val="hps"/>
          <w:rFonts w:cs="Arial"/>
          <w:lang w:val="es-ES"/>
        </w:rPr>
        <w:t>Una de las atracciones más antiguas de Pueblo Libre es "</w:t>
      </w:r>
      <w:r w:rsidRPr="007226D7">
        <w:rPr>
          <w:rFonts w:cs="Arial"/>
          <w:lang w:val="es-ES"/>
        </w:rPr>
        <w:t xml:space="preserve">La Cruz </w:t>
      </w:r>
      <w:r w:rsidRPr="007226D7">
        <w:rPr>
          <w:rStyle w:val="hps"/>
          <w:rFonts w:cs="Arial"/>
          <w:lang w:val="es-ES"/>
        </w:rPr>
        <w:t>del Viajero</w:t>
      </w:r>
      <w:r w:rsidRPr="007226D7">
        <w:rPr>
          <w:rFonts w:cs="Arial"/>
          <w:lang w:val="es-ES"/>
        </w:rPr>
        <w:t xml:space="preserve">" </w:t>
      </w:r>
      <w:r w:rsidRPr="007226D7">
        <w:rPr>
          <w:rStyle w:val="hps"/>
          <w:rFonts w:cs="Arial"/>
          <w:lang w:val="es-ES"/>
        </w:rPr>
        <w:t>(</w:t>
      </w:r>
      <w:r w:rsidRPr="007226D7">
        <w:rPr>
          <w:rFonts w:cs="Arial"/>
          <w:lang w:val="es-ES"/>
        </w:rPr>
        <w:t xml:space="preserve">La cruz </w:t>
      </w:r>
      <w:r w:rsidRPr="007226D7">
        <w:rPr>
          <w:rStyle w:val="hps"/>
          <w:rFonts w:cs="Arial"/>
          <w:lang w:val="es-ES"/>
        </w:rPr>
        <w:t>del viajero</w:t>
      </w:r>
      <w:r w:rsidRPr="007226D7">
        <w:rPr>
          <w:rFonts w:cs="Arial"/>
          <w:lang w:val="es-ES"/>
        </w:rPr>
        <w:t xml:space="preserve">). </w:t>
      </w:r>
      <w:r w:rsidRPr="007226D7">
        <w:rPr>
          <w:rStyle w:val="hps"/>
          <w:rFonts w:cs="Arial"/>
          <w:lang w:val="es-ES"/>
        </w:rPr>
        <w:t>Fue colocada por los monjes franciscanos en 1672. En Pueblo Libre se encuentran dos de los mejores museos de Lima: El Museo Nacional de Arqueología</w:t>
      </w:r>
      <w:r w:rsidRPr="007226D7">
        <w:rPr>
          <w:rFonts w:cs="Arial"/>
          <w:lang w:val="es-ES"/>
        </w:rPr>
        <w:t xml:space="preserve">, </w:t>
      </w:r>
      <w:r w:rsidRPr="007226D7">
        <w:rPr>
          <w:rStyle w:val="hps"/>
          <w:rFonts w:cs="Arial"/>
          <w:lang w:val="es-ES"/>
        </w:rPr>
        <w:t>Antropología e Historia del Perú</w:t>
      </w:r>
      <w:r w:rsidRPr="007226D7">
        <w:rPr>
          <w:rFonts w:cs="Arial"/>
          <w:lang w:val="es-ES"/>
        </w:rPr>
        <w:t xml:space="preserve">, lo más antiguo </w:t>
      </w:r>
      <w:r w:rsidRPr="007226D7">
        <w:rPr>
          <w:rStyle w:val="hps"/>
          <w:rFonts w:cs="Arial"/>
          <w:lang w:val="es-ES"/>
        </w:rPr>
        <w:t>de Perú</w:t>
      </w:r>
      <w:r w:rsidRPr="007226D7">
        <w:rPr>
          <w:rFonts w:cs="Arial"/>
          <w:lang w:val="es-ES"/>
        </w:rPr>
        <w:t xml:space="preserve"> y </w:t>
      </w:r>
      <w:r w:rsidRPr="007226D7">
        <w:rPr>
          <w:rStyle w:val="hps"/>
          <w:rFonts w:cs="Arial"/>
          <w:lang w:val="es-ES"/>
        </w:rPr>
        <w:t>el Museo Larco.</w:t>
      </w:r>
    </w:p>
    <w:p w:rsidR="008A37E4" w:rsidRPr="007226D7" w:rsidRDefault="008A37E4" w:rsidP="00BB081C">
      <w:pPr>
        <w:pStyle w:val="Heading6"/>
        <w:rPr>
          <w:rStyle w:val="hps"/>
          <w:rFonts w:cs="Arial"/>
        </w:rPr>
      </w:pPr>
      <w:r w:rsidRPr="007226D7">
        <w:rPr>
          <w:rStyle w:val="hps"/>
        </w:rPr>
        <w:t>SAN</w:t>
      </w:r>
      <w:r w:rsidRPr="007226D7">
        <w:rPr>
          <w:rStyle w:val="hps"/>
          <w:rFonts w:cs="Arial"/>
        </w:rPr>
        <w:t xml:space="preserve"> MIGUEL</w:t>
      </w:r>
    </w:p>
    <w:p w:rsidR="008A37E4" w:rsidRPr="007226D7" w:rsidRDefault="008A37E4" w:rsidP="008A37E4">
      <w:pPr>
        <w:rPr>
          <w:rFonts w:cs="Arial"/>
          <w:lang w:val="es-ES"/>
        </w:rPr>
      </w:pPr>
      <w:r w:rsidRPr="007226D7">
        <w:rPr>
          <w:rStyle w:val="hps"/>
          <w:rFonts w:cs="Arial"/>
          <w:lang w:val="es-ES"/>
        </w:rPr>
        <w:t>San Miguel está a medio camino entre el centro de la ciudad de Lima y Callao</w:t>
      </w:r>
      <w:r w:rsidRPr="007226D7">
        <w:rPr>
          <w:rFonts w:cs="Arial"/>
          <w:lang w:val="es-ES"/>
        </w:rPr>
        <w:t xml:space="preserve">, </w:t>
      </w:r>
      <w:r w:rsidRPr="007226D7">
        <w:rPr>
          <w:rStyle w:val="hps"/>
          <w:rFonts w:cs="Arial"/>
          <w:lang w:val="es-ES"/>
        </w:rPr>
        <w:t>directamente en el Océano Pacífico</w:t>
      </w:r>
      <w:r w:rsidRPr="007226D7">
        <w:rPr>
          <w:rFonts w:cs="Arial"/>
          <w:lang w:val="es-ES"/>
        </w:rPr>
        <w:t xml:space="preserve">. </w:t>
      </w:r>
      <w:r w:rsidRPr="007226D7">
        <w:rPr>
          <w:rStyle w:val="hps"/>
          <w:rFonts w:cs="Arial"/>
          <w:lang w:val="es-ES"/>
        </w:rPr>
        <w:t>Desde 1920 hasta la década de 1960 fue un distrito turístico. Hoy en día es una zona residencial de la clase media. Importantes centros económicos son la Av. La Marina, donde se encuentra la Plaza San Miguel</w:t>
      </w:r>
      <w:r w:rsidRPr="007226D7">
        <w:rPr>
          <w:rFonts w:cs="Arial"/>
          <w:lang w:val="es-ES"/>
        </w:rPr>
        <w:t xml:space="preserve">, Av. </w:t>
      </w:r>
      <w:r w:rsidRPr="007226D7">
        <w:rPr>
          <w:rStyle w:val="hps"/>
          <w:rFonts w:cs="Arial"/>
          <w:lang w:val="es-ES"/>
        </w:rPr>
        <w:t>Elmer Faucett</w:t>
      </w:r>
      <w:r w:rsidRPr="007226D7">
        <w:rPr>
          <w:rFonts w:cs="Arial"/>
          <w:lang w:val="es-ES"/>
        </w:rPr>
        <w:t xml:space="preserve">, </w:t>
      </w:r>
      <w:r w:rsidRPr="007226D7">
        <w:rPr>
          <w:rStyle w:val="hps"/>
          <w:rFonts w:cs="Arial"/>
          <w:lang w:val="es-ES"/>
        </w:rPr>
        <w:t>el camino hacia el aeropuerto internacional de Limay Av. Universitaria</w:t>
      </w:r>
      <w:r w:rsidRPr="007226D7">
        <w:rPr>
          <w:rFonts w:cs="Arial"/>
          <w:lang w:val="es-ES"/>
        </w:rPr>
        <w:t xml:space="preserve">, </w:t>
      </w:r>
      <w:r w:rsidRPr="007226D7">
        <w:rPr>
          <w:rStyle w:val="hps"/>
          <w:rFonts w:cs="Arial"/>
          <w:lang w:val="es-ES"/>
        </w:rPr>
        <w:t>donde está ubicada la Pontificia Universidad Católica del Perú.</w:t>
      </w:r>
    </w:p>
    <w:p w:rsidR="008A37E4" w:rsidRPr="007226D7" w:rsidRDefault="008A37E4" w:rsidP="00BB081C">
      <w:pPr>
        <w:pStyle w:val="Heading6"/>
      </w:pPr>
      <w:r w:rsidRPr="007226D7">
        <w:t>BELLAVISTA</w:t>
      </w:r>
    </w:p>
    <w:p w:rsidR="008A37E4" w:rsidRPr="007226D7" w:rsidRDefault="008A37E4" w:rsidP="008A37E4">
      <w:pPr>
        <w:rPr>
          <w:rFonts w:cs="Arial"/>
          <w:lang w:val="es-ES"/>
        </w:rPr>
      </w:pPr>
      <w:r w:rsidRPr="007226D7">
        <w:rPr>
          <w:rFonts w:cs="Arial"/>
          <w:lang w:val="es-ES"/>
        </w:rPr>
        <w:t>El distrito es uno de los pocos de la metrópoli en poseer una forma regular, pues se presenta como un rectángulo cuya base está alineada con el eje de la Av. Venezuela, en el límite sur que se establece esta vía con el distrito de La Perla y el distrito limeño de San Miguel. Este distrito es sede de dos importantes hospitales y en su territorio también se encuentra la sede oficial del Gobierno Regional del Callao y de la Universidad Nacional del Callao.</w:t>
      </w:r>
    </w:p>
    <w:p w:rsidR="008A37E4" w:rsidRPr="007226D7" w:rsidRDefault="008A37E4" w:rsidP="00BB081C">
      <w:pPr>
        <w:pStyle w:val="Heading6"/>
      </w:pPr>
      <w:r w:rsidRPr="007226D7">
        <w:t>CALLAO</w:t>
      </w:r>
    </w:p>
    <w:p w:rsidR="008A37E4" w:rsidRPr="007226D7" w:rsidRDefault="008A37E4" w:rsidP="008A37E4">
      <w:pPr>
        <w:rPr>
          <w:rFonts w:cs="Arial"/>
          <w:szCs w:val="22"/>
          <w:lang w:val="es-ES"/>
        </w:rPr>
      </w:pPr>
      <w:r w:rsidRPr="007226D7">
        <w:rPr>
          <w:rFonts w:cs="Arial"/>
          <w:szCs w:val="22"/>
          <w:lang w:val="es-ES"/>
        </w:rPr>
        <w:t xml:space="preserve">El </w:t>
      </w:r>
      <w:r w:rsidRPr="007226D7">
        <w:rPr>
          <w:rFonts w:cs="Arial"/>
          <w:bCs/>
          <w:szCs w:val="22"/>
          <w:lang w:val="es-ES"/>
        </w:rPr>
        <w:t>distrito del Callao</w:t>
      </w:r>
      <w:r w:rsidRPr="007226D7">
        <w:rPr>
          <w:rFonts w:cs="Arial"/>
          <w:szCs w:val="22"/>
          <w:lang w:val="es-ES"/>
        </w:rPr>
        <w:t xml:space="preserve"> es uno de los seis distritos que conforman la Provincia Constitucional del Callao En su circunscripción se encuentran las instalaciones del Puerto del Callao, primer puerto del Perú, y del Aeropuerto Internacional Jorge Chávez, primer terminal aéreo del país. Al tener el principal terminal aéreo y marítimo del país, El Callao se constituye virtualmente en la puerta de entrada al Perú.</w:t>
      </w:r>
    </w:p>
    <w:p w:rsidR="008A37E4" w:rsidRPr="007226D7" w:rsidRDefault="008A37E4" w:rsidP="00BB081C">
      <w:pPr>
        <w:pStyle w:val="Heading6"/>
      </w:pPr>
      <w:r w:rsidRPr="007226D7">
        <w:t>LA PERLA</w:t>
      </w:r>
    </w:p>
    <w:p w:rsidR="008A37E4" w:rsidRPr="007226D7" w:rsidRDefault="008A37E4" w:rsidP="008A37E4">
      <w:pPr>
        <w:spacing w:after="0"/>
        <w:rPr>
          <w:rFonts w:cs="Arial"/>
        </w:rPr>
      </w:pPr>
      <w:r w:rsidRPr="007226D7">
        <w:rPr>
          <w:rStyle w:val="initial"/>
          <w:rFonts w:cs="Arial"/>
          <w:lang w:val="es-ES"/>
        </w:rPr>
        <w:t>L</w:t>
      </w:r>
      <w:r w:rsidRPr="007226D7">
        <w:rPr>
          <w:rFonts w:cs="Arial"/>
          <w:lang w:val="es-ES"/>
        </w:rPr>
        <w:t>a Perla es uno de los seis distritos que constituyen la Provincia Constitucional del Callao y s</w:t>
      </w:r>
      <w:r w:rsidRPr="007226D7">
        <w:rPr>
          <w:rStyle w:val="hps"/>
          <w:rFonts w:cs="Arial"/>
          <w:lang w:val="es-ES"/>
        </w:rPr>
        <w:t>e encuentra directamente en el Océano Pacífico</w:t>
      </w:r>
      <w:r w:rsidRPr="007226D7">
        <w:rPr>
          <w:rFonts w:cs="Arial"/>
          <w:lang w:val="es-ES"/>
        </w:rPr>
        <w:t xml:space="preserve">, al sur </w:t>
      </w:r>
      <w:r w:rsidRPr="007226D7">
        <w:rPr>
          <w:rStyle w:val="hps"/>
          <w:rFonts w:cs="Arial"/>
          <w:lang w:val="es-ES"/>
        </w:rPr>
        <w:t>de la ciudad del Callao.</w:t>
      </w:r>
      <w:r w:rsidRPr="007226D7">
        <w:rPr>
          <w:rFonts w:cs="Arial"/>
          <w:lang w:val="es-ES"/>
        </w:rPr>
        <w:t xml:space="preserve"> La Perla fue establecida oficialmente como distrito de la Provincia Constitucional del Callao en el 1964. A partir de ese momento, el distrito se desarrolló en una zona urbana y comercial. </w:t>
      </w:r>
      <w:r w:rsidRPr="007226D7">
        <w:rPr>
          <w:rFonts w:cs="Arial"/>
        </w:rPr>
        <w:t>La Perla sigue siendo un lugar residencial y turístico.</w:t>
      </w:r>
    </w:p>
    <w:p w:rsidR="008A37E4" w:rsidRPr="007226D7" w:rsidRDefault="008A37E4" w:rsidP="00BB081C">
      <w:pPr>
        <w:pStyle w:val="Heading6"/>
      </w:pPr>
      <w:r w:rsidRPr="007226D7">
        <w:t>CARMEN DE LA LEGUA</w:t>
      </w:r>
    </w:p>
    <w:p w:rsidR="008A37E4" w:rsidRPr="007226D7" w:rsidRDefault="008A37E4" w:rsidP="008A37E4">
      <w:pPr>
        <w:spacing w:after="0"/>
        <w:rPr>
          <w:rFonts w:cs="Arial"/>
          <w:lang w:val="es-ES"/>
        </w:rPr>
      </w:pPr>
      <w:r w:rsidRPr="007226D7">
        <w:rPr>
          <w:rFonts w:cs="Arial"/>
          <w:lang w:val="es-ES"/>
        </w:rPr>
        <w:t>Fue creado en el 1964 y está ubicado en la margen izquierda del Río Rímac. En Carmen de la Legua se encuentran algunos importantes museos navales como el Museo Naval y Marítimo del Perú y el Museo de la Fuerza de Submarinos.</w:t>
      </w:r>
    </w:p>
    <w:p w:rsidR="008A37E4" w:rsidRPr="007226D7" w:rsidRDefault="008A37E4" w:rsidP="008A37E4">
      <w:pPr>
        <w:spacing w:after="0"/>
        <w:rPr>
          <w:rFonts w:cs="Arial"/>
          <w:lang w:val="es-ES"/>
        </w:rPr>
      </w:pPr>
    </w:p>
    <w:p w:rsidR="008A37E4" w:rsidRPr="007226D7" w:rsidRDefault="008A37E4" w:rsidP="008A37E4">
      <w:pPr>
        <w:spacing w:after="0"/>
        <w:rPr>
          <w:rFonts w:cs="Arial"/>
          <w:lang w:val="es-ES"/>
        </w:rPr>
      </w:pPr>
    </w:p>
    <w:p w:rsidR="008A37E4" w:rsidRPr="007226D7" w:rsidRDefault="008A37E4" w:rsidP="00BB081C">
      <w:pPr>
        <w:pStyle w:val="Heading5"/>
        <w:rPr>
          <w:lang w:val="es-ES"/>
        </w:rPr>
      </w:pPr>
      <w:bookmarkStart w:id="37" w:name="_Toc341644984"/>
      <w:r w:rsidRPr="007226D7">
        <w:rPr>
          <w:lang w:val="es-ES"/>
        </w:rPr>
        <w:lastRenderedPageBreak/>
        <w:t>Situación y problemática actual del servicio de transporte público en el corredor este – oeste</w:t>
      </w:r>
      <w:bookmarkEnd w:id="37"/>
    </w:p>
    <w:p w:rsidR="008A37E4" w:rsidRPr="007226D7" w:rsidRDefault="008A37E4" w:rsidP="008A37E4">
      <w:pPr>
        <w:rPr>
          <w:lang w:val="es-ES"/>
        </w:rPr>
      </w:pPr>
      <w:r w:rsidRPr="007226D7">
        <w:rPr>
          <w:lang w:val="es-ES"/>
        </w:rPr>
        <w:t xml:space="preserve">Respecto al tiempo de viaje en el corredor, periodos prolongados de viaje principalmente en horas punta, afectan a los usuarios de transporte público, los cuales se ve en la obligación de gastar una parte importante de su tiempo para el uso del servicio, tiempo que podría ser dedicado a otras actividades productivas. </w:t>
      </w:r>
    </w:p>
    <w:p w:rsidR="008A37E4" w:rsidRPr="007226D7" w:rsidRDefault="008A37E4" w:rsidP="008A37E4">
      <w:pPr>
        <w:rPr>
          <w:lang w:val="es-ES"/>
        </w:rPr>
      </w:pPr>
      <w:r w:rsidRPr="007226D7">
        <w:rPr>
          <w:lang w:val="es-ES"/>
        </w:rPr>
        <w:t>Según estudios de campo efectuado, existen tramos del corredor donde la velocidad comercial de los buses se reduce grandemente, incluso llegando a velocidades menores a 12 km/h, lo cual origina tiempos de viaje por encima de 60 minutos para los viajes largos. Sobre la calidad del servicio. Cabe señalar que presenta niveles bajos, debido principalmente a las unidades antiguas que se utilizan para el servicio y a la falta de mantenimiento de los mismos. Asimismo, se presentan externalidades negativas para la población como son los altos índices de accidentes en el corredor y los niveles altos de contaminación ambiental.</w:t>
      </w:r>
    </w:p>
    <w:p w:rsidR="008A37E4" w:rsidRPr="007226D7" w:rsidRDefault="008A37E4" w:rsidP="008A37E4">
      <w:pPr>
        <w:rPr>
          <w:lang w:val="es-ES"/>
        </w:rPr>
      </w:pPr>
      <w:r w:rsidRPr="007226D7">
        <w:rPr>
          <w:lang w:val="es-ES"/>
        </w:rPr>
        <w:t>Más precisamente, se reportan algunas de las mediciones de los tiempos de viaje observados en el mes de mayo de 2012 en el corredor.</w:t>
      </w:r>
    </w:p>
    <w:p w:rsidR="008A37E4" w:rsidRPr="007226D7" w:rsidRDefault="008A37E4" w:rsidP="008A37E4">
      <w:pPr>
        <w:jc w:val="center"/>
        <w:rPr>
          <w:lang w:val="es-ES"/>
        </w:rPr>
      </w:pPr>
    </w:p>
    <w:p w:rsidR="008A37E4" w:rsidRPr="007226D7" w:rsidRDefault="008A37E4" w:rsidP="008A37E4">
      <w:r w:rsidRPr="007226D7">
        <w:rPr>
          <w:noProof/>
          <w:lang w:val="en-US" w:eastAsia="en-US"/>
        </w:rPr>
        <w:drawing>
          <wp:inline distT="0" distB="0" distL="0" distR="0" wp14:anchorId="110C659C" wp14:editId="23A2CF9A">
            <wp:extent cx="5949315" cy="1745615"/>
            <wp:effectExtent l="0" t="0" r="0" b="0"/>
            <wp:docPr id="742"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9315" cy="1745615"/>
                    </a:xfrm>
                    <a:prstGeom prst="rect">
                      <a:avLst/>
                    </a:prstGeom>
                    <a:noFill/>
                    <a:ln>
                      <a:noFill/>
                    </a:ln>
                  </pic:spPr>
                </pic:pic>
              </a:graphicData>
            </a:graphic>
          </wp:inline>
        </w:drawing>
      </w:r>
    </w:p>
    <w:p w:rsidR="008A37E4" w:rsidRPr="007226D7" w:rsidRDefault="008A37E4" w:rsidP="008A37E4">
      <w:pPr>
        <w:rPr>
          <w:lang w:val="es-ES"/>
        </w:rPr>
      </w:pPr>
      <w:r w:rsidRPr="007226D7">
        <w:rPr>
          <w:lang w:val="es-ES"/>
        </w:rPr>
        <w:t>Los datos son extraídos del documento “SERVICIO DE TOMA Y ANÁLISIS DE INFORMACIÓN DE MOVILIDAD PARA LA ELABORACIÓN DEL ESTUDIO DE DEMANDA DE LA LÍNEA 2 DEL METRO DE LIMA” y procesados por el Consorcio GEODATA-SERCONCULT- ESAN con referencia a la extracción de un tiempo de viaje en transporte público actualizado y realista a lo largo del eje Este-Oeste.</w:t>
      </w:r>
    </w:p>
    <w:p w:rsidR="008A37E4" w:rsidRPr="007226D7" w:rsidRDefault="008A37E4" w:rsidP="008A37E4">
      <w:pPr>
        <w:spacing w:after="0" w:line="240" w:lineRule="auto"/>
        <w:rPr>
          <w:lang w:val="es-ES"/>
        </w:rPr>
      </w:pPr>
    </w:p>
    <w:p w:rsidR="008A37E4" w:rsidRPr="007226D7" w:rsidRDefault="008A37E4" w:rsidP="008A37E4">
      <w:pPr>
        <w:rPr>
          <w:lang w:val="es-ES"/>
        </w:rPr>
      </w:pPr>
      <w:r w:rsidRPr="007226D7">
        <w:rPr>
          <w:lang w:val="es-ES"/>
        </w:rPr>
        <w:t xml:space="preserve">El resumen de los resultados es que la velocidad media (excluyendo los valores extremos), así como de observación directa en el campo es de 14,5 km / h. Se trata de un valor comercial, ya que también incluye el tiempo de inactividad. </w:t>
      </w:r>
    </w:p>
    <w:p w:rsidR="008A37E4" w:rsidRPr="007226D7" w:rsidRDefault="008A37E4" w:rsidP="008A37E4">
      <w:pPr>
        <w:rPr>
          <w:lang w:val="es-ES"/>
        </w:rPr>
      </w:pPr>
      <w:r w:rsidRPr="007226D7">
        <w:rPr>
          <w:lang w:val="es-ES"/>
        </w:rPr>
        <w:t>Para la comparación con los valores extraídos del modelo de 2015 para la situación sin el proyecto y el corredor este-oeste, consulte la sección de la demanda.</w:t>
      </w:r>
    </w:p>
    <w:p w:rsidR="008A37E4" w:rsidRPr="007226D7" w:rsidRDefault="008A37E4" w:rsidP="008A37E4">
      <w:pPr>
        <w:rPr>
          <w:lang w:val="es-ES"/>
        </w:rPr>
        <w:sectPr w:rsidR="008A37E4" w:rsidRPr="007226D7" w:rsidSect="00616C7B">
          <w:headerReference w:type="default" r:id="rId114"/>
          <w:footerReference w:type="default" r:id="rId115"/>
          <w:pgSz w:w="11907" w:h="16840" w:code="9"/>
          <w:pgMar w:top="1985" w:right="1134" w:bottom="1701" w:left="1418" w:header="720" w:footer="833" w:gutter="0"/>
          <w:paperSrc w:first="15" w:other="15"/>
          <w:cols w:space="720"/>
          <w:docGrid w:linePitch="299"/>
        </w:sectPr>
      </w:pPr>
    </w:p>
    <w:p w:rsidR="008A37E4" w:rsidRPr="007226D7" w:rsidRDefault="008A37E4" w:rsidP="008A37E4">
      <w:pPr>
        <w:rPr>
          <w:lang w:val="es-ES"/>
        </w:rPr>
      </w:pPr>
      <w:r w:rsidRPr="007226D7">
        <w:rPr>
          <w:noProof/>
          <w:lang w:val="en-US" w:eastAsia="en-US"/>
        </w:rPr>
        <w:lastRenderedPageBreak/>
        <w:drawing>
          <wp:anchor distT="0" distB="0" distL="114300" distR="114300" simplePos="0" relativeHeight="251812864" behindDoc="0" locked="0" layoutInCell="1" allowOverlap="1" wp14:anchorId="38031270" wp14:editId="68E71975">
            <wp:simplePos x="0" y="0"/>
            <wp:positionH relativeFrom="column">
              <wp:posOffset>15240</wp:posOffset>
            </wp:positionH>
            <wp:positionV relativeFrom="paragraph">
              <wp:posOffset>224790</wp:posOffset>
            </wp:positionV>
            <wp:extent cx="8353425" cy="5273675"/>
            <wp:effectExtent l="19050" t="0" r="9525" b="0"/>
            <wp:wrapTopAndBottom/>
            <wp:docPr id="77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116" cstate="print"/>
                    <a:srcRect/>
                    <a:stretch>
                      <a:fillRect/>
                    </a:stretch>
                  </pic:blipFill>
                  <pic:spPr bwMode="auto">
                    <a:xfrm>
                      <a:off x="0" y="0"/>
                      <a:ext cx="8353425" cy="5273675"/>
                    </a:xfrm>
                    <a:prstGeom prst="rect">
                      <a:avLst/>
                    </a:prstGeom>
                    <a:noFill/>
                  </pic:spPr>
                </pic:pic>
              </a:graphicData>
            </a:graphic>
          </wp:anchor>
        </w:drawing>
      </w:r>
    </w:p>
    <w:p w:rsidR="008A37E4" w:rsidRPr="007226D7" w:rsidRDefault="008A37E4" w:rsidP="008A37E4">
      <w:pPr>
        <w:rPr>
          <w:lang w:val="es-ES"/>
        </w:rPr>
      </w:pPr>
      <w:r w:rsidRPr="007226D7">
        <w:rPr>
          <w:noProof/>
          <w:lang w:val="en-US" w:eastAsia="en-US"/>
        </w:rPr>
        <w:lastRenderedPageBreak/>
        <w:drawing>
          <wp:anchor distT="0" distB="0" distL="114300" distR="114300" simplePos="0" relativeHeight="251813888" behindDoc="0" locked="0" layoutInCell="1" allowOverlap="1" wp14:anchorId="04C879AB" wp14:editId="19F058A2">
            <wp:simplePos x="0" y="0"/>
            <wp:positionH relativeFrom="column">
              <wp:posOffset>15240</wp:posOffset>
            </wp:positionH>
            <wp:positionV relativeFrom="paragraph">
              <wp:posOffset>-156210</wp:posOffset>
            </wp:positionV>
            <wp:extent cx="8353425" cy="5514975"/>
            <wp:effectExtent l="19050" t="0" r="9525" b="0"/>
            <wp:wrapTopAndBottom/>
            <wp:docPr id="772" name="Immagin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rrowheads="1"/>
                    </pic:cNvPicPr>
                  </pic:nvPicPr>
                  <pic:blipFill>
                    <a:blip r:embed="rId117" cstate="print"/>
                    <a:srcRect/>
                    <a:stretch>
                      <a:fillRect/>
                    </a:stretch>
                  </pic:blipFill>
                  <pic:spPr bwMode="auto">
                    <a:xfrm>
                      <a:off x="0" y="0"/>
                      <a:ext cx="8353425" cy="5514975"/>
                    </a:xfrm>
                    <a:prstGeom prst="rect">
                      <a:avLst/>
                    </a:prstGeom>
                    <a:noFill/>
                  </pic:spPr>
                </pic:pic>
              </a:graphicData>
            </a:graphic>
          </wp:anchor>
        </w:drawing>
      </w:r>
    </w:p>
    <w:p w:rsidR="008A37E4" w:rsidRPr="007226D7" w:rsidRDefault="008A37E4" w:rsidP="008A37E4">
      <w:pPr>
        <w:rPr>
          <w:color w:val="FF0000"/>
          <w:lang w:val="es-ES"/>
        </w:rPr>
        <w:sectPr w:rsidR="008A37E4" w:rsidRPr="007226D7" w:rsidSect="00616C7B">
          <w:headerReference w:type="default" r:id="rId118"/>
          <w:footerReference w:type="default" r:id="rId119"/>
          <w:pgSz w:w="16840" w:h="11907" w:orient="landscape" w:code="9"/>
          <w:pgMar w:top="1418" w:right="1985" w:bottom="1134" w:left="1701" w:header="720" w:footer="92" w:gutter="0"/>
          <w:paperSrc w:first="15" w:other="15"/>
          <w:cols w:space="720"/>
          <w:docGrid w:linePitch="299"/>
        </w:sectPr>
      </w:pPr>
    </w:p>
    <w:p w:rsidR="008A37E4" w:rsidRPr="007226D7" w:rsidRDefault="008A37E4" w:rsidP="00BB081C">
      <w:pPr>
        <w:pStyle w:val="Heading6"/>
      </w:pPr>
      <w:r w:rsidRPr="007226D7">
        <w:lastRenderedPageBreak/>
        <w:t>Aspectos de Infraestructura Vial</w:t>
      </w:r>
    </w:p>
    <w:p w:rsidR="008A37E4" w:rsidRPr="007226D7" w:rsidRDefault="008A37E4" w:rsidP="008A37E4">
      <w:pPr>
        <w:rPr>
          <w:lang w:val="es-ES"/>
        </w:rPr>
      </w:pPr>
      <w:r w:rsidRPr="007226D7">
        <w:rPr>
          <w:lang w:val="es-ES"/>
        </w:rPr>
        <w:t>El uso ineficiente del espacio público en el corredor con unidades pequeñas como camionetas rurales y taxis para el transporte, y la gran cantidad de micros y buses, ocasionan problemas de congestión. Se puede apreciar la existencia de varios tramos del corredor que tienen velocidades bajas de circulación. Como principales causas de esta velocidad promedio, se encuentran el sistema de control de semáforos poco eficiente, conflictos ómnibus/combi en los paraderos, empalmes hacia vías secundarias sin semáforos, falta de mantenimiento del pavimento. Asimismo, en dicho corredor hace falta facilidades para acceder al transporte público (accesos peatonales para los usuarios, paraderos adecuados, etc.), existiendo también una mala gestión del tránsito, entre otros aspectos.</w:t>
      </w:r>
    </w:p>
    <w:p w:rsidR="00262DA3" w:rsidRPr="007226D7" w:rsidRDefault="00262DA3" w:rsidP="00262DA3">
      <w:pPr>
        <w:jc w:val="center"/>
        <w:rPr>
          <w:b/>
          <w:sz w:val="16"/>
          <w:szCs w:val="16"/>
          <w:lang w:val="es-ES"/>
        </w:rPr>
      </w:pPr>
      <w:r w:rsidRPr="006C214F">
        <w:rPr>
          <w:b/>
          <w:sz w:val="16"/>
          <w:szCs w:val="16"/>
          <w:lang w:val="es-ES"/>
        </w:rPr>
        <w:t>Tabla 3.1- 65  Parámetros clave para los viajes realizados a lo largo del corredor Este-Oeste Carretera Central - Av. Grau - Av. Venezuela  en Lima (Fuente: Estudio del SIT - ep.)</w:t>
      </w:r>
    </w:p>
    <w:tbl>
      <w:tblPr>
        <w:tblW w:w="9382"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3467"/>
        <w:gridCol w:w="1478"/>
        <w:gridCol w:w="1479"/>
        <w:gridCol w:w="1479"/>
        <w:gridCol w:w="1479"/>
      </w:tblGrid>
      <w:tr w:rsidR="008A37E4" w:rsidRPr="007226D7" w:rsidTr="007572D7">
        <w:trPr>
          <w:trHeight w:val="566"/>
          <w:jc w:val="center"/>
        </w:trPr>
        <w:tc>
          <w:tcPr>
            <w:tcW w:w="3467" w:type="dxa"/>
            <w:vMerge w:val="restart"/>
            <w:tcBorders>
              <w:top w:val="single" w:sz="8" w:space="0" w:color="4F81BD"/>
              <w:left w:val="single" w:sz="8" w:space="0" w:color="4F81BD"/>
              <w:bottom w:val="single" w:sz="18" w:space="0" w:color="4F81BD"/>
              <w:right w:val="single" w:sz="8" w:space="0" w:color="4F81BD"/>
            </w:tcBorders>
            <w:shd w:val="clear" w:color="auto" w:fill="auto"/>
            <w:noWrap/>
            <w:vAlign w:val="center"/>
          </w:tcPr>
          <w:p w:rsidR="008A37E4" w:rsidRPr="007226D7" w:rsidRDefault="008A37E4" w:rsidP="007572D7">
            <w:pPr>
              <w:rPr>
                <w:rFonts w:cs="Arial"/>
                <w:b/>
                <w:bCs/>
                <w:color w:val="000000"/>
                <w:sz w:val="20"/>
                <w:szCs w:val="22"/>
              </w:rPr>
            </w:pPr>
            <w:r w:rsidRPr="007226D7">
              <w:rPr>
                <w:rFonts w:cs="Arial"/>
                <w:b/>
                <w:bCs/>
                <w:color w:val="000000"/>
                <w:sz w:val="20"/>
                <w:szCs w:val="22"/>
              </w:rPr>
              <w:t>TRAMOS</w:t>
            </w:r>
          </w:p>
        </w:tc>
        <w:tc>
          <w:tcPr>
            <w:tcW w:w="1478" w:type="dxa"/>
            <w:tcBorders>
              <w:top w:val="single" w:sz="8" w:space="0" w:color="4F81BD"/>
              <w:left w:val="single" w:sz="8" w:space="0" w:color="4F81BD"/>
              <w:bottom w:val="single" w:sz="18" w:space="0" w:color="4F81BD"/>
              <w:right w:val="single" w:sz="8" w:space="0" w:color="4F81BD"/>
            </w:tcBorders>
            <w:shd w:val="clear" w:color="auto" w:fill="auto"/>
          </w:tcPr>
          <w:p w:rsidR="008A37E4" w:rsidRPr="007226D7" w:rsidRDefault="008A37E4" w:rsidP="006D76EB">
            <w:pPr>
              <w:spacing w:after="80" w:line="240" w:lineRule="auto"/>
              <w:rPr>
                <w:rFonts w:cs="Arial"/>
                <w:b/>
                <w:color w:val="000000"/>
                <w:sz w:val="20"/>
                <w:szCs w:val="22"/>
                <w:lang w:eastAsia="en-US"/>
              </w:rPr>
            </w:pPr>
            <w:r w:rsidRPr="007226D7">
              <w:rPr>
                <w:rFonts w:cs="Arial"/>
                <w:b/>
                <w:color w:val="000000"/>
                <w:sz w:val="20"/>
                <w:szCs w:val="22"/>
                <w:lang w:eastAsia="en-US"/>
              </w:rPr>
              <w:t>DISTANCIA</w:t>
            </w:r>
          </w:p>
        </w:tc>
        <w:tc>
          <w:tcPr>
            <w:tcW w:w="1479"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6D76EB">
            <w:pPr>
              <w:spacing w:after="80" w:line="240" w:lineRule="auto"/>
              <w:rPr>
                <w:rFonts w:cs="Arial"/>
                <w:b/>
                <w:bCs/>
                <w:color w:val="000000"/>
                <w:szCs w:val="22"/>
              </w:rPr>
            </w:pPr>
            <w:r w:rsidRPr="007226D7">
              <w:rPr>
                <w:rFonts w:cs="Arial"/>
                <w:b/>
                <w:bCs/>
                <w:color w:val="000000"/>
                <w:sz w:val="20"/>
                <w:szCs w:val="22"/>
              </w:rPr>
              <w:t xml:space="preserve">VELOCIDAD Este-Oeste </w:t>
            </w:r>
          </w:p>
        </w:tc>
        <w:tc>
          <w:tcPr>
            <w:tcW w:w="1479" w:type="dxa"/>
            <w:tcBorders>
              <w:top w:val="single" w:sz="8" w:space="0" w:color="4F81BD"/>
              <w:left w:val="single" w:sz="8" w:space="0" w:color="4F81BD"/>
              <w:bottom w:val="single" w:sz="18" w:space="0" w:color="4F81BD"/>
              <w:right w:val="single" w:sz="8" w:space="0" w:color="4F81BD"/>
            </w:tcBorders>
            <w:shd w:val="clear" w:color="auto" w:fill="auto"/>
          </w:tcPr>
          <w:p w:rsidR="008A37E4" w:rsidRPr="007226D7" w:rsidRDefault="008A37E4" w:rsidP="006D76EB">
            <w:pPr>
              <w:spacing w:after="80" w:line="240" w:lineRule="auto"/>
              <w:rPr>
                <w:rFonts w:cs="Arial"/>
                <w:b/>
                <w:bCs/>
                <w:color w:val="000000"/>
                <w:szCs w:val="22"/>
              </w:rPr>
            </w:pPr>
            <w:r w:rsidRPr="007226D7">
              <w:rPr>
                <w:rFonts w:cs="Arial"/>
                <w:b/>
                <w:bCs/>
                <w:color w:val="000000"/>
                <w:sz w:val="20"/>
                <w:szCs w:val="22"/>
              </w:rPr>
              <w:t xml:space="preserve">VELOCIDAD Oeste-Este </w:t>
            </w:r>
          </w:p>
        </w:tc>
        <w:tc>
          <w:tcPr>
            <w:tcW w:w="1479" w:type="dxa"/>
            <w:tcBorders>
              <w:top w:val="single" w:sz="8" w:space="0" w:color="4F81BD"/>
              <w:left w:val="single" w:sz="8" w:space="0" w:color="4F81BD"/>
              <w:bottom w:val="single" w:sz="18" w:space="0" w:color="4F81BD"/>
              <w:right w:val="single" w:sz="8" w:space="0" w:color="4F81BD"/>
            </w:tcBorders>
            <w:shd w:val="clear" w:color="auto" w:fill="auto"/>
            <w:noWrap/>
          </w:tcPr>
          <w:p w:rsidR="008A37E4" w:rsidRPr="007226D7" w:rsidRDefault="008A37E4" w:rsidP="006D76EB">
            <w:pPr>
              <w:spacing w:after="80" w:line="240" w:lineRule="auto"/>
              <w:rPr>
                <w:rFonts w:cs="Arial"/>
                <w:b/>
                <w:bCs/>
                <w:color w:val="000000"/>
                <w:sz w:val="20"/>
                <w:szCs w:val="22"/>
              </w:rPr>
            </w:pPr>
            <w:r w:rsidRPr="007226D7">
              <w:rPr>
                <w:rFonts w:cs="Arial"/>
                <w:b/>
                <w:bCs/>
                <w:color w:val="000000"/>
                <w:sz w:val="20"/>
                <w:szCs w:val="22"/>
              </w:rPr>
              <w:t>TIEMPO</w:t>
            </w:r>
          </w:p>
        </w:tc>
      </w:tr>
      <w:tr w:rsidR="008A37E4" w:rsidRPr="007226D7" w:rsidTr="007572D7">
        <w:trPr>
          <w:trHeight w:val="220"/>
          <w:jc w:val="center"/>
        </w:trPr>
        <w:tc>
          <w:tcPr>
            <w:tcW w:w="3467" w:type="dxa"/>
            <w:vMerge/>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rPr>
                <w:rFonts w:cs="Arial"/>
                <w:b/>
                <w:bCs/>
                <w:color w:val="000000"/>
                <w:szCs w:val="22"/>
              </w:rPr>
            </w:pPr>
          </w:p>
        </w:tc>
        <w:tc>
          <w:tcPr>
            <w:tcW w:w="1478"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jc w:val="center"/>
              <w:rPr>
                <w:rFonts w:eastAsia="Calibri" w:cs="Arial"/>
                <w:b/>
                <w:bCs/>
                <w:color w:val="000000"/>
                <w:sz w:val="20"/>
                <w:szCs w:val="22"/>
                <w:lang w:eastAsia="en-US"/>
              </w:rPr>
            </w:pPr>
            <w:proofErr w:type="gramStart"/>
            <w:r w:rsidRPr="007226D7">
              <w:rPr>
                <w:rFonts w:eastAsia="Calibri" w:cs="Arial"/>
                <w:b/>
                <w:bCs/>
                <w:color w:val="000000"/>
                <w:sz w:val="20"/>
                <w:szCs w:val="22"/>
                <w:lang w:eastAsia="en-US"/>
              </w:rPr>
              <w:t>[km</w:t>
            </w:r>
            <w:proofErr w:type="gramEnd"/>
            <w:r w:rsidRPr="007226D7">
              <w:rPr>
                <w:rFonts w:eastAsia="Calibri" w:cs="Arial"/>
                <w:b/>
                <w:bCs/>
                <w:color w:val="000000"/>
                <w:sz w:val="20"/>
                <w:szCs w:val="22"/>
                <w:lang w:eastAsia="en-US"/>
              </w:rPr>
              <w:t>]</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center"/>
              <w:rPr>
                <w:rFonts w:cs="Arial"/>
                <w:b/>
                <w:bCs/>
                <w:color w:val="000000"/>
                <w:sz w:val="20"/>
                <w:szCs w:val="22"/>
              </w:rPr>
            </w:pPr>
            <w:proofErr w:type="gramStart"/>
            <w:r w:rsidRPr="007226D7">
              <w:rPr>
                <w:rFonts w:cs="Arial"/>
                <w:b/>
                <w:bCs/>
                <w:color w:val="000000"/>
                <w:sz w:val="20"/>
                <w:szCs w:val="22"/>
              </w:rPr>
              <w:t>[km</w:t>
            </w:r>
            <w:proofErr w:type="gramEnd"/>
            <w:r w:rsidRPr="007226D7">
              <w:rPr>
                <w:rFonts w:cs="Arial"/>
                <w:b/>
                <w:bCs/>
                <w:color w:val="000000"/>
                <w:sz w:val="20"/>
                <w:szCs w:val="22"/>
              </w:rPr>
              <w:t>/h]</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center"/>
              <w:rPr>
                <w:rFonts w:cs="Arial"/>
                <w:b/>
                <w:bCs/>
                <w:color w:val="000000"/>
                <w:sz w:val="20"/>
                <w:szCs w:val="22"/>
              </w:rPr>
            </w:pPr>
            <w:r w:rsidRPr="007226D7">
              <w:rPr>
                <w:rFonts w:cs="Arial"/>
                <w:b/>
                <w:bCs/>
                <w:color w:val="000000"/>
                <w:sz w:val="20"/>
                <w:szCs w:val="22"/>
              </w:rPr>
              <w:t>O-E</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center"/>
              <w:rPr>
                <w:rFonts w:cs="Arial"/>
                <w:b/>
                <w:bCs/>
                <w:color w:val="000000"/>
                <w:sz w:val="20"/>
                <w:szCs w:val="22"/>
              </w:rPr>
            </w:pPr>
            <w:proofErr w:type="gramStart"/>
            <w:r w:rsidRPr="007226D7">
              <w:rPr>
                <w:rFonts w:cs="Arial"/>
                <w:b/>
                <w:bCs/>
                <w:color w:val="000000"/>
                <w:sz w:val="20"/>
                <w:szCs w:val="22"/>
              </w:rPr>
              <w:t>[min</w:t>
            </w:r>
            <w:proofErr w:type="gramEnd"/>
            <w:r w:rsidRPr="007226D7">
              <w:rPr>
                <w:rFonts w:cs="Arial"/>
                <w:b/>
                <w:bCs/>
                <w:color w:val="000000"/>
                <w:sz w:val="20"/>
                <w:szCs w:val="22"/>
              </w:rPr>
              <w:t>]</w:t>
            </w:r>
          </w:p>
        </w:tc>
      </w:tr>
      <w:tr w:rsidR="008A37E4" w:rsidRPr="007226D7" w:rsidTr="007572D7">
        <w:trPr>
          <w:trHeight w:val="256"/>
          <w:jc w:val="center"/>
        </w:trPr>
        <w:tc>
          <w:tcPr>
            <w:tcW w:w="3467"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pStyle w:val="Default"/>
              <w:rPr>
                <w:rFonts w:ascii="Arial" w:hAnsi="Arial" w:cs="Arial"/>
                <w:b/>
                <w:bCs/>
                <w:sz w:val="20"/>
                <w:szCs w:val="20"/>
                <w:lang w:val="es-PE" w:eastAsia="en-US"/>
              </w:rPr>
            </w:pPr>
            <w:r w:rsidRPr="007226D7">
              <w:rPr>
                <w:rFonts w:ascii="Arial" w:hAnsi="Arial" w:cs="Arial"/>
                <w:b/>
                <w:bCs/>
                <w:sz w:val="20"/>
                <w:szCs w:val="20"/>
                <w:lang w:val="es-PE" w:eastAsia="en-US"/>
              </w:rPr>
              <w:t xml:space="preserve">Ate (Pte. Huachipa) - Pte. Santa Anita </w:t>
            </w:r>
          </w:p>
        </w:tc>
        <w:tc>
          <w:tcPr>
            <w:tcW w:w="1478"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jc w:val="right"/>
              <w:rPr>
                <w:rFonts w:eastAsia="Calibri" w:cs="Arial"/>
                <w:color w:val="000000"/>
                <w:sz w:val="20"/>
                <w:lang w:eastAsia="en-US"/>
              </w:rPr>
            </w:pPr>
            <w:r w:rsidRPr="007226D7">
              <w:rPr>
                <w:rFonts w:eastAsia="Calibri" w:cs="Arial"/>
                <w:color w:val="000000"/>
                <w:sz w:val="20"/>
                <w:lang w:eastAsia="en-US"/>
              </w:rPr>
              <w:t>10.0</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17.68</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15.14</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36.57</w:t>
            </w:r>
          </w:p>
        </w:tc>
      </w:tr>
      <w:tr w:rsidR="008A37E4" w:rsidRPr="007226D7" w:rsidTr="007572D7">
        <w:trPr>
          <w:trHeight w:val="256"/>
          <w:jc w:val="center"/>
        </w:trPr>
        <w:tc>
          <w:tcPr>
            <w:tcW w:w="3467"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pStyle w:val="Default"/>
              <w:rPr>
                <w:rFonts w:ascii="Arial" w:hAnsi="Arial" w:cs="Arial"/>
                <w:b/>
                <w:bCs/>
                <w:sz w:val="20"/>
                <w:szCs w:val="20"/>
                <w:lang w:eastAsia="en-US"/>
              </w:rPr>
            </w:pPr>
            <w:r w:rsidRPr="007226D7">
              <w:rPr>
                <w:rFonts w:ascii="Arial" w:hAnsi="Arial" w:cs="Arial"/>
                <w:b/>
                <w:bCs/>
                <w:sz w:val="20"/>
                <w:szCs w:val="20"/>
                <w:lang w:eastAsia="en-US"/>
              </w:rPr>
              <w:t xml:space="preserve">Pte. </w:t>
            </w:r>
            <w:proofErr w:type="gramStart"/>
            <w:r w:rsidRPr="007226D7">
              <w:rPr>
                <w:rFonts w:ascii="Arial" w:hAnsi="Arial" w:cs="Arial"/>
                <w:b/>
                <w:bCs/>
                <w:sz w:val="20"/>
                <w:szCs w:val="20"/>
                <w:lang w:eastAsia="en-US"/>
              </w:rPr>
              <w:t xml:space="preserve">Santa </w:t>
            </w:r>
            <w:proofErr w:type="gramEnd"/>
            <w:r w:rsidRPr="007226D7">
              <w:rPr>
                <w:rFonts w:ascii="Arial" w:hAnsi="Arial" w:cs="Arial"/>
                <w:b/>
                <w:bCs/>
                <w:sz w:val="20"/>
                <w:szCs w:val="20"/>
                <w:lang w:eastAsia="en-US"/>
              </w:rPr>
              <w:t xml:space="preserve">Anita - Av. Grau </w:t>
            </w:r>
          </w:p>
        </w:tc>
        <w:tc>
          <w:tcPr>
            <w:tcW w:w="1478"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jc w:val="right"/>
              <w:rPr>
                <w:rFonts w:eastAsia="Calibri" w:cs="Arial"/>
                <w:color w:val="000000"/>
                <w:sz w:val="20"/>
                <w:lang w:eastAsia="en-US"/>
              </w:rPr>
            </w:pPr>
            <w:r w:rsidRPr="007226D7">
              <w:rPr>
                <w:rFonts w:eastAsia="Calibri" w:cs="Arial"/>
                <w:color w:val="000000"/>
                <w:sz w:val="20"/>
                <w:lang w:eastAsia="en-US"/>
              </w:rPr>
              <w:t>4.8</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15.41</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16.03</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18.32</w:t>
            </w:r>
          </w:p>
        </w:tc>
      </w:tr>
      <w:tr w:rsidR="008A37E4" w:rsidRPr="007226D7" w:rsidTr="007572D7">
        <w:trPr>
          <w:trHeight w:val="256"/>
          <w:jc w:val="center"/>
        </w:trPr>
        <w:tc>
          <w:tcPr>
            <w:tcW w:w="3467"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pStyle w:val="Default"/>
              <w:rPr>
                <w:rFonts w:ascii="Arial" w:hAnsi="Arial" w:cs="Arial"/>
                <w:b/>
                <w:bCs/>
                <w:sz w:val="20"/>
                <w:szCs w:val="20"/>
                <w:lang w:val="es-ES" w:eastAsia="en-US"/>
              </w:rPr>
            </w:pPr>
            <w:r w:rsidRPr="007226D7">
              <w:rPr>
                <w:rFonts w:ascii="Arial" w:hAnsi="Arial" w:cs="Arial"/>
                <w:b/>
                <w:bCs/>
                <w:sz w:val="20"/>
                <w:szCs w:val="20"/>
                <w:lang w:val="es-ES" w:eastAsia="en-US"/>
              </w:rPr>
              <w:t xml:space="preserve">Av. Grau - Estación Central </w:t>
            </w:r>
          </w:p>
        </w:tc>
        <w:tc>
          <w:tcPr>
            <w:tcW w:w="1478"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jc w:val="right"/>
              <w:rPr>
                <w:rFonts w:eastAsia="Calibri" w:cs="Arial"/>
                <w:color w:val="000000"/>
                <w:sz w:val="20"/>
                <w:lang w:eastAsia="en-US"/>
              </w:rPr>
            </w:pPr>
            <w:r w:rsidRPr="007226D7">
              <w:rPr>
                <w:rFonts w:eastAsia="Calibri" w:cs="Arial"/>
                <w:color w:val="000000"/>
                <w:sz w:val="20"/>
                <w:lang w:eastAsia="en-US"/>
              </w:rPr>
              <w:t>2.4</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18.67</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24.04</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6.74</w:t>
            </w:r>
          </w:p>
        </w:tc>
      </w:tr>
      <w:tr w:rsidR="008A37E4" w:rsidRPr="007226D7" w:rsidTr="007572D7">
        <w:trPr>
          <w:trHeight w:val="256"/>
          <w:jc w:val="center"/>
        </w:trPr>
        <w:tc>
          <w:tcPr>
            <w:tcW w:w="3467"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pStyle w:val="Default"/>
              <w:rPr>
                <w:rFonts w:ascii="Arial" w:hAnsi="Arial" w:cs="Arial"/>
                <w:b/>
                <w:bCs/>
                <w:sz w:val="20"/>
                <w:szCs w:val="20"/>
                <w:lang w:val="en-US" w:eastAsia="en-US"/>
              </w:rPr>
            </w:pPr>
            <w:r w:rsidRPr="007226D7">
              <w:rPr>
                <w:rFonts w:ascii="Arial" w:hAnsi="Arial" w:cs="Arial"/>
                <w:b/>
                <w:bCs/>
                <w:sz w:val="20"/>
                <w:szCs w:val="20"/>
                <w:lang w:val="en-US" w:eastAsia="en-US"/>
              </w:rPr>
              <w:t>Estación Central - Arica</w:t>
            </w:r>
          </w:p>
        </w:tc>
        <w:tc>
          <w:tcPr>
            <w:tcW w:w="1478" w:type="dxa"/>
            <w:tcBorders>
              <w:top w:val="single" w:sz="8" w:space="0" w:color="4F81BD"/>
              <w:left w:val="single" w:sz="8" w:space="0" w:color="4F81BD"/>
              <w:bottom w:val="single" w:sz="8" w:space="0" w:color="4F81BD"/>
              <w:right w:val="single" w:sz="8" w:space="0" w:color="4F81BD"/>
            </w:tcBorders>
            <w:shd w:val="clear" w:color="auto" w:fill="D3DFEE"/>
          </w:tcPr>
          <w:p w:rsidR="008A37E4" w:rsidRPr="007226D7" w:rsidRDefault="008A37E4" w:rsidP="007572D7">
            <w:pPr>
              <w:jc w:val="right"/>
              <w:rPr>
                <w:rFonts w:eastAsia="Calibri" w:cs="Arial"/>
                <w:color w:val="000000"/>
                <w:sz w:val="20"/>
                <w:lang w:eastAsia="en-US"/>
              </w:rPr>
            </w:pPr>
            <w:r w:rsidRPr="007226D7">
              <w:rPr>
                <w:rFonts w:eastAsia="Calibri" w:cs="Arial"/>
                <w:color w:val="000000"/>
                <w:sz w:val="20"/>
                <w:lang w:eastAsia="en-US"/>
              </w:rPr>
              <w:t>2.4</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10.22</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10.84</w:t>
            </w:r>
          </w:p>
        </w:tc>
        <w:tc>
          <w:tcPr>
            <w:tcW w:w="1479" w:type="dxa"/>
            <w:tcBorders>
              <w:top w:val="single" w:sz="8" w:space="0" w:color="4F81BD"/>
              <w:left w:val="single" w:sz="8" w:space="0" w:color="4F81BD"/>
              <w:bottom w:val="single" w:sz="8" w:space="0" w:color="4F81BD"/>
              <w:right w:val="single" w:sz="8" w:space="0" w:color="4F81BD"/>
            </w:tcBorders>
            <w:shd w:val="clear" w:color="auto" w:fill="D3DFEE"/>
            <w:noWrap/>
          </w:tcPr>
          <w:p w:rsidR="008A37E4" w:rsidRPr="007226D7" w:rsidRDefault="008A37E4" w:rsidP="007572D7">
            <w:pPr>
              <w:jc w:val="right"/>
              <w:rPr>
                <w:rFonts w:cs="Arial"/>
                <w:color w:val="000000"/>
                <w:sz w:val="20"/>
              </w:rPr>
            </w:pPr>
            <w:r w:rsidRPr="007226D7">
              <w:rPr>
                <w:rFonts w:cs="Arial"/>
                <w:color w:val="000000"/>
                <w:sz w:val="20"/>
              </w:rPr>
              <w:t>13.68</w:t>
            </w:r>
          </w:p>
        </w:tc>
      </w:tr>
      <w:tr w:rsidR="008A37E4" w:rsidRPr="007226D7" w:rsidTr="007572D7">
        <w:trPr>
          <w:trHeight w:val="256"/>
          <w:jc w:val="center"/>
        </w:trPr>
        <w:tc>
          <w:tcPr>
            <w:tcW w:w="3467"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pStyle w:val="Default"/>
              <w:rPr>
                <w:rFonts w:ascii="Arial" w:hAnsi="Arial" w:cs="Arial"/>
                <w:b/>
                <w:bCs/>
                <w:sz w:val="20"/>
                <w:szCs w:val="20"/>
                <w:lang w:val="en-US" w:eastAsia="en-US"/>
              </w:rPr>
            </w:pPr>
            <w:r w:rsidRPr="007226D7">
              <w:rPr>
                <w:rFonts w:ascii="Arial" w:hAnsi="Arial" w:cs="Arial"/>
                <w:b/>
                <w:bCs/>
                <w:sz w:val="20"/>
                <w:szCs w:val="20"/>
                <w:lang w:val="en-US" w:eastAsia="en-US"/>
              </w:rPr>
              <w:t xml:space="preserve">Arica - Callao(Faucett) </w:t>
            </w:r>
          </w:p>
        </w:tc>
        <w:tc>
          <w:tcPr>
            <w:tcW w:w="1478" w:type="dxa"/>
            <w:tcBorders>
              <w:top w:val="single" w:sz="8" w:space="0" w:color="4F81BD"/>
              <w:left w:val="single" w:sz="8" w:space="0" w:color="4F81BD"/>
              <w:bottom w:val="single" w:sz="8" w:space="0" w:color="4F81BD"/>
              <w:right w:val="single" w:sz="8" w:space="0" w:color="4F81BD"/>
            </w:tcBorders>
            <w:shd w:val="clear" w:color="auto" w:fill="auto"/>
          </w:tcPr>
          <w:p w:rsidR="008A37E4" w:rsidRPr="007226D7" w:rsidRDefault="008A37E4" w:rsidP="007572D7">
            <w:pPr>
              <w:jc w:val="right"/>
              <w:rPr>
                <w:rFonts w:eastAsia="Calibri" w:cs="Arial"/>
                <w:color w:val="000000"/>
                <w:sz w:val="20"/>
                <w:lang w:eastAsia="en-US"/>
              </w:rPr>
            </w:pPr>
            <w:r w:rsidRPr="007226D7">
              <w:rPr>
                <w:rFonts w:eastAsia="Calibri" w:cs="Arial"/>
                <w:color w:val="000000"/>
                <w:sz w:val="20"/>
                <w:lang w:eastAsia="en-US"/>
              </w:rPr>
              <w:t>4.4</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19.43</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16.67</w:t>
            </w:r>
          </w:p>
        </w:tc>
        <w:tc>
          <w:tcPr>
            <w:tcW w:w="1479" w:type="dxa"/>
            <w:tcBorders>
              <w:top w:val="single" w:sz="8" w:space="0" w:color="4F81BD"/>
              <w:left w:val="single" w:sz="8" w:space="0" w:color="4F81BD"/>
              <w:bottom w:val="single" w:sz="8" w:space="0" w:color="4F81BD"/>
              <w:right w:val="single" w:sz="8" w:space="0" w:color="4F81BD"/>
            </w:tcBorders>
            <w:shd w:val="clear" w:color="auto" w:fill="auto"/>
            <w:noWrap/>
          </w:tcPr>
          <w:p w:rsidR="008A37E4" w:rsidRPr="007226D7" w:rsidRDefault="008A37E4" w:rsidP="007572D7">
            <w:pPr>
              <w:jc w:val="right"/>
              <w:rPr>
                <w:rFonts w:cs="Arial"/>
                <w:color w:val="000000"/>
                <w:sz w:val="20"/>
              </w:rPr>
            </w:pPr>
            <w:r w:rsidRPr="007226D7">
              <w:rPr>
                <w:rFonts w:cs="Arial"/>
                <w:color w:val="000000"/>
                <w:sz w:val="20"/>
              </w:rPr>
              <w:t>14.62</w:t>
            </w:r>
          </w:p>
        </w:tc>
      </w:tr>
    </w:tbl>
    <w:p w:rsidR="008A37E4" w:rsidRPr="007226D7" w:rsidRDefault="008A37E4" w:rsidP="008A37E4">
      <w:pPr>
        <w:pStyle w:val="Figuras"/>
      </w:pPr>
    </w:p>
    <w:p w:rsidR="008A37E4" w:rsidRPr="007226D7" w:rsidRDefault="008A37E4" w:rsidP="008A37E4">
      <w:pPr>
        <w:rPr>
          <w:szCs w:val="22"/>
          <w:lang w:val="es-ES"/>
        </w:rPr>
      </w:pPr>
      <w:r w:rsidRPr="007226D7">
        <w:rPr>
          <w:szCs w:val="22"/>
          <w:lang w:val="es-ES"/>
        </w:rPr>
        <w:t xml:space="preserve">En general las características de las condiciones actuales de la infraestructura vial de la Av. Venezuela, Av. Arica, Av. Ayllón, y Carretera Central son resultado de las visitas técnicas de reconocimiento de campo y del inventario vial realizado. </w:t>
      </w:r>
    </w:p>
    <w:p w:rsidR="008A37E4" w:rsidRPr="007226D7" w:rsidRDefault="008A37E4" w:rsidP="008A37E4">
      <w:pPr>
        <w:rPr>
          <w:szCs w:val="22"/>
          <w:u w:val="single"/>
          <w:lang w:val="es-ES"/>
        </w:rPr>
      </w:pPr>
      <w:r w:rsidRPr="007226D7">
        <w:rPr>
          <w:b/>
          <w:bCs/>
          <w:iCs/>
          <w:szCs w:val="22"/>
          <w:u w:val="single"/>
          <w:lang w:val="es-ES"/>
        </w:rPr>
        <w:t xml:space="preserve">Av. Venezuela y Av. Arica </w:t>
      </w:r>
    </w:p>
    <w:p w:rsidR="008A37E4" w:rsidRPr="007226D7" w:rsidRDefault="008A37E4" w:rsidP="008A37E4">
      <w:pPr>
        <w:rPr>
          <w:szCs w:val="22"/>
          <w:lang w:val="es-ES"/>
        </w:rPr>
      </w:pPr>
      <w:r w:rsidRPr="007226D7">
        <w:rPr>
          <w:szCs w:val="22"/>
          <w:lang w:val="es-ES"/>
        </w:rPr>
        <w:t>En base a los resultados del inventario vial, la Av. Venezuela y Av. Arica puede ser clasificada por cinco (5) secciones transversales típicas de características diferentes.</w:t>
      </w:r>
    </w:p>
    <w:p w:rsidR="008A37E4" w:rsidRPr="007226D7" w:rsidRDefault="008A37E4" w:rsidP="008A37E4">
      <w:pPr>
        <w:rPr>
          <w:szCs w:val="22"/>
        </w:rPr>
      </w:pPr>
      <w:r w:rsidRPr="007226D7">
        <w:rPr>
          <w:szCs w:val="22"/>
          <w:lang w:val="es-ES"/>
        </w:rPr>
        <w:t xml:space="preserve">El mayor ancho de derecho de vía de la vía existente fue observado con alrededor de 52.0 m y el de menor ancho fue observado con alrededor de 18.0 m cerca de la “Huaca Aramburú”. Las condiciones más relevantes de los elementos de las secciones transversales viales de la Av. </w:t>
      </w:r>
      <w:r w:rsidRPr="007226D7">
        <w:rPr>
          <w:szCs w:val="22"/>
        </w:rPr>
        <w:t xml:space="preserve">Venezuela y Av. Arica, se describen a continuación: </w:t>
      </w:r>
    </w:p>
    <w:p w:rsidR="008A37E4" w:rsidRPr="007226D7" w:rsidRDefault="008A37E4" w:rsidP="006E6A64">
      <w:pPr>
        <w:pStyle w:val="ListParagraph"/>
        <w:numPr>
          <w:ilvl w:val="0"/>
          <w:numId w:val="34"/>
        </w:numPr>
        <w:rPr>
          <w:szCs w:val="22"/>
        </w:rPr>
      </w:pPr>
      <w:r w:rsidRPr="007226D7">
        <w:rPr>
          <w:szCs w:val="22"/>
          <w:lang w:val="es-ES"/>
        </w:rPr>
        <w:t xml:space="preserve">El ancho del derecho de vía de la Av. Venezuela en Bellavista en la ciudad del Callao se mantiene oficialmente en alrededor de 52.0 m. Sin embargo, el ancho actual existente de la vía es de apenas 32.0m incluyendo las veredas en ambos lados de las vías. </w:t>
      </w:r>
      <w:r w:rsidRPr="007226D7">
        <w:rPr>
          <w:szCs w:val="22"/>
        </w:rPr>
        <w:t xml:space="preserve">El pavimento se mantiene en condiciones comparativamente buenas. </w:t>
      </w:r>
    </w:p>
    <w:p w:rsidR="008A37E4" w:rsidRPr="007226D7" w:rsidRDefault="008A37E4" w:rsidP="006E6A64">
      <w:pPr>
        <w:pStyle w:val="ListParagraph"/>
        <w:numPr>
          <w:ilvl w:val="0"/>
          <w:numId w:val="34"/>
        </w:numPr>
        <w:rPr>
          <w:szCs w:val="22"/>
          <w:lang w:val="es-ES"/>
        </w:rPr>
      </w:pPr>
      <w:r w:rsidRPr="007226D7">
        <w:rPr>
          <w:szCs w:val="22"/>
          <w:lang w:val="es-ES"/>
        </w:rPr>
        <w:t xml:space="preserve">El ancho del derecho de vía de la Av. Venezuela en el área del distrito de San Miguel se mantiene oficialmente entre alrededor de 42.0 m a 52.0 m incluyendo las veredas en ambos lados de la vía. Sin embargo, se observa que el ancho actual existente solo tiene </w:t>
      </w:r>
      <w:r w:rsidRPr="007226D7">
        <w:rPr>
          <w:szCs w:val="22"/>
          <w:lang w:val="es-ES"/>
        </w:rPr>
        <w:lastRenderedPageBreak/>
        <w:t xml:space="preserve">alrededor de 25.0 m. El pavimento se mantiene en condiciones comparativamente buenas. </w:t>
      </w:r>
    </w:p>
    <w:p w:rsidR="008A37E4" w:rsidRPr="007226D7" w:rsidRDefault="008A37E4" w:rsidP="006E6A64">
      <w:pPr>
        <w:pStyle w:val="ListParagraph"/>
        <w:numPr>
          <w:ilvl w:val="0"/>
          <w:numId w:val="34"/>
        </w:numPr>
        <w:rPr>
          <w:szCs w:val="22"/>
        </w:rPr>
      </w:pPr>
      <w:r w:rsidRPr="007226D7">
        <w:rPr>
          <w:szCs w:val="22"/>
          <w:lang w:val="es-ES"/>
        </w:rPr>
        <w:t xml:space="preserve">El ancho del derecho de vía en la Av. Venezuela en el área de la Huaca Aramburú es alrededor de 18.0 m incluyendo las veredas en ambos lados de la vía. </w:t>
      </w:r>
      <w:r w:rsidRPr="007226D7">
        <w:rPr>
          <w:szCs w:val="22"/>
        </w:rPr>
        <w:t xml:space="preserve">El pavimento se mantiene en condiciones comparativamente buenas. </w:t>
      </w:r>
    </w:p>
    <w:p w:rsidR="008A37E4" w:rsidRPr="007226D7" w:rsidRDefault="008A37E4" w:rsidP="008A37E4">
      <w:pPr>
        <w:rPr>
          <w:szCs w:val="22"/>
          <w:u w:val="single"/>
        </w:rPr>
      </w:pPr>
      <w:r w:rsidRPr="007226D7">
        <w:rPr>
          <w:b/>
          <w:bCs/>
          <w:szCs w:val="22"/>
          <w:u w:val="single"/>
        </w:rPr>
        <w:t xml:space="preserve">Av. Ayllón y Carretera Central </w:t>
      </w:r>
    </w:p>
    <w:p w:rsidR="008A37E4" w:rsidRPr="007226D7" w:rsidRDefault="008A37E4" w:rsidP="008A37E4">
      <w:pPr>
        <w:rPr>
          <w:szCs w:val="22"/>
          <w:lang w:val="es-ES"/>
        </w:rPr>
      </w:pPr>
      <w:r w:rsidRPr="007226D7">
        <w:rPr>
          <w:szCs w:val="22"/>
          <w:lang w:val="es-ES"/>
        </w:rPr>
        <w:t>En base a los resultados del levantamiento del inventario vial, la sección transversal típica en la Av. Ayllón y Carretera Central puede ser clasificada en cuatro secciones transversales características.</w:t>
      </w:r>
    </w:p>
    <w:p w:rsidR="008A37E4" w:rsidRPr="007226D7" w:rsidRDefault="008A37E4" w:rsidP="006E6A64">
      <w:pPr>
        <w:pStyle w:val="ListParagraph"/>
        <w:numPr>
          <w:ilvl w:val="0"/>
          <w:numId w:val="35"/>
        </w:numPr>
        <w:rPr>
          <w:szCs w:val="22"/>
          <w:lang w:val="es-ES"/>
        </w:rPr>
      </w:pPr>
      <w:r w:rsidRPr="007226D7">
        <w:rPr>
          <w:szCs w:val="22"/>
          <w:lang w:val="es-ES"/>
        </w:rPr>
        <w:t xml:space="preserve">El derecho de vía existente de la Av. Ayllón cerca de la Av. Grau se observa con alrededor de 23.0 m a 25.0 m incluyendo las veredas en ambos lados de la vía. Adicionalmente a lo anterior, se han construido viviendas pequeñas en ambos lados de la vía. </w:t>
      </w:r>
    </w:p>
    <w:p w:rsidR="008A37E4" w:rsidRPr="007226D7" w:rsidRDefault="008A37E4" w:rsidP="006E6A64">
      <w:pPr>
        <w:pStyle w:val="ListParagraph"/>
        <w:numPr>
          <w:ilvl w:val="0"/>
          <w:numId w:val="35"/>
        </w:numPr>
        <w:rPr>
          <w:szCs w:val="22"/>
          <w:lang w:val="es-ES"/>
        </w:rPr>
      </w:pPr>
      <w:r w:rsidRPr="007226D7">
        <w:rPr>
          <w:szCs w:val="22"/>
          <w:lang w:val="es-ES"/>
        </w:rPr>
        <w:t xml:space="preserve">El ancho de derecho de vía existente en la Av. Ayllón en San Luis, se observa con alrededor de 33.0 m a 35.0 m incluyendo las veredas en ambos lados de la vía. </w:t>
      </w:r>
    </w:p>
    <w:p w:rsidR="008A37E4" w:rsidRPr="007226D7" w:rsidRDefault="008A37E4" w:rsidP="006E6A64">
      <w:pPr>
        <w:pStyle w:val="ListParagraph"/>
        <w:numPr>
          <w:ilvl w:val="0"/>
          <w:numId w:val="35"/>
        </w:numPr>
        <w:rPr>
          <w:szCs w:val="22"/>
        </w:rPr>
      </w:pPr>
      <w:r w:rsidRPr="007226D7">
        <w:rPr>
          <w:szCs w:val="22"/>
          <w:lang w:val="es-ES"/>
        </w:rPr>
        <w:t xml:space="preserve">El ancho del derecho de vía existente en la Av. Ayllón después de la intersección con la Vía de Evitamiento, se observa con alrededor de 42.0 m a 52.0 m incluyendo las veredas en ambos lados de la vía. Las vías frontales se desarrollan en ambos lados de la vía. </w:t>
      </w:r>
      <w:r w:rsidRPr="007226D7">
        <w:rPr>
          <w:szCs w:val="22"/>
        </w:rPr>
        <w:t xml:space="preserve">El pavimento se mantiene en condiciones comparativamente buenas. </w:t>
      </w:r>
    </w:p>
    <w:p w:rsidR="008A37E4" w:rsidRPr="007226D7" w:rsidRDefault="008A37E4" w:rsidP="008A37E4">
      <w:pPr>
        <w:rPr>
          <w:b/>
          <w:bCs/>
          <w:szCs w:val="22"/>
        </w:rPr>
      </w:pPr>
    </w:p>
    <w:p w:rsidR="008A37E4" w:rsidRPr="007226D7" w:rsidRDefault="008A37E4" w:rsidP="008A37E4">
      <w:pPr>
        <w:rPr>
          <w:lang w:val="es-ES"/>
        </w:rPr>
      </w:pPr>
      <w:r w:rsidRPr="007226D7">
        <w:rPr>
          <w:lang w:val="es-ES"/>
        </w:rPr>
        <w:t>La infraestructura vial de la Provincia Constitucional del Callao</w:t>
      </w:r>
      <w:r w:rsidRPr="007226D7">
        <w:rPr>
          <w:rFonts w:cs="Arial"/>
          <w:lang w:val="es-ES"/>
        </w:rPr>
        <w:t xml:space="preserve"> ha sido evaluada </w:t>
      </w:r>
      <w:r w:rsidRPr="007226D7">
        <w:rPr>
          <w:rFonts w:cs="Arial"/>
          <w:szCs w:val="22"/>
          <w:lang w:val="es-ES"/>
        </w:rPr>
        <w:t xml:space="preserve">tomando en consideración dos aspectos; la red vial normativa propuesta a la fecha y </w:t>
      </w:r>
      <w:r w:rsidRPr="007226D7">
        <w:rPr>
          <w:lang w:val="es-ES"/>
        </w:rPr>
        <w:t xml:space="preserve">la red vial existente. </w:t>
      </w:r>
    </w:p>
    <w:p w:rsidR="008A37E4" w:rsidRPr="007226D7" w:rsidRDefault="008A37E4" w:rsidP="008A37E4">
      <w:pPr>
        <w:autoSpaceDE w:val="0"/>
        <w:autoSpaceDN w:val="0"/>
        <w:adjustRightInd w:val="0"/>
        <w:spacing w:after="0" w:line="240" w:lineRule="auto"/>
        <w:jc w:val="left"/>
        <w:rPr>
          <w:rFonts w:cs="Arial"/>
          <w:szCs w:val="22"/>
          <w:lang w:val="es-ES"/>
        </w:rPr>
      </w:pPr>
      <w:r w:rsidRPr="007226D7">
        <w:rPr>
          <w:rFonts w:cs="Arial"/>
          <w:szCs w:val="22"/>
          <w:lang w:val="es-ES"/>
        </w:rPr>
        <w:t>De la infraestructura vial existente puede destacarse lo siguiente:</w:t>
      </w:r>
    </w:p>
    <w:p w:rsidR="008A37E4" w:rsidRPr="007226D7" w:rsidRDefault="008A37E4" w:rsidP="006E6A64">
      <w:pPr>
        <w:pStyle w:val="ListParagraph"/>
        <w:numPr>
          <w:ilvl w:val="0"/>
          <w:numId w:val="36"/>
        </w:numPr>
        <w:rPr>
          <w:lang w:val="es-ES"/>
        </w:rPr>
      </w:pPr>
      <w:r w:rsidRPr="007226D7">
        <w:rPr>
          <w:lang w:val="es-ES"/>
        </w:rPr>
        <w:t>Las vías del sector sur del Callao, tales como Colonial, Argentina, Venezuela, que relacionan Callao con el Centro de Lima, son vías de función similar; arterial. Sin embargo sobre este conjunto de vías no existe una vía con una función expresa.</w:t>
      </w:r>
    </w:p>
    <w:p w:rsidR="008A37E4" w:rsidRPr="007226D7" w:rsidRDefault="008A37E4" w:rsidP="006E6A64">
      <w:pPr>
        <w:pStyle w:val="ListParagraph"/>
        <w:numPr>
          <w:ilvl w:val="0"/>
          <w:numId w:val="36"/>
        </w:numPr>
        <w:rPr>
          <w:lang w:val="es-ES"/>
        </w:rPr>
      </w:pPr>
      <w:r w:rsidRPr="007226D7">
        <w:rPr>
          <w:lang w:val="es-ES"/>
        </w:rPr>
        <w:t>Las vías que permiten la comunicación del Callao con la ciudad de Lima en el lado norte, tienen limitaciones de interconexión, por la existencia de elevaciones rocosas (cerros). Esta limitación ocurre sobre una longitud aproximada de 9 a 10 kilómetros.</w:t>
      </w:r>
    </w:p>
    <w:p w:rsidR="008A37E4" w:rsidRPr="007226D7" w:rsidRDefault="008A37E4" w:rsidP="006E6A64">
      <w:pPr>
        <w:pStyle w:val="ListParagraph"/>
        <w:numPr>
          <w:ilvl w:val="0"/>
          <w:numId w:val="36"/>
        </w:numPr>
        <w:rPr>
          <w:lang w:val="es-ES"/>
        </w:rPr>
      </w:pPr>
      <w:r w:rsidRPr="007226D7">
        <w:rPr>
          <w:lang w:val="es-ES"/>
        </w:rPr>
        <w:t>La infraestructura vial de acceso al Puerto del Callao tiene también serias limitaciones. La Av. Manco Cápac, tiene un ancho normativo de 30 metros. Contando con dos carriles por sentido, con tráfico mixto, urbano y de carga.</w:t>
      </w:r>
    </w:p>
    <w:p w:rsidR="008A37E4" w:rsidRPr="007226D7" w:rsidRDefault="008A37E4" w:rsidP="006E6A64">
      <w:pPr>
        <w:pStyle w:val="ListParagraph"/>
        <w:numPr>
          <w:ilvl w:val="0"/>
          <w:numId w:val="36"/>
        </w:numPr>
        <w:rPr>
          <w:lang w:val="es-ES"/>
        </w:rPr>
      </w:pPr>
      <w:r w:rsidRPr="007226D7">
        <w:rPr>
          <w:lang w:val="es-ES"/>
        </w:rPr>
        <w:t>La infraestructura vial de la zona norte, específicamente en el área de Pachacútec en Ventanilla, se encuentra concentrada en sólo dos lugares, lo cual generaría a futuro una concentración de flujos sobre dos intersecciones con el consiguiente congestionamiento.</w:t>
      </w:r>
    </w:p>
    <w:p w:rsidR="008A37E4" w:rsidRPr="007226D7" w:rsidRDefault="008A37E4" w:rsidP="006E6A64">
      <w:pPr>
        <w:pStyle w:val="ListParagraph"/>
        <w:numPr>
          <w:ilvl w:val="0"/>
          <w:numId w:val="36"/>
        </w:numPr>
        <w:rPr>
          <w:lang w:val="es-ES"/>
        </w:rPr>
      </w:pPr>
      <w:r w:rsidRPr="007226D7">
        <w:rPr>
          <w:lang w:val="es-ES"/>
        </w:rPr>
        <w:t>La infraestructura vial de la Av. Néstor Gambetta en el tramo ubicado entre el Ovalo 200 millas y el acceso al Puerto tiene serias limitaciones de capacidad vial.</w:t>
      </w:r>
    </w:p>
    <w:p w:rsidR="008A37E4" w:rsidRPr="007226D7" w:rsidRDefault="008A37E4" w:rsidP="006E6A64">
      <w:pPr>
        <w:pStyle w:val="ListParagraph"/>
        <w:numPr>
          <w:ilvl w:val="0"/>
          <w:numId w:val="36"/>
        </w:numPr>
        <w:rPr>
          <w:rFonts w:cs="Arial"/>
          <w:szCs w:val="22"/>
          <w:lang w:val="es-ES"/>
        </w:rPr>
      </w:pPr>
      <w:r w:rsidRPr="007226D7">
        <w:rPr>
          <w:lang w:val="es-ES"/>
        </w:rPr>
        <w:lastRenderedPageBreak/>
        <w:t xml:space="preserve">Red vial de interconexión Norte – Sur de la Provincia Constitucional del Callao se realiza únicamente por la Av. Néstor Gambetta. Esta vía soporta a la altura del Rio Rímac de Norte – Sur, 1099 vehículos y de Sur – Norte, 1068 </w:t>
      </w:r>
      <w:r w:rsidRPr="007226D7">
        <w:rPr>
          <w:rFonts w:cs="Arial"/>
          <w:szCs w:val="22"/>
          <w:lang w:val="es-ES"/>
        </w:rPr>
        <w:t>vehículos en la hora pico de la mañana.</w:t>
      </w:r>
    </w:p>
    <w:p w:rsidR="008A37E4" w:rsidRPr="007226D7" w:rsidRDefault="008A37E4" w:rsidP="006E6A64">
      <w:pPr>
        <w:pStyle w:val="ListParagraph"/>
        <w:numPr>
          <w:ilvl w:val="0"/>
          <w:numId w:val="36"/>
        </w:numPr>
        <w:rPr>
          <w:lang w:val="es-ES"/>
        </w:rPr>
      </w:pPr>
      <w:r w:rsidRPr="007226D7">
        <w:rPr>
          <w:lang w:val="es-ES"/>
        </w:rPr>
        <w:t>La infraestructura vial de acceso al Aeropuerto Internacional Jorge Chávez, soporta entre el ingreso y salida un flujo mayor a 1000 vehículos en la hora pico, teniendo limitaciones de accesibilidad. El Ovalo ubicado frente al mismo tiene ya la capacidad vial saturada.</w:t>
      </w:r>
    </w:p>
    <w:p w:rsidR="008A37E4" w:rsidRPr="007226D7" w:rsidRDefault="008A37E4" w:rsidP="008A37E4">
      <w:pPr>
        <w:rPr>
          <w:rFonts w:cs="Arial"/>
          <w:b/>
          <w:bCs/>
          <w:szCs w:val="22"/>
          <w:u w:val="single"/>
          <w:lang w:val="es-ES"/>
        </w:rPr>
      </w:pPr>
      <w:r w:rsidRPr="007226D7">
        <w:rPr>
          <w:b/>
          <w:bCs/>
          <w:szCs w:val="22"/>
          <w:u w:val="single"/>
          <w:lang w:val="es-ES"/>
        </w:rPr>
        <w:t>Accesibilidad</w:t>
      </w:r>
      <w:r w:rsidRPr="007226D7">
        <w:rPr>
          <w:rFonts w:cs="Arial"/>
          <w:b/>
          <w:bCs/>
          <w:szCs w:val="22"/>
          <w:u w:val="single"/>
          <w:lang w:val="es-ES"/>
        </w:rPr>
        <w:t xml:space="preserve"> al Puerto y Aeropuerto</w:t>
      </w:r>
    </w:p>
    <w:p w:rsidR="008A37E4" w:rsidRPr="007226D7" w:rsidRDefault="008A37E4" w:rsidP="008A37E4">
      <w:pPr>
        <w:rPr>
          <w:lang w:val="es-ES"/>
        </w:rPr>
      </w:pPr>
      <w:r w:rsidRPr="007226D7">
        <w:rPr>
          <w:lang w:val="es-ES"/>
        </w:rPr>
        <w:t>Un aspecto particular importante está relacionado con los accesos al Puerto y Aeropuerto. Actualmente ambas infraestructuras tienen problemas de accesibilidad. En el caso del Puerto, la infraestructura vial es escasa, dado que la Av. Manco Cápac, que es la que se encuentra frente al Puerto, tiene una sección vial existente que no supera los 24 metros libres. Asimismo, por esta vía circulan, además de los camiones, vehículos privados y también motos.</w:t>
      </w:r>
    </w:p>
    <w:p w:rsidR="008A37E4" w:rsidRPr="007226D7" w:rsidRDefault="008A37E4" w:rsidP="008A37E4">
      <w:pPr>
        <w:rPr>
          <w:lang w:val="es-ES"/>
        </w:rPr>
      </w:pPr>
      <w:r w:rsidRPr="007226D7">
        <w:rPr>
          <w:lang w:val="es-ES"/>
        </w:rPr>
        <w:t>En el caso del Aeropuerto, el problema de accesibilidad consiste en que los ingresos y salidas están relacionadas con un Ovalo, donde confluyen la Av. Tomás Valle y la v. Faucett. En este lugar, por motivos de los entrecruzamientos, se generan problemas de congestionamiento por la reducida capacidad.</w:t>
      </w:r>
    </w:p>
    <w:p w:rsidR="008A37E4" w:rsidRPr="007226D7" w:rsidRDefault="008A37E4" w:rsidP="008A37E4">
      <w:pPr>
        <w:rPr>
          <w:lang w:val="es-ES"/>
        </w:rPr>
      </w:pPr>
    </w:p>
    <w:p w:rsidR="008A37E4" w:rsidRPr="007226D7" w:rsidRDefault="008A37E4" w:rsidP="00BB081C">
      <w:pPr>
        <w:pStyle w:val="Heading6"/>
      </w:pPr>
      <w:r w:rsidRPr="007226D7">
        <w:t>Organización del Servicio</w:t>
      </w:r>
    </w:p>
    <w:p w:rsidR="008A37E4" w:rsidRPr="007226D7" w:rsidRDefault="008A37E4" w:rsidP="008A37E4">
      <w:pPr>
        <w:rPr>
          <w:lang w:val="es-ES"/>
        </w:rPr>
      </w:pPr>
      <w:r w:rsidRPr="007226D7">
        <w:rPr>
          <w:lang w:val="es-ES"/>
        </w:rPr>
        <w:t xml:space="preserve">Las principales características de la operación del servicio de trasporte Público en el corredor Este – Oeste son los siguientes </w:t>
      </w:r>
    </w:p>
    <w:p w:rsidR="008A37E4" w:rsidRPr="007226D7" w:rsidRDefault="008A37E4" w:rsidP="006E6A64">
      <w:pPr>
        <w:pStyle w:val="ListParagraph"/>
        <w:numPr>
          <w:ilvl w:val="0"/>
          <w:numId w:val="20"/>
        </w:numPr>
        <w:autoSpaceDE w:val="0"/>
        <w:autoSpaceDN w:val="0"/>
        <w:adjustRightInd w:val="0"/>
        <w:spacing w:after="0" w:line="240" w:lineRule="auto"/>
        <w:jc w:val="left"/>
        <w:rPr>
          <w:rFonts w:cs="Arial"/>
          <w:color w:val="000000"/>
          <w:szCs w:val="22"/>
        </w:rPr>
      </w:pPr>
      <w:r w:rsidRPr="007226D7">
        <w:rPr>
          <w:rFonts w:cs="Arial"/>
          <w:b/>
          <w:bCs/>
          <w:color w:val="000000"/>
          <w:szCs w:val="22"/>
        </w:rPr>
        <w:t>C</w:t>
      </w:r>
      <w:r w:rsidRPr="007226D7">
        <w:rPr>
          <w:rFonts w:cs="Arial"/>
          <w:b/>
          <w:bCs/>
          <w:i/>
          <w:iCs/>
          <w:color w:val="000000"/>
          <w:szCs w:val="22"/>
        </w:rPr>
        <w:t xml:space="preserve">aracterísticas generales: </w:t>
      </w:r>
    </w:p>
    <w:p w:rsidR="008A37E4" w:rsidRPr="007226D7" w:rsidRDefault="008A37E4" w:rsidP="006E6A64">
      <w:pPr>
        <w:pStyle w:val="ListParagraph"/>
        <w:numPr>
          <w:ilvl w:val="0"/>
          <w:numId w:val="21"/>
        </w:numPr>
        <w:autoSpaceDE w:val="0"/>
        <w:autoSpaceDN w:val="0"/>
        <w:adjustRightInd w:val="0"/>
        <w:spacing w:after="17" w:line="240" w:lineRule="auto"/>
        <w:ind w:left="993"/>
        <w:jc w:val="left"/>
        <w:rPr>
          <w:rFonts w:cs="Arial"/>
          <w:color w:val="000000"/>
          <w:szCs w:val="22"/>
        </w:rPr>
      </w:pPr>
      <w:r w:rsidRPr="007226D7">
        <w:rPr>
          <w:rFonts w:cs="Arial"/>
          <w:color w:val="000000"/>
          <w:szCs w:val="22"/>
        </w:rPr>
        <w:t xml:space="preserve">operación informal del servicio </w:t>
      </w:r>
    </w:p>
    <w:p w:rsidR="008A37E4" w:rsidRPr="007226D7" w:rsidRDefault="008A37E4" w:rsidP="006E6A64">
      <w:pPr>
        <w:pStyle w:val="ListParagraph"/>
        <w:numPr>
          <w:ilvl w:val="0"/>
          <w:numId w:val="21"/>
        </w:numPr>
        <w:autoSpaceDE w:val="0"/>
        <w:autoSpaceDN w:val="0"/>
        <w:adjustRightInd w:val="0"/>
        <w:spacing w:after="17" w:line="240" w:lineRule="auto"/>
        <w:ind w:left="993"/>
        <w:jc w:val="left"/>
        <w:rPr>
          <w:rFonts w:cs="Arial"/>
          <w:color w:val="000000"/>
          <w:szCs w:val="22"/>
        </w:rPr>
      </w:pPr>
      <w:proofErr w:type="gramStart"/>
      <w:r w:rsidRPr="007226D7">
        <w:rPr>
          <w:rFonts w:cs="Arial"/>
          <w:color w:val="000000"/>
          <w:szCs w:val="22"/>
        </w:rPr>
        <w:t>ausencia</w:t>
      </w:r>
      <w:proofErr w:type="gramEnd"/>
      <w:r w:rsidRPr="007226D7">
        <w:rPr>
          <w:rFonts w:cs="Arial"/>
          <w:color w:val="000000"/>
          <w:szCs w:val="22"/>
        </w:rPr>
        <w:t xml:space="preserve"> de paraderos </w:t>
      </w:r>
    </w:p>
    <w:p w:rsidR="008A37E4" w:rsidRPr="007226D7" w:rsidRDefault="008A37E4" w:rsidP="006E6A64">
      <w:pPr>
        <w:pStyle w:val="ListParagraph"/>
        <w:numPr>
          <w:ilvl w:val="0"/>
          <w:numId w:val="21"/>
        </w:numPr>
        <w:autoSpaceDE w:val="0"/>
        <w:autoSpaceDN w:val="0"/>
        <w:adjustRightInd w:val="0"/>
        <w:spacing w:after="17" w:line="240" w:lineRule="auto"/>
        <w:ind w:left="993"/>
        <w:jc w:val="left"/>
        <w:rPr>
          <w:rFonts w:cs="Arial"/>
          <w:color w:val="000000"/>
          <w:szCs w:val="22"/>
        </w:rPr>
      </w:pPr>
      <w:proofErr w:type="gramStart"/>
      <w:r w:rsidRPr="007226D7">
        <w:rPr>
          <w:rFonts w:cs="Arial"/>
          <w:color w:val="000000"/>
          <w:szCs w:val="22"/>
        </w:rPr>
        <w:t>rutas</w:t>
      </w:r>
      <w:proofErr w:type="gramEnd"/>
      <w:r w:rsidRPr="007226D7">
        <w:rPr>
          <w:rFonts w:cs="Arial"/>
          <w:color w:val="000000"/>
          <w:szCs w:val="22"/>
        </w:rPr>
        <w:t xml:space="preserve"> no técnicas </w:t>
      </w:r>
    </w:p>
    <w:p w:rsidR="008A37E4" w:rsidRPr="007226D7" w:rsidRDefault="008A37E4" w:rsidP="006E6A64">
      <w:pPr>
        <w:pStyle w:val="ListParagraph"/>
        <w:numPr>
          <w:ilvl w:val="0"/>
          <w:numId w:val="21"/>
        </w:numPr>
        <w:autoSpaceDE w:val="0"/>
        <w:autoSpaceDN w:val="0"/>
        <w:adjustRightInd w:val="0"/>
        <w:spacing w:after="17" w:line="240" w:lineRule="auto"/>
        <w:ind w:left="993"/>
        <w:jc w:val="left"/>
        <w:rPr>
          <w:rFonts w:cs="Arial"/>
          <w:color w:val="000000"/>
          <w:szCs w:val="22"/>
        </w:rPr>
      </w:pPr>
      <w:r w:rsidRPr="007226D7">
        <w:rPr>
          <w:rFonts w:cs="Arial"/>
          <w:color w:val="000000"/>
          <w:szCs w:val="22"/>
        </w:rPr>
        <w:t xml:space="preserve">tarifas negociables </w:t>
      </w:r>
    </w:p>
    <w:p w:rsidR="008A37E4" w:rsidRPr="007226D7" w:rsidRDefault="008A37E4" w:rsidP="006E6A64">
      <w:pPr>
        <w:pStyle w:val="ListParagraph"/>
        <w:numPr>
          <w:ilvl w:val="0"/>
          <w:numId w:val="21"/>
        </w:numPr>
        <w:autoSpaceDE w:val="0"/>
        <w:autoSpaceDN w:val="0"/>
        <w:adjustRightInd w:val="0"/>
        <w:spacing w:after="17" w:line="240" w:lineRule="auto"/>
        <w:ind w:left="993"/>
        <w:jc w:val="left"/>
        <w:rPr>
          <w:rFonts w:cs="Arial"/>
          <w:color w:val="000000"/>
          <w:szCs w:val="22"/>
          <w:lang w:val="es-ES"/>
        </w:rPr>
      </w:pPr>
      <w:r w:rsidRPr="007226D7">
        <w:rPr>
          <w:rFonts w:cs="Arial"/>
          <w:color w:val="000000"/>
          <w:szCs w:val="22"/>
          <w:lang w:val="es-ES"/>
        </w:rPr>
        <w:t xml:space="preserve">hostilidad ante las normas de tránsito </w:t>
      </w:r>
    </w:p>
    <w:p w:rsidR="008A37E4" w:rsidRPr="007226D7" w:rsidRDefault="008A37E4" w:rsidP="006E6A64">
      <w:pPr>
        <w:pStyle w:val="ListParagraph"/>
        <w:numPr>
          <w:ilvl w:val="0"/>
          <w:numId w:val="21"/>
        </w:numPr>
        <w:autoSpaceDE w:val="0"/>
        <w:autoSpaceDN w:val="0"/>
        <w:adjustRightInd w:val="0"/>
        <w:spacing w:after="0" w:line="240" w:lineRule="auto"/>
        <w:ind w:left="993"/>
        <w:jc w:val="left"/>
        <w:rPr>
          <w:rFonts w:cs="Arial"/>
          <w:color w:val="000000"/>
          <w:szCs w:val="22"/>
          <w:lang w:val="es-ES"/>
        </w:rPr>
      </w:pPr>
      <w:r w:rsidRPr="007226D7">
        <w:rPr>
          <w:rFonts w:cs="Arial"/>
          <w:color w:val="000000"/>
          <w:szCs w:val="22"/>
          <w:lang w:val="es-ES"/>
        </w:rPr>
        <w:t xml:space="preserve">mecanismos artesanales de control, coordinación y monitoreo </w:t>
      </w:r>
    </w:p>
    <w:p w:rsidR="008A37E4" w:rsidRPr="007226D7" w:rsidRDefault="008A37E4" w:rsidP="006E6A64">
      <w:pPr>
        <w:pStyle w:val="ListParagraph"/>
        <w:numPr>
          <w:ilvl w:val="0"/>
          <w:numId w:val="20"/>
        </w:numPr>
        <w:autoSpaceDE w:val="0"/>
        <w:autoSpaceDN w:val="0"/>
        <w:adjustRightInd w:val="0"/>
        <w:spacing w:after="0" w:line="240" w:lineRule="auto"/>
        <w:jc w:val="left"/>
        <w:rPr>
          <w:rFonts w:cs="Arial"/>
          <w:color w:val="000000"/>
          <w:szCs w:val="22"/>
          <w:lang w:val="es-ES"/>
        </w:rPr>
      </w:pPr>
      <w:r w:rsidRPr="007226D7">
        <w:rPr>
          <w:rFonts w:cs="Arial"/>
          <w:b/>
          <w:bCs/>
          <w:i/>
          <w:iCs/>
          <w:color w:val="000000"/>
          <w:szCs w:val="22"/>
          <w:lang w:val="es-ES"/>
        </w:rPr>
        <w:t xml:space="preserve">Los elementos que caracterizan la conducta del transportista son: </w:t>
      </w:r>
    </w:p>
    <w:p w:rsidR="008A37E4" w:rsidRPr="007226D7" w:rsidRDefault="008A37E4" w:rsidP="006E6A64">
      <w:pPr>
        <w:pStyle w:val="ListParagraph"/>
        <w:numPr>
          <w:ilvl w:val="0"/>
          <w:numId w:val="21"/>
        </w:numPr>
        <w:autoSpaceDE w:val="0"/>
        <w:autoSpaceDN w:val="0"/>
        <w:adjustRightInd w:val="0"/>
        <w:spacing w:after="14" w:line="240" w:lineRule="auto"/>
        <w:ind w:left="993"/>
        <w:jc w:val="left"/>
        <w:rPr>
          <w:rFonts w:cs="Arial"/>
          <w:color w:val="000000"/>
          <w:szCs w:val="22"/>
          <w:lang w:val="es-ES"/>
        </w:rPr>
      </w:pPr>
      <w:r w:rsidRPr="007226D7">
        <w:rPr>
          <w:rFonts w:cs="Arial"/>
          <w:color w:val="000000"/>
          <w:szCs w:val="22"/>
          <w:lang w:val="es-ES"/>
        </w:rPr>
        <w:t xml:space="preserve">asegurar sus ingresos sin garantizar calidad de servicio </w:t>
      </w:r>
    </w:p>
    <w:p w:rsidR="008A37E4" w:rsidRPr="007226D7" w:rsidRDefault="008A37E4" w:rsidP="006E6A64">
      <w:pPr>
        <w:pStyle w:val="ListParagraph"/>
        <w:numPr>
          <w:ilvl w:val="0"/>
          <w:numId w:val="21"/>
        </w:numPr>
        <w:autoSpaceDE w:val="0"/>
        <w:autoSpaceDN w:val="0"/>
        <w:adjustRightInd w:val="0"/>
        <w:spacing w:after="14" w:line="240" w:lineRule="auto"/>
        <w:ind w:left="993"/>
        <w:jc w:val="left"/>
        <w:rPr>
          <w:rFonts w:cs="Arial"/>
          <w:color w:val="000000"/>
          <w:szCs w:val="22"/>
        </w:rPr>
      </w:pPr>
      <w:r w:rsidRPr="007226D7">
        <w:rPr>
          <w:rFonts w:cs="Arial"/>
          <w:color w:val="000000"/>
          <w:szCs w:val="22"/>
        </w:rPr>
        <w:t xml:space="preserve">trato irreverente </w:t>
      </w:r>
    </w:p>
    <w:p w:rsidR="008A37E4" w:rsidRPr="007226D7" w:rsidRDefault="008A37E4" w:rsidP="006E6A64">
      <w:pPr>
        <w:pStyle w:val="ListParagraph"/>
        <w:numPr>
          <w:ilvl w:val="0"/>
          <w:numId w:val="21"/>
        </w:numPr>
        <w:autoSpaceDE w:val="0"/>
        <w:autoSpaceDN w:val="0"/>
        <w:adjustRightInd w:val="0"/>
        <w:spacing w:after="14" w:line="240" w:lineRule="auto"/>
        <w:ind w:left="993"/>
        <w:jc w:val="left"/>
        <w:rPr>
          <w:rFonts w:cs="Arial"/>
          <w:color w:val="000000"/>
          <w:szCs w:val="22"/>
          <w:lang w:val="es-ES"/>
        </w:rPr>
      </w:pPr>
      <w:r w:rsidRPr="007226D7">
        <w:rPr>
          <w:rFonts w:cs="Arial"/>
          <w:color w:val="000000"/>
          <w:szCs w:val="22"/>
          <w:lang w:val="es-ES"/>
        </w:rPr>
        <w:t xml:space="preserve">descuido de la limpieza de la unidad </w:t>
      </w:r>
    </w:p>
    <w:p w:rsidR="008A37E4" w:rsidRPr="007226D7" w:rsidRDefault="008A37E4" w:rsidP="006E6A64">
      <w:pPr>
        <w:pStyle w:val="ListParagraph"/>
        <w:numPr>
          <w:ilvl w:val="0"/>
          <w:numId w:val="21"/>
        </w:numPr>
        <w:autoSpaceDE w:val="0"/>
        <w:autoSpaceDN w:val="0"/>
        <w:adjustRightInd w:val="0"/>
        <w:spacing w:after="14" w:line="240" w:lineRule="auto"/>
        <w:ind w:left="993"/>
        <w:jc w:val="left"/>
        <w:rPr>
          <w:rFonts w:cs="Arial"/>
          <w:color w:val="000000"/>
          <w:szCs w:val="22"/>
        </w:rPr>
      </w:pPr>
      <w:proofErr w:type="gramStart"/>
      <w:r w:rsidRPr="007226D7">
        <w:rPr>
          <w:rFonts w:cs="Arial"/>
          <w:color w:val="000000"/>
          <w:szCs w:val="22"/>
        </w:rPr>
        <w:t>ruptura</w:t>
      </w:r>
      <w:proofErr w:type="gramEnd"/>
      <w:r w:rsidRPr="007226D7">
        <w:rPr>
          <w:rFonts w:cs="Arial"/>
          <w:color w:val="000000"/>
          <w:szCs w:val="22"/>
        </w:rPr>
        <w:t xml:space="preserve"> con el entorno vehicular </w:t>
      </w:r>
    </w:p>
    <w:p w:rsidR="008A37E4" w:rsidRPr="007226D7" w:rsidRDefault="008A37E4" w:rsidP="006E6A64">
      <w:pPr>
        <w:pStyle w:val="ListParagraph"/>
        <w:numPr>
          <w:ilvl w:val="0"/>
          <w:numId w:val="21"/>
        </w:numPr>
        <w:autoSpaceDE w:val="0"/>
        <w:autoSpaceDN w:val="0"/>
        <w:adjustRightInd w:val="0"/>
        <w:spacing w:after="14" w:line="240" w:lineRule="auto"/>
        <w:ind w:left="993"/>
        <w:jc w:val="left"/>
        <w:rPr>
          <w:rFonts w:cs="Arial"/>
          <w:color w:val="000000"/>
          <w:szCs w:val="22"/>
          <w:lang w:val="es-ES"/>
        </w:rPr>
      </w:pPr>
      <w:r w:rsidRPr="007226D7">
        <w:rPr>
          <w:rFonts w:cs="Arial"/>
          <w:color w:val="000000"/>
          <w:szCs w:val="22"/>
          <w:lang w:val="es-ES"/>
        </w:rPr>
        <w:t xml:space="preserve">irresponsabilidad ante el usuario y terceros </w:t>
      </w:r>
    </w:p>
    <w:p w:rsidR="008A37E4" w:rsidRPr="007226D7" w:rsidRDefault="008A37E4" w:rsidP="006E6A64">
      <w:pPr>
        <w:pStyle w:val="ListParagraph"/>
        <w:numPr>
          <w:ilvl w:val="0"/>
          <w:numId w:val="21"/>
        </w:numPr>
        <w:autoSpaceDE w:val="0"/>
        <w:autoSpaceDN w:val="0"/>
        <w:adjustRightInd w:val="0"/>
        <w:spacing w:after="0" w:line="240" w:lineRule="auto"/>
        <w:ind w:left="993"/>
        <w:jc w:val="left"/>
        <w:rPr>
          <w:rFonts w:cs="Arial"/>
          <w:color w:val="000000"/>
          <w:szCs w:val="22"/>
        </w:rPr>
      </w:pPr>
      <w:proofErr w:type="gramStart"/>
      <w:r w:rsidRPr="007226D7">
        <w:rPr>
          <w:rFonts w:cs="Arial"/>
          <w:color w:val="000000"/>
          <w:szCs w:val="22"/>
        </w:rPr>
        <w:t>maximización</w:t>
      </w:r>
      <w:proofErr w:type="gramEnd"/>
      <w:r w:rsidRPr="007226D7">
        <w:rPr>
          <w:rFonts w:cs="Arial"/>
          <w:color w:val="000000"/>
          <w:szCs w:val="22"/>
        </w:rPr>
        <w:t xml:space="preserve"> del uso de espacios </w:t>
      </w:r>
    </w:p>
    <w:p w:rsidR="008A37E4" w:rsidRPr="007226D7" w:rsidRDefault="008A37E4" w:rsidP="008A37E4">
      <w:pPr>
        <w:rPr>
          <w:rFonts w:cs="Arial"/>
          <w:color w:val="000000"/>
          <w:szCs w:val="22"/>
        </w:rPr>
      </w:pPr>
    </w:p>
    <w:p w:rsidR="008A37E4" w:rsidRPr="007226D7" w:rsidRDefault="008A37E4" w:rsidP="008A37E4">
      <w:pPr>
        <w:autoSpaceDE w:val="0"/>
        <w:autoSpaceDN w:val="0"/>
        <w:adjustRightInd w:val="0"/>
        <w:spacing w:after="0" w:line="240" w:lineRule="auto"/>
        <w:jc w:val="left"/>
        <w:rPr>
          <w:rFonts w:cs="Arial"/>
          <w:color w:val="000000"/>
          <w:szCs w:val="22"/>
        </w:rPr>
      </w:pPr>
      <w:r w:rsidRPr="007226D7">
        <w:rPr>
          <w:rFonts w:cs="Arial"/>
          <w:color w:val="000000"/>
          <w:szCs w:val="22"/>
          <w:lang w:val="es-ES"/>
        </w:rPr>
        <w:t xml:space="preserve">A continuación se presentan cinco imágenes de las rutas de transporte público que pasan a lo largo de la calzada correspondiente a la ruta del metro. Las secciones son: Carretera Central en Ate y antes de la vía de Evitamiento, vía expresa Grau, Av. </w:t>
      </w:r>
      <w:r w:rsidRPr="007226D7">
        <w:rPr>
          <w:rFonts w:cs="Arial"/>
          <w:color w:val="000000"/>
          <w:szCs w:val="22"/>
        </w:rPr>
        <w:t>Colonial, Guardia Chalaca y Elmer Faucett.</w:t>
      </w:r>
    </w:p>
    <w:p w:rsidR="008A37E4" w:rsidRPr="007226D7" w:rsidRDefault="008A37E4" w:rsidP="008A37E4">
      <w:pPr>
        <w:autoSpaceDE w:val="0"/>
        <w:autoSpaceDN w:val="0"/>
        <w:adjustRightInd w:val="0"/>
        <w:spacing w:after="0" w:line="240" w:lineRule="auto"/>
        <w:jc w:val="left"/>
        <w:rPr>
          <w:rFonts w:cs="Arial"/>
          <w:color w:val="000000"/>
          <w:sz w:val="24"/>
          <w:szCs w:val="24"/>
        </w:rPr>
        <w:sectPr w:rsidR="008A37E4" w:rsidRPr="007226D7" w:rsidSect="00616C7B">
          <w:footerReference w:type="default" r:id="rId120"/>
          <w:pgSz w:w="11907" w:h="16840" w:code="9"/>
          <w:pgMar w:top="1985" w:right="1134" w:bottom="1701" w:left="1418" w:header="720" w:footer="833" w:gutter="0"/>
          <w:paperSrc w:first="15" w:other="15"/>
          <w:cols w:space="720"/>
          <w:docGrid w:linePitch="299"/>
        </w:sectPr>
      </w:pPr>
    </w:p>
    <w:p w:rsidR="008A37E4" w:rsidRPr="007226D7" w:rsidRDefault="008A37E4" w:rsidP="008A37E4">
      <w:pPr>
        <w:autoSpaceDE w:val="0"/>
        <w:autoSpaceDN w:val="0"/>
        <w:adjustRightInd w:val="0"/>
        <w:spacing w:after="0" w:line="240" w:lineRule="auto"/>
        <w:jc w:val="left"/>
        <w:rPr>
          <w:rFonts w:cs="Arial"/>
          <w:color w:val="000000"/>
          <w:sz w:val="24"/>
          <w:szCs w:val="24"/>
        </w:rPr>
      </w:pPr>
      <w:r w:rsidRPr="007226D7">
        <w:rPr>
          <w:rFonts w:cs="Arial"/>
          <w:noProof/>
          <w:color w:val="000000"/>
          <w:sz w:val="24"/>
          <w:szCs w:val="24"/>
          <w:lang w:val="en-US" w:eastAsia="en-US"/>
        </w:rPr>
        <w:lastRenderedPageBreak/>
        <w:drawing>
          <wp:inline distT="0" distB="0" distL="0" distR="0" wp14:anchorId="5B9C4246" wp14:editId="14A7638E">
            <wp:extent cx="8300720" cy="4678680"/>
            <wp:effectExtent l="0" t="0" r="0" b="0"/>
            <wp:docPr id="743" name="Imagen 637" descr="Descripción: GTU2012_AteVit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descr="Descripción: GTU2012_AteVitarte.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300720" cy="4678680"/>
                    </a:xfrm>
                    <a:prstGeom prst="rect">
                      <a:avLst/>
                    </a:prstGeom>
                    <a:noFill/>
                    <a:ln>
                      <a:noFill/>
                    </a:ln>
                  </pic:spPr>
                </pic:pic>
              </a:graphicData>
            </a:graphic>
          </wp:inline>
        </w:drawing>
      </w:r>
    </w:p>
    <w:p w:rsidR="008A37E4" w:rsidRPr="007226D7" w:rsidRDefault="008A37E4" w:rsidP="008A37E4">
      <w:pPr>
        <w:pStyle w:val="Figuras"/>
        <w:rPr>
          <w:lang w:val="es-PE"/>
        </w:rPr>
      </w:pPr>
      <w:r w:rsidRPr="007226D7">
        <w:t xml:space="preserve">Figura 3.1-48  </w:t>
      </w:r>
      <w:r w:rsidRPr="007226D7">
        <w:rPr>
          <w:lang w:val="es-PE"/>
        </w:rPr>
        <w:t xml:space="preserve">Rutas de transporte público que pasan a lo  largo de Carretera Central en Ate </w:t>
      </w:r>
      <w:r w:rsidRPr="007226D7">
        <w:t xml:space="preserve">(fuente: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p>
    <w:p w:rsidR="008A37E4" w:rsidRPr="007226D7" w:rsidRDefault="008A37E4" w:rsidP="008A37E4">
      <w:pPr>
        <w:autoSpaceDE w:val="0"/>
        <w:autoSpaceDN w:val="0"/>
        <w:adjustRightInd w:val="0"/>
        <w:spacing w:after="0" w:line="240" w:lineRule="auto"/>
        <w:jc w:val="left"/>
        <w:rPr>
          <w:rFonts w:cs="Arial"/>
          <w:color w:val="000000"/>
          <w:sz w:val="24"/>
          <w:szCs w:val="24"/>
        </w:rPr>
      </w:pPr>
      <w:r w:rsidRPr="007226D7">
        <w:rPr>
          <w:rFonts w:cs="Arial"/>
          <w:noProof/>
          <w:color w:val="000000"/>
          <w:sz w:val="24"/>
          <w:szCs w:val="24"/>
          <w:lang w:val="en-US" w:eastAsia="en-US"/>
        </w:rPr>
        <w:lastRenderedPageBreak/>
        <w:drawing>
          <wp:inline distT="0" distB="0" distL="0" distR="0" wp14:anchorId="74A2F62E" wp14:editId="2ACB3A5F">
            <wp:extent cx="8300720" cy="4286885"/>
            <wp:effectExtent l="0" t="0" r="0" b="0"/>
            <wp:docPr id="744" name="Imagen 636" descr="Descripción: GTU2012_CarreteraCent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descr="Descripción: GTU2012_CarreteraCentra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300720" cy="4286885"/>
                    </a:xfrm>
                    <a:prstGeom prst="rect">
                      <a:avLst/>
                    </a:prstGeom>
                    <a:noFill/>
                    <a:ln>
                      <a:noFill/>
                    </a:ln>
                  </pic:spPr>
                </pic:pic>
              </a:graphicData>
            </a:graphic>
          </wp:inline>
        </w:drawing>
      </w:r>
    </w:p>
    <w:p w:rsidR="008A37E4" w:rsidRPr="007226D7" w:rsidRDefault="008A37E4" w:rsidP="008A37E4">
      <w:pPr>
        <w:pStyle w:val="Figuras"/>
        <w:rPr>
          <w:rFonts w:cs="Arial"/>
          <w:color w:val="000000"/>
          <w:sz w:val="24"/>
          <w:szCs w:val="24"/>
          <w:lang w:val="es-PE"/>
        </w:rPr>
      </w:pPr>
      <w:r w:rsidRPr="007226D7">
        <w:t xml:space="preserve">Figura 3.1.-49 </w:t>
      </w:r>
      <w:r w:rsidRPr="007226D7">
        <w:rPr>
          <w:lang w:val="es-PE"/>
        </w:rPr>
        <w:t xml:space="preserve">Rutas de transporte público que pasan a lo  largo de Carretera Central antes de la vía de Evitamiento </w:t>
      </w:r>
      <w:r w:rsidRPr="007226D7">
        <w:t xml:space="preserve">(fuente: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r w:rsidRPr="007226D7">
        <w:rPr>
          <w:rFonts w:cs="Arial"/>
          <w:color w:val="000000"/>
          <w:sz w:val="24"/>
          <w:szCs w:val="24"/>
          <w:lang w:val="es-PE"/>
        </w:rPr>
        <w:br w:type="page"/>
      </w:r>
      <w:r w:rsidRPr="007226D7">
        <w:rPr>
          <w:rFonts w:cs="Arial"/>
          <w:noProof/>
          <w:color w:val="000000"/>
          <w:sz w:val="24"/>
          <w:szCs w:val="24"/>
          <w:lang w:val="en-US" w:eastAsia="en-US"/>
        </w:rPr>
        <w:lastRenderedPageBreak/>
        <w:drawing>
          <wp:inline distT="0" distB="0" distL="0" distR="0" wp14:anchorId="518B2B7F" wp14:editId="631090EF">
            <wp:extent cx="8300720" cy="4346575"/>
            <wp:effectExtent l="0" t="0" r="0" b="0"/>
            <wp:docPr id="745" name="Imagen 635" descr="Descripción: GTU2012_Gr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descr="Descripción: GTU2012_Grau.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300720" cy="4346575"/>
                    </a:xfrm>
                    <a:prstGeom prst="rect">
                      <a:avLst/>
                    </a:prstGeom>
                    <a:noFill/>
                    <a:ln>
                      <a:noFill/>
                    </a:ln>
                  </pic:spPr>
                </pic:pic>
              </a:graphicData>
            </a:graphic>
          </wp:inline>
        </w:drawing>
      </w:r>
    </w:p>
    <w:p w:rsidR="008A37E4" w:rsidRPr="007226D7" w:rsidRDefault="008A37E4" w:rsidP="008A37E4">
      <w:pPr>
        <w:pStyle w:val="Figuras"/>
        <w:rPr>
          <w:rFonts w:cs="Arial"/>
          <w:color w:val="000000"/>
          <w:sz w:val="24"/>
          <w:szCs w:val="24"/>
          <w:lang w:val="es-PE"/>
        </w:rPr>
      </w:pPr>
      <w:r w:rsidRPr="007226D7">
        <w:t xml:space="preserve">Figura 3.1-50  </w:t>
      </w:r>
      <w:r w:rsidRPr="007226D7">
        <w:rPr>
          <w:lang w:val="es-PE"/>
        </w:rPr>
        <w:t xml:space="preserve">Rutas de transporte público que pasan a lo largo de la vía Expresa Grau </w:t>
      </w:r>
      <w:r w:rsidRPr="007226D7">
        <w:t xml:space="preserve">(fuente: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p>
    <w:p w:rsidR="008A37E4" w:rsidRPr="007226D7" w:rsidRDefault="008A37E4" w:rsidP="008A37E4">
      <w:pPr>
        <w:autoSpaceDE w:val="0"/>
        <w:autoSpaceDN w:val="0"/>
        <w:adjustRightInd w:val="0"/>
        <w:spacing w:after="0" w:line="240" w:lineRule="auto"/>
        <w:jc w:val="left"/>
        <w:rPr>
          <w:rFonts w:cs="Arial"/>
          <w:color w:val="000000"/>
          <w:sz w:val="24"/>
          <w:szCs w:val="24"/>
        </w:rPr>
      </w:pPr>
      <w:r w:rsidRPr="007226D7">
        <w:rPr>
          <w:rFonts w:cs="Arial"/>
          <w:noProof/>
          <w:color w:val="000000"/>
          <w:sz w:val="24"/>
          <w:szCs w:val="24"/>
          <w:lang w:val="en-US" w:eastAsia="en-US"/>
        </w:rPr>
        <w:lastRenderedPageBreak/>
        <w:drawing>
          <wp:inline distT="0" distB="0" distL="0" distR="0" wp14:anchorId="0D950CF3" wp14:editId="2A1E7DE0">
            <wp:extent cx="8300720" cy="4750435"/>
            <wp:effectExtent l="0" t="0" r="0" b="0"/>
            <wp:docPr id="746" name="Imagen 634" descr="Descripción: GTU2012_Colonial_OBenavi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descr="Descripción: GTU2012_Colonial_OBenavides.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300720" cy="4750435"/>
                    </a:xfrm>
                    <a:prstGeom prst="rect">
                      <a:avLst/>
                    </a:prstGeom>
                    <a:noFill/>
                    <a:ln>
                      <a:noFill/>
                    </a:ln>
                  </pic:spPr>
                </pic:pic>
              </a:graphicData>
            </a:graphic>
          </wp:inline>
        </w:drawing>
      </w:r>
    </w:p>
    <w:p w:rsidR="008A37E4" w:rsidRPr="007226D7" w:rsidRDefault="008A37E4" w:rsidP="008A37E4">
      <w:pPr>
        <w:pStyle w:val="Figuras"/>
        <w:rPr>
          <w:szCs w:val="24"/>
        </w:rPr>
      </w:pPr>
      <w:r w:rsidRPr="007226D7">
        <w:t xml:space="preserve">Figura 3.1-51  </w:t>
      </w:r>
      <w:r w:rsidRPr="007226D7">
        <w:rPr>
          <w:lang w:val="es-PE"/>
        </w:rPr>
        <w:t xml:space="preserve">Rutas de transporte público que pasan a lo largo de la </w:t>
      </w:r>
      <w:r w:rsidRPr="007226D7">
        <w:t xml:space="preserve">Av. Colonial (fuente: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r w:rsidRPr="007226D7">
        <w:rPr>
          <w:rFonts w:cs="Arial"/>
          <w:color w:val="000000"/>
          <w:sz w:val="24"/>
          <w:szCs w:val="24"/>
          <w:lang w:val="es-PE"/>
        </w:rPr>
        <w:br w:type="page"/>
      </w:r>
    </w:p>
    <w:p w:rsidR="008A37E4" w:rsidRPr="007226D7" w:rsidRDefault="008A37E4" w:rsidP="008A37E4">
      <w:pPr>
        <w:autoSpaceDE w:val="0"/>
        <w:autoSpaceDN w:val="0"/>
        <w:adjustRightInd w:val="0"/>
        <w:spacing w:after="0" w:line="240" w:lineRule="auto"/>
        <w:jc w:val="left"/>
        <w:rPr>
          <w:rFonts w:cs="Arial"/>
          <w:color w:val="000000"/>
          <w:sz w:val="24"/>
          <w:szCs w:val="24"/>
        </w:rPr>
      </w:pPr>
      <w:r w:rsidRPr="007226D7">
        <w:rPr>
          <w:rFonts w:cs="Arial"/>
          <w:noProof/>
          <w:color w:val="000000"/>
          <w:sz w:val="24"/>
          <w:szCs w:val="24"/>
          <w:lang w:val="en-US" w:eastAsia="en-US"/>
        </w:rPr>
        <w:lastRenderedPageBreak/>
        <w:drawing>
          <wp:inline distT="0" distB="0" distL="0" distR="0" wp14:anchorId="6ECFCBAB" wp14:editId="34C56265">
            <wp:extent cx="8300720" cy="4488815"/>
            <wp:effectExtent l="0" t="0" r="0" b="0"/>
            <wp:docPr id="747" name="Imagen 633" descr="Descripción: GTU2012_GuardiaChal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descr="Descripción: GTU2012_GuardiaChalaca.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300720" cy="4488815"/>
                    </a:xfrm>
                    <a:prstGeom prst="rect">
                      <a:avLst/>
                    </a:prstGeom>
                    <a:noFill/>
                    <a:ln>
                      <a:noFill/>
                    </a:ln>
                  </pic:spPr>
                </pic:pic>
              </a:graphicData>
            </a:graphic>
          </wp:inline>
        </w:drawing>
      </w:r>
    </w:p>
    <w:p w:rsidR="008A37E4" w:rsidRPr="007226D7" w:rsidRDefault="008A37E4" w:rsidP="008A37E4">
      <w:pPr>
        <w:pStyle w:val="Figuras"/>
        <w:rPr>
          <w:rFonts w:cs="Arial"/>
          <w:color w:val="000000"/>
          <w:sz w:val="24"/>
          <w:szCs w:val="24"/>
          <w:lang w:val="es-PE"/>
        </w:rPr>
      </w:pPr>
      <w:r w:rsidRPr="007226D7">
        <w:t xml:space="preserve">Figura 3.1-52  </w:t>
      </w:r>
      <w:r w:rsidRPr="007226D7">
        <w:rPr>
          <w:lang w:val="es-PE"/>
        </w:rPr>
        <w:t xml:space="preserve">Rutas de transporte público que pasan a lo largo de la Av. </w:t>
      </w:r>
      <w:r w:rsidRPr="007226D7">
        <w:rPr>
          <w:szCs w:val="24"/>
        </w:rPr>
        <w:t>Guardia</w:t>
      </w:r>
      <w:r w:rsidRPr="007226D7">
        <w:rPr>
          <w:rFonts w:cs="Arial"/>
          <w:color w:val="000000"/>
          <w:sz w:val="24"/>
          <w:szCs w:val="24"/>
          <w:lang w:val="es-PE"/>
        </w:rPr>
        <w:t xml:space="preserve"> </w:t>
      </w:r>
      <w:r w:rsidRPr="007226D7">
        <w:rPr>
          <w:szCs w:val="24"/>
        </w:rPr>
        <w:t xml:space="preserve">Chalaca </w:t>
      </w:r>
      <w:r w:rsidRPr="007226D7">
        <w:t xml:space="preserve">(fuente: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p>
    <w:p w:rsidR="008A37E4" w:rsidRPr="007226D7" w:rsidRDefault="008A37E4" w:rsidP="008A37E4">
      <w:pPr>
        <w:autoSpaceDE w:val="0"/>
        <w:autoSpaceDN w:val="0"/>
        <w:adjustRightInd w:val="0"/>
        <w:spacing w:after="0" w:line="240" w:lineRule="auto"/>
        <w:jc w:val="left"/>
        <w:rPr>
          <w:rFonts w:cs="Arial"/>
          <w:color w:val="000000"/>
          <w:sz w:val="24"/>
          <w:szCs w:val="24"/>
        </w:rPr>
      </w:pPr>
      <w:r w:rsidRPr="007226D7">
        <w:rPr>
          <w:rFonts w:cs="Arial"/>
          <w:noProof/>
          <w:color w:val="000000"/>
          <w:sz w:val="24"/>
          <w:szCs w:val="24"/>
          <w:lang w:val="en-US" w:eastAsia="en-US"/>
        </w:rPr>
        <w:lastRenderedPageBreak/>
        <w:drawing>
          <wp:inline distT="0" distB="0" distL="0" distR="0" wp14:anchorId="135C9F86" wp14:editId="6360A18F">
            <wp:extent cx="8300720" cy="4809490"/>
            <wp:effectExtent l="0" t="0" r="0" b="0"/>
            <wp:docPr id="748" name="Imagen 632" descr="Descripción: GTU2012_Fauce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3" descr="Descripción: GTU2012_Faucett.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300720" cy="4809490"/>
                    </a:xfrm>
                    <a:prstGeom prst="rect">
                      <a:avLst/>
                    </a:prstGeom>
                    <a:noFill/>
                    <a:ln>
                      <a:noFill/>
                    </a:ln>
                  </pic:spPr>
                </pic:pic>
              </a:graphicData>
            </a:graphic>
          </wp:inline>
        </w:drawing>
      </w:r>
    </w:p>
    <w:p w:rsidR="008A37E4" w:rsidRPr="007226D7" w:rsidRDefault="008A37E4" w:rsidP="008A37E4">
      <w:pPr>
        <w:pStyle w:val="Figuras"/>
      </w:pPr>
      <w:r w:rsidRPr="007226D7">
        <w:t xml:space="preserve">Figura 3.1-53  </w:t>
      </w:r>
      <w:r w:rsidRPr="007226D7">
        <w:rPr>
          <w:lang w:val="es-PE"/>
        </w:rPr>
        <w:t>Rutas de transporte público que pasan a lo largo de la Av. Elmer Faucett</w:t>
      </w:r>
      <w:r w:rsidRPr="007226D7">
        <w:t xml:space="preserve"> (fuente: </w:t>
      </w:r>
      <w:r w:rsidR="000B2336" w:rsidRPr="007226D7">
        <w:t>elaboración</w:t>
      </w:r>
      <w:r w:rsidRPr="007226D7">
        <w:t xml:space="preserve"> propia de información obtenida a partir del modelo de transporte proporcionado por la AATE - Antecedente “Estudio de Demanda y Diseño Operacional de la </w:t>
      </w:r>
      <w:r w:rsidR="000B2336" w:rsidRPr="007226D7">
        <w:t>Línea</w:t>
      </w:r>
      <w:r w:rsidRPr="007226D7">
        <w:t xml:space="preserve"> 2 del Metro de Lima”)</w:t>
      </w:r>
    </w:p>
    <w:p w:rsidR="008A37E4" w:rsidRPr="007226D7" w:rsidRDefault="008A37E4" w:rsidP="008A37E4">
      <w:pPr>
        <w:autoSpaceDE w:val="0"/>
        <w:autoSpaceDN w:val="0"/>
        <w:adjustRightInd w:val="0"/>
        <w:spacing w:after="0" w:line="240" w:lineRule="auto"/>
        <w:jc w:val="left"/>
        <w:rPr>
          <w:rFonts w:cs="Arial"/>
          <w:color w:val="000000"/>
          <w:sz w:val="24"/>
          <w:szCs w:val="24"/>
          <w:lang w:val="es-ES"/>
        </w:rPr>
        <w:sectPr w:rsidR="008A37E4" w:rsidRPr="007226D7" w:rsidSect="00616C7B">
          <w:footerReference w:type="default" r:id="rId127"/>
          <w:pgSz w:w="16840" w:h="11907" w:orient="landscape" w:code="9"/>
          <w:pgMar w:top="1418" w:right="1985" w:bottom="1134" w:left="1701" w:header="720" w:footer="833" w:gutter="0"/>
          <w:paperSrc w:first="15" w:other="15"/>
          <w:cols w:space="720"/>
          <w:docGrid w:linePitch="299"/>
        </w:sectPr>
      </w:pPr>
    </w:p>
    <w:p w:rsidR="008A37E4" w:rsidRPr="007226D7" w:rsidRDefault="008A37E4" w:rsidP="00BB081C">
      <w:pPr>
        <w:pStyle w:val="Heading5"/>
        <w:rPr>
          <w:lang w:val="es-ES"/>
        </w:rPr>
      </w:pPr>
      <w:bookmarkStart w:id="38" w:name="_Toc341644985"/>
      <w:r w:rsidRPr="007226D7">
        <w:rPr>
          <w:lang w:val="es-ES"/>
        </w:rPr>
        <w:lastRenderedPageBreak/>
        <w:t>Esquema operativo del sistema de empresas de transporte público de pasajeros en el corredor este – oeste.</w:t>
      </w:r>
      <w:bookmarkEnd w:id="38"/>
    </w:p>
    <w:p w:rsidR="008A37E4" w:rsidRPr="007226D7" w:rsidRDefault="008A37E4" w:rsidP="008A37E4">
      <w:pPr>
        <w:spacing w:after="0" w:line="240" w:lineRule="auto"/>
        <w:jc w:val="left"/>
        <w:rPr>
          <w:szCs w:val="22"/>
          <w:lang w:val="es-ES"/>
        </w:rPr>
      </w:pPr>
    </w:p>
    <w:p w:rsidR="008A37E4" w:rsidRPr="007226D7" w:rsidRDefault="008A37E4" w:rsidP="008A37E4">
      <w:pPr>
        <w:spacing w:after="0" w:line="240" w:lineRule="auto"/>
        <w:jc w:val="left"/>
        <w:rPr>
          <w:lang w:val="es-ES"/>
        </w:rPr>
      </w:pPr>
      <w:r w:rsidRPr="007226D7">
        <w:rPr>
          <w:lang w:val="es-ES"/>
        </w:rPr>
        <w:t>Diversos estudios sobre el tránsito de Lima Metropolitana, entre los que destacan:</w:t>
      </w:r>
    </w:p>
    <w:p w:rsidR="008A37E4" w:rsidRPr="007226D7" w:rsidRDefault="008A37E4" w:rsidP="008A37E4">
      <w:pPr>
        <w:spacing w:after="0" w:line="240" w:lineRule="auto"/>
        <w:jc w:val="left"/>
        <w:rPr>
          <w:lang w:val="es-ES"/>
        </w:rPr>
      </w:pPr>
    </w:p>
    <w:p w:rsidR="008A37E4" w:rsidRPr="007226D7" w:rsidRDefault="008A37E4" w:rsidP="006E6A64">
      <w:pPr>
        <w:numPr>
          <w:ilvl w:val="0"/>
          <w:numId w:val="44"/>
        </w:numPr>
        <w:spacing w:after="0" w:line="240" w:lineRule="auto"/>
        <w:jc w:val="left"/>
      </w:pPr>
      <w:r w:rsidRPr="007226D7">
        <w:rPr>
          <w:lang w:val="es-ES"/>
        </w:rPr>
        <w:t xml:space="preserve">Estudio para la Consolidación del Sistema Integrado de Transporte Público de Lima Volumen II. </w:t>
      </w:r>
      <w:proofErr w:type="gramStart"/>
      <w:r w:rsidRPr="007226D7">
        <w:t>Componente</w:t>
      </w:r>
      <w:proofErr w:type="gramEnd"/>
      <w:r w:rsidRPr="007226D7">
        <w:t xml:space="preserve"> II. Parte I</w:t>
      </w:r>
    </w:p>
    <w:p w:rsidR="008A37E4" w:rsidRPr="007226D7" w:rsidRDefault="008A37E4" w:rsidP="006E6A64">
      <w:pPr>
        <w:numPr>
          <w:ilvl w:val="0"/>
          <w:numId w:val="44"/>
        </w:numPr>
        <w:spacing w:after="0" w:line="240" w:lineRule="auto"/>
        <w:jc w:val="left"/>
      </w:pPr>
      <w:r w:rsidRPr="007226D7">
        <w:rPr>
          <w:lang w:val="es-ES"/>
        </w:rPr>
        <w:t xml:space="preserve">Bielich, Claudia “El transporte público limeño y la guerra del centavo”. </w:t>
      </w:r>
      <w:r w:rsidRPr="007226D7">
        <w:t xml:space="preserve">En Revista Argumentos, año 3, n° 2, mayo 2009. </w:t>
      </w:r>
    </w:p>
    <w:p w:rsidR="008A37E4" w:rsidRPr="007226D7" w:rsidRDefault="008A37E4" w:rsidP="008A37E4">
      <w:pPr>
        <w:spacing w:after="0" w:line="240" w:lineRule="auto"/>
        <w:jc w:val="left"/>
      </w:pPr>
    </w:p>
    <w:p w:rsidR="008A37E4" w:rsidRPr="007226D7" w:rsidRDefault="008A37E4" w:rsidP="008A37E4">
      <w:pPr>
        <w:spacing w:after="0" w:line="240" w:lineRule="auto"/>
        <w:rPr>
          <w:lang w:val="es-ES"/>
        </w:rPr>
      </w:pPr>
      <w:r w:rsidRPr="007226D7">
        <w:rPr>
          <w:lang w:val="es-ES"/>
        </w:rPr>
        <w:t>Indican que la estrategia de la autoridad competente ha consistido en regular, mas no gestionar el tránsito de Lima Metropolitana. Se tiene una serie de normas que son las que hoy conforman el marco institucional. Es precisamente este marco el que permite y promueve las prácticas de manejo que son causantes de la congestión del tránsito en la ciudad. Es decir, la base del problema del transporte en Lima se encontraría en este marco institucional regulatorio que establece cómo se comportarán los actores.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Dentro de este marco, se considera que uno de los factores clave que explica la forma de laborar y de manejar de los choferes recae en el sistema laboral en el que se encuentran, es decir, sería producto de este sistema laboral.</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 xml:space="preserve">Una verdadera solución del problema pasa por una reforma del sistema de transporte público de la ciudad. Para ello es necesario que la autoridad competente asuma los costos sociales, económicos y políticos que esta reforma produciría, es decir, apunte a la reforma del sistema, que empieza por cambiar la </w:t>
      </w:r>
      <w:r w:rsidRPr="007226D7">
        <w:rPr>
          <w:b/>
          <w:lang w:val="es-ES"/>
        </w:rPr>
        <w:t>manera en que las empresas funcionan</w:t>
      </w:r>
      <w:r w:rsidRPr="007226D7">
        <w:rPr>
          <w:lang w:val="es-ES"/>
        </w:rPr>
        <w:t xml:space="preserve">. En la actualidad se tiene un esquema de empresas rentistas que sólo se dedican a administrar concesiones que serán explotadas por otros. </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 xml:space="preserve">El  gestionar una empresa de transporte urbano es un negocio diferente a la prestación del servicio de transporte a la población. En el primer caso se administra el mejor rendimiento de una concesión, lo que tiene que ver con el número de vehículos que están ligados a la ruta y lo que cada chofer paga al día, esto poco tiene que ver con la calidad de servicio. En el segundo caso, se busca el mejor rendimiento económico del vehículo, lo que tiene que ver con la cantidad de pasajeros recogidos y la rotación ente los que suben y bajan.  </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p>
    <w:p w:rsidR="008A37E4" w:rsidRPr="007226D7" w:rsidRDefault="008A37E4" w:rsidP="008A37E4">
      <w:pPr>
        <w:spacing w:after="0" w:line="240" w:lineRule="auto"/>
        <w:rPr>
          <w:b/>
          <w:lang w:val="es-ES"/>
        </w:rPr>
      </w:pPr>
      <w:r w:rsidRPr="007226D7">
        <w:rPr>
          <w:b/>
          <w:lang w:val="es-ES"/>
        </w:rPr>
        <w:t>La normatividad en el transporte público limeño</w:t>
      </w:r>
    </w:p>
    <w:p w:rsidR="008A37E4" w:rsidRPr="007226D7" w:rsidRDefault="008A37E4" w:rsidP="008A37E4">
      <w:pPr>
        <w:spacing w:after="0" w:line="240" w:lineRule="auto"/>
        <w:rPr>
          <w:lang w:val="es-ES"/>
        </w:rPr>
      </w:pPr>
      <w:r w:rsidRPr="007226D7">
        <w:rPr>
          <w:lang w:val="es-ES"/>
        </w:rPr>
        <w:t>Para fines de la década del ochenta el transporte público limeño sufría una crisis de oferta. La demanda era mucho mayor a la oferta existente. Muchas empresas formales estaban en quiebra y las pocas que se mantenían, no contaban con las unidades necesarias. Los vehículos iban repletos de pasajeros. También era necesario cubrir nuevas rutas, que habían ido apareciendo como producto del crecimiento de la ciudad de Lima. A principios de los noventa, con un nuevo Gobierno, el Perú entró en una etapa de liberalización, dentro de la cual se inscribió la promulgación del Decreto Legislativo 651, el 24 de julio de 1991, que establecía la libre competencia de tarifas de servicio público de transporte, el libre acceso a las rutas (eliminándose las restricciones legales), y la posibilidad de que cualquier persona natural o jurídica, en cualquier vehículo (exceptuando camiones y vehículos de dos ruedas) prestase servicio de transporte público.</w:t>
      </w:r>
    </w:p>
    <w:p w:rsidR="008A37E4" w:rsidRPr="007226D7" w:rsidRDefault="008A37E4" w:rsidP="008A37E4">
      <w:pPr>
        <w:spacing w:after="0" w:line="240" w:lineRule="auto"/>
        <w:jc w:val="left"/>
        <w:rPr>
          <w:lang w:val="es-ES"/>
        </w:rPr>
      </w:pPr>
    </w:p>
    <w:p w:rsidR="008A37E4" w:rsidRPr="007226D7" w:rsidRDefault="008A37E4" w:rsidP="008A37E4">
      <w:pPr>
        <w:spacing w:after="0" w:line="240" w:lineRule="auto"/>
        <w:rPr>
          <w:lang w:val="es-ES"/>
        </w:rPr>
      </w:pPr>
      <w:r w:rsidRPr="007226D7">
        <w:rPr>
          <w:lang w:val="es-ES"/>
        </w:rPr>
        <w:lastRenderedPageBreak/>
        <w:t>El DL 651 no solucionó la crisis del transporte público. Se pasó de una crisis de déficit de oferta a una de sobreoferta. La flota vehicular limeña aumentó considerablemente. Fernando Zavala encontró que “en 1991 se importaron 5.000 camionetas (cuatro veces más que el año anterior) y 604 buses” (Zavala 1995: 118). De acuerdo al Cidatt (2006) el parque automotor limeño era de 397.623 vehículos en 1990, y en el 2006 era de 898.100 vehículos. Es decir, el parque automotor creció 2,59 veces en Lima, mientras que el promedio del país fue de 2,32. La tasa de motorización en Lima entre estos años pasó de 53 a 83 vehículos por cada mil habitantes (Cidatt 2006: 5).</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La total apertura del sistema no duró muchos años. El reordenamiento del sector se vio cristalizado en 1997 con la promulgación de las ordenanzas 104, 131 y 132, que hasta el día de hoy regulan el transporte. La primera, la más importante, establece que el servicio se debe efectuar mediante concesiones. La MML es la propietaria de la ruta y la otorga en concesión a una empresa privada determinada.3 La concesión es el derecho de explotación de la ruta, la empresa que la posee tiene el derecho de explotación. Según la normatividad legal, estas empresas no están obligadas a ser las dueñas de su flota: tienen la posibilidad de tercerizar el servicio. Es decir, la entidad es la concesionaria, y otros, terceros, explotan dicha concesión. Este hecho, permitido por la norma, será fundamental para explicar cómo funciona el transporte público en nuestra ciudad. La causa del problema estaría en el marco institucional, como ya hemos señalado.</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b/>
          <w:lang w:val="es-ES"/>
        </w:rPr>
      </w:pPr>
      <w:r w:rsidRPr="007226D7">
        <w:rPr>
          <w:b/>
          <w:lang w:val="es-ES"/>
        </w:rPr>
        <w:t>El sistema laboral en las empresas de transporte público seleccionadas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Dentro del mundo del transporte público podemos identificar a tres actores principales: 1) la empresa concesionaria de la ruta, representada por accionistas y dirigentes, 2) los propietarios de los vehículos, y 3) los operadores: choferes y cobradores.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Las empresas concesionarias –a las que nos referiremos como “empresas”– no suelen tener una flota de vehículos propia, tercerizan el servicio haciendo un contrato con personas naturales, dueñas de vehículos –a los que nos referimos como los “propietarios– que se encargan de proveer directamente el servicio. Estas personas deben efectuar un pago de inscripción y cumplir con otras exigencias de la empresa. Normalmente, los propietarios no explotan sus vehículos, lo hace un tercero. Los terceros son los choferes y cobradores –a quienes llamaremos los “operadores”.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Los operadores se relacionan únicamente con los propietarios, nunca con la empresa. Esta mantiene vínculos exclusivamente con los propietarios, quienes se limitan a cobrarles determinados pagos y se aseguran de que cumplan con algunas mínimas exigencias (uniforme, horario, frecuencias, entre otros). A la empresa no le importa la manera en la que el propietario decida explotar su vehículo ni la situación laboral en la que se encuentre la persona que lo trabaje (el chofer). Todas estas preocupaciones no pasan por la empresa, ellas no son responsables por los choferes y cobradores, debido a la figura de tercerización en la que se trabaja, admitida por la normatividad legal.</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Este análisis permite afirmar que no estamos ante “empresas” institucionalizadas, sino más bien, ante grupos rentistas que se encargan de tercerizar la explotación de la concesión de la que son dueñas. Estas “empresas” actúan tan solo como un “cascarón”. Son dueñas de la concesión, pero no tienen trabajadores y su capital es mínimo (no tienen flota de vehículos propia). De esta manera, si bien es cierto que según la normatividad legal la empresa debe responder por cualquier infracción que cometan los operadores, en la realidad no tiene capital alguno con el cual hacerlo.</w:t>
      </w:r>
    </w:p>
    <w:p w:rsidR="008A37E4" w:rsidRPr="007226D7" w:rsidRDefault="008A37E4" w:rsidP="008A37E4">
      <w:pPr>
        <w:spacing w:after="0" w:line="240" w:lineRule="auto"/>
        <w:rPr>
          <w:lang w:val="es-ES"/>
        </w:rPr>
      </w:pPr>
      <w:r w:rsidRPr="007226D7">
        <w:rPr>
          <w:lang w:val="es-ES"/>
        </w:rPr>
        <w:lastRenderedPageBreak/>
        <w:t xml:space="preserve"> En lo referente a la relación entre propietario y operadores encontramos algunas diferencias. Los dos modelos con que trabajan los propietarios son a) el alquiler y b) el pago por porcentaje, siendo el primero el más utilizado. Los propietarios alquilan diariamente sus unidades por un monto fijo supeditado a la cantidad de vueltas que trabajan los operadores. Por ejemplo, en algunas empresas el monto que se debe pagar es S/. 60 por vuelta. Si el chofer decide trabajar dos vueltas, deberá pagar S/.120 de alquiler, si decide trabajar sólo una pagará S/.60. En este caso los operadores deben pagar una determinada suma diaria al propietario, el excedente se utiliza para realizar determinados pagos (como, por ejemplo, la gasolina) y lo que sobra se divide entre el chofer y el cobrador, quienes así consiguen su ganancia diaria. En otras palabras, los operadores tendrán una ganancia siempre que logren exceder la suma que deben pagar al propietario; si no lo lograran, no tendrán ingresos o serán muy bajos. Es por ello que es importante conseguir la mayor cantidad de pasajeros posible, para lograr una ganancia importante.</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La segunda opción, menos utilizada, es el “pago por porcentaje”. Los operadores ganan un sueldo diario de acuerdo a un porcentaje de la producción de ese día. No alquilan el vehículo, no le deben ningún pago al propietario sino, más bien, es el propietario quien tiene la obligación con ellos. Además, es el propietario quien corre con los gastos del vehículo (gasolina, pago por derecho de ruta a la empresa, entre otros). Estos gastos no afectan la ganancia de los operadores, ya que esta se determina por un porcentaje de todo lo recaudado ese día por el vehículo. Más bien, es el ingreso del propietario el que varía. En este caso los operadores están en una situación más ventajosa: no asumen los costos de brindar el servicio y logran tener un ingreso diariamente.</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Ahora bien, ¿puede considerarse en alguno de los dos casos que estamos ante una relación laboral? Para que exista una relación laboral debe cumplirse con tres requisitos: 1) prestación personal, 2) subordinación y 3) remuneración. Es decir, la labor la debe realizar el trabajador directamente (no mediante un tercero), debe haber subordinación respecto al empleador y el empleador debe otorgarle un sueldo a su trabajador. En base a estas ideas, encontramos que en el caso en el que se trabaja “por porcentaje” existe una relación laboral entre el propietario y los operadores. Los operadores tendrían derecho a gozar de los beneficios laborales. Debemos recalcar que la relación laboral se da entre operadores y propietarios, no con la empresa. Es decir, choferes y cobradores no son trabajadores de la empresa, sino que lo son de personas naturales (los propietarios). En la práctica los propietarios no reconocen la relación laboral, por lo que los operadores no gozan de ningún beneficio laboral.</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 xml:space="preserve">En el caso de trabajo mediante alquiler, no hay relación laboral alguna. Ahí lo que ocurre es que los propietarios alquilan sus vehículos a los choferes y establecen condiciones sobre cómo deben explotarlos (cumplir un recorrido determinado, usar uniforme, parar en determinados lugares para “marcar tarjeta”, etc). En estos casos, los operadores no tienen derecho a gozar de beneficios laborales. </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 xml:space="preserve">Podríamos sintetizar el modelo que encontramos en las empresas de transporte público de Lima de la siguiente manera: las empresas son las concesionarias, los propietarios tienen el derecho de uso de la ruta; no existe nexo entre empresa y operadores porque estos últimos se relacionan únicamente con los propietarios. </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Ninguna de las dos formas de trabajo viola la normatividad legal, ya que las ordenanzas que rigen el transporte público limeño permite la figura de la tercerización mediante la cual trabajan las empresas. Por lo tanto, ninguna empresa tiene obligación alguna para con los operadores.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lastRenderedPageBreak/>
        <w:t>Ahora bien, jurídicamente las empresas no tienen relación laboral alguna con sus operadores, pero ello no quiere decir que choferes y cobradores lo perciban así. Los operadores deben cumplir con disposiciones que les exigen las empresas (usar uniforme, salir a cierta hora, respetar una distancia entre unidades) y sin embargo, no gozan de beneficios laborales. Estas exigencias nacen de la empresa. Como la empresa se relaciona con el propietario, se las transmite a él. Luego, los propietarios se las hacen saber a los operadores. Pero los operadores saben y sienten que son obligaciones de la empresa (no de los propietarios), porque, por ejemplo, el fotocheck que portan o el uniforme que usan tienen el nombre y logo de la empresa. Por ello, se sienten trabajadores de la empresa, quieren ser reconocidos como tales y consideran una gran injusticia el que no se les vea así. Las empresas les exigen condiciones y si no cumplen, castigan a los operadores. Por ejemplo, algunas empresas establecen la obligación de respetar frecuencias (distancias entre los vehículo). Aquellos que no cumplen reciben un castigo, que normalmente supone trabajar menos ese día. La empresa puede castigar la forma en que se explota su concesión, pero eso no supone que tengan una relación laboral con choferes y cobradores. No obstante, los operadores se sienten en una situación injusta: pueden recibir castigos y deben acatar disposiciones, pero no reciben beneficios. Y es que los operadores no son legalmente empleados de las empresas, no tienen beneficios laborales, no están en planilla y no tienen un sueldo fijo. Trabajan, en un contexto de inestabilidad laboral, que los obliga a trabajar diariamente por el ingreso de ese día, situación que los impulsa a brindar el servicio de la manera en que para ellos resulte la más beneficiosa. Si quieren tener ingresos mayores, están en la obligación de tener más pasajeros. A esto se le conoce como “Competencia por pasajeros”.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b/>
          <w:lang w:val="es-ES"/>
        </w:rPr>
      </w:pPr>
      <w:r w:rsidRPr="007226D7">
        <w:rPr>
          <w:b/>
          <w:lang w:val="es-ES"/>
        </w:rPr>
        <w:t>Las prácticas de manejo en un escenario de “Competencia por pasajeros”</w:t>
      </w:r>
    </w:p>
    <w:p w:rsidR="008A37E4" w:rsidRPr="007226D7" w:rsidRDefault="008A37E4" w:rsidP="008A37E4">
      <w:pPr>
        <w:spacing w:after="0" w:line="240" w:lineRule="auto"/>
        <w:rPr>
          <w:lang w:val="es-ES"/>
        </w:rPr>
      </w:pPr>
      <w:r w:rsidRPr="007226D7">
        <w:rPr>
          <w:lang w:val="es-ES"/>
        </w:rPr>
        <w:t>La “Competencia por pasajeros” puede definirse como un escenario en el cual choferes y cobradores no cuentan con estabilidad laboral, por lo que deben trabajar diariamente por su ingreso de ese día. En la práctica es la “Competencia por pasajeros” la que fuerza a los choferes a manejar osadamente y constituye una de las principales causantes de la congestión que se vive en las calles de la ciudad.</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 xml:space="preserve">Una de las consecuencias de esta “guerra” es que el pasajero </w:t>
      </w:r>
      <w:r w:rsidRPr="007226D7">
        <w:rPr>
          <w:b/>
          <w:lang w:val="es-ES"/>
        </w:rPr>
        <w:t xml:space="preserve">NO ES VISTO COMO PERSONA, SINO COMO DINERO, </w:t>
      </w:r>
      <w:r w:rsidRPr="007226D7">
        <w:rPr>
          <w:lang w:val="es-ES"/>
        </w:rPr>
        <w:t>como lo reconoció un cobrador: “Al pasajero, desgraciadamente, no lo vemos como persona sino como plata. Cada pasajero es un sol o un sol cincuenta, según lo que paguen.</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Para entender las prácticas de manejo de los choferes debemos ser con</w:t>
      </w:r>
      <w:r w:rsidR="000B2336" w:rsidRPr="007226D7">
        <w:rPr>
          <w:lang w:val="es-ES"/>
        </w:rPr>
        <w:t>s</w:t>
      </w:r>
      <w:r w:rsidRPr="007226D7">
        <w:rPr>
          <w:lang w:val="es-ES"/>
        </w:rPr>
        <w:t>ientes de que se encuentran en un contexto de “Competencia por pasajeros”, en el que intentan siempre conseguir la mayor cantidad de pasajeros posibles (es decir, conseguir un mayor ingreso al final del día).  El chofer opta por tácticas de manejo que no son fijas, sino que van cambiando a lo largo de la ruta. Para saber de qué forma es más conveniente manejar, los operadores analizan continuamente el contexto, tomando en cuenta las siguientes variables:</w:t>
      </w:r>
    </w:p>
    <w:p w:rsidR="008A37E4" w:rsidRPr="007226D7" w:rsidRDefault="008A37E4" w:rsidP="008A37E4">
      <w:pPr>
        <w:spacing w:after="0" w:line="240" w:lineRule="auto"/>
        <w:rPr>
          <w:lang w:val="es-ES"/>
        </w:rPr>
      </w:pPr>
    </w:p>
    <w:p w:rsidR="008A37E4" w:rsidRPr="007226D7" w:rsidRDefault="008A37E4" w:rsidP="006E6A64">
      <w:pPr>
        <w:numPr>
          <w:ilvl w:val="0"/>
          <w:numId w:val="45"/>
        </w:numPr>
        <w:spacing w:after="0" w:line="240" w:lineRule="auto"/>
        <w:rPr>
          <w:lang w:val="es-ES"/>
        </w:rPr>
      </w:pPr>
      <w:r w:rsidRPr="007226D7">
        <w:rPr>
          <w:lang w:val="es-ES"/>
        </w:rPr>
        <w:t>Cantidad de pasajeros que hay en su unidad: si tienen la unidad relativamente llena pueden manejar con más tranquilidad, pero si está vacía se verán en la obligación de conseguir pasajeros.</w:t>
      </w:r>
    </w:p>
    <w:p w:rsidR="008A37E4" w:rsidRPr="007226D7" w:rsidRDefault="008A37E4" w:rsidP="008A37E4">
      <w:pPr>
        <w:spacing w:after="0" w:line="240" w:lineRule="auto"/>
        <w:rPr>
          <w:lang w:val="es-ES"/>
        </w:rPr>
      </w:pPr>
    </w:p>
    <w:p w:rsidR="008A37E4" w:rsidRPr="007226D7" w:rsidRDefault="008A37E4" w:rsidP="006E6A64">
      <w:pPr>
        <w:numPr>
          <w:ilvl w:val="0"/>
          <w:numId w:val="45"/>
        </w:numPr>
        <w:spacing w:after="0" w:line="240" w:lineRule="auto"/>
        <w:rPr>
          <w:lang w:val="es-ES"/>
        </w:rPr>
      </w:pPr>
      <w:r w:rsidRPr="007226D7">
        <w:rPr>
          <w:lang w:val="es-ES"/>
        </w:rPr>
        <w:t>Lugares donde se puedan encontrar pasajeros: si a pocas cuadras hay una aglomeración de personas (un centro educativo, un centro comercial, etc.) decidirán quizá quedarse más tiempo ahí para conseguir más pasajeros.</w:t>
      </w:r>
    </w:p>
    <w:p w:rsidR="008A37E4" w:rsidRPr="007226D7" w:rsidRDefault="008A37E4" w:rsidP="008A37E4">
      <w:pPr>
        <w:spacing w:after="0" w:line="240" w:lineRule="auto"/>
        <w:rPr>
          <w:lang w:val="es-ES"/>
        </w:rPr>
      </w:pPr>
    </w:p>
    <w:p w:rsidR="008A37E4" w:rsidRPr="007226D7" w:rsidRDefault="008A37E4" w:rsidP="006E6A64">
      <w:pPr>
        <w:numPr>
          <w:ilvl w:val="0"/>
          <w:numId w:val="45"/>
        </w:numPr>
        <w:spacing w:after="0" w:line="240" w:lineRule="auto"/>
        <w:rPr>
          <w:lang w:val="es-ES"/>
        </w:rPr>
      </w:pPr>
      <w:r w:rsidRPr="007226D7">
        <w:rPr>
          <w:lang w:val="es-ES"/>
        </w:rPr>
        <w:lastRenderedPageBreak/>
        <w:t>Competencia: a lo largo de la ruta hay “dateros” que informan a los choferes la distancia que tienen respecto a la unidad más cercana. De acuerdo a esta información se decide si correr para acercarse a la unidad que va adelante o si manejar lento para alargar distancias.</w:t>
      </w:r>
    </w:p>
    <w:p w:rsidR="008A37E4" w:rsidRPr="007226D7" w:rsidRDefault="008A37E4" w:rsidP="008A37E4">
      <w:pPr>
        <w:spacing w:after="0" w:line="240" w:lineRule="auto"/>
        <w:rPr>
          <w:lang w:val="es-ES"/>
        </w:rPr>
      </w:pPr>
    </w:p>
    <w:p w:rsidR="008A37E4" w:rsidRPr="007226D7" w:rsidRDefault="008A37E4" w:rsidP="006E6A64">
      <w:pPr>
        <w:numPr>
          <w:ilvl w:val="0"/>
          <w:numId w:val="45"/>
        </w:numPr>
        <w:spacing w:after="0" w:line="240" w:lineRule="auto"/>
        <w:rPr>
          <w:lang w:val="es-ES"/>
        </w:rPr>
      </w:pPr>
      <w:r w:rsidRPr="007226D7">
        <w:rPr>
          <w:lang w:val="es-ES"/>
        </w:rPr>
        <w:t>Presencia de policías e inspectores municipales: su presencia puede detenerlos o disminuir su velocidad, ya sea por la manera en que controlan el tráfico o porque efectúan redadas. Las papeletas las debe pagar el chofer en cualquier modalidad (alquiler o porcentaje). El propietario asume la responsabilidad solamente en casos en que las papeletas se den por fallas mecánicas del vehículo o si este no cuenta con objetos que, por ley, debe llevar: botiquín, triángulo de emergencia. etc. Es decir, el dueño cubre la papeleta solamente cuando se le impone al vehículo (que es su responsabilidad) y no a la práctica de manejo del chofer. Como el chofer asume la papeleta que recibe, cuando tiene una, su ingreso de ese día está íntegramente destinado a cubrirla, por lo que buscará la mayor ganancia posible para así pagar la multa más rápidamente.</w:t>
      </w:r>
    </w:p>
    <w:p w:rsidR="008A37E4" w:rsidRPr="007226D7" w:rsidRDefault="008A37E4" w:rsidP="008A37E4">
      <w:pPr>
        <w:spacing w:after="0" w:line="240" w:lineRule="auto"/>
        <w:rPr>
          <w:lang w:val="es-ES"/>
        </w:rPr>
      </w:pPr>
    </w:p>
    <w:p w:rsidR="008A37E4" w:rsidRPr="007226D7" w:rsidRDefault="008A37E4" w:rsidP="006E6A64">
      <w:pPr>
        <w:numPr>
          <w:ilvl w:val="0"/>
          <w:numId w:val="45"/>
        </w:numPr>
        <w:spacing w:after="0" w:line="240" w:lineRule="auto"/>
        <w:rPr>
          <w:lang w:val="es-ES"/>
        </w:rPr>
      </w:pPr>
      <w:r w:rsidRPr="007226D7">
        <w:rPr>
          <w:lang w:val="es-ES"/>
        </w:rPr>
        <w:t>Cumplir con las frecuencias: algunas empresas obligan a los choferes a respetar las frecuencias (una determinada cantidad de minutos) entre unidades. Para controlar esto existen relojes a lo largo de la ruta, en los que los choferes deben marcar una tarjeta a una hora determinada, recibiendo un castigo por cada minuto de tardanza, lo que supone un ingreso menor (ya sea porque se trabajan menos horas o porque no se trabajan días enteros). Por eso, cualquier táctica elegida, ya sea "chantarse" (detenerse en un lugar y no avanzar hasta conseguir varios pasajeros), "corretear" (manejar a alta velocidad en competencia con otra unidad) o alguna de las variantes, se aplicará entre relojes.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Los transportistas trabajan en base al tiempo, todo se calcula en referencia a minutos, a una “racionalidad del tiempo”. El respetar una frecuencia supone que los choferes son dueños de determinada cantidad de minutos. En la práctica "chantarse" supone robarle minutos a la unidad que está tras uno, porque se acorta la distancia con el vehículo de atrás. Por ello el “chantarse” es mal visto por los transportistas, porque es una táctica que perjudica al otro. Los minutos que cada uno posee son importantes porque todo pasajero que aparezca en ese lapso de tiempo, es de su “propiedad”.</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b/>
          <w:lang w:val="es-ES"/>
        </w:rPr>
      </w:pPr>
      <w:r w:rsidRPr="007226D7">
        <w:rPr>
          <w:b/>
          <w:lang w:val="es-ES"/>
        </w:rPr>
        <w:t>Algunas conclusiones sobre la Competencia por pasajeros</w:t>
      </w:r>
    </w:p>
    <w:p w:rsidR="008A37E4" w:rsidRPr="007226D7" w:rsidRDefault="008A37E4" w:rsidP="008A37E4">
      <w:pPr>
        <w:spacing w:after="0" w:line="240" w:lineRule="auto"/>
        <w:rPr>
          <w:lang w:val="es-ES"/>
        </w:rPr>
      </w:pPr>
    </w:p>
    <w:p w:rsidR="008A37E4" w:rsidRPr="007226D7" w:rsidRDefault="008A37E4" w:rsidP="008A37E4">
      <w:pPr>
        <w:spacing w:after="0" w:line="240" w:lineRule="auto"/>
        <w:rPr>
          <w:lang w:val="es-ES"/>
        </w:rPr>
      </w:pPr>
      <w:r w:rsidRPr="007226D7">
        <w:rPr>
          <w:lang w:val="es-ES"/>
        </w:rPr>
        <w:t>Durante su trabajo choferes y cobradores analizan constantemente la realidad, evaluando diversas variantes para optar por una táctica de manejo, que aplicarán durante un lapso de tiempo. La necesidad de cambiar de táctica de acuerdo a la situación se debe a que para ellos es fundamental conseguir la mayor cantidad de pasajeros posibles por no estar en una relación laboral legalmente reconocida y no percibir un ingreso fijo. Este dependerá de la cantidad de pasajeros que consigan, hecho que los fuerza a modificar su manejo de acuerdo al contexto para así lograr mayor cantidad de pasajeros y, por ende, mayores ingresos. La “Competencia por pasajeros”, los obliga a sostener jornadas laborales sumamente extensas (entre quince y dieciocho horas diarias), ya que aspiran a conseguir un ingreso lo suficientemente alto como para alcanzar un margen de ganancia suficiente. Si trabajaran tan sólo ocho horas, su ganancia sería mínima.</w:t>
      </w:r>
    </w:p>
    <w:p w:rsidR="008A37E4" w:rsidRPr="007226D7" w:rsidRDefault="008A37E4" w:rsidP="008A37E4">
      <w:pPr>
        <w:spacing w:after="0" w:line="240" w:lineRule="auto"/>
        <w:rPr>
          <w:lang w:val="es-ES"/>
        </w:rPr>
      </w:pPr>
    </w:p>
    <w:p w:rsidR="00446620" w:rsidRPr="007226D7" w:rsidRDefault="00446620">
      <w:pPr>
        <w:spacing w:after="0" w:line="240" w:lineRule="auto"/>
        <w:jc w:val="left"/>
        <w:rPr>
          <w:lang w:val="es-ES"/>
        </w:rPr>
      </w:pPr>
      <w:bookmarkStart w:id="39" w:name="_Toc341642824"/>
      <w:bookmarkStart w:id="40" w:name="_Toc341644633"/>
      <w:bookmarkStart w:id="41" w:name="_Toc341644986"/>
      <w:r w:rsidRPr="007226D7">
        <w:rPr>
          <w:lang w:val="es-ES"/>
        </w:rPr>
        <w:br w:type="page"/>
      </w:r>
    </w:p>
    <w:p w:rsidR="008A37E4" w:rsidRPr="007226D7" w:rsidRDefault="008A37E4" w:rsidP="00BB081C">
      <w:pPr>
        <w:pStyle w:val="Heading4"/>
      </w:pPr>
      <w:r w:rsidRPr="007226D7">
        <w:lastRenderedPageBreak/>
        <w:t>Marco de Planificación</w:t>
      </w:r>
      <w:bookmarkEnd w:id="39"/>
      <w:bookmarkEnd w:id="40"/>
      <w:bookmarkEnd w:id="41"/>
    </w:p>
    <w:p w:rsidR="008A37E4" w:rsidRPr="007226D7" w:rsidRDefault="008A37E4" w:rsidP="00BB081C">
      <w:pPr>
        <w:pStyle w:val="Heading5"/>
        <w:rPr>
          <w:lang w:val="es-ES"/>
        </w:rPr>
      </w:pPr>
      <w:bookmarkStart w:id="42" w:name="_Toc341644987"/>
      <w:r w:rsidRPr="007226D7">
        <w:rPr>
          <w:lang w:val="es-ES"/>
        </w:rPr>
        <w:t>Orientaciones de política de la municipalidad metropolitana de Lima</w:t>
      </w:r>
      <w:bookmarkEnd w:id="42"/>
    </w:p>
    <w:p w:rsidR="008A37E4" w:rsidRPr="007226D7" w:rsidRDefault="008A37E4" w:rsidP="008A37E4">
      <w:pPr>
        <w:rPr>
          <w:lang w:val="es-ES"/>
        </w:rPr>
      </w:pPr>
      <w:r w:rsidRPr="007226D7">
        <w:rPr>
          <w:lang w:val="es-ES"/>
        </w:rPr>
        <w:t>El proceso de desarrollo de la ciudad de Lima es actualmente objeto de atención del público. En una manera muy esquemática, se resumen las orientaciones de política de la municipalidad metropolitana de Lima que aspiran a:</w:t>
      </w:r>
    </w:p>
    <w:p w:rsidR="008A37E4" w:rsidRPr="007226D7" w:rsidRDefault="008A37E4" w:rsidP="006E6A64">
      <w:pPr>
        <w:pStyle w:val="ListParagraph"/>
        <w:numPr>
          <w:ilvl w:val="0"/>
          <w:numId w:val="22"/>
        </w:numPr>
        <w:rPr>
          <w:lang w:val="es-ES"/>
        </w:rPr>
      </w:pPr>
      <w:r w:rsidRPr="007226D7">
        <w:rPr>
          <w:lang w:val="es-ES"/>
        </w:rPr>
        <w:t>preservar y desarrollar el régimen metropolitano:</w:t>
      </w:r>
    </w:p>
    <w:p w:rsidR="008A37E4" w:rsidRPr="007226D7" w:rsidRDefault="008A37E4" w:rsidP="006E6A64">
      <w:pPr>
        <w:pStyle w:val="ListParagraph"/>
        <w:numPr>
          <w:ilvl w:val="1"/>
          <w:numId w:val="22"/>
        </w:numPr>
        <w:rPr>
          <w:lang w:val="es-ES"/>
        </w:rPr>
      </w:pPr>
      <w:r w:rsidRPr="007226D7">
        <w:rPr>
          <w:lang w:val="es-ES"/>
        </w:rPr>
        <w:t>garantizar la unidad del área metropolitana mediante el ejercicio de sus competencias, atribuciones y funciones de acuerdo a ley.</w:t>
      </w:r>
    </w:p>
    <w:p w:rsidR="008A37E4" w:rsidRPr="007226D7" w:rsidRDefault="008A37E4" w:rsidP="006E6A64">
      <w:pPr>
        <w:pStyle w:val="ListParagraph"/>
        <w:numPr>
          <w:ilvl w:val="1"/>
          <w:numId w:val="22"/>
        </w:numPr>
        <w:rPr>
          <w:lang w:val="es-ES"/>
        </w:rPr>
      </w:pPr>
      <w:r w:rsidRPr="007226D7">
        <w:rPr>
          <w:lang w:val="es-ES"/>
        </w:rPr>
        <w:t>ejercer la función de rectoría orientada a la definición concertada de las políticas metropolitanas y los resultados que se busca alcanzar, según los ejes programáticos establecidos</w:t>
      </w:r>
    </w:p>
    <w:p w:rsidR="008A37E4" w:rsidRPr="007226D7" w:rsidRDefault="008A37E4" w:rsidP="006E6A64">
      <w:pPr>
        <w:pStyle w:val="ListParagraph"/>
        <w:numPr>
          <w:ilvl w:val="2"/>
          <w:numId w:val="22"/>
        </w:numPr>
        <w:rPr>
          <w:b/>
          <w:u w:val="single"/>
        </w:rPr>
      </w:pPr>
      <w:proofErr w:type="gramStart"/>
      <w:r w:rsidRPr="007226D7">
        <w:rPr>
          <w:b/>
          <w:u w:val="single"/>
        </w:rPr>
        <w:t>movilidad</w:t>
      </w:r>
      <w:proofErr w:type="gramEnd"/>
      <w:r w:rsidRPr="007226D7">
        <w:rPr>
          <w:b/>
          <w:u w:val="single"/>
        </w:rPr>
        <w:t xml:space="preserve"> y transporte</w:t>
      </w:r>
    </w:p>
    <w:p w:rsidR="008A37E4" w:rsidRPr="007226D7" w:rsidRDefault="008A37E4" w:rsidP="006E6A64">
      <w:pPr>
        <w:pStyle w:val="ListParagraph"/>
        <w:numPr>
          <w:ilvl w:val="2"/>
          <w:numId w:val="22"/>
        </w:numPr>
      </w:pPr>
      <w:proofErr w:type="gramStart"/>
      <w:r w:rsidRPr="007226D7">
        <w:t>convivencia</w:t>
      </w:r>
      <w:proofErr w:type="gramEnd"/>
      <w:r w:rsidRPr="007226D7">
        <w:t xml:space="preserve"> y seguridad</w:t>
      </w:r>
    </w:p>
    <w:p w:rsidR="008A37E4" w:rsidRPr="007226D7" w:rsidRDefault="008A37E4" w:rsidP="006E6A64">
      <w:pPr>
        <w:pStyle w:val="ListParagraph"/>
        <w:numPr>
          <w:ilvl w:val="2"/>
          <w:numId w:val="22"/>
        </w:numPr>
      </w:pPr>
      <w:proofErr w:type="gramStart"/>
      <w:r w:rsidRPr="007226D7">
        <w:t>medio</w:t>
      </w:r>
      <w:proofErr w:type="gramEnd"/>
      <w:r w:rsidRPr="007226D7">
        <w:t xml:space="preserve"> ambiente</w:t>
      </w:r>
    </w:p>
    <w:p w:rsidR="008A37E4" w:rsidRPr="007226D7" w:rsidRDefault="008A37E4" w:rsidP="006E6A64">
      <w:pPr>
        <w:pStyle w:val="ListParagraph"/>
        <w:numPr>
          <w:ilvl w:val="2"/>
          <w:numId w:val="22"/>
        </w:numPr>
      </w:pPr>
      <w:proofErr w:type="gramStart"/>
      <w:r w:rsidRPr="007226D7">
        <w:t>desarrollo</w:t>
      </w:r>
      <w:proofErr w:type="gramEnd"/>
      <w:r w:rsidRPr="007226D7">
        <w:t xml:space="preserve"> humano</w:t>
      </w:r>
    </w:p>
    <w:p w:rsidR="008A37E4" w:rsidRPr="007226D7" w:rsidRDefault="008A37E4" w:rsidP="006E6A64">
      <w:pPr>
        <w:pStyle w:val="ListParagraph"/>
        <w:numPr>
          <w:ilvl w:val="1"/>
          <w:numId w:val="22"/>
        </w:numPr>
      </w:pPr>
      <w:proofErr w:type="gramStart"/>
      <w:r w:rsidRPr="007226D7">
        <w:t>desarrollo</w:t>
      </w:r>
      <w:proofErr w:type="gramEnd"/>
      <w:r w:rsidRPr="007226D7">
        <w:t xml:space="preserve"> urbano, espacio público</w:t>
      </w:r>
    </w:p>
    <w:p w:rsidR="008A37E4" w:rsidRPr="007226D7" w:rsidRDefault="008A37E4" w:rsidP="006E6A64">
      <w:pPr>
        <w:pStyle w:val="ListParagraph"/>
        <w:numPr>
          <w:ilvl w:val="1"/>
          <w:numId w:val="22"/>
        </w:numPr>
        <w:rPr>
          <w:lang w:val="es-ES"/>
        </w:rPr>
      </w:pPr>
      <w:r w:rsidRPr="007226D7">
        <w:rPr>
          <w:lang w:val="es-ES"/>
        </w:rPr>
        <w:t>coordinar con los gobiernos regionales del callao y de lima, bajo la concepción de que el área metropolitana va mas allá de la provincia de lima</w:t>
      </w:r>
    </w:p>
    <w:p w:rsidR="008A37E4" w:rsidRPr="007226D7" w:rsidRDefault="008A37E4" w:rsidP="006E6A64">
      <w:pPr>
        <w:pStyle w:val="ListParagraph"/>
        <w:numPr>
          <w:ilvl w:val="0"/>
          <w:numId w:val="22"/>
        </w:numPr>
        <w:rPr>
          <w:lang w:val="es-ES"/>
        </w:rPr>
      </w:pPr>
      <w:r w:rsidRPr="007226D7">
        <w:rPr>
          <w:lang w:val="es-ES"/>
        </w:rPr>
        <w:t>consolidar la planificación concertada de desarrollo metropolitano a través de</w:t>
      </w:r>
    </w:p>
    <w:p w:rsidR="008A37E4" w:rsidRPr="007226D7" w:rsidRDefault="008A37E4" w:rsidP="006E6A64">
      <w:pPr>
        <w:pStyle w:val="ListParagraph"/>
        <w:numPr>
          <w:ilvl w:val="1"/>
          <w:numId w:val="22"/>
        </w:numPr>
        <w:rPr>
          <w:lang w:val="es-ES"/>
        </w:rPr>
      </w:pPr>
      <w:r w:rsidRPr="007226D7">
        <w:rPr>
          <w:lang w:val="es-ES"/>
        </w:rPr>
        <w:t>elaboración del plan de desarrollo metropolitano 2011-2021 mediante un proceso organizado sobre la base de áreas interdistritales.</w:t>
      </w:r>
    </w:p>
    <w:p w:rsidR="008A37E4" w:rsidRPr="007226D7" w:rsidRDefault="008A37E4" w:rsidP="006E6A64">
      <w:pPr>
        <w:pStyle w:val="ListParagraph"/>
        <w:numPr>
          <w:ilvl w:val="1"/>
          <w:numId w:val="22"/>
        </w:numPr>
        <w:rPr>
          <w:lang w:val="es-ES"/>
        </w:rPr>
      </w:pPr>
      <w:r w:rsidRPr="007226D7">
        <w:rPr>
          <w:lang w:val="es-ES"/>
        </w:rPr>
        <w:t>elaboración del presupuesto participativo anual mediante un proceso organizado sobre la base de las áreas interdistritales.</w:t>
      </w:r>
    </w:p>
    <w:p w:rsidR="008A37E4" w:rsidRPr="007226D7" w:rsidRDefault="008A37E4" w:rsidP="006E6A64">
      <w:pPr>
        <w:pStyle w:val="ListParagraph"/>
        <w:numPr>
          <w:ilvl w:val="1"/>
          <w:numId w:val="22"/>
        </w:numPr>
        <w:rPr>
          <w:lang w:val="es-ES"/>
        </w:rPr>
      </w:pPr>
      <w:r w:rsidRPr="007226D7">
        <w:rPr>
          <w:lang w:val="es-ES"/>
        </w:rPr>
        <w:t>constitución de la autoridad única del transporte.</w:t>
      </w:r>
    </w:p>
    <w:p w:rsidR="008A37E4" w:rsidRPr="007226D7" w:rsidRDefault="008A37E4" w:rsidP="006E6A64">
      <w:pPr>
        <w:pStyle w:val="ListParagraph"/>
        <w:numPr>
          <w:ilvl w:val="1"/>
          <w:numId w:val="22"/>
        </w:numPr>
        <w:rPr>
          <w:lang w:val="es-ES"/>
        </w:rPr>
      </w:pPr>
      <w:r w:rsidRPr="007226D7">
        <w:rPr>
          <w:lang w:val="es-ES"/>
        </w:rPr>
        <w:t>recuperación de la autoridad metropolitana sobre el agua y el saneamiento mediante la devolución de Sedapal a la Municipalidad Metropolitana de Lima.</w:t>
      </w:r>
    </w:p>
    <w:p w:rsidR="008A37E4" w:rsidRPr="007226D7" w:rsidRDefault="008A37E4" w:rsidP="006E6A64">
      <w:pPr>
        <w:pStyle w:val="ListParagraph"/>
        <w:numPr>
          <w:ilvl w:val="0"/>
          <w:numId w:val="22"/>
        </w:numPr>
        <w:rPr>
          <w:lang w:val="es-ES"/>
        </w:rPr>
      </w:pPr>
      <w:r w:rsidRPr="007226D7">
        <w:rPr>
          <w:lang w:val="es-ES"/>
        </w:rPr>
        <w:t>Considerar las áreas interdistritales como una estrategia para la formulación del plan de desarrollo metropolitano. En particular, se destaca que la infraestructura para la movilidad urbana es una prioridad para el logro de este objetivo.</w:t>
      </w:r>
    </w:p>
    <w:p w:rsidR="00104194" w:rsidRPr="007226D7" w:rsidRDefault="00104194">
      <w:pPr>
        <w:spacing w:after="0" w:line="240" w:lineRule="auto"/>
        <w:jc w:val="left"/>
        <w:rPr>
          <w:lang w:val="es-ES"/>
        </w:rPr>
      </w:pPr>
      <w:bookmarkStart w:id="43" w:name="_Toc341644988"/>
      <w:r w:rsidRPr="007226D7">
        <w:rPr>
          <w:lang w:val="es-ES"/>
        </w:rPr>
        <w:br w:type="page"/>
      </w:r>
    </w:p>
    <w:p w:rsidR="008A37E4" w:rsidRPr="007226D7" w:rsidRDefault="008A37E4" w:rsidP="00BB081C">
      <w:pPr>
        <w:pStyle w:val="Heading5"/>
        <w:rPr>
          <w:lang w:val="es-ES"/>
        </w:rPr>
      </w:pPr>
      <w:r w:rsidRPr="007226D7">
        <w:rPr>
          <w:lang w:val="es-ES"/>
        </w:rPr>
        <w:lastRenderedPageBreak/>
        <w:t>Los problemas y las complejidades de la realidad urbana</w:t>
      </w:r>
      <w:bookmarkEnd w:id="43"/>
    </w:p>
    <w:p w:rsidR="008A37E4" w:rsidRPr="007226D7" w:rsidRDefault="008A37E4" w:rsidP="008A37E4">
      <w:r w:rsidRPr="007226D7">
        <w:rPr>
          <w:lang w:val="es-ES"/>
        </w:rPr>
        <w:t xml:space="preserve">En la construcción del nuevo plan de desarrollo del área territorial se encuentra la oportunidad de resolver algunos problemas que caracterizan a la ciudad metropolitana. </w:t>
      </w:r>
      <w:r w:rsidRPr="007226D7">
        <w:t>Estos son:</w:t>
      </w:r>
    </w:p>
    <w:p w:rsidR="008A37E4" w:rsidRPr="007226D7" w:rsidRDefault="008A37E4" w:rsidP="006E6A64">
      <w:pPr>
        <w:pStyle w:val="ListParagraph"/>
        <w:numPr>
          <w:ilvl w:val="0"/>
          <w:numId w:val="22"/>
        </w:numPr>
        <w:rPr>
          <w:lang w:val="es-ES"/>
        </w:rPr>
      </w:pPr>
      <w:r w:rsidRPr="007226D7">
        <w:rPr>
          <w:lang w:val="es-ES"/>
        </w:rPr>
        <w:t>Gestión fragmentada, carente de una visión consensuada, con interferencias del gobierno central pero también surgimiento de instancias de coordinación interdistrital y espacios de participación.</w:t>
      </w:r>
    </w:p>
    <w:p w:rsidR="008A37E4" w:rsidRPr="007226D7" w:rsidRDefault="008A37E4" w:rsidP="006E6A64">
      <w:pPr>
        <w:pStyle w:val="ListParagraph"/>
        <w:numPr>
          <w:ilvl w:val="0"/>
          <w:numId w:val="22"/>
        </w:numPr>
        <w:rPr>
          <w:lang w:val="es-ES"/>
        </w:rPr>
      </w:pPr>
      <w:r w:rsidRPr="007226D7">
        <w:rPr>
          <w:lang w:val="es-ES"/>
        </w:rPr>
        <w:t>Incremento sustantivo de inversiones públicas y privada en la ciudad sin embargo persiste la precariedad y la vulnerabilidad en general.</w:t>
      </w:r>
    </w:p>
    <w:p w:rsidR="008A37E4" w:rsidRPr="007226D7" w:rsidRDefault="008A37E4" w:rsidP="006E6A64">
      <w:pPr>
        <w:pStyle w:val="ListParagraph"/>
        <w:numPr>
          <w:ilvl w:val="0"/>
          <w:numId w:val="22"/>
        </w:numPr>
        <w:rPr>
          <w:lang w:val="es-ES"/>
        </w:rPr>
      </w:pPr>
      <w:r w:rsidRPr="007226D7">
        <w:rPr>
          <w:lang w:val="es-ES"/>
        </w:rPr>
        <w:t>Fragmentación social de Lima y la desigual distribución territorial de la calidad de vida y del hábitat.</w:t>
      </w:r>
    </w:p>
    <w:p w:rsidR="008A37E4" w:rsidRPr="007226D7" w:rsidRDefault="008A37E4" w:rsidP="006E6A64">
      <w:pPr>
        <w:pStyle w:val="ListParagraph"/>
        <w:numPr>
          <w:ilvl w:val="0"/>
          <w:numId w:val="22"/>
        </w:numPr>
        <w:rPr>
          <w:lang w:val="es-ES"/>
        </w:rPr>
      </w:pPr>
      <w:r w:rsidRPr="007226D7">
        <w:rPr>
          <w:lang w:val="es-ES"/>
        </w:rPr>
        <w:t>Crecimiento poblacional y de actividades urbanas ha ocasionado una ciudad desordenada y congestionada con un área central desbordada.</w:t>
      </w:r>
    </w:p>
    <w:p w:rsidR="008A37E4" w:rsidRPr="007226D7" w:rsidRDefault="008A37E4" w:rsidP="006E6A64">
      <w:pPr>
        <w:pStyle w:val="ListParagraph"/>
        <w:numPr>
          <w:ilvl w:val="0"/>
          <w:numId w:val="22"/>
        </w:numPr>
        <w:rPr>
          <w:lang w:val="es-ES"/>
        </w:rPr>
      </w:pPr>
      <w:r w:rsidRPr="007226D7">
        <w:rPr>
          <w:lang w:val="es-ES"/>
        </w:rPr>
        <w:t>Existencia de áreas tugurizadas y ocupación precaria de laderas de cerros constituyen zonas vulnerables de la ciudad.</w:t>
      </w:r>
    </w:p>
    <w:p w:rsidR="008A37E4" w:rsidRPr="007226D7" w:rsidRDefault="008A37E4" w:rsidP="006E6A64">
      <w:pPr>
        <w:pStyle w:val="ListParagraph"/>
        <w:numPr>
          <w:ilvl w:val="0"/>
          <w:numId w:val="22"/>
        </w:numPr>
        <w:rPr>
          <w:lang w:val="es-ES"/>
        </w:rPr>
      </w:pPr>
      <w:r w:rsidRPr="007226D7">
        <w:rPr>
          <w:lang w:val="es-ES"/>
        </w:rPr>
        <w:t>Deterioro progresivo de la calidad ambiental de la metrópoli.</w:t>
      </w:r>
    </w:p>
    <w:p w:rsidR="008A37E4" w:rsidRPr="007226D7" w:rsidRDefault="008A37E4" w:rsidP="006E6A64">
      <w:pPr>
        <w:pStyle w:val="ListParagraph"/>
        <w:numPr>
          <w:ilvl w:val="0"/>
          <w:numId w:val="22"/>
        </w:numPr>
      </w:pPr>
      <w:r w:rsidRPr="007226D7">
        <w:t xml:space="preserve">Sistema vial radial continúa respondiendo a estructura fundamentalmente monocéntrica e incrementa la congestión </w:t>
      </w:r>
      <w:proofErr w:type="gramStart"/>
      <w:r w:rsidRPr="007226D7">
        <w:t xml:space="preserve">del </w:t>
      </w:r>
      <w:proofErr w:type="gramEnd"/>
      <w:r w:rsidRPr="007226D7">
        <w:t>área central.</w:t>
      </w:r>
    </w:p>
    <w:p w:rsidR="008A37E4" w:rsidRPr="007226D7" w:rsidRDefault="008A37E4" w:rsidP="00BB081C">
      <w:pPr>
        <w:pStyle w:val="Heading5"/>
        <w:rPr>
          <w:lang w:val="es-ES"/>
        </w:rPr>
      </w:pPr>
      <w:bookmarkStart w:id="44" w:name="_Toc341644989"/>
      <w:r w:rsidRPr="007226D7">
        <w:rPr>
          <w:lang w:val="es-ES"/>
        </w:rPr>
        <w:t>Alcances del Plan de Desarrollo Metropolitano</w:t>
      </w:r>
      <w:bookmarkEnd w:id="44"/>
    </w:p>
    <w:p w:rsidR="008A37E4" w:rsidRPr="007226D7" w:rsidRDefault="008A37E4" w:rsidP="008A37E4">
      <w:pPr>
        <w:rPr>
          <w:u w:val="single"/>
        </w:rPr>
      </w:pPr>
      <w:r w:rsidRPr="007226D7">
        <w:rPr>
          <w:u w:val="single"/>
        </w:rPr>
        <w:t>Concepto del plan</w:t>
      </w:r>
    </w:p>
    <w:p w:rsidR="008A37E4" w:rsidRPr="007226D7" w:rsidRDefault="008A37E4" w:rsidP="006E6A64">
      <w:pPr>
        <w:pStyle w:val="ListParagraph"/>
        <w:numPr>
          <w:ilvl w:val="0"/>
          <w:numId w:val="22"/>
        </w:numPr>
        <w:rPr>
          <w:lang w:val="es-ES"/>
        </w:rPr>
      </w:pPr>
      <w:r w:rsidRPr="007226D7">
        <w:rPr>
          <w:lang w:val="es-ES"/>
        </w:rPr>
        <w:t>El plan debe ser entendido como un acuerdo político-social dirigido a afianzar la gobernabilidad y la gestión del gobierno local metropolitano y regional</w:t>
      </w:r>
    </w:p>
    <w:p w:rsidR="008A37E4" w:rsidRPr="007226D7" w:rsidRDefault="008A37E4" w:rsidP="006E6A64">
      <w:pPr>
        <w:pStyle w:val="ListParagraph"/>
        <w:numPr>
          <w:ilvl w:val="0"/>
          <w:numId w:val="22"/>
        </w:numPr>
        <w:rPr>
          <w:lang w:val="es-ES"/>
        </w:rPr>
      </w:pPr>
      <w:r w:rsidRPr="007226D7">
        <w:rPr>
          <w:lang w:val="es-ES"/>
        </w:rPr>
        <w:t>El plan es un proceso que orienta la gestión estratégica de la ciudad</w:t>
      </w:r>
    </w:p>
    <w:p w:rsidR="008A37E4" w:rsidRPr="007226D7" w:rsidRDefault="008A37E4" w:rsidP="006E6A64">
      <w:pPr>
        <w:pStyle w:val="ListParagraph"/>
        <w:numPr>
          <w:ilvl w:val="0"/>
          <w:numId w:val="22"/>
        </w:numPr>
        <w:rPr>
          <w:lang w:val="es-ES"/>
        </w:rPr>
      </w:pPr>
      <w:r w:rsidRPr="007226D7">
        <w:rPr>
          <w:lang w:val="es-ES"/>
        </w:rPr>
        <w:t>El plan es un instrumento de cambio que debe expresar el anhelo de la ciudadanía sobre su desarrollo y el tipo de ciudad a la que aspira.</w:t>
      </w:r>
    </w:p>
    <w:p w:rsidR="008A37E4" w:rsidRPr="007226D7" w:rsidRDefault="008A37E4" w:rsidP="006E6A64">
      <w:pPr>
        <w:pStyle w:val="ListParagraph"/>
        <w:numPr>
          <w:ilvl w:val="0"/>
          <w:numId w:val="22"/>
        </w:numPr>
        <w:rPr>
          <w:lang w:val="es-ES"/>
        </w:rPr>
      </w:pPr>
      <w:r w:rsidRPr="007226D7">
        <w:rPr>
          <w:lang w:val="es-ES"/>
        </w:rPr>
        <w:t>El plan establece objetivos, estrategias, políticas, metas, proyectos e instrumentos orientados al desarrollo metropolitano (económico, social, cultural, político-institucional, territorial-ambiental y urbano).</w:t>
      </w:r>
    </w:p>
    <w:p w:rsidR="008A37E4" w:rsidRPr="007226D7" w:rsidRDefault="008A37E4" w:rsidP="008A37E4">
      <w:pPr>
        <w:rPr>
          <w:u w:val="single"/>
        </w:rPr>
      </w:pPr>
      <w:r w:rsidRPr="007226D7">
        <w:rPr>
          <w:u w:val="single"/>
        </w:rPr>
        <w:t>Propósitos del plan</w:t>
      </w:r>
    </w:p>
    <w:p w:rsidR="008A37E4" w:rsidRPr="007226D7" w:rsidRDefault="008A37E4" w:rsidP="006E6A64">
      <w:pPr>
        <w:pStyle w:val="ListParagraph"/>
        <w:numPr>
          <w:ilvl w:val="0"/>
          <w:numId w:val="22"/>
        </w:numPr>
        <w:rPr>
          <w:lang w:val="es-ES"/>
        </w:rPr>
      </w:pPr>
      <w:r w:rsidRPr="007226D7">
        <w:rPr>
          <w:lang w:val="es-ES"/>
        </w:rPr>
        <w:t>Apoyar la consolidación del régimen especial otorgado constitucionalmente, en cuanto a organización, competencias y recursos.</w:t>
      </w:r>
    </w:p>
    <w:p w:rsidR="008A37E4" w:rsidRPr="007226D7" w:rsidRDefault="008A37E4" w:rsidP="006E6A64">
      <w:pPr>
        <w:pStyle w:val="ListParagraph"/>
        <w:numPr>
          <w:ilvl w:val="0"/>
          <w:numId w:val="22"/>
        </w:numPr>
        <w:rPr>
          <w:lang w:val="es-ES"/>
        </w:rPr>
      </w:pPr>
      <w:r w:rsidRPr="007226D7">
        <w:rPr>
          <w:lang w:val="es-ES"/>
        </w:rPr>
        <w:t>Orientar a los gobiernos locales distritales de la provincia de lima en la gestión de su desarrollo, en concordancia con plan metropolitano.</w:t>
      </w:r>
    </w:p>
    <w:p w:rsidR="008A37E4" w:rsidRPr="007226D7" w:rsidRDefault="008A37E4" w:rsidP="006E6A64">
      <w:pPr>
        <w:pStyle w:val="ListParagraph"/>
        <w:numPr>
          <w:ilvl w:val="0"/>
          <w:numId w:val="22"/>
        </w:numPr>
        <w:rPr>
          <w:lang w:val="es-ES"/>
        </w:rPr>
      </w:pPr>
      <w:r w:rsidRPr="007226D7">
        <w:rPr>
          <w:lang w:val="es-ES"/>
        </w:rPr>
        <w:t>Instrumento de promoción y concertación de la inversión pública y privada con el objeto de reequilibrar la ciudad y mejorar la calidad de vida de toda la población</w:t>
      </w:r>
    </w:p>
    <w:p w:rsidR="008A37E4" w:rsidRPr="007226D7" w:rsidRDefault="008A37E4" w:rsidP="008A37E4">
      <w:pPr>
        <w:spacing w:after="0" w:line="240" w:lineRule="auto"/>
        <w:jc w:val="left"/>
        <w:rPr>
          <w:lang w:val="es-ES"/>
        </w:rPr>
      </w:pPr>
      <w:r w:rsidRPr="007226D7">
        <w:rPr>
          <w:lang w:val="es-ES"/>
        </w:rPr>
        <w:br w:type="page"/>
      </w:r>
    </w:p>
    <w:p w:rsidR="008A37E4" w:rsidRPr="007226D7" w:rsidRDefault="008A37E4" w:rsidP="008A37E4">
      <w:pPr>
        <w:rPr>
          <w:u w:val="single"/>
        </w:rPr>
      </w:pPr>
      <w:r w:rsidRPr="007226D7">
        <w:rPr>
          <w:u w:val="single"/>
        </w:rPr>
        <w:lastRenderedPageBreak/>
        <w:t>Enfoque del proceso de planificación</w:t>
      </w:r>
    </w:p>
    <w:p w:rsidR="008A37E4" w:rsidRPr="007226D7" w:rsidRDefault="008A37E4" w:rsidP="006E6A64">
      <w:pPr>
        <w:pStyle w:val="ListParagraph"/>
        <w:numPr>
          <w:ilvl w:val="0"/>
          <w:numId w:val="28"/>
        </w:numPr>
      </w:pPr>
      <w:r w:rsidRPr="007226D7">
        <w:t>Político</w:t>
      </w:r>
    </w:p>
    <w:p w:rsidR="008A37E4" w:rsidRPr="007226D7" w:rsidRDefault="008A37E4" w:rsidP="006E6A64">
      <w:pPr>
        <w:pStyle w:val="ListParagraph"/>
        <w:numPr>
          <w:ilvl w:val="1"/>
          <w:numId w:val="28"/>
        </w:numPr>
        <w:rPr>
          <w:lang w:val="es-ES"/>
        </w:rPr>
      </w:pPr>
      <w:r w:rsidRPr="007226D7">
        <w:rPr>
          <w:lang w:val="es-ES"/>
        </w:rPr>
        <w:t>Implica diversos ámbitos y niveles de decisión.</w:t>
      </w:r>
    </w:p>
    <w:p w:rsidR="008A37E4" w:rsidRPr="007226D7" w:rsidRDefault="008A37E4" w:rsidP="006E6A64">
      <w:pPr>
        <w:pStyle w:val="ListParagraph"/>
        <w:numPr>
          <w:ilvl w:val="1"/>
          <w:numId w:val="28"/>
        </w:numPr>
        <w:rPr>
          <w:lang w:val="es-ES"/>
        </w:rPr>
      </w:pPr>
      <w:r w:rsidRPr="007226D7">
        <w:rPr>
          <w:lang w:val="es-ES"/>
        </w:rPr>
        <w:t>Tiende a ampliar espacios modos y mecanismos de concertación político y social, democratizando el gobierno de la ciudad.</w:t>
      </w:r>
    </w:p>
    <w:p w:rsidR="008A37E4" w:rsidRPr="007226D7" w:rsidRDefault="008A37E4" w:rsidP="006E6A64">
      <w:pPr>
        <w:pStyle w:val="ListParagraph"/>
        <w:numPr>
          <w:ilvl w:val="0"/>
          <w:numId w:val="28"/>
        </w:numPr>
      </w:pPr>
      <w:proofErr w:type="gramStart"/>
      <w:r w:rsidRPr="007226D7">
        <w:t>social</w:t>
      </w:r>
      <w:proofErr w:type="gramEnd"/>
    </w:p>
    <w:p w:rsidR="008A37E4" w:rsidRPr="007226D7" w:rsidRDefault="008A37E4" w:rsidP="006E6A64">
      <w:pPr>
        <w:pStyle w:val="ListParagraph"/>
        <w:numPr>
          <w:ilvl w:val="1"/>
          <w:numId w:val="28"/>
        </w:numPr>
        <w:rPr>
          <w:lang w:val="es-ES"/>
        </w:rPr>
      </w:pPr>
      <w:r w:rsidRPr="007226D7">
        <w:rPr>
          <w:lang w:val="es-ES"/>
        </w:rPr>
        <w:t>implica la concertación de diferentes actores sociales en el proceso planificador y en la ejecución del plan a partir de sus necesidades, intereses, recursos y expectativas, inmediatas, de mediano y de largo plazo.</w:t>
      </w:r>
    </w:p>
    <w:p w:rsidR="008A37E4" w:rsidRPr="007226D7" w:rsidRDefault="008A37E4" w:rsidP="006E6A64">
      <w:pPr>
        <w:pStyle w:val="ListParagraph"/>
        <w:numPr>
          <w:ilvl w:val="0"/>
          <w:numId w:val="28"/>
        </w:numPr>
      </w:pPr>
      <w:proofErr w:type="gramStart"/>
      <w:r w:rsidRPr="007226D7">
        <w:t>técnico</w:t>
      </w:r>
      <w:proofErr w:type="gramEnd"/>
    </w:p>
    <w:p w:rsidR="008A37E4" w:rsidRPr="007226D7" w:rsidRDefault="008A37E4" w:rsidP="006E6A64">
      <w:pPr>
        <w:pStyle w:val="ListParagraph"/>
        <w:numPr>
          <w:ilvl w:val="1"/>
          <w:numId w:val="28"/>
        </w:numPr>
        <w:rPr>
          <w:lang w:val="es-ES"/>
        </w:rPr>
      </w:pPr>
      <w:r w:rsidRPr="007226D7">
        <w:rPr>
          <w:lang w:val="es-ES"/>
        </w:rPr>
        <w:t>implica la investigación y análisis de la realidad y la elaboración de orientaciones y proposiciones basadas en los logros de las diferentes disciplinas científicas que amalgama la práctica de la planificación.</w:t>
      </w:r>
    </w:p>
    <w:p w:rsidR="008A37E4" w:rsidRPr="007226D7" w:rsidRDefault="008A37E4" w:rsidP="006E6A64">
      <w:pPr>
        <w:pStyle w:val="ListParagraph"/>
        <w:numPr>
          <w:ilvl w:val="0"/>
          <w:numId w:val="28"/>
        </w:numPr>
      </w:pPr>
      <w:proofErr w:type="gramStart"/>
      <w:r w:rsidRPr="007226D7">
        <w:t>comunicacional</w:t>
      </w:r>
      <w:proofErr w:type="gramEnd"/>
    </w:p>
    <w:p w:rsidR="008A37E4" w:rsidRPr="007226D7" w:rsidRDefault="008A37E4" w:rsidP="006E6A64">
      <w:pPr>
        <w:pStyle w:val="ListParagraph"/>
        <w:numPr>
          <w:ilvl w:val="1"/>
          <w:numId w:val="28"/>
        </w:numPr>
        <w:rPr>
          <w:lang w:val="es-ES"/>
        </w:rPr>
      </w:pPr>
      <w:r w:rsidRPr="007226D7">
        <w:rPr>
          <w:lang w:val="es-ES"/>
        </w:rPr>
        <w:t>implica establecer canales para hacer de conocimiento de la población en su conjunto, así como los gobiernos locales de Lima Metropolitana los avances y alcances del proceso planificador y conocer sus puntos de vista.</w:t>
      </w:r>
    </w:p>
    <w:p w:rsidR="008A37E4" w:rsidRPr="007226D7" w:rsidRDefault="008A37E4" w:rsidP="008A37E4">
      <w:pPr>
        <w:spacing w:after="0" w:line="240" w:lineRule="auto"/>
        <w:jc w:val="left"/>
        <w:rPr>
          <w:rFonts w:cs="Arial"/>
          <w:color w:val="000000"/>
          <w:sz w:val="24"/>
          <w:szCs w:val="24"/>
          <w:lang w:val="es-ES"/>
        </w:rPr>
      </w:pPr>
    </w:p>
    <w:p w:rsidR="008A37E4" w:rsidRPr="007226D7" w:rsidRDefault="008A37E4" w:rsidP="008A37E4">
      <w:pPr>
        <w:rPr>
          <w:lang w:val="es-ES"/>
        </w:rPr>
      </w:pPr>
      <w:r w:rsidRPr="007226D7">
        <w:rPr>
          <w:lang w:val="es-ES"/>
        </w:rPr>
        <w:t>Los principales resultados esperados del PLAN son:</w:t>
      </w:r>
    </w:p>
    <w:p w:rsidR="008A37E4" w:rsidRPr="007226D7" w:rsidRDefault="008A37E4" w:rsidP="006E6A64">
      <w:pPr>
        <w:pStyle w:val="ListParagraph"/>
        <w:numPr>
          <w:ilvl w:val="0"/>
          <w:numId w:val="29"/>
        </w:numPr>
      </w:pPr>
      <w:r w:rsidRPr="007226D7">
        <w:t>Visión concertada de desarrollo</w:t>
      </w:r>
    </w:p>
    <w:p w:rsidR="008A37E4" w:rsidRPr="007226D7" w:rsidRDefault="008A37E4" w:rsidP="006E6A64">
      <w:pPr>
        <w:pStyle w:val="ListParagraph"/>
        <w:numPr>
          <w:ilvl w:val="0"/>
          <w:numId w:val="29"/>
        </w:numPr>
        <w:rPr>
          <w:lang w:val="es-ES"/>
        </w:rPr>
      </w:pPr>
      <w:r w:rsidRPr="007226D7">
        <w:rPr>
          <w:lang w:val="es-ES"/>
        </w:rPr>
        <w:t>Estrategia de desarrollo económico y social</w:t>
      </w:r>
    </w:p>
    <w:p w:rsidR="008A37E4" w:rsidRPr="007226D7" w:rsidRDefault="008A37E4" w:rsidP="006E6A64">
      <w:pPr>
        <w:pStyle w:val="ListParagraph"/>
        <w:numPr>
          <w:ilvl w:val="0"/>
          <w:numId w:val="29"/>
        </w:numPr>
        <w:rPr>
          <w:lang w:val="es-ES"/>
        </w:rPr>
      </w:pPr>
      <w:r w:rsidRPr="007226D7">
        <w:rPr>
          <w:lang w:val="es-ES"/>
        </w:rPr>
        <w:t xml:space="preserve">Modelo de gestión desconcentrada de lima metropolitana </w:t>
      </w:r>
    </w:p>
    <w:p w:rsidR="008A37E4" w:rsidRPr="007226D7" w:rsidRDefault="008A37E4" w:rsidP="006E6A64">
      <w:pPr>
        <w:pStyle w:val="ListParagraph"/>
        <w:numPr>
          <w:ilvl w:val="0"/>
          <w:numId w:val="29"/>
        </w:numPr>
        <w:rPr>
          <w:lang w:val="es-ES"/>
        </w:rPr>
      </w:pPr>
      <w:r w:rsidRPr="007226D7">
        <w:rPr>
          <w:lang w:val="es-ES"/>
        </w:rPr>
        <w:t>Modelo de organización territorial del área metropolitana</w:t>
      </w:r>
    </w:p>
    <w:p w:rsidR="008A37E4" w:rsidRPr="007226D7" w:rsidRDefault="008A37E4" w:rsidP="006E6A64">
      <w:pPr>
        <w:pStyle w:val="ListParagraph"/>
        <w:numPr>
          <w:ilvl w:val="0"/>
          <w:numId w:val="29"/>
        </w:numPr>
        <w:rPr>
          <w:lang w:val="es-ES"/>
        </w:rPr>
      </w:pPr>
      <w:r w:rsidRPr="007226D7">
        <w:rPr>
          <w:lang w:val="es-ES"/>
        </w:rPr>
        <w:t>Propuesta de ordenamiento y acondicionamiento territorial</w:t>
      </w:r>
    </w:p>
    <w:p w:rsidR="008A37E4" w:rsidRPr="007226D7" w:rsidRDefault="008A37E4" w:rsidP="006E6A64">
      <w:pPr>
        <w:pStyle w:val="ListParagraph"/>
        <w:numPr>
          <w:ilvl w:val="0"/>
          <w:numId w:val="29"/>
        </w:numPr>
      </w:pPr>
      <w:r w:rsidRPr="007226D7">
        <w:t>Sistema de equipamientos urbanos</w:t>
      </w:r>
    </w:p>
    <w:p w:rsidR="008A37E4" w:rsidRPr="007226D7" w:rsidRDefault="008A37E4" w:rsidP="006E6A64">
      <w:pPr>
        <w:pStyle w:val="ListParagraph"/>
        <w:numPr>
          <w:ilvl w:val="0"/>
          <w:numId w:val="29"/>
        </w:numPr>
        <w:rPr>
          <w:b/>
          <w:u w:val="single"/>
        </w:rPr>
      </w:pPr>
      <w:r w:rsidRPr="007226D7">
        <w:rPr>
          <w:b/>
          <w:u w:val="single"/>
        </w:rPr>
        <w:t>Sistema metropolitano de movilidad urbana</w:t>
      </w:r>
    </w:p>
    <w:p w:rsidR="008A37E4" w:rsidRPr="007226D7" w:rsidRDefault="008A37E4" w:rsidP="006E6A64">
      <w:pPr>
        <w:pStyle w:val="ListParagraph"/>
        <w:numPr>
          <w:ilvl w:val="0"/>
          <w:numId w:val="29"/>
        </w:numPr>
      </w:pPr>
      <w:r w:rsidRPr="007226D7">
        <w:t>Sistema ecológico ambiental</w:t>
      </w:r>
    </w:p>
    <w:p w:rsidR="008A37E4" w:rsidRPr="007226D7" w:rsidRDefault="008A37E4" w:rsidP="006E6A64">
      <w:pPr>
        <w:pStyle w:val="ListParagraph"/>
        <w:numPr>
          <w:ilvl w:val="0"/>
          <w:numId w:val="29"/>
        </w:numPr>
        <w:rPr>
          <w:lang w:val="es-ES"/>
        </w:rPr>
      </w:pPr>
      <w:r w:rsidRPr="007226D7">
        <w:rPr>
          <w:lang w:val="es-ES"/>
        </w:rPr>
        <w:t>Focalización de la inversión social de la ciudad</w:t>
      </w:r>
    </w:p>
    <w:p w:rsidR="008A37E4" w:rsidRPr="007226D7" w:rsidRDefault="008A37E4" w:rsidP="006E6A64">
      <w:pPr>
        <w:pStyle w:val="ListParagraph"/>
        <w:numPr>
          <w:ilvl w:val="0"/>
          <w:numId w:val="29"/>
        </w:numPr>
        <w:rPr>
          <w:lang w:val="es-ES"/>
        </w:rPr>
      </w:pPr>
      <w:r w:rsidRPr="007226D7">
        <w:rPr>
          <w:lang w:val="es-ES"/>
        </w:rPr>
        <w:t>Estrategia de reducción de la vulnerabilidad</w:t>
      </w:r>
    </w:p>
    <w:p w:rsidR="008A37E4" w:rsidRPr="007226D7" w:rsidRDefault="008A37E4" w:rsidP="006E6A64">
      <w:pPr>
        <w:pStyle w:val="ListParagraph"/>
        <w:numPr>
          <w:ilvl w:val="0"/>
          <w:numId w:val="29"/>
        </w:numPr>
        <w:rPr>
          <w:lang w:val="es-ES"/>
        </w:rPr>
      </w:pPr>
      <w:r w:rsidRPr="007226D7">
        <w:rPr>
          <w:lang w:val="es-ES"/>
        </w:rPr>
        <w:t>Plan de vivienda popular y mejoramiento de barrios</w:t>
      </w:r>
    </w:p>
    <w:p w:rsidR="008A37E4" w:rsidRPr="007226D7" w:rsidRDefault="008A37E4" w:rsidP="008A37E4">
      <w:pPr>
        <w:rPr>
          <w:lang w:val="es-ES"/>
        </w:rPr>
      </w:pPr>
    </w:p>
    <w:p w:rsidR="008A37E4" w:rsidRPr="007226D7" w:rsidRDefault="008A37E4" w:rsidP="008A37E4">
      <w:pPr>
        <w:spacing w:after="0" w:line="240" w:lineRule="auto"/>
        <w:jc w:val="left"/>
        <w:rPr>
          <w:lang w:val="es-ES"/>
        </w:rPr>
      </w:pPr>
      <w:r w:rsidRPr="007226D7">
        <w:rPr>
          <w:lang w:val="es-ES"/>
        </w:rPr>
        <w:br w:type="page"/>
      </w:r>
    </w:p>
    <w:p w:rsidR="008A37E4" w:rsidRPr="007226D7" w:rsidRDefault="008A37E4" w:rsidP="00BB081C">
      <w:pPr>
        <w:pStyle w:val="Heading5"/>
        <w:rPr>
          <w:lang w:val="es-ES"/>
        </w:rPr>
      </w:pPr>
      <w:bookmarkStart w:id="45" w:name="_Toc341644990"/>
      <w:r w:rsidRPr="007226D7">
        <w:rPr>
          <w:lang w:val="es-ES"/>
        </w:rPr>
        <w:lastRenderedPageBreak/>
        <w:t>Directrices de la política de movilidad de Lima</w:t>
      </w:r>
      <w:bookmarkEnd w:id="45"/>
    </w:p>
    <w:p w:rsidR="008A37E4" w:rsidRPr="007226D7" w:rsidRDefault="008A37E4" w:rsidP="008A37E4">
      <w:pPr>
        <w:rPr>
          <w:lang w:val="es-ES"/>
        </w:rPr>
      </w:pPr>
      <w:r w:rsidRPr="007226D7">
        <w:rPr>
          <w:lang w:val="es-ES"/>
        </w:rPr>
        <w:t>El Plan de Desarrollo Metropolitano identificó la caracterización global de los problemas urbanos en el área metropolitana como una estructura urbana mono-céntrica, ramificada y de baja densidad, y que este patrón había sido producido históricamente en función a las características económicas, sociales, políticas y geográficas. Si estas tendencias de crecimiento urbano continúan, los niveles actuales de desorden urbano empeorarían en el mediano y largo plazo, lo cual causaría un mayor deterioro en la calidad de vida y el ambiente en el área metropolitana.</w:t>
      </w:r>
    </w:p>
    <w:p w:rsidR="008A37E4" w:rsidRPr="007226D7" w:rsidRDefault="008A37E4" w:rsidP="008A37E4">
      <w:pPr>
        <w:rPr>
          <w:lang w:val="es-ES"/>
        </w:rPr>
      </w:pPr>
      <w:r w:rsidRPr="007226D7">
        <w:rPr>
          <w:lang w:val="es-ES"/>
        </w:rPr>
        <w:t xml:space="preserve">Aunque Lima y Callao tienen administraciones independientes, el planeamiento integral del área metropolitana puede ser desarrollado de manera conjunta. </w:t>
      </w:r>
    </w:p>
    <w:p w:rsidR="008A37E4" w:rsidRPr="007226D7" w:rsidRDefault="008A37E4" w:rsidP="008A37E4">
      <w:pPr>
        <w:rPr>
          <w:lang w:val="es-ES"/>
        </w:rPr>
      </w:pPr>
      <w:r w:rsidRPr="007226D7">
        <w:rPr>
          <w:lang w:val="es-ES"/>
        </w:rPr>
        <w:t xml:space="preserve">El principal documento de planificación del transporte es el Plan Maestro que, si bien fue redactado en 2005, todavía no ha agotado su contribución a la mejora de la movilidad de esta ciudad. </w:t>
      </w:r>
    </w:p>
    <w:p w:rsidR="008A37E4" w:rsidRPr="007226D7" w:rsidRDefault="008A37E4" w:rsidP="008A37E4">
      <w:pPr>
        <w:rPr>
          <w:lang w:val="es-ES"/>
        </w:rPr>
      </w:pPr>
      <w:r w:rsidRPr="007226D7">
        <w:rPr>
          <w:lang w:val="es-ES"/>
        </w:rPr>
        <w:t>El año horizonte para el Plan Maestro de Transporte Urbano (P/M) es el año 2025, mientras que el año horizonte para el Plan de Acción a Corto Plazo es el año 2010.</w:t>
      </w:r>
    </w:p>
    <w:p w:rsidR="008A37E4" w:rsidRPr="007226D7" w:rsidRDefault="008A37E4" w:rsidP="008A37E4">
      <w:pPr>
        <w:rPr>
          <w:u w:val="single"/>
          <w:lang w:val="es-ES"/>
        </w:rPr>
      </w:pPr>
    </w:p>
    <w:p w:rsidR="008A37E4" w:rsidRPr="007226D7" w:rsidRDefault="008A37E4" w:rsidP="008A37E4">
      <w:pPr>
        <w:rPr>
          <w:u w:val="single"/>
          <w:lang w:val="es-ES"/>
        </w:rPr>
      </w:pPr>
      <w:r w:rsidRPr="007226D7">
        <w:rPr>
          <w:u w:val="single"/>
          <w:lang w:val="es-ES"/>
        </w:rPr>
        <w:t>Estrategia y Objetivos del Plan Maestro</w:t>
      </w:r>
    </w:p>
    <w:p w:rsidR="008A37E4" w:rsidRPr="007226D7" w:rsidRDefault="008A37E4" w:rsidP="006E6A64">
      <w:pPr>
        <w:pStyle w:val="ListParagraph"/>
        <w:numPr>
          <w:ilvl w:val="0"/>
          <w:numId w:val="41"/>
        </w:numPr>
        <w:rPr>
          <w:lang w:val="es-ES"/>
        </w:rPr>
      </w:pPr>
      <w:r w:rsidRPr="007226D7">
        <w:rPr>
          <w:lang w:val="es-ES"/>
        </w:rPr>
        <w:t>Mitigación de la congestión de tránsito asegurando mejor funcionalidad para las actividades urbanas</w:t>
      </w:r>
    </w:p>
    <w:p w:rsidR="008A37E4" w:rsidRPr="007226D7" w:rsidRDefault="008A37E4" w:rsidP="006E6A64">
      <w:pPr>
        <w:pStyle w:val="ListParagraph"/>
        <w:numPr>
          <w:ilvl w:val="1"/>
          <w:numId w:val="41"/>
        </w:numPr>
        <w:rPr>
          <w:lang w:val="es-ES"/>
        </w:rPr>
      </w:pPr>
      <w:r w:rsidRPr="007226D7">
        <w:rPr>
          <w:lang w:val="es-ES"/>
        </w:rPr>
        <w:t>Mejores condiciones de vida para la población en pobreza</w:t>
      </w:r>
    </w:p>
    <w:p w:rsidR="008A37E4" w:rsidRPr="007226D7" w:rsidRDefault="008A37E4" w:rsidP="006E6A64">
      <w:pPr>
        <w:pStyle w:val="ListParagraph"/>
        <w:numPr>
          <w:ilvl w:val="1"/>
          <w:numId w:val="41"/>
        </w:numPr>
      </w:pPr>
      <w:r w:rsidRPr="007226D7">
        <w:t>Preservación del medio ambiente</w:t>
      </w:r>
    </w:p>
    <w:p w:rsidR="008A37E4" w:rsidRPr="007226D7" w:rsidRDefault="008A37E4" w:rsidP="006E6A64">
      <w:pPr>
        <w:pStyle w:val="ListParagraph"/>
        <w:numPr>
          <w:ilvl w:val="1"/>
          <w:numId w:val="41"/>
        </w:numPr>
      </w:pPr>
      <w:r w:rsidRPr="007226D7">
        <w:t>Aumento de capacidad</w:t>
      </w:r>
    </w:p>
    <w:p w:rsidR="008A37E4" w:rsidRPr="007226D7" w:rsidRDefault="008A37E4" w:rsidP="006E6A64">
      <w:pPr>
        <w:pStyle w:val="ListParagraph"/>
        <w:numPr>
          <w:ilvl w:val="1"/>
          <w:numId w:val="41"/>
        </w:numPr>
      </w:pPr>
      <w:r w:rsidRPr="007226D7">
        <w:t xml:space="preserve">Reducción </w:t>
      </w:r>
      <w:proofErr w:type="gramStart"/>
      <w:r w:rsidRPr="007226D7">
        <w:t>de demanda</w:t>
      </w:r>
      <w:proofErr w:type="gramEnd"/>
    </w:p>
    <w:p w:rsidR="008A37E4" w:rsidRPr="007226D7" w:rsidRDefault="008A37E4" w:rsidP="006E6A64">
      <w:pPr>
        <w:pStyle w:val="ListParagraph"/>
        <w:numPr>
          <w:ilvl w:val="0"/>
          <w:numId w:val="41"/>
        </w:numPr>
        <w:rPr>
          <w:lang w:val="es-ES"/>
        </w:rPr>
      </w:pPr>
      <w:r w:rsidRPr="007226D7">
        <w:rPr>
          <w:lang w:val="es-ES"/>
        </w:rPr>
        <w:t>Dar mayor prioridad al sistema de transporte público como estrategia para cumplir con las políticas de planeamiento</w:t>
      </w:r>
    </w:p>
    <w:p w:rsidR="008A37E4" w:rsidRPr="007226D7" w:rsidRDefault="008A37E4" w:rsidP="008A37E4">
      <w:pPr>
        <w:rPr>
          <w:u w:val="single"/>
          <w:lang w:val="es-ES"/>
        </w:rPr>
      </w:pPr>
      <w:r w:rsidRPr="007226D7">
        <w:rPr>
          <w:u w:val="single"/>
          <w:lang w:val="es-ES"/>
        </w:rPr>
        <w:t>Principales resultados del plan maestro</w:t>
      </w:r>
    </w:p>
    <w:p w:rsidR="008A37E4" w:rsidRPr="007226D7" w:rsidRDefault="008A37E4" w:rsidP="008A37E4">
      <w:pPr>
        <w:rPr>
          <w:lang w:val="es-ES"/>
        </w:rPr>
      </w:pPr>
      <w:r w:rsidRPr="007226D7">
        <w:rPr>
          <w:lang w:val="es-ES"/>
        </w:rPr>
        <w:t>Las propuestas del Plan Maestro de Transporte Urbano se centran en cuatro ejes fundamentales:</w:t>
      </w:r>
    </w:p>
    <w:p w:rsidR="008A37E4" w:rsidRPr="007226D7" w:rsidRDefault="008A37E4" w:rsidP="006E6A64">
      <w:pPr>
        <w:pStyle w:val="ListParagraph"/>
        <w:numPr>
          <w:ilvl w:val="0"/>
          <w:numId w:val="32"/>
        </w:numPr>
      </w:pPr>
      <w:r w:rsidRPr="007226D7">
        <w:t>Mejoras de infraestructura viaria</w:t>
      </w:r>
    </w:p>
    <w:p w:rsidR="008A37E4" w:rsidRPr="007226D7" w:rsidRDefault="008A37E4" w:rsidP="006E6A64">
      <w:pPr>
        <w:pStyle w:val="ListParagraph"/>
        <w:numPr>
          <w:ilvl w:val="0"/>
          <w:numId w:val="32"/>
        </w:numPr>
      </w:pPr>
      <w:r w:rsidRPr="007226D7">
        <w:t xml:space="preserve">Actuaciones en el sistema ferroviario </w:t>
      </w:r>
    </w:p>
    <w:p w:rsidR="008A37E4" w:rsidRPr="007226D7" w:rsidRDefault="008A37E4" w:rsidP="006E6A64">
      <w:pPr>
        <w:pStyle w:val="ListParagraph"/>
        <w:numPr>
          <w:ilvl w:val="0"/>
          <w:numId w:val="32"/>
        </w:numPr>
      </w:pPr>
      <w:r w:rsidRPr="007226D7">
        <w:t xml:space="preserve">Actuaciones en buses troncales </w:t>
      </w:r>
    </w:p>
    <w:p w:rsidR="008A37E4" w:rsidRPr="007226D7" w:rsidRDefault="008A37E4" w:rsidP="006E6A64">
      <w:pPr>
        <w:pStyle w:val="ListParagraph"/>
        <w:numPr>
          <w:ilvl w:val="0"/>
          <w:numId w:val="42"/>
        </w:numPr>
      </w:pPr>
      <w:r w:rsidRPr="007226D7">
        <w:t>Administración del tránsito.</w:t>
      </w:r>
    </w:p>
    <w:p w:rsidR="008A37E4" w:rsidRPr="007226D7" w:rsidRDefault="008A37E4" w:rsidP="008A37E4">
      <w:pPr>
        <w:spacing w:after="0" w:line="240" w:lineRule="auto"/>
        <w:ind w:left="360"/>
        <w:jc w:val="left"/>
      </w:pPr>
    </w:p>
    <w:p w:rsidR="008A37E4" w:rsidRPr="007226D7" w:rsidRDefault="008A37E4" w:rsidP="008A37E4">
      <w:pPr>
        <w:pStyle w:val="Figuras"/>
        <w:rPr>
          <w:color w:val="FF0000"/>
        </w:rPr>
      </w:pPr>
      <w:r w:rsidRPr="007226D7">
        <w:rPr>
          <w:noProof/>
          <w:lang w:val="en-US" w:eastAsia="en-US"/>
        </w:rPr>
        <w:lastRenderedPageBreak/>
        <w:drawing>
          <wp:anchor distT="0" distB="0" distL="114300" distR="114300" simplePos="0" relativeHeight="251824128" behindDoc="0" locked="0" layoutInCell="1" allowOverlap="1" wp14:anchorId="0D22C88A" wp14:editId="0A740498">
            <wp:simplePos x="0" y="0"/>
            <wp:positionH relativeFrom="column">
              <wp:posOffset>-24130</wp:posOffset>
            </wp:positionH>
            <wp:positionV relativeFrom="paragraph">
              <wp:posOffset>-193675</wp:posOffset>
            </wp:positionV>
            <wp:extent cx="5935980" cy="8058150"/>
            <wp:effectExtent l="19050" t="0" r="7620" b="0"/>
            <wp:wrapTopAndBottom/>
            <wp:docPr id="77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a:blip r:embed="rId128" cstate="print"/>
                    <a:srcRect/>
                    <a:stretch>
                      <a:fillRect/>
                    </a:stretch>
                  </pic:blipFill>
                  <pic:spPr bwMode="auto">
                    <a:xfrm>
                      <a:off x="0" y="0"/>
                      <a:ext cx="5935980" cy="8058150"/>
                    </a:xfrm>
                    <a:prstGeom prst="rect">
                      <a:avLst/>
                    </a:prstGeom>
                    <a:noFill/>
                  </pic:spPr>
                </pic:pic>
              </a:graphicData>
            </a:graphic>
          </wp:anchor>
        </w:drawing>
      </w:r>
      <w:r w:rsidRPr="007226D7">
        <w:t>Figura 3.1-54  Propuesta del PMTUL (Fuente: Plan Maestro de Transporte Urbano de Lima)</w:t>
      </w:r>
      <w:r w:rsidRPr="007226D7">
        <w:rPr>
          <w:color w:val="FF0000"/>
        </w:rPr>
        <w:br w:type="page"/>
      </w:r>
    </w:p>
    <w:p w:rsidR="008A37E4" w:rsidRPr="007226D7" w:rsidRDefault="008A37E4" w:rsidP="008A37E4">
      <w:r w:rsidRPr="007226D7">
        <w:lastRenderedPageBreak/>
        <w:t>Otras referencias son:</w:t>
      </w:r>
    </w:p>
    <w:p w:rsidR="008A37E4" w:rsidRPr="007226D7" w:rsidRDefault="008A37E4" w:rsidP="006E6A64">
      <w:pPr>
        <w:pStyle w:val="ListParagraph"/>
        <w:numPr>
          <w:ilvl w:val="0"/>
          <w:numId w:val="30"/>
        </w:numPr>
        <w:autoSpaceDE w:val="0"/>
        <w:autoSpaceDN w:val="0"/>
        <w:adjustRightInd w:val="0"/>
        <w:spacing w:after="91" w:line="240" w:lineRule="auto"/>
        <w:jc w:val="left"/>
        <w:rPr>
          <w:rFonts w:cs="Arial"/>
          <w:color w:val="000000"/>
          <w:szCs w:val="22"/>
          <w:lang w:val="es-ES"/>
        </w:rPr>
      </w:pPr>
      <w:r w:rsidRPr="007226D7">
        <w:rPr>
          <w:b/>
          <w:lang w:val="es-ES"/>
        </w:rPr>
        <w:t xml:space="preserve">PROTUM. Proyecto de transporte urbano metropolitano </w:t>
      </w:r>
    </w:p>
    <w:p w:rsidR="008A37E4" w:rsidRPr="007226D7" w:rsidRDefault="008A37E4" w:rsidP="008A37E4">
      <w:pPr>
        <w:pStyle w:val="ListParagraph"/>
        <w:rPr>
          <w:lang w:val="es-ES"/>
        </w:rPr>
      </w:pPr>
      <w:r w:rsidRPr="007226D7">
        <w:rPr>
          <w:lang w:val="es-ES"/>
        </w:rPr>
        <w:t xml:space="preserve">El proyecto de transporte urbano metropolitano fue desarrollado por el Consejo de Transportes Lima – Callao entre 1997 y 2000. </w:t>
      </w:r>
    </w:p>
    <w:p w:rsidR="008A37E4" w:rsidRPr="007226D7" w:rsidRDefault="008A37E4" w:rsidP="008A37E4">
      <w:pPr>
        <w:pStyle w:val="ListParagraph"/>
        <w:rPr>
          <w:lang w:val="es-ES"/>
        </w:rPr>
      </w:pPr>
      <w:r w:rsidRPr="007226D7">
        <w:rPr>
          <w:noProof/>
          <w:lang w:val="en-US" w:eastAsia="en-US"/>
        </w:rPr>
        <w:drawing>
          <wp:anchor distT="0" distB="71755" distL="114300" distR="114300" simplePos="0" relativeHeight="251821056" behindDoc="0" locked="0" layoutInCell="1" allowOverlap="1" wp14:anchorId="1FE0E003" wp14:editId="10FE8DB0">
            <wp:simplePos x="0" y="0"/>
            <wp:positionH relativeFrom="column">
              <wp:posOffset>483870</wp:posOffset>
            </wp:positionH>
            <wp:positionV relativeFrom="paragraph">
              <wp:posOffset>642620</wp:posOffset>
            </wp:positionV>
            <wp:extent cx="5455285" cy="4652010"/>
            <wp:effectExtent l="19050" t="0" r="0" b="0"/>
            <wp:wrapTopAndBottom/>
            <wp:docPr id="770"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9" cstate="print"/>
                    <a:srcRect/>
                    <a:stretch>
                      <a:fillRect/>
                    </a:stretch>
                  </pic:blipFill>
                  <pic:spPr bwMode="auto">
                    <a:xfrm>
                      <a:off x="0" y="0"/>
                      <a:ext cx="5455285" cy="4652010"/>
                    </a:xfrm>
                    <a:prstGeom prst="rect">
                      <a:avLst/>
                    </a:prstGeom>
                    <a:noFill/>
                  </pic:spPr>
                </pic:pic>
              </a:graphicData>
            </a:graphic>
          </wp:anchor>
        </w:drawing>
      </w:r>
      <w:r w:rsidRPr="007226D7">
        <w:rPr>
          <w:lang w:val="es-ES"/>
        </w:rPr>
        <w:t>Se proponía un sistema troncal-alimentador de autobuses compuesto de siete redes corredores de transporte masivo y una red alimentadora. La figura a continuación muestra la red propuesta por PROTUM.</w:t>
      </w:r>
    </w:p>
    <w:p w:rsidR="008A37E4" w:rsidRPr="007226D7" w:rsidRDefault="008A37E4" w:rsidP="008A37E4">
      <w:pPr>
        <w:pStyle w:val="Figuras"/>
      </w:pPr>
      <w:r w:rsidRPr="007226D7">
        <w:t>Figura 3.1-55  Red de transporte masivo propuesta en PROTUM (Fuente: PROTUM)</w:t>
      </w:r>
    </w:p>
    <w:p w:rsidR="008A37E4" w:rsidRPr="007226D7" w:rsidRDefault="008A37E4" w:rsidP="008A37E4">
      <w:pPr>
        <w:pStyle w:val="ListParagraph"/>
        <w:rPr>
          <w:lang w:val="es-ES"/>
        </w:rPr>
      </w:pPr>
      <w:r w:rsidRPr="007226D7">
        <w:rPr>
          <w:lang w:val="es-ES"/>
        </w:rPr>
        <w:t xml:space="preserve">Una vez elaborado el plan general propuesto, se desarrolló el proyecto de detalle del Corredor Vitrina, con el diseño del sistema troncal que unía San Juan de Lurigancho con el sur a través de la vía expresa. </w:t>
      </w:r>
    </w:p>
    <w:p w:rsidR="008A37E4" w:rsidRPr="007226D7" w:rsidRDefault="008A37E4" w:rsidP="008A37E4">
      <w:pPr>
        <w:spacing w:after="0" w:line="240" w:lineRule="auto"/>
        <w:jc w:val="left"/>
        <w:rPr>
          <w:lang w:val="es-ES"/>
        </w:rPr>
      </w:pPr>
      <w:r w:rsidRPr="007226D7">
        <w:rPr>
          <w:lang w:val="es-ES"/>
        </w:rPr>
        <w:br w:type="page"/>
      </w:r>
    </w:p>
    <w:p w:rsidR="008A37E4" w:rsidRPr="007226D7" w:rsidRDefault="008A37E4" w:rsidP="008A37E4">
      <w:pPr>
        <w:pStyle w:val="ListParagraph"/>
      </w:pPr>
      <w:r w:rsidRPr="007226D7">
        <w:rPr>
          <w:noProof/>
          <w:lang w:val="en-US" w:eastAsia="en-US"/>
        </w:rPr>
        <w:lastRenderedPageBreak/>
        <w:drawing>
          <wp:inline distT="0" distB="0" distL="0" distR="0" wp14:anchorId="108E4E11" wp14:editId="3E558D56">
            <wp:extent cx="5391150" cy="3051810"/>
            <wp:effectExtent l="0" t="0" r="0" b="0"/>
            <wp:docPr id="749"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91150" cy="3051810"/>
                    </a:xfrm>
                    <a:prstGeom prst="rect">
                      <a:avLst/>
                    </a:prstGeom>
                    <a:noFill/>
                    <a:ln>
                      <a:noFill/>
                    </a:ln>
                  </pic:spPr>
                </pic:pic>
              </a:graphicData>
            </a:graphic>
          </wp:inline>
        </w:drawing>
      </w:r>
    </w:p>
    <w:p w:rsidR="008A37E4" w:rsidRPr="007226D7" w:rsidRDefault="008A37E4" w:rsidP="008A37E4">
      <w:pPr>
        <w:pStyle w:val="Figuras"/>
      </w:pPr>
      <w:r w:rsidRPr="007226D7">
        <w:t>Figura 3.1-56  Red Alimentadora de Buses Relacionada con Siete Redes de Transporte Masivo en PROTUM</w:t>
      </w:r>
    </w:p>
    <w:p w:rsidR="008A37E4" w:rsidRPr="007226D7" w:rsidRDefault="008A37E4" w:rsidP="008A37E4">
      <w:pPr>
        <w:pStyle w:val="ListParagraph"/>
        <w:rPr>
          <w:lang w:val="es-ES"/>
        </w:rPr>
      </w:pPr>
      <w:r w:rsidRPr="007226D7">
        <w:rPr>
          <w:lang w:val="es-ES"/>
        </w:rPr>
        <w:t>El Corredor Vitrina fue diseñado como un corredor con infraestructura segregada (carriles exclusivos) pero operación abierta. Su denominación procedía de la intención de convertirse en vitrina o escaparate para visualizar el proceso de transformación del sistema de transporte de la ciudad.</w:t>
      </w:r>
    </w:p>
    <w:p w:rsidR="008A37E4" w:rsidRPr="007226D7" w:rsidRDefault="008A37E4" w:rsidP="008A37E4">
      <w:pPr>
        <w:pStyle w:val="ListParagraph"/>
        <w:rPr>
          <w:lang w:val="es-ES"/>
        </w:rPr>
      </w:pPr>
      <w:r w:rsidRPr="007226D7">
        <w:rPr>
          <w:b/>
          <w:lang w:val="es-ES"/>
        </w:rPr>
        <w:t>El Metropolitano o COSAC I es</w:t>
      </w:r>
      <w:r w:rsidR="0004764F" w:rsidRPr="007226D7">
        <w:rPr>
          <w:b/>
          <w:lang w:val="es-ES"/>
        </w:rPr>
        <w:t>t</w:t>
      </w:r>
      <w:r w:rsidR="006A75F8" w:rsidRPr="007226D7">
        <w:rPr>
          <w:b/>
          <w:lang w:val="es-ES"/>
        </w:rPr>
        <w:t>á</w:t>
      </w:r>
      <w:r w:rsidRPr="007226D7">
        <w:rPr>
          <w:b/>
          <w:lang w:val="es-ES"/>
        </w:rPr>
        <w:t xml:space="preserve"> actualmente en operación</w:t>
      </w:r>
      <w:r w:rsidRPr="007226D7">
        <w:rPr>
          <w:lang w:val="es-ES"/>
        </w:rPr>
        <w:t>.</w:t>
      </w:r>
    </w:p>
    <w:p w:rsidR="008A37E4" w:rsidRPr="007226D7" w:rsidRDefault="008A37E4" w:rsidP="006E6A64">
      <w:pPr>
        <w:pStyle w:val="ListParagraph"/>
        <w:numPr>
          <w:ilvl w:val="0"/>
          <w:numId w:val="30"/>
        </w:numPr>
        <w:autoSpaceDE w:val="0"/>
        <w:autoSpaceDN w:val="0"/>
        <w:adjustRightInd w:val="0"/>
        <w:spacing w:after="91" w:line="240" w:lineRule="auto"/>
        <w:jc w:val="left"/>
        <w:rPr>
          <w:rFonts w:cs="Arial"/>
          <w:color w:val="000000"/>
          <w:szCs w:val="22"/>
          <w:lang w:val="es-ES"/>
        </w:rPr>
      </w:pPr>
      <w:r w:rsidRPr="007226D7">
        <w:rPr>
          <w:b/>
          <w:lang w:val="es-ES"/>
        </w:rPr>
        <w:t>ESTUDIO PARA LICITACIÓN DE RUTAS EN 9 EJES VIALES</w:t>
      </w:r>
    </w:p>
    <w:p w:rsidR="008A37E4" w:rsidRPr="007226D7" w:rsidRDefault="008A37E4" w:rsidP="008A37E4">
      <w:pPr>
        <w:pStyle w:val="ListParagraph"/>
        <w:rPr>
          <w:lang w:val="es-ES"/>
        </w:rPr>
      </w:pPr>
      <w:r w:rsidRPr="007226D7">
        <w:rPr>
          <w:lang w:val="es-ES"/>
        </w:rPr>
        <w:t xml:space="preserve">En el año 2004, la DMTU presenta el estudio para la licitación de rutas en 9 ejes viales metropolitanos. </w:t>
      </w:r>
    </w:p>
    <w:p w:rsidR="008A37E4" w:rsidRPr="007226D7" w:rsidRDefault="008A37E4" w:rsidP="008A37E4">
      <w:pPr>
        <w:pStyle w:val="ListParagraph"/>
        <w:rPr>
          <w:lang w:val="es-ES"/>
        </w:rPr>
      </w:pPr>
      <w:r w:rsidRPr="007226D7">
        <w:rPr>
          <w:lang w:val="es-ES"/>
        </w:rPr>
        <w:t xml:space="preserve">En sus planteamientos, se indica que la incorporación del COSAC-1 y los proyectos del tren urbano atiende aproximadamente al 10% del transporte público total. El 90% restante es compartido por el sistema actual de buses. Al caducar las concesiones de rutas autorizadas por la DMTU, se puede acometer un plan de implementación modificando el sistema convencional. </w:t>
      </w:r>
    </w:p>
    <w:p w:rsidR="008A37E4" w:rsidRPr="007226D7" w:rsidRDefault="008A37E4" w:rsidP="008A37E4">
      <w:pPr>
        <w:pStyle w:val="ListParagraph"/>
        <w:autoSpaceDE w:val="0"/>
        <w:autoSpaceDN w:val="0"/>
        <w:adjustRightInd w:val="0"/>
        <w:spacing w:after="91" w:line="240" w:lineRule="auto"/>
        <w:jc w:val="left"/>
        <w:rPr>
          <w:rFonts w:cs="Arial"/>
          <w:color w:val="000000"/>
          <w:szCs w:val="22"/>
          <w:lang w:val="es-ES"/>
        </w:rPr>
      </w:pPr>
      <w:r w:rsidRPr="007226D7">
        <w:rPr>
          <w:lang w:val="es-ES"/>
        </w:rPr>
        <w:t>Los objetivos del proyecto eran los siguientes:</w:t>
      </w:r>
    </w:p>
    <w:p w:rsidR="008A37E4" w:rsidRPr="007226D7" w:rsidRDefault="008A37E4" w:rsidP="006E6A64">
      <w:pPr>
        <w:pStyle w:val="ListParagraph"/>
        <w:numPr>
          <w:ilvl w:val="1"/>
          <w:numId w:val="31"/>
        </w:numPr>
      </w:pPr>
      <w:r w:rsidRPr="007226D7">
        <w:t xml:space="preserve">Aliviar la congestión del tránsito </w:t>
      </w:r>
    </w:p>
    <w:p w:rsidR="008A37E4" w:rsidRPr="007226D7" w:rsidRDefault="008A37E4" w:rsidP="006E6A64">
      <w:pPr>
        <w:pStyle w:val="ListParagraph"/>
        <w:numPr>
          <w:ilvl w:val="1"/>
          <w:numId w:val="31"/>
        </w:numPr>
      </w:pPr>
      <w:r w:rsidRPr="007226D7">
        <w:t xml:space="preserve">Mejorar </w:t>
      </w:r>
      <w:proofErr w:type="gramStart"/>
      <w:r w:rsidRPr="007226D7">
        <w:t xml:space="preserve">la </w:t>
      </w:r>
      <w:proofErr w:type="gramEnd"/>
      <w:r w:rsidRPr="007226D7">
        <w:t xml:space="preserve">operación de buses </w:t>
      </w:r>
    </w:p>
    <w:p w:rsidR="008A37E4" w:rsidRPr="007226D7" w:rsidRDefault="008A37E4" w:rsidP="006E6A64">
      <w:pPr>
        <w:pStyle w:val="ListParagraph"/>
        <w:numPr>
          <w:ilvl w:val="1"/>
          <w:numId w:val="31"/>
        </w:numPr>
        <w:autoSpaceDE w:val="0"/>
        <w:autoSpaceDN w:val="0"/>
        <w:adjustRightInd w:val="0"/>
        <w:spacing w:after="29" w:line="240" w:lineRule="auto"/>
        <w:jc w:val="left"/>
        <w:rPr>
          <w:rFonts w:cs="Arial"/>
          <w:color w:val="000000"/>
          <w:szCs w:val="22"/>
          <w:lang w:val="es-ES"/>
        </w:rPr>
      </w:pPr>
      <w:r w:rsidRPr="007226D7">
        <w:rPr>
          <w:rFonts w:cs="Arial"/>
          <w:color w:val="000000"/>
          <w:szCs w:val="22"/>
          <w:lang w:val="es-ES"/>
        </w:rPr>
        <w:t xml:space="preserve">Cumplir con el reglamento de tránsito </w:t>
      </w:r>
    </w:p>
    <w:p w:rsidR="008A37E4" w:rsidRPr="007226D7" w:rsidRDefault="008A37E4" w:rsidP="006E6A64">
      <w:pPr>
        <w:pStyle w:val="ListParagraph"/>
        <w:numPr>
          <w:ilvl w:val="1"/>
          <w:numId w:val="31"/>
        </w:numPr>
        <w:autoSpaceDE w:val="0"/>
        <w:autoSpaceDN w:val="0"/>
        <w:adjustRightInd w:val="0"/>
        <w:spacing w:after="0" w:line="240" w:lineRule="auto"/>
        <w:jc w:val="left"/>
        <w:rPr>
          <w:rFonts w:cs="Arial"/>
          <w:color w:val="000000"/>
          <w:szCs w:val="22"/>
          <w:lang w:val="es-ES"/>
        </w:rPr>
      </w:pPr>
      <w:r w:rsidRPr="007226D7">
        <w:rPr>
          <w:rFonts w:cs="Arial"/>
          <w:color w:val="000000"/>
          <w:szCs w:val="22"/>
          <w:lang w:val="es-ES"/>
        </w:rPr>
        <w:t xml:space="preserve">Obligar a los buses a parar en los paraderos de buses </w:t>
      </w:r>
    </w:p>
    <w:p w:rsidR="008A37E4" w:rsidRPr="007226D7" w:rsidRDefault="008A37E4" w:rsidP="008A37E4">
      <w:pPr>
        <w:pStyle w:val="ListParagraph"/>
        <w:rPr>
          <w:lang w:val="es-ES"/>
        </w:rPr>
      </w:pPr>
    </w:p>
    <w:p w:rsidR="008A37E4" w:rsidRPr="007226D7" w:rsidRDefault="008A37E4" w:rsidP="008A37E4">
      <w:pPr>
        <w:pStyle w:val="ListParagraph"/>
        <w:rPr>
          <w:lang w:val="en-US"/>
        </w:rPr>
      </w:pPr>
      <w:r w:rsidRPr="007226D7">
        <w:rPr>
          <w:lang w:val="en-US"/>
        </w:rPr>
        <w:t xml:space="preserve">Y sus líneas generales: </w:t>
      </w:r>
    </w:p>
    <w:p w:rsidR="008A37E4" w:rsidRPr="007226D7" w:rsidRDefault="008A37E4" w:rsidP="006E6A64">
      <w:pPr>
        <w:pStyle w:val="ListParagraph"/>
        <w:numPr>
          <w:ilvl w:val="1"/>
          <w:numId w:val="31"/>
        </w:numPr>
        <w:rPr>
          <w:lang w:val="es-ES"/>
        </w:rPr>
      </w:pPr>
      <w:r w:rsidRPr="007226D7">
        <w:rPr>
          <w:lang w:val="es-ES"/>
        </w:rPr>
        <w:t xml:space="preserve">Se otorgará una nueva concesión después de reorganizar las rutas de los buses en 9 vías principales. </w:t>
      </w:r>
    </w:p>
    <w:p w:rsidR="008A37E4" w:rsidRPr="007226D7" w:rsidRDefault="008A37E4" w:rsidP="006E6A64">
      <w:pPr>
        <w:pStyle w:val="ListParagraph"/>
        <w:numPr>
          <w:ilvl w:val="1"/>
          <w:numId w:val="31"/>
        </w:numPr>
        <w:rPr>
          <w:lang w:val="es-ES"/>
        </w:rPr>
      </w:pPr>
      <w:r w:rsidRPr="007226D7">
        <w:rPr>
          <w:lang w:val="es-ES"/>
        </w:rPr>
        <w:lastRenderedPageBreak/>
        <w:t xml:space="preserve">Las nueve (9) vías seleccionadas no afectan directamente al proyecto COSAC-1 y a los proyectos del tren urbano. </w:t>
      </w:r>
    </w:p>
    <w:p w:rsidR="008A37E4" w:rsidRPr="007226D7" w:rsidRDefault="008A37E4" w:rsidP="006E6A64">
      <w:pPr>
        <w:pStyle w:val="ListParagraph"/>
        <w:numPr>
          <w:ilvl w:val="1"/>
          <w:numId w:val="31"/>
        </w:numPr>
        <w:rPr>
          <w:lang w:val="es-ES"/>
        </w:rPr>
      </w:pPr>
      <w:r w:rsidRPr="007226D7">
        <w:rPr>
          <w:noProof/>
          <w:lang w:val="en-US" w:eastAsia="en-US"/>
        </w:rPr>
        <w:drawing>
          <wp:anchor distT="0" distB="71755" distL="114300" distR="114300" simplePos="0" relativeHeight="251822080" behindDoc="0" locked="0" layoutInCell="1" allowOverlap="1" wp14:anchorId="731BE7B1" wp14:editId="10946E22">
            <wp:simplePos x="0" y="0"/>
            <wp:positionH relativeFrom="column">
              <wp:posOffset>508000</wp:posOffset>
            </wp:positionH>
            <wp:positionV relativeFrom="paragraph">
              <wp:posOffset>929640</wp:posOffset>
            </wp:positionV>
            <wp:extent cx="5360035" cy="2754630"/>
            <wp:effectExtent l="19050" t="0" r="0" b="0"/>
            <wp:wrapTopAndBottom/>
            <wp:docPr id="769"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131" cstate="print"/>
                    <a:srcRect/>
                    <a:stretch>
                      <a:fillRect/>
                    </a:stretch>
                  </pic:blipFill>
                  <pic:spPr bwMode="auto">
                    <a:xfrm>
                      <a:off x="0" y="0"/>
                      <a:ext cx="5360035" cy="2754630"/>
                    </a:xfrm>
                    <a:prstGeom prst="rect">
                      <a:avLst/>
                    </a:prstGeom>
                    <a:noFill/>
                  </pic:spPr>
                </pic:pic>
              </a:graphicData>
            </a:graphic>
          </wp:anchor>
        </w:drawing>
      </w:r>
      <w:r w:rsidRPr="007226D7">
        <w:rPr>
          <w:lang w:val="es-ES"/>
        </w:rPr>
        <w:t xml:space="preserve">La integración de tres (3) proyectos: la DMTU, el COSAC-1 y el proyecto del tren urbano cubre casi la totalidad de los viajes del transporte público. </w:t>
      </w:r>
    </w:p>
    <w:p w:rsidR="008A37E4" w:rsidRPr="007226D7" w:rsidRDefault="008A37E4" w:rsidP="008A37E4">
      <w:pPr>
        <w:pStyle w:val="ListParagraph"/>
        <w:rPr>
          <w:rFonts w:cs="Arial"/>
          <w:color w:val="000000"/>
          <w:szCs w:val="22"/>
          <w:lang w:val="es-ES"/>
        </w:rPr>
      </w:pPr>
      <w:r w:rsidRPr="007226D7">
        <w:rPr>
          <w:rFonts w:cs="Arial"/>
          <w:color w:val="000000"/>
          <w:szCs w:val="22"/>
          <w:lang w:val="es-ES"/>
        </w:rPr>
        <w:t>La figura a continuación presenta los ejes viales en los que se basaba la propuesta.</w:t>
      </w:r>
    </w:p>
    <w:p w:rsidR="008A37E4" w:rsidRPr="007226D7" w:rsidRDefault="008A37E4" w:rsidP="008A37E4">
      <w:pPr>
        <w:rPr>
          <w:rFonts w:cs="Arial"/>
          <w:color w:val="000000"/>
          <w:szCs w:val="22"/>
          <w:lang w:val="es-ES"/>
        </w:rPr>
      </w:pPr>
      <w:r w:rsidRPr="007226D7">
        <w:rPr>
          <w:noProof/>
          <w:lang w:val="en-US" w:eastAsia="en-US"/>
        </w:rPr>
        <w:drawing>
          <wp:anchor distT="0" distB="71755" distL="114300" distR="114300" simplePos="0" relativeHeight="251823104" behindDoc="0" locked="0" layoutInCell="1" allowOverlap="1" wp14:anchorId="2951D95B" wp14:editId="440C4B14">
            <wp:simplePos x="0" y="0"/>
            <wp:positionH relativeFrom="column">
              <wp:posOffset>508000</wp:posOffset>
            </wp:positionH>
            <wp:positionV relativeFrom="paragraph">
              <wp:posOffset>3132455</wp:posOffset>
            </wp:positionV>
            <wp:extent cx="5429250" cy="1555115"/>
            <wp:effectExtent l="19050" t="0" r="0" b="0"/>
            <wp:wrapTopAndBottom/>
            <wp:docPr id="768"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2" cstate="print"/>
                    <a:srcRect/>
                    <a:stretch>
                      <a:fillRect/>
                    </a:stretch>
                  </pic:blipFill>
                  <pic:spPr bwMode="auto">
                    <a:xfrm>
                      <a:off x="0" y="0"/>
                      <a:ext cx="5429250" cy="1555115"/>
                    </a:xfrm>
                    <a:prstGeom prst="rect">
                      <a:avLst/>
                    </a:prstGeom>
                    <a:noFill/>
                  </pic:spPr>
                </pic:pic>
              </a:graphicData>
            </a:graphic>
          </wp:anchor>
        </w:drawing>
      </w:r>
    </w:p>
    <w:p w:rsidR="008A37E4" w:rsidRPr="007226D7" w:rsidRDefault="008A37E4" w:rsidP="008A37E4">
      <w:pPr>
        <w:pStyle w:val="Figuras"/>
      </w:pPr>
      <w:r w:rsidRPr="007226D7">
        <w:t>Figura 3.1-57  Estudio para licitaciones de rutas en 9 Ejes Viales Metropolitanos. DMTU. Diciembre 2003)</w:t>
      </w: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8A37E4" w:rsidRPr="007226D7" w:rsidRDefault="008A37E4" w:rsidP="008A37E4">
      <w:pPr>
        <w:spacing w:after="0" w:line="240" w:lineRule="auto"/>
        <w:jc w:val="left"/>
      </w:pPr>
    </w:p>
    <w:p w:rsidR="00EB6B4D" w:rsidRPr="007226D7" w:rsidRDefault="008A37E4" w:rsidP="00BB081C">
      <w:pPr>
        <w:pStyle w:val="Heading5"/>
      </w:pPr>
      <w:bookmarkStart w:id="46" w:name="_Toc341644991"/>
      <w:r w:rsidRPr="007226D7">
        <w:lastRenderedPageBreak/>
        <w:t>Proyectos Planteados</w:t>
      </w:r>
      <w:bookmarkEnd w:id="46"/>
    </w:p>
    <w:p w:rsidR="008A37E4" w:rsidRPr="007226D7" w:rsidRDefault="008A37E4" w:rsidP="00BB081C">
      <w:pPr>
        <w:pStyle w:val="Heading6"/>
      </w:pPr>
      <w:r w:rsidRPr="007226D7">
        <w:t>Red Vial</w:t>
      </w:r>
    </w:p>
    <w:p w:rsidR="00EB6B4D" w:rsidRPr="007226D7" w:rsidRDefault="00EB6B4D" w:rsidP="00EB6B4D">
      <w:pPr>
        <w:rPr>
          <w:lang w:val="es-ES"/>
        </w:rPr>
      </w:pPr>
      <w:r w:rsidRPr="007226D7">
        <w:rPr>
          <w:noProof/>
          <w:lang w:val="es-ES"/>
        </w:rPr>
        <w:t>No existe un plan vial para la ciudad, las principales infraestructuras proyectadas están sujetas a iniciativas privadas, no hay calendario ni previsión de actuaciones estructurantes, si bien hay una relación de proyectos básicos que deberían contemplarse a futuro no es posible su programación temporal.</w:t>
      </w:r>
    </w:p>
    <w:p w:rsidR="00EB6B4D" w:rsidRPr="007226D7" w:rsidRDefault="00EB6B4D" w:rsidP="00EB6B4D">
      <w:pPr>
        <w:rPr>
          <w:noProof/>
          <w:lang w:val="es-ES"/>
        </w:rPr>
      </w:pPr>
      <w:r w:rsidRPr="007226D7">
        <w:rPr>
          <w:noProof/>
          <w:lang w:val="es-ES"/>
        </w:rPr>
        <w:t>Los principales proyectos todavía en fase de definición son:</w:t>
      </w:r>
    </w:p>
    <w:p w:rsidR="007032D0" w:rsidRPr="007226D7" w:rsidRDefault="007032D0" w:rsidP="006E6A64">
      <w:pPr>
        <w:pStyle w:val="ListParagraph"/>
        <w:numPr>
          <w:ilvl w:val="0"/>
          <w:numId w:val="38"/>
        </w:numPr>
        <w:rPr>
          <w:u w:val="single"/>
          <w:lang w:val="es-ES"/>
        </w:rPr>
      </w:pPr>
      <w:r w:rsidRPr="007226D7">
        <w:rPr>
          <w:u w:val="single"/>
          <w:lang w:val="es-ES"/>
        </w:rPr>
        <w:t xml:space="preserve">La construcción de la carretera Vía Parque </w:t>
      </w:r>
      <w:r w:rsidR="000B2336" w:rsidRPr="007226D7">
        <w:rPr>
          <w:u w:val="single"/>
          <w:lang w:val="es-ES"/>
        </w:rPr>
        <w:t>Rímac</w:t>
      </w:r>
      <w:r w:rsidRPr="007226D7">
        <w:rPr>
          <w:lang w:val="es-ES"/>
        </w:rPr>
        <w:t xml:space="preserve"> definida como una nueva autopista de peaje entre la vía de Evitamiento y el puente </w:t>
      </w:r>
      <w:r w:rsidR="000B2336" w:rsidRPr="007226D7">
        <w:rPr>
          <w:lang w:val="es-ES"/>
        </w:rPr>
        <w:t>Huáscar</w:t>
      </w:r>
      <w:r w:rsidRPr="007226D7">
        <w:rPr>
          <w:lang w:val="es-ES"/>
        </w:rPr>
        <w:t xml:space="preserve"> en el límite con Callao;</w:t>
      </w:r>
      <w:r w:rsidRPr="007226D7">
        <w:rPr>
          <w:u w:val="single"/>
          <w:lang w:val="es-ES"/>
        </w:rPr>
        <w:t xml:space="preserve"> </w:t>
      </w:r>
    </w:p>
    <w:p w:rsidR="00EB6B4D" w:rsidRPr="007226D7" w:rsidRDefault="00EB6B4D" w:rsidP="006E6A64">
      <w:pPr>
        <w:pStyle w:val="ListParagraph"/>
        <w:numPr>
          <w:ilvl w:val="0"/>
          <w:numId w:val="38"/>
        </w:numPr>
        <w:rPr>
          <w:u w:val="single"/>
          <w:lang w:val="es-ES"/>
        </w:rPr>
      </w:pPr>
      <w:r w:rsidRPr="007226D7">
        <w:rPr>
          <w:u w:val="single"/>
          <w:lang w:val="es-ES"/>
        </w:rPr>
        <w:t>Prolongación Ramiro Prialé;</w:t>
      </w:r>
    </w:p>
    <w:p w:rsidR="00EB6B4D" w:rsidRPr="007226D7" w:rsidRDefault="00EB6B4D" w:rsidP="006E6A64">
      <w:pPr>
        <w:pStyle w:val="ListParagraph"/>
        <w:numPr>
          <w:ilvl w:val="0"/>
          <w:numId w:val="38"/>
        </w:numPr>
        <w:rPr>
          <w:u w:val="single"/>
          <w:lang w:val="es-ES"/>
        </w:rPr>
      </w:pPr>
      <w:r w:rsidRPr="007226D7">
        <w:rPr>
          <w:u w:val="single"/>
          <w:lang w:val="es-ES"/>
        </w:rPr>
        <w:t>Vía Expresa de Javier Prado;</w:t>
      </w:r>
    </w:p>
    <w:p w:rsidR="008A37E4" w:rsidRPr="007226D7" w:rsidRDefault="008A37E4" w:rsidP="006E6A64">
      <w:pPr>
        <w:pStyle w:val="ListParagraph"/>
        <w:numPr>
          <w:ilvl w:val="0"/>
          <w:numId w:val="38"/>
        </w:numPr>
        <w:rPr>
          <w:rFonts w:ascii="ArialNarrow,BoldItalic" w:hAnsi="ArialNarrow,BoldItalic" w:cs="ArialNarrow,BoldItalic"/>
          <w:b/>
          <w:bCs/>
          <w:i/>
          <w:iCs/>
          <w:u w:val="single"/>
          <w:lang w:val="es-ES"/>
        </w:rPr>
      </w:pPr>
      <w:r w:rsidRPr="007226D7">
        <w:rPr>
          <w:u w:val="single"/>
          <w:lang w:val="es-ES"/>
        </w:rPr>
        <w:t>Periférico Vial Norte (Panamericana Norte - Tomás Valle - Angélica Gamarra)</w:t>
      </w:r>
    </w:p>
    <w:p w:rsidR="008A37E4" w:rsidRPr="007226D7" w:rsidRDefault="008A37E4" w:rsidP="008A37E4">
      <w:pPr>
        <w:pStyle w:val="ListParagraph"/>
        <w:rPr>
          <w:lang w:val="es-ES"/>
        </w:rPr>
      </w:pPr>
      <w:r w:rsidRPr="007226D7">
        <w:rPr>
          <w:lang w:val="es-ES"/>
        </w:rPr>
        <w:t>Vía periférica para interconectar el Puerto del Callao con Av. Panamericana Norte, pasando por los cerros al lado norte del río Rímac destinado al transporte público, privado y de carga dentro de la ciudad e interprovincial. Se espera la reducción del tráfico de camiones de carga dentro de la ciudad. Este proyecto afectaría a alrededor de 2,000 viviendas que tendrían que ser reubicadas, y su proceso de concesión no ha avanzando mayormente.</w:t>
      </w:r>
    </w:p>
    <w:p w:rsidR="008A37E4" w:rsidRPr="007226D7" w:rsidRDefault="008A37E4" w:rsidP="006E6A64">
      <w:pPr>
        <w:pStyle w:val="ListParagraph"/>
        <w:numPr>
          <w:ilvl w:val="0"/>
          <w:numId w:val="38"/>
        </w:numPr>
        <w:rPr>
          <w:u w:val="single"/>
          <w:lang w:val="es-ES"/>
        </w:rPr>
      </w:pPr>
      <w:r w:rsidRPr="007226D7">
        <w:rPr>
          <w:u w:val="single"/>
          <w:lang w:val="es-ES"/>
        </w:rPr>
        <w:t xml:space="preserve">Extensión del Paseo de la República </w:t>
      </w:r>
    </w:p>
    <w:p w:rsidR="008A37E4" w:rsidRPr="007226D7" w:rsidRDefault="008A37E4" w:rsidP="008A37E4">
      <w:pPr>
        <w:pStyle w:val="ListParagraph"/>
      </w:pPr>
      <w:r w:rsidRPr="007226D7">
        <w:rPr>
          <w:lang w:val="es-ES"/>
        </w:rPr>
        <w:t xml:space="preserve">Extensión de la vía expresa actual hacia el Sur para conectarla con la Av. </w:t>
      </w:r>
      <w:r w:rsidRPr="007226D7">
        <w:t>Panamericana Sur.</w:t>
      </w:r>
    </w:p>
    <w:p w:rsidR="008A37E4" w:rsidRPr="007226D7" w:rsidRDefault="008A37E4" w:rsidP="006E6A64">
      <w:pPr>
        <w:pStyle w:val="ListParagraph"/>
        <w:numPr>
          <w:ilvl w:val="0"/>
          <w:numId w:val="38"/>
        </w:numPr>
        <w:rPr>
          <w:lang w:val="es-ES"/>
        </w:rPr>
      </w:pPr>
      <w:r w:rsidRPr="007226D7">
        <w:rPr>
          <w:u w:val="single"/>
          <w:lang w:val="es-ES"/>
        </w:rPr>
        <w:t xml:space="preserve">Construcción del Túnel de Santa Rosa </w:t>
      </w:r>
    </w:p>
    <w:p w:rsidR="008A37E4" w:rsidRPr="007226D7" w:rsidRDefault="008A37E4" w:rsidP="008A37E4">
      <w:pPr>
        <w:pStyle w:val="ListParagraph"/>
        <w:rPr>
          <w:lang w:val="es-ES"/>
        </w:rPr>
      </w:pPr>
      <w:r w:rsidRPr="007226D7">
        <w:rPr>
          <w:lang w:val="es-ES"/>
        </w:rPr>
        <w:t xml:space="preserve">Vía que conecta al distrito de San Juan de Lurigancho con el distrito del Rímac constituyendo una vía de acceso al centro de Lima para casi 800 mil personas que viven en San Juan de Lurigancho. </w:t>
      </w:r>
    </w:p>
    <w:p w:rsidR="008A37E4" w:rsidRPr="007226D7" w:rsidRDefault="008A37E4" w:rsidP="006E6A64">
      <w:pPr>
        <w:pStyle w:val="ListParagraph"/>
        <w:numPr>
          <w:ilvl w:val="0"/>
          <w:numId w:val="38"/>
        </w:numPr>
      </w:pPr>
      <w:r w:rsidRPr="007226D7">
        <w:rPr>
          <w:u w:val="single"/>
        </w:rPr>
        <w:t xml:space="preserve">Circuito de Playas Costa Verde </w:t>
      </w:r>
    </w:p>
    <w:p w:rsidR="008A37E4" w:rsidRPr="007226D7" w:rsidRDefault="008A37E4" w:rsidP="007032D0">
      <w:pPr>
        <w:pStyle w:val="ListParagraph"/>
        <w:rPr>
          <w:i/>
          <w:lang w:val="es-ES"/>
        </w:rPr>
      </w:pPr>
      <w:r w:rsidRPr="007226D7">
        <w:rPr>
          <w:lang w:val="es-ES"/>
        </w:rPr>
        <w:t xml:space="preserve">La Costa Verde en la costa oeste de Lima está separada del área urbanizada por un acantilado profundo. Este proyecto vial pretende construir una vía expresa para interconectar el Callao con el distrito de Chorrillos a lo largo del litoral. Esto aliviaría en algo la congestión del tráfico en la ciudad. La conexión con el Callao </w:t>
      </w:r>
      <w:r w:rsidR="007032D0" w:rsidRPr="007226D7">
        <w:rPr>
          <w:u w:val="single"/>
          <w:lang w:val="es-ES"/>
        </w:rPr>
        <w:t>Vía Costa Verde, Tramo Callao</w:t>
      </w:r>
      <w:r w:rsidR="007032D0" w:rsidRPr="007226D7">
        <w:rPr>
          <w:lang w:val="es-ES"/>
        </w:rPr>
        <w:t xml:space="preserve"> </w:t>
      </w:r>
      <w:r w:rsidRPr="007226D7">
        <w:rPr>
          <w:lang w:val="es-ES"/>
        </w:rPr>
        <w:t>es toda vía incompleta.</w:t>
      </w:r>
    </w:p>
    <w:p w:rsidR="008A37E4" w:rsidRPr="007226D7" w:rsidRDefault="008A37E4" w:rsidP="006E6A64">
      <w:pPr>
        <w:pStyle w:val="ListParagraph"/>
        <w:numPr>
          <w:ilvl w:val="0"/>
          <w:numId w:val="38"/>
        </w:numPr>
        <w:rPr>
          <w:lang w:val="es-ES"/>
        </w:rPr>
      </w:pPr>
      <w:r w:rsidRPr="007226D7">
        <w:rPr>
          <w:u w:val="single"/>
          <w:lang w:val="es-ES"/>
        </w:rPr>
        <w:t xml:space="preserve">Proyecto de Construcción del Túnel de San Francisco </w:t>
      </w:r>
    </w:p>
    <w:p w:rsidR="008A37E4" w:rsidRPr="007226D7" w:rsidRDefault="008A37E4" w:rsidP="008A37E4">
      <w:pPr>
        <w:pStyle w:val="ListParagraph"/>
        <w:rPr>
          <w:lang w:val="es-ES"/>
        </w:rPr>
      </w:pPr>
      <w:r w:rsidRPr="007226D7">
        <w:rPr>
          <w:lang w:val="es-ES"/>
        </w:rPr>
        <w:t xml:space="preserve">Vía que interconecta al distrito de La Molina con el área central de la ciudad, reduciendo significativamente la distancia de viaje. </w:t>
      </w:r>
    </w:p>
    <w:p w:rsidR="008A37E4" w:rsidRPr="007226D7" w:rsidRDefault="008A37E4" w:rsidP="006E6A64">
      <w:pPr>
        <w:pStyle w:val="ListParagraph"/>
        <w:numPr>
          <w:ilvl w:val="0"/>
          <w:numId w:val="38"/>
        </w:numPr>
      </w:pPr>
      <w:r w:rsidRPr="007226D7">
        <w:rPr>
          <w:u w:val="single"/>
          <w:lang w:val="es-ES"/>
        </w:rPr>
        <w:t xml:space="preserve">Plan de Intersección Separada por Niveles en Av. </w:t>
      </w:r>
      <w:r w:rsidRPr="007226D7">
        <w:rPr>
          <w:u w:val="single"/>
        </w:rPr>
        <w:t xml:space="preserve">La Marina </w:t>
      </w:r>
    </w:p>
    <w:p w:rsidR="008A37E4" w:rsidRPr="007226D7" w:rsidRDefault="008A37E4" w:rsidP="008A37E4">
      <w:pPr>
        <w:pStyle w:val="ListParagraph"/>
        <w:rPr>
          <w:lang w:val="es-ES"/>
        </w:rPr>
      </w:pPr>
      <w:r w:rsidRPr="007226D7">
        <w:rPr>
          <w:lang w:val="es-ES"/>
        </w:rPr>
        <w:t xml:space="preserve">Proyecto para mejorar la estructura vial de la Avenida La Marina interconectando el aeropuerto con la Avenida Javier Prado en el área central de la ciudad. </w:t>
      </w:r>
    </w:p>
    <w:p w:rsidR="008A37E4" w:rsidRPr="007226D7" w:rsidRDefault="008A37E4" w:rsidP="006E6A64">
      <w:pPr>
        <w:pStyle w:val="ListParagraph"/>
        <w:numPr>
          <w:ilvl w:val="0"/>
          <w:numId w:val="38"/>
        </w:numPr>
        <w:rPr>
          <w:rFonts w:cs="Arial"/>
          <w:color w:val="000000"/>
          <w:szCs w:val="22"/>
          <w:u w:val="single"/>
        </w:rPr>
      </w:pPr>
      <w:r w:rsidRPr="007226D7">
        <w:rPr>
          <w:u w:val="single"/>
        </w:rPr>
        <w:t>Intercambio</w:t>
      </w:r>
      <w:r w:rsidRPr="007226D7">
        <w:rPr>
          <w:rFonts w:cs="Arial"/>
          <w:color w:val="000000"/>
          <w:szCs w:val="22"/>
          <w:u w:val="single"/>
        </w:rPr>
        <w:t xml:space="preserve"> vial Av. Primavera - Caminos </w:t>
      </w:r>
      <w:proofErr w:type="gramStart"/>
      <w:r w:rsidRPr="007226D7">
        <w:rPr>
          <w:rFonts w:cs="Arial"/>
          <w:color w:val="000000"/>
          <w:szCs w:val="22"/>
          <w:u w:val="single"/>
        </w:rPr>
        <w:t xml:space="preserve">del </w:t>
      </w:r>
      <w:proofErr w:type="gramEnd"/>
      <w:r w:rsidRPr="007226D7">
        <w:rPr>
          <w:rFonts w:cs="Arial"/>
          <w:color w:val="000000"/>
          <w:szCs w:val="22"/>
          <w:u w:val="single"/>
        </w:rPr>
        <w:t xml:space="preserve">Inca. </w:t>
      </w:r>
    </w:p>
    <w:p w:rsidR="008A37E4" w:rsidRPr="007226D7" w:rsidRDefault="008A37E4" w:rsidP="006E6A64">
      <w:pPr>
        <w:pStyle w:val="ListParagraph"/>
        <w:numPr>
          <w:ilvl w:val="0"/>
          <w:numId w:val="37"/>
        </w:numPr>
        <w:autoSpaceDE w:val="0"/>
        <w:autoSpaceDN w:val="0"/>
        <w:adjustRightInd w:val="0"/>
        <w:spacing w:after="94" w:line="240" w:lineRule="auto"/>
        <w:jc w:val="left"/>
        <w:rPr>
          <w:rFonts w:cs="Arial"/>
          <w:color w:val="000000"/>
          <w:szCs w:val="22"/>
          <w:u w:val="single"/>
        </w:rPr>
      </w:pPr>
      <w:r w:rsidRPr="007226D7">
        <w:rPr>
          <w:rFonts w:cs="Arial"/>
          <w:color w:val="000000"/>
          <w:szCs w:val="22"/>
          <w:u w:val="single"/>
          <w:lang w:val="es-ES"/>
        </w:rPr>
        <w:t xml:space="preserve">Corredor Nicolás Ayllón, tramo Grau – Pte. Sta. </w:t>
      </w:r>
      <w:r w:rsidRPr="007226D7">
        <w:rPr>
          <w:rFonts w:cs="Arial"/>
          <w:color w:val="000000"/>
          <w:szCs w:val="22"/>
          <w:u w:val="single"/>
        </w:rPr>
        <w:t xml:space="preserve">Anita. </w:t>
      </w:r>
    </w:p>
    <w:p w:rsidR="008A37E4" w:rsidRPr="007226D7" w:rsidRDefault="008A37E4" w:rsidP="006E6A64">
      <w:pPr>
        <w:pStyle w:val="ListParagraph"/>
        <w:numPr>
          <w:ilvl w:val="0"/>
          <w:numId w:val="37"/>
        </w:numPr>
        <w:autoSpaceDE w:val="0"/>
        <w:autoSpaceDN w:val="0"/>
        <w:adjustRightInd w:val="0"/>
        <w:spacing w:after="94" w:line="240" w:lineRule="auto"/>
        <w:jc w:val="left"/>
        <w:rPr>
          <w:rFonts w:cs="Arial"/>
          <w:color w:val="000000"/>
          <w:szCs w:val="22"/>
          <w:lang w:val="es-ES"/>
        </w:rPr>
      </w:pPr>
      <w:r w:rsidRPr="007226D7">
        <w:rPr>
          <w:rFonts w:cs="Arial"/>
          <w:color w:val="000000"/>
          <w:szCs w:val="22"/>
          <w:u w:val="single"/>
          <w:lang w:val="es-ES"/>
        </w:rPr>
        <w:lastRenderedPageBreak/>
        <w:t>Intercambio vial Panamericana Norte – Izaguirre</w:t>
      </w:r>
      <w:r w:rsidRPr="007226D7">
        <w:rPr>
          <w:rFonts w:cs="Arial"/>
          <w:color w:val="000000"/>
          <w:szCs w:val="22"/>
          <w:lang w:val="es-ES"/>
        </w:rPr>
        <w:t xml:space="preserve">. </w:t>
      </w:r>
    </w:p>
    <w:p w:rsidR="008A37E4" w:rsidRPr="007226D7" w:rsidRDefault="008A37E4" w:rsidP="006E6A64">
      <w:pPr>
        <w:pStyle w:val="ListParagraph"/>
        <w:numPr>
          <w:ilvl w:val="0"/>
          <w:numId w:val="37"/>
        </w:numPr>
        <w:autoSpaceDE w:val="0"/>
        <w:autoSpaceDN w:val="0"/>
        <w:adjustRightInd w:val="0"/>
        <w:spacing w:after="94" w:line="240" w:lineRule="auto"/>
        <w:jc w:val="left"/>
        <w:rPr>
          <w:rFonts w:cs="Arial"/>
          <w:color w:val="000000"/>
          <w:szCs w:val="22"/>
          <w:u w:val="single"/>
        </w:rPr>
      </w:pPr>
      <w:r w:rsidRPr="007226D7">
        <w:rPr>
          <w:rFonts w:cs="Arial"/>
          <w:color w:val="000000"/>
          <w:szCs w:val="22"/>
          <w:u w:val="single"/>
        </w:rPr>
        <w:t xml:space="preserve">Ampliación puente </w:t>
      </w:r>
      <w:proofErr w:type="gramStart"/>
      <w:r w:rsidRPr="007226D7">
        <w:rPr>
          <w:rFonts w:cs="Arial"/>
          <w:color w:val="000000"/>
          <w:szCs w:val="22"/>
          <w:u w:val="single"/>
        </w:rPr>
        <w:t xml:space="preserve">del </w:t>
      </w:r>
      <w:proofErr w:type="gramEnd"/>
      <w:r w:rsidRPr="007226D7">
        <w:rPr>
          <w:rFonts w:cs="Arial"/>
          <w:color w:val="000000"/>
          <w:szCs w:val="22"/>
          <w:u w:val="single"/>
        </w:rPr>
        <w:t xml:space="preserve">ejército. </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rPr>
      </w:pPr>
      <w:r w:rsidRPr="007226D7">
        <w:rPr>
          <w:rFonts w:cs="Arial"/>
          <w:szCs w:val="22"/>
          <w:lang w:val="es-ES"/>
        </w:rPr>
        <w:t xml:space="preserve">Construcción del Intercambio Vial Av. </w:t>
      </w:r>
      <w:r w:rsidRPr="007226D7">
        <w:rPr>
          <w:rFonts w:cs="Arial"/>
          <w:szCs w:val="22"/>
        </w:rPr>
        <w:t>Morales Duarez – Av. Néstor Gambetta.</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lang w:val="es-ES"/>
        </w:rPr>
      </w:pPr>
      <w:r w:rsidRPr="007226D7">
        <w:rPr>
          <w:rFonts w:cs="Arial"/>
          <w:szCs w:val="22"/>
          <w:lang w:val="es-ES"/>
        </w:rPr>
        <w:t>Complementación del Periférico Vial Norte, tramo Callao (Límite Provincial-Puerto).</w:t>
      </w:r>
    </w:p>
    <w:p w:rsidR="008A37E4" w:rsidRPr="007226D7" w:rsidRDefault="008A37E4" w:rsidP="006E6A64">
      <w:pPr>
        <w:pStyle w:val="ListParagraph"/>
        <w:numPr>
          <w:ilvl w:val="0"/>
          <w:numId w:val="37"/>
        </w:numPr>
        <w:autoSpaceDE w:val="0"/>
        <w:autoSpaceDN w:val="0"/>
        <w:adjustRightInd w:val="0"/>
        <w:spacing w:after="0" w:line="240" w:lineRule="auto"/>
        <w:rPr>
          <w:rFonts w:cs="Arial"/>
          <w:szCs w:val="22"/>
        </w:rPr>
      </w:pPr>
      <w:r w:rsidRPr="007226D7">
        <w:rPr>
          <w:rFonts w:cs="Arial"/>
          <w:szCs w:val="22"/>
          <w:lang w:val="es-ES"/>
        </w:rPr>
        <w:t xml:space="preserve">Implementación del corredor vial Av. Venezuela, tramo límite Provincial hasta la Av. </w:t>
      </w:r>
      <w:r w:rsidRPr="007226D7">
        <w:rPr>
          <w:rFonts w:cs="Arial"/>
          <w:szCs w:val="22"/>
        </w:rPr>
        <w:t>Santa Rosa (Ov. Saloom</w:t>
      </w:r>
      <w:proofErr w:type="gramStart"/>
      <w:r w:rsidRPr="007226D7">
        <w:rPr>
          <w:rFonts w:cs="Arial"/>
          <w:szCs w:val="22"/>
        </w:rPr>
        <w:t>).</w:t>
      </w:r>
      <w:proofErr w:type="gramEnd"/>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lang w:val="es-ES"/>
        </w:rPr>
      </w:pPr>
      <w:r w:rsidRPr="007226D7">
        <w:rPr>
          <w:rFonts w:cs="Arial"/>
          <w:szCs w:val="22"/>
          <w:lang w:val="es-ES"/>
        </w:rPr>
        <w:t>Implementación del corredor vial Av. Oscar Benavides – Av. Sáenz Peña.</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rPr>
      </w:pPr>
      <w:r w:rsidRPr="007226D7">
        <w:rPr>
          <w:rFonts w:cs="Arial"/>
          <w:szCs w:val="22"/>
          <w:lang w:val="es-ES"/>
        </w:rPr>
        <w:t xml:space="preserve">Mejorar y Complementar el diseño vial del Par Vial Av. </w:t>
      </w:r>
      <w:r w:rsidRPr="007226D7">
        <w:rPr>
          <w:rFonts w:cs="Arial"/>
          <w:szCs w:val="22"/>
        </w:rPr>
        <w:t>Costanera – Av. La Paz.</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rPr>
      </w:pPr>
      <w:r w:rsidRPr="007226D7">
        <w:rPr>
          <w:rFonts w:cs="Arial"/>
          <w:szCs w:val="22"/>
          <w:lang w:val="es-ES"/>
        </w:rPr>
        <w:t xml:space="preserve">Construcción en elevado y/o subterráneo Vía Expresa Santa Rosa, en el tramo Costa Verde – Av. </w:t>
      </w:r>
      <w:r w:rsidRPr="007226D7">
        <w:rPr>
          <w:rFonts w:cs="Arial"/>
          <w:szCs w:val="22"/>
        </w:rPr>
        <w:t>Morales Duarez.</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rPr>
      </w:pPr>
      <w:r w:rsidRPr="007226D7">
        <w:rPr>
          <w:rFonts w:cs="Arial"/>
          <w:szCs w:val="22"/>
          <w:lang w:val="es-ES"/>
        </w:rPr>
        <w:t xml:space="preserve">Construcción de la Vía Circuito de Playas tramo Callao, tramo Av. </w:t>
      </w:r>
      <w:r w:rsidRPr="007226D7">
        <w:rPr>
          <w:rFonts w:cs="Arial"/>
          <w:szCs w:val="22"/>
        </w:rPr>
        <w:t>Santa Rosa – La</w:t>
      </w:r>
    </w:p>
    <w:p w:rsidR="008A37E4" w:rsidRPr="007226D7" w:rsidRDefault="008A37E4" w:rsidP="008A37E4">
      <w:pPr>
        <w:pStyle w:val="ListParagraph"/>
        <w:autoSpaceDE w:val="0"/>
        <w:autoSpaceDN w:val="0"/>
        <w:adjustRightInd w:val="0"/>
        <w:spacing w:after="0" w:line="240" w:lineRule="auto"/>
        <w:jc w:val="left"/>
        <w:rPr>
          <w:rFonts w:cs="Arial"/>
          <w:szCs w:val="22"/>
        </w:rPr>
      </w:pPr>
      <w:r w:rsidRPr="007226D7">
        <w:rPr>
          <w:rFonts w:cs="Arial"/>
          <w:szCs w:val="22"/>
        </w:rPr>
        <w:t>Punta.</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lang w:val="es-ES"/>
        </w:rPr>
      </w:pPr>
      <w:r w:rsidRPr="007226D7">
        <w:rPr>
          <w:rFonts w:cs="Arial"/>
          <w:szCs w:val="22"/>
          <w:lang w:val="es-ES"/>
        </w:rPr>
        <w:t>Construcción de la Vía Expresa Industrial (Corredor Camionero), paralela a la Av.</w:t>
      </w:r>
    </w:p>
    <w:p w:rsidR="008A37E4" w:rsidRPr="007226D7" w:rsidRDefault="008A37E4" w:rsidP="008A37E4">
      <w:pPr>
        <w:autoSpaceDE w:val="0"/>
        <w:autoSpaceDN w:val="0"/>
        <w:adjustRightInd w:val="0"/>
        <w:spacing w:after="0" w:line="240" w:lineRule="auto"/>
        <w:ind w:left="360" w:firstLine="349"/>
        <w:jc w:val="left"/>
        <w:rPr>
          <w:rFonts w:cs="Arial"/>
          <w:szCs w:val="22"/>
          <w:lang w:val="es-ES"/>
        </w:rPr>
      </w:pPr>
      <w:r w:rsidRPr="007226D7">
        <w:rPr>
          <w:rFonts w:cs="Arial"/>
          <w:szCs w:val="22"/>
          <w:lang w:val="es-ES"/>
        </w:rPr>
        <w:t>Néstor Gambetta en el tramo la Pampilla y el Río Rímac.</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rPr>
      </w:pPr>
      <w:r w:rsidRPr="007226D7">
        <w:rPr>
          <w:rFonts w:cs="Arial"/>
          <w:szCs w:val="22"/>
          <w:lang w:val="es-ES"/>
        </w:rPr>
        <w:t xml:space="preserve">Construcción del intercambio Vial, Av. 200 – Av. </w:t>
      </w:r>
      <w:r w:rsidRPr="007226D7">
        <w:rPr>
          <w:rFonts w:cs="Arial"/>
          <w:szCs w:val="22"/>
        </w:rPr>
        <w:t>Néstor Gambetta.</w:t>
      </w:r>
    </w:p>
    <w:p w:rsidR="008A37E4" w:rsidRPr="007226D7" w:rsidRDefault="008A37E4" w:rsidP="006E6A64">
      <w:pPr>
        <w:pStyle w:val="ListParagraph"/>
        <w:numPr>
          <w:ilvl w:val="0"/>
          <w:numId w:val="37"/>
        </w:numPr>
        <w:autoSpaceDE w:val="0"/>
        <w:autoSpaceDN w:val="0"/>
        <w:adjustRightInd w:val="0"/>
        <w:spacing w:after="0" w:line="240" w:lineRule="auto"/>
        <w:jc w:val="left"/>
        <w:rPr>
          <w:rFonts w:cs="Arial"/>
          <w:szCs w:val="22"/>
          <w:lang w:val="es-ES"/>
        </w:rPr>
      </w:pPr>
      <w:r w:rsidRPr="007226D7">
        <w:rPr>
          <w:rFonts w:cs="Arial"/>
          <w:szCs w:val="22"/>
          <w:lang w:val="es-ES"/>
        </w:rPr>
        <w:t>Construcción de la Vía Expresa Morales Duarez (Margen Derecha), tramo Límite provincial hasta Litoral.</w:t>
      </w:r>
    </w:p>
    <w:p w:rsidR="008A37E4" w:rsidRPr="007226D7" w:rsidRDefault="008A37E4" w:rsidP="006E6A64">
      <w:pPr>
        <w:pStyle w:val="ListParagraph"/>
        <w:numPr>
          <w:ilvl w:val="0"/>
          <w:numId w:val="37"/>
        </w:numPr>
        <w:autoSpaceDE w:val="0"/>
        <w:autoSpaceDN w:val="0"/>
        <w:adjustRightInd w:val="0"/>
        <w:spacing w:after="0" w:line="240" w:lineRule="auto"/>
        <w:jc w:val="left"/>
        <w:rPr>
          <w:rFonts w:ascii="ArialNarrow,BoldItalic" w:hAnsi="ArialNarrow,BoldItalic" w:cs="ArialNarrow,BoldItalic"/>
          <w:b/>
          <w:bCs/>
          <w:iCs/>
          <w:szCs w:val="22"/>
          <w:lang w:val="es-ES"/>
        </w:rPr>
      </w:pPr>
      <w:r w:rsidRPr="007226D7">
        <w:rPr>
          <w:rFonts w:cs="Arial"/>
          <w:szCs w:val="22"/>
          <w:lang w:val="es-ES"/>
        </w:rPr>
        <w:t>Construcción del puente 12 de Octubre (vehicular y peatonal), intersección Av. 12 de Octubre – Rio Rímac</w:t>
      </w:r>
    </w:p>
    <w:p w:rsidR="008A37E4" w:rsidRPr="007226D7" w:rsidRDefault="008A37E4" w:rsidP="008A37E4">
      <w:pPr>
        <w:rPr>
          <w:lang w:val="es-ES"/>
        </w:rPr>
      </w:pPr>
    </w:p>
    <w:p w:rsidR="008A37E4" w:rsidRPr="007226D7" w:rsidRDefault="008A37E4" w:rsidP="008A37E4">
      <w:r w:rsidRPr="007226D7">
        <w:rPr>
          <w:noProof/>
          <w:lang w:val="en-US" w:eastAsia="en-US"/>
        </w:rPr>
        <w:drawing>
          <wp:inline distT="0" distB="0" distL="0" distR="0" wp14:anchorId="26A921FF" wp14:editId="418A0469">
            <wp:extent cx="5937885" cy="3574415"/>
            <wp:effectExtent l="0" t="0" r="0" b="0"/>
            <wp:docPr id="75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7885" cy="3574415"/>
                    </a:xfrm>
                    <a:prstGeom prst="rect">
                      <a:avLst/>
                    </a:prstGeom>
                    <a:noFill/>
                    <a:ln>
                      <a:noFill/>
                    </a:ln>
                  </pic:spPr>
                </pic:pic>
              </a:graphicData>
            </a:graphic>
          </wp:inline>
        </w:drawing>
      </w:r>
    </w:p>
    <w:p w:rsidR="008A37E4" w:rsidRPr="007226D7" w:rsidRDefault="008A37E4" w:rsidP="008A37E4">
      <w:pPr>
        <w:pStyle w:val="Figuras"/>
      </w:pPr>
      <w:r w:rsidRPr="007226D7">
        <w:t>Figura 3.1-58  Principales Proyectos de Red Vial – rif. PMDTU</w:t>
      </w:r>
    </w:p>
    <w:p w:rsidR="008A37E4" w:rsidRPr="007226D7" w:rsidRDefault="008A37E4" w:rsidP="008A37E4">
      <w:pPr>
        <w:rPr>
          <w:lang w:val="es-ES"/>
        </w:rPr>
      </w:pPr>
    </w:p>
    <w:p w:rsidR="008A37E4" w:rsidRPr="007226D7" w:rsidRDefault="008A37E4" w:rsidP="008A37E4">
      <w:pPr>
        <w:pStyle w:val="Figuras"/>
        <w:spacing w:after="0"/>
      </w:pPr>
      <w:r w:rsidRPr="007226D7">
        <w:lastRenderedPageBreak/>
        <w:t xml:space="preserve">Figura </w:t>
      </w:r>
      <w:r w:rsidR="00B16923" w:rsidRPr="007226D7">
        <w:fldChar w:fldCharType="begin"/>
      </w:r>
      <w:r w:rsidR="00CB2190" w:rsidRPr="007226D7">
        <w:instrText xml:space="preserve"> SEQ Figura \* ARABIC </w:instrText>
      </w:r>
      <w:r w:rsidR="00B16923" w:rsidRPr="007226D7">
        <w:fldChar w:fldCharType="separate"/>
      </w:r>
      <w:r w:rsidR="003142BB">
        <w:rPr>
          <w:noProof/>
        </w:rPr>
        <w:t>3</w:t>
      </w:r>
      <w:r w:rsidR="00B16923" w:rsidRPr="007226D7">
        <w:rPr>
          <w:noProof/>
        </w:rPr>
        <w:fldChar w:fldCharType="end"/>
      </w:r>
      <w:r w:rsidRPr="007226D7">
        <w:rPr>
          <w:noProof/>
          <w:lang w:val="en-US" w:eastAsia="en-US"/>
        </w:rPr>
        <w:drawing>
          <wp:anchor distT="0" distB="71755" distL="114300" distR="114300" simplePos="0" relativeHeight="251819008" behindDoc="0" locked="0" layoutInCell="1" allowOverlap="0" wp14:anchorId="66D802A3" wp14:editId="07EA26E5">
            <wp:simplePos x="0" y="0"/>
            <wp:positionH relativeFrom="column">
              <wp:posOffset>15240</wp:posOffset>
            </wp:positionH>
            <wp:positionV relativeFrom="paragraph">
              <wp:posOffset>-217170</wp:posOffset>
            </wp:positionV>
            <wp:extent cx="5922010" cy="7858125"/>
            <wp:effectExtent l="19050" t="0" r="2540" b="0"/>
            <wp:wrapTopAndBottom/>
            <wp:docPr id="767" name="Immagine 1" descr="Descripción: C:\Projects\12P-0068_ML2_MetroLimaLinea2\02_Work\Informe2\02-Identificacion\PV01_Mapa de Propuesta Vial Call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Descripción: C:\Projects\12P-0068_ML2_MetroLimaLinea2\02_Work\Informe2\02-Identificacion\PV01_Mapa de Propuesta Vial Callao.jpg"/>
                    <pic:cNvPicPr>
                      <a:picLocks noChangeAspect="1" noChangeArrowheads="1"/>
                    </pic:cNvPicPr>
                  </pic:nvPicPr>
                  <pic:blipFill>
                    <a:blip r:embed="rId134" cstate="print"/>
                    <a:srcRect/>
                    <a:stretch>
                      <a:fillRect/>
                    </a:stretch>
                  </pic:blipFill>
                  <pic:spPr bwMode="auto">
                    <a:xfrm>
                      <a:off x="0" y="0"/>
                      <a:ext cx="5922010" cy="7858125"/>
                    </a:xfrm>
                    <a:prstGeom prst="rect">
                      <a:avLst/>
                    </a:prstGeom>
                    <a:noFill/>
                  </pic:spPr>
                </pic:pic>
              </a:graphicData>
            </a:graphic>
          </wp:anchor>
        </w:drawing>
      </w:r>
      <w:r w:rsidRPr="007226D7">
        <w:rPr>
          <w:noProof/>
        </w:rPr>
        <w:t>.1-59</w:t>
      </w:r>
      <w:r w:rsidRPr="007226D7">
        <w:t xml:space="preserve"> Plano del sistema vial – Provincia Constitucional del Callao (fuente: Plan de Desarrollo Urbano del Callao)</w:t>
      </w:r>
    </w:p>
    <w:p w:rsidR="008A37E4" w:rsidRPr="007226D7" w:rsidRDefault="008A37E4" w:rsidP="008A37E4">
      <w:pPr>
        <w:pStyle w:val="Figuras"/>
      </w:pPr>
    </w:p>
    <w:p w:rsidR="00807661" w:rsidRPr="007226D7" w:rsidRDefault="00807661" w:rsidP="008A37E4">
      <w:pPr>
        <w:pStyle w:val="Figuras"/>
      </w:pPr>
    </w:p>
    <w:p w:rsidR="008A37E4" w:rsidRPr="007226D7" w:rsidRDefault="008A37E4" w:rsidP="00BB081C">
      <w:pPr>
        <w:pStyle w:val="Heading6"/>
      </w:pPr>
      <w:r w:rsidRPr="007226D7">
        <w:lastRenderedPageBreak/>
        <w:t>Transporte Público</w:t>
      </w:r>
    </w:p>
    <w:p w:rsidR="007572D7" w:rsidRPr="007226D7" w:rsidRDefault="007572D7" w:rsidP="007572D7">
      <w:pPr>
        <w:rPr>
          <w:lang w:val="es-ES"/>
        </w:rPr>
      </w:pPr>
      <w:r w:rsidRPr="007226D7">
        <w:rPr>
          <w:lang w:val="es-ES"/>
        </w:rPr>
        <w:t xml:space="preserve">La potenciación y la transformación del transporte colectivo es el tema fundamental y estratégico de las políticas aplicadas actualmente. Conseguir un sistema de transporte colectivo muy competitivo constituye la intervención más significativa para garantizar en el futuro niveles de movilidad urbana de alta eficiencia y sostenibilidad. </w:t>
      </w:r>
    </w:p>
    <w:p w:rsidR="007572D7" w:rsidRPr="007226D7" w:rsidRDefault="007572D7" w:rsidP="006E6A64">
      <w:pPr>
        <w:pStyle w:val="ListParagraph"/>
        <w:numPr>
          <w:ilvl w:val="0"/>
          <w:numId w:val="47"/>
        </w:numPr>
        <w:rPr>
          <w:lang w:val="es-ES"/>
        </w:rPr>
      </w:pPr>
      <w:r w:rsidRPr="007226D7">
        <w:rPr>
          <w:noProof/>
          <w:lang w:val="es-ES"/>
        </w:rPr>
        <w:t>La reorganización del transporte de Lima tiene como meta la conformación de un sistema integrado de transporte a través de reformas en 5 niveles de intervención:</w:t>
      </w:r>
    </w:p>
    <w:p w:rsidR="007572D7" w:rsidRPr="007226D7" w:rsidRDefault="007572D7" w:rsidP="006E6A64">
      <w:pPr>
        <w:pStyle w:val="ListParagraph"/>
        <w:numPr>
          <w:ilvl w:val="0"/>
          <w:numId w:val="47"/>
        </w:numPr>
        <w:rPr>
          <w:lang w:val="es-ES"/>
        </w:rPr>
      </w:pPr>
      <w:r w:rsidRPr="007226D7">
        <w:rPr>
          <w:noProof/>
          <w:lang w:val="es-ES"/>
        </w:rPr>
        <w:t>Corredores Masivos:</w:t>
      </w:r>
      <w:r w:rsidRPr="007226D7">
        <w:rPr>
          <w:lang w:val="es-ES"/>
        </w:rPr>
        <w:t xml:space="preserve"> </w:t>
      </w:r>
      <w:r w:rsidRPr="007226D7">
        <w:rPr>
          <w:noProof/>
          <w:lang w:val="es-ES"/>
        </w:rPr>
        <w:t>Sistemas de gran capacidad en vías exclusivas con tecnología de buses articulados, bi-articulados y trenes.</w:t>
      </w:r>
      <w:r w:rsidRPr="007226D7">
        <w:rPr>
          <w:lang w:val="es-ES"/>
        </w:rPr>
        <w:t xml:space="preserve"> </w:t>
      </w:r>
      <w:r w:rsidRPr="007226D7">
        <w:rPr>
          <w:noProof/>
          <w:lang w:val="es-ES"/>
        </w:rPr>
        <w:t>Eliminación de rutas sobrepuestas.</w:t>
      </w:r>
    </w:p>
    <w:p w:rsidR="007572D7" w:rsidRPr="007226D7" w:rsidRDefault="007572D7" w:rsidP="006E6A64">
      <w:pPr>
        <w:pStyle w:val="ListParagraph"/>
        <w:numPr>
          <w:ilvl w:val="0"/>
          <w:numId w:val="47"/>
        </w:numPr>
        <w:rPr>
          <w:lang w:val="es-ES"/>
        </w:rPr>
      </w:pPr>
      <w:r w:rsidRPr="007226D7">
        <w:rPr>
          <w:noProof/>
          <w:lang w:val="es-ES"/>
        </w:rPr>
        <w:t>Corredores Complementarios:</w:t>
      </w:r>
      <w:r w:rsidRPr="007226D7">
        <w:rPr>
          <w:lang w:val="es-ES"/>
        </w:rPr>
        <w:t xml:space="preserve"> </w:t>
      </w:r>
      <w:r w:rsidRPr="007226D7">
        <w:rPr>
          <w:noProof/>
          <w:lang w:val="es-ES"/>
        </w:rPr>
        <w:t>Sistemas de mediana capacidad en vías segregadas y mixtas con buses de 9,12 y 18 metros.</w:t>
      </w:r>
      <w:r w:rsidRPr="007226D7">
        <w:rPr>
          <w:lang w:val="es-ES"/>
        </w:rPr>
        <w:t xml:space="preserve"> </w:t>
      </w:r>
      <w:r w:rsidRPr="007226D7">
        <w:rPr>
          <w:noProof/>
          <w:lang w:val="es-ES"/>
        </w:rPr>
        <w:t>Fusión / modificación / eliminación de rutas sobrepuestas.</w:t>
      </w:r>
      <w:r w:rsidRPr="007226D7">
        <w:rPr>
          <w:lang w:val="es-ES"/>
        </w:rPr>
        <w:t xml:space="preserve"> </w:t>
      </w:r>
      <w:r w:rsidRPr="007226D7">
        <w:rPr>
          <w:noProof/>
          <w:lang w:val="es-ES"/>
        </w:rPr>
        <w:t>Medidas de reorganización del transito</w:t>
      </w:r>
    </w:p>
    <w:p w:rsidR="007572D7" w:rsidRPr="007226D7" w:rsidRDefault="007572D7" w:rsidP="006E6A64">
      <w:pPr>
        <w:pStyle w:val="ListParagraph"/>
        <w:numPr>
          <w:ilvl w:val="0"/>
          <w:numId w:val="47"/>
        </w:numPr>
        <w:rPr>
          <w:lang w:val="es-ES"/>
        </w:rPr>
      </w:pPr>
      <w:r w:rsidRPr="007226D7">
        <w:rPr>
          <w:noProof/>
          <w:lang w:val="es-ES"/>
        </w:rPr>
        <w:t>Corredores de Integración:</w:t>
      </w:r>
      <w:r w:rsidRPr="007226D7">
        <w:rPr>
          <w:lang w:val="es-ES"/>
        </w:rPr>
        <w:t xml:space="preserve"> </w:t>
      </w:r>
      <w:r w:rsidRPr="007226D7">
        <w:rPr>
          <w:noProof/>
          <w:lang w:val="es-ES"/>
        </w:rPr>
        <w:t>Sistemas de mediana capacidad en vías mixtas con buses de 9 y12 metros.</w:t>
      </w:r>
      <w:r w:rsidRPr="007226D7">
        <w:rPr>
          <w:lang w:val="es-ES"/>
        </w:rPr>
        <w:t xml:space="preserve"> </w:t>
      </w:r>
      <w:r w:rsidRPr="007226D7">
        <w:rPr>
          <w:noProof/>
          <w:lang w:val="es-ES"/>
        </w:rPr>
        <w:t>Fusión / modificación / eliminación de rutas sobrepuestas</w:t>
      </w:r>
    </w:p>
    <w:p w:rsidR="007572D7" w:rsidRPr="007226D7" w:rsidRDefault="007572D7" w:rsidP="006E6A64">
      <w:pPr>
        <w:pStyle w:val="ListParagraph"/>
        <w:numPr>
          <w:ilvl w:val="0"/>
          <w:numId w:val="47"/>
        </w:numPr>
        <w:rPr>
          <w:lang w:val="es-ES"/>
        </w:rPr>
      </w:pPr>
      <w:r w:rsidRPr="007226D7">
        <w:rPr>
          <w:noProof/>
          <w:lang w:val="es-ES"/>
        </w:rPr>
        <w:t>Red Convencional:</w:t>
      </w:r>
      <w:r w:rsidRPr="007226D7">
        <w:rPr>
          <w:lang w:val="es-ES"/>
        </w:rPr>
        <w:t xml:space="preserve"> </w:t>
      </w:r>
      <w:r w:rsidRPr="007226D7">
        <w:rPr>
          <w:noProof/>
          <w:lang w:val="es-ES"/>
        </w:rPr>
        <w:t>Sistemas de mediana y baja capacidad en vías mixtas con buses de 9 y 12 mt.</w:t>
      </w:r>
      <w:r w:rsidRPr="007226D7">
        <w:rPr>
          <w:lang w:val="es-ES"/>
        </w:rPr>
        <w:t xml:space="preserve"> </w:t>
      </w:r>
      <w:r w:rsidRPr="007226D7">
        <w:rPr>
          <w:noProof/>
          <w:lang w:val="es-ES"/>
        </w:rPr>
        <w:t>Modificación de rutas sobrepuestas</w:t>
      </w:r>
    </w:p>
    <w:p w:rsidR="007572D7" w:rsidRPr="007226D7" w:rsidRDefault="007572D7" w:rsidP="006E6A64">
      <w:pPr>
        <w:pStyle w:val="ListParagraph"/>
        <w:numPr>
          <w:ilvl w:val="0"/>
          <w:numId w:val="47"/>
        </w:numPr>
        <w:rPr>
          <w:lang w:val="es-ES"/>
        </w:rPr>
      </w:pPr>
      <w:r w:rsidRPr="007226D7">
        <w:rPr>
          <w:noProof/>
          <w:lang w:val="es-ES"/>
        </w:rPr>
        <w:t>Red en Zonas No Atendidas:</w:t>
      </w:r>
      <w:r w:rsidRPr="007226D7">
        <w:rPr>
          <w:lang w:val="es-ES"/>
        </w:rPr>
        <w:t xml:space="preserve"> </w:t>
      </w:r>
      <w:r w:rsidRPr="007226D7">
        <w:rPr>
          <w:noProof/>
          <w:lang w:val="es-ES"/>
        </w:rPr>
        <w:t>Sistemas de baja capacidad en vías mixtas con microbuses y buses.</w:t>
      </w:r>
      <w:r w:rsidRPr="007226D7">
        <w:rPr>
          <w:lang w:val="es-ES"/>
        </w:rPr>
        <w:t xml:space="preserve"> </w:t>
      </w:r>
      <w:r w:rsidRPr="007226D7">
        <w:rPr>
          <w:noProof/>
          <w:lang w:val="es-ES"/>
        </w:rPr>
        <w:t>Implementación de nuevas rutas</w:t>
      </w:r>
    </w:p>
    <w:p w:rsidR="007572D7" w:rsidRPr="007226D7" w:rsidRDefault="007572D7" w:rsidP="008A37E4">
      <w:pPr>
        <w:rPr>
          <w:lang w:val="es-ES"/>
        </w:rPr>
      </w:pPr>
    </w:p>
    <w:p w:rsidR="007572D7" w:rsidRPr="007226D7" w:rsidRDefault="007572D7" w:rsidP="007572D7">
      <w:pPr>
        <w:rPr>
          <w:u w:val="single"/>
          <w:lang w:val="es-ES"/>
        </w:rPr>
      </w:pPr>
      <w:r w:rsidRPr="007226D7">
        <w:rPr>
          <w:noProof/>
          <w:u w:val="single"/>
          <w:lang w:val="es-ES"/>
        </w:rPr>
        <w:t>Intervenciones programadas - Red básica del metro de Lima</w:t>
      </w:r>
    </w:p>
    <w:p w:rsidR="008A37E4" w:rsidRPr="007226D7" w:rsidRDefault="008A37E4" w:rsidP="008A37E4">
      <w:pPr>
        <w:rPr>
          <w:rFonts w:cs="Arial"/>
          <w:color w:val="000000"/>
          <w:szCs w:val="22"/>
          <w:lang w:val="es-ES"/>
        </w:rPr>
      </w:pPr>
      <w:r w:rsidRPr="007226D7">
        <w:rPr>
          <w:lang w:val="es-ES"/>
        </w:rPr>
        <w:t>El esquema del futuro sistema de transporte público en Lima es la red de transporte masivo llamada Red Básica que fue fundada m</w:t>
      </w:r>
      <w:r w:rsidRPr="007226D7">
        <w:rPr>
          <w:rFonts w:cs="Arial"/>
          <w:color w:val="000000"/>
          <w:szCs w:val="22"/>
          <w:lang w:val="es-ES"/>
        </w:rPr>
        <w:t>ediante Decreto Supremo N° 059-2010-MTC, del Ministerio de Transporte y Comunicaciones.</w:t>
      </w:r>
    </w:p>
    <w:p w:rsidR="00CC2DF9" w:rsidRPr="007226D7" w:rsidRDefault="00CC2DF9" w:rsidP="00CC2DF9">
      <w:pPr>
        <w:rPr>
          <w:color w:val="333333"/>
          <w:lang w:val="es-ES"/>
        </w:rPr>
      </w:pPr>
      <w:r w:rsidRPr="007226D7">
        <w:rPr>
          <w:color w:val="333333"/>
          <w:lang w:val="es-ES"/>
        </w:rPr>
        <w:t>La norma señala que la Red Básica del Metro de Lima aprobada, permite definir cuencas de intervención, en el ámbito de ejes viales para el desarrollo de estudios base y de ingeniería para la</w:t>
      </w:r>
      <w:r w:rsidRPr="007226D7">
        <w:rPr>
          <w:noProof/>
          <w:color w:val="333333"/>
          <w:lang w:val="es-ES"/>
        </w:rPr>
        <w:t xml:space="preserve"> </w:t>
      </w:r>
      <w:r w:rsidRPr="007226D7">
        <w:rPr>
          <w:color w:val="333333"/>
          <w:lang w:val="es-ES"/>
        </w:rPr>
        <w:t>definición de los trazos finales, localización de estaciones y áreas de reservas para líneas que lo componen.</w:t>
      </w:r>
    </w:p>
    <w:p w:rsidR="008A37E4" w:rsidRPr="007226D7" w:rsidRDefault="00CC2DF9" w:rsidP="008A37E4">
      <w:pPr>
        <w:rPr>
          <w:color w:val="333333"/>
          <w:lang w:val="es-ES"/>
        </w:rPr>
      </w:pPr>
      <w:r w:rsidRPr="007226D7">
        <w:rPr>
          <w:noProof/>
          <w:color w:val="333333"/>
          <w:lang w:val="es-ES"/>
        </w:rPr>
        <w:t>De esta forma la Red Básica del Metro de Lima, está conformada sobre la base de cinco (05) Líneas, cuyos trazos preliminares definidos en el Decreto Supremo No.</w:t>
      </w:r>
      <w:r w:rsidRPr="007226D7">
        <w:rPr>
          <w:color w:val="333333"/>
          <w:lang w:val="es-ES"/>
        </w:rPr>
        <w:t xml:space="preserve"> </w:t>
      </w:r>
      <w:r w:rsidRPr="007226D7">
        <w:rPr>
          <w:noProof/>
          <w:color w:val="333333"/>
          <w:lang w:val="es-ES"/>
        </w:rPr>
        <w:t>059-2010-MTC se describen a continuación:</w:t>
      </w:r>
    </w:p>
    <w:p w:rsidR="008A37E4" w:rsidRPr="007226D7" w:rsidRDefault="008A37E4" w:rsidP="006E6A64">
      <w:pPr>
        <w:pStyle w:val="ListParagraph"/>
        <w:numPr>
          <w:ilvl w:val="0"/>
          <w:numId w:val="39"/>
        </w:numPr>
        <w:rPr>
          <w:lang w:val="es-ES"/>
        </w:rPr>
      </w:pPr>
      <w:r w:rsidRPr="007226D7">
        <w:rPr>
          <w:lang w:val="es-ES"/>
        </w:rPr>
        <w:t>Línea 1: Avenida Separadora Industrial, Avenida Pachacútec, Avenida Tomás Marsano, Avenida Aviación, Avenida Grau, Jirón Locumba, Avenida 9 de Octubre, Avenida Próceres de la Independencia, Avenida Fernando Wiese.</w:t>
      </w:r>
    </w:p>
    <w:p w:rsidR="008A37E4" w:rsidRPr="007226D7" w:rsidRDefault="008A37E4" w:rsidP="006E6A64">
      <w:pPr>
        <w:pStyle w:val="ListParagraph"/>
        <w:numPr>
          <w:ilvl w:val="0"/>
          <w:numId w:val="39"/>
        </w:numPr>
        <w:rPr>
          <w:lang w:val="es-ES"/>
        </w:rPr>
      </w:pPr>
      <w:r w:rsidRPr="007226D7">
        <w:rPr>
          <w:lang w:val="es-ES"/>
        </w:rPr>
        <w:t>Línea 2 – objeto de esta consultoría: eje este-oeste desde Avenida Guardia Chalaca, hasta Ate Vitarte. Las alternativas a ser evaluadas se explican en los siguientes capítulos de este informe.</w:t>
      </w:r>
    </w:p>
    <w:p w:rsidR="008A37E4" w:rsidRPr="007226D7" w:rsidRDefault="008A37E4" w:rsidP="006E6A64">
      <w:pPr>
        <w:pStyle w:val="ListParagraph"/>
        <w:numPr>
          <w:ilvl w:val="0"/>
          <w:numId w:val="39"/>
        </w:numPr>
        <w:rPr>
          <w:lang w:val="es-ES"/>
        </w:rPr>
      </w:pPr>
      <w:r w:rsidRPr="007226D7">
        <w:rPr>
          <w:lang w:val="es-ES"/>
        </w:rPr>
        <w:lastRenderedPageBreak/>
        <w:t xml:space="preserve">Línea 3: Avenida Alfredo Benavides, Avenida Larco, Avenida Arequipa, Avenida Garcilaso de la Vega, Avenida Tacna, Avenida Pizarro, Avenida Túpac Amaru, Avenida Rosa de América, Avenida Universitaria. </w:t>
      </w:r>
    </w:p>
    <w:p w:rsidR="008A37E4" w:rsidRPr="007226D7" w:rsidRDefault="008A37E4" w:rsidP="006E6A64">
      <w:pPr>
        <w:pStyle w:val="ListParagraph"/>
        <w:numPr>
          <w:ilvl w:val="0"/>
          <w:numId w:val="39"/>
        </w:numPr>
        <w:rPr>
          <w:lang w:val="es-ES"/>
        </w:rPr>
      </w:pPr>
      <w:r w:rsidRPr="007226D7">
        <w:rPr>
          <w:lang w:val="es-ES"/>
        </w:rPr>
        <w:t xml:space="preserve">Línea 4: Avenida Elmer Faucett, Avenida La Marina, Avenida Sánchez Carrión, Avenida Salaverry, Avenida Cañeara, Avenida José Pardo de Zela, Avenida Canadá, Avenida Circunvalación, Avenida Javier Prado. </w:t>
      </w:r>
    </w:p>
    <w:p w:rsidR="008A37E4" w:rsidRPr="007226D7" w:rsidRDefault="008A37E4" w:rsidP="006E6A64">
      <w:pPr>
        <w:pStyle w:val="ListParagraph"/>
        <w:numPr>
          <w:ilvl w:val="0"/>
          <w:numId w:val="39"/>
        </w:numPr>
        <w:rPr>
          <w:lang w:val="es-ES"/>
        </w:rPr>
      </w:pPr>
      <w:r w:rsidRPr="007226D7">
        <w:rPr>
          <w:lang w:val="es-ES"/>
        </w:rPr>
        <w:t xml:space="preserve">Línea 5: Avenida Huaylas, Avenida Paseo de la República, Avenida República de Panamá, Avenida Miguel Grau. </w:t>
      </w:r>
    </w:p>
    <w:p w:rsidR="00CC2DF9" w:rsidRPr="007226D7" w:rsidRDefault="00CC2DF9" w:rsidP="008A37E4">
      <w:pPr>
        <w:rPr>
          <w:lang w:val="es-ES"/>
        </w:rPr>
      </w:pPr>
      <w:r w:rsidRPr="007226D7">
        <w:rPr>
          <w:noProof/>
          <w:lang w:val="en-US" w:eastAsia="en-US"/>
        </w:rPr>
        <w:drawing>
          <wp:anchor distT="0" distB="0" distL="114300" distR="114300" simplePos="0" relativeHeight="251825152" behindDoc="0" locked="0" layoutInCell="1" allowOverlap="1" wp14:anchorId="3CE2E673" wp14:editId="67AF99A6">
            <wp:simplePos x="0" y="0"/>
            <wp:positionH relativeFrom="column">
              <wp:posOffset>60316</wp:posOffset>
            </wp:positionH>
            <wp:positionV relativeFrom="paragraph">
              <wp:posOffset>188254</wp:posOffset>
            </wp:positionV>
            <wp:extent cx="5933591" cy="3818188"/>
            <wp:effectExtent l="19050" t="19050" r="10009" b="10862"/>
            <wp:wrapTopAndBottom/>
            <wp:docPr id="751"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4"/>
                    <pic:cNvPicPr>
                      <a:picLocks noChangeAspect="1" noChangeArrowheads="1"/>
                    </pic:cNvPicPr>
                  </pic:nvPicPr>
                  <pic:blipFill>
                    <a:blip r:embed="rId135" cstate="print"/>
                    <a:srcRect/>
                    <a:stretch>
                      <a:fillRect/>
                    </a:stretch>
                  </pic:blipFill>
                  <pic:spPr bwMode="auto">
                    <a:xfrm>
                      <a:off x="0" y="0"/>
                      <a:ext cx="5933591" cy="3818188"/>
                    </a:xfrm>
                    <a:prstGeom prst="rect">
                      <a:avLst/>
                    </a:prstGeom>
                    <a:noFill/>
                    <a:ln w="6350">
                      <a:solidFill>
                        <a:srgbClr val="000000"/>
                      </a:solidFill>
                      <a:miter lim="800000"/>
                      <a:headEnd/>
                      <a:tailEnd/>
                    </a:ln>
                  </pic:spPr>
                </pic:pic>
              </a:graphicData>
            </a:graphic>
          </wp:anchor>
        </w:drawing>
      </w:r>
    </w:p>
    <w:p w:rsidR="008A37E4" w:rsidRPr="007226D7" w:rsidRDefault="00CC2DF9" w:rsidP="00CC2DF9">
      <w:pPr>
        <w:pStyle w:val="Figuras"/>
      </w:pPr>
      <w:r w:rsidRPr="007226D7">
        <w:t>Figura 3.1-60 Plano de la Red Básica del Metro de Lima</w:t>
      </w:r>
      <w:r w:rsidRPr="007226D7">
        <w:rPr>
          <w:noProof/>
        </w:rPr>
        <w:t xml:space="preserve"> </w:t>
      </w:r>
    </w:p>
    <w:p w:rsidR="00CC2DF9" w:rsidRPr="007226D7" w:rsidRDefault="00CC2DF9" w:rsidP="00CC2DF9">
      <w:pPr>
        <w:rPr>
          <w:lang w:val="es-ES"/>
        </w:rPr>
      </w:pPr>
      <w:r w:rsidRPr="007226D7">
        <w:rPr>
          <w:lang w:val="es-ES"/>
        </w:rPr>
        <w:t xml:space="preserve">En cuanto a la Línea 1, hoy actualmente operativa, se prevé la completa realización y su entrada en funcionamiento seguramente antes del año 2016. Para la Línea 2 se prevé la realización del primer tramo (de la estación de Ate Vitarte a la de Piazza Bolognesi) y su entrada en ejercicio antes del año 2018, mientras que la Línea 2 entera y el tramo de Línea 4 (de la estación San José a la estación Néstor Gambeta) está previstas operativas para el año 2020. A esta red se añadirán en el tiempo las líneas siguientes. </w:t>
      </w:r>
    </w:p>
    <w:p w:rsidR="00CC2DF9" w:rsidRPr="007226D7" w:rsidRDefault="00CC2DF9" w:rsidP="00CC2DF9">
      <w:pPr>
        <w:rPr>
          <w:lang w:val="es-ES"/>
        </w:rPr>
      </w:pPr>
      <w:r w:rsidRPr="007226D7">
        <w:rPr>
          <w:lang w:val="es-ES"/>
        </w:rPr>
        <w:t>En este estudio se ha asumido que para el escenario del año 2030 las Líneas 3 y 4 estarán completamente realizadas, integrando posteriormente la red de fuerza del primer nivel.</w:t>
      </w:r>
    </w:p>
    <w:p w:rsidR="00CC2DF9" w:rsidRPr="007226D7" w:rsidRDefault="00CC2DF9" w:rsidP="00CC2DF9">
      <w:pPr>
        <w:rPr>
          <w:lang w:val="es-ES"/>
        </w:rPr>
      </w:pPr>
      <w:r w:rsidRPr="007226D7">
        <w:rPr>
          <w:lang w:val="es-ES"/>
        </w:rPr>
        <w:t>Se cree que el Cosac puede considerarse a todos los efectos de un sistema de transporte de masa y, junto con la red de metro contribuir al efecto en el territorio.</w:t>
      </w:r>
    </w:p>
    <w:p w:rsidR="007572D7" w:rsidRPr="007226D7" w:rsidRDefault="00CC2DF9" w:rsidP="00CC2DF9">
      <w:pPr>
        <w:rPr>
          <w:lang w:val="es-ES"/>
        </w:rPr>
      </w:pPr>
      <w:r w:rsidRPr="007226D7">
        <w:rPr>
          <w:lang w:val="es-ES"/>
        </w:rPr>
        <w:lastRenderedPageBreak/>
        <w:t>El sistema funcionará como una red real debido a la inclusión de la línea 2, la que, con su ruta este-oeste, asegura los intercambios con otros sistemas que están orientados de norte a sur. A este respecto, es importante el funcionamiento de las interconexiones.</w:t>
      </w:r>
    </w:p>
    <w:p w:rsidR="007572D7" w:rsidRPr="007226D7" w:rsidRDefault="007572D7" w:rsidP="008A37E4">
      <w:pPr>
        <w:rPr>
          <w:lang w:val="es-ES"/>
        </w:rPr>
      </w:pPr>
      <w:r w:rsidRPr="007226D7">
        <w:rPr>
          <w:noProof/>
          <w:lang w:val="en-US" w:eastAsia="en-US"/>
        </w:rPr>
        <w:drawing>
          <wp:anchor distT="0" distB="71755" distL="114300" distR="114300" simplePos="0" relativeHeight="251826176" behindDoc="0" locked="0" layoutInCell="1" allowOverlap="1" wp14:anchorId="56A66745" wp14:editId="48D4A678">
            <wp:simplePos x="0" y="0"/>
            <wp:positionH relativeFrom="column">
              <wp:posOffset>290195</wp:posOffset>
            </wp:positionH>
            <wp:positionV relativeFrom="paragraph">
              <wp:posOffset>290195</wp:posOffset>
            </wp:positionV>
            <wp:extent cx="5309870" cy="2606040"/>
            <wp:effectExtent l="19050" t="19050" r="24130" b="22860"/>
            <wp:wrapTopAndBottom/>
            <wp:docPr id="7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6" cstate="print"/>
                    <a:srcRect/>
                    <a:stretch>
                      <a:fillRect/>
                    </a:stretch>
                  </pic:blipFill>
                  <pic:spPr bwMode="auto">
                    <a:xfrm>
                      <a:off x="0" y="0"/>
                      <a:ext cx="5309870" cy="2606040"/>
                    </a:xfrm>
                    <a:prstGeom prst="rect">
                      <a:avLst/>
                    </a:prstGeom>
                    <a:noFill/>
                    <a:ln w="9525">
                      <a:solidFill>
                        <a:srgbClr val="000000"/>
                      </a:solidFill>
                      <a:miter lim="800000"/>
                      <a:headEnd/>
                      <a:tailEnd/>
                    </a:ln>
                  </pic:spPr>
                </pic:pic>
              </a:graphicData>
            </a:graphic>
          </wp:anchor>
        </w:drawing>
      </w:r>
    </w:p>
    <w:p w:rsidR="008A37E4" w:rsidRPr="007226D7" w:rsidRDefault="008A37E4" w:rsidP="008A37E4">
      <w:pPr>
        <w:pStyle w:val="Figuras"/>
      </w:pPr>
      <w:r w:rsidRPr="007226D7">
        <w:t>Figura 3.1-61 Esquema de la red de transporte masivo a lo mediano plazo (fuente:</w:t>
      </w:r>
      <w:r w:rsidRPr="007226D7">
        <w:rPr>
          <w:sz w:val="20"/>
          <w:szCs w:val="20"/>
        </w:rPr>
        <w:t xml:space="preserve"> PT-UGE-AATE)</w:t>
      </w:r>
    </w:p>
    <w:p w:rsidR="008A37E4" w:rsidRPr="007226D7" w:rsidRDefault="008A37E4" w:rsidP="008A37E4">
      <w:pPr>
        <w:rPr>
          <w:lang w:val="es-ES"/>
        </w:rPr>
      </w:pPr>
      <w:r w:rsidRPr="007226D7">
        <w:rPr>
          <w:rFonts w:ascii="Tahoma" w:hAnsi="Tahoma" w:cs="Tahoma"/>
          <w:szCs w:val="22"/>
          <w:lang w:val="es-ES"/>
        </w:rPr>
        <w:t>Además, l</w:t>
      </w:r>
      <w:r w:rsidRPr="007226D7">
        <w:rPr>
          <w:lang w:val="es-ES"/>
        </w:rPr>
        <w:t>a disponibilidad de una línea y de una red metropolitana permitirá repensar todo el sistema de buses convencionales evitando la duplicación de servicios y permitiendo rutas más racionales para los viajeros. Se puede concluir que, tras el metro, se realizará:</w:t>
      </w:r>
    </w:p>
    <w:p w:rsidR="008A37E4" w:rsidRPr="007226D7" w:rsidRDefault="008A37E4" w:rsidP="006E6A64">
      <w:pPr>
        <w:pStyle w:val="ListParagraph"/>
        <w:numPr>
          <w:ilvl w:val="0"/>
          <w:numId w:val="40"/>
        </w:numPr>
        <w:spacing w:line="240" w:lineRule="auto"/>
        <w:rPr>
          <w:rFonts w:ascii="Tahoma" w:hAnsi="Tahoma" w:cs="Tahoma"/>
          <w:szCs w:val="22"/>
          <w:lang w:val="es-ES"/>
        </w:rPr>
      </w:pPr>
      <w:r w:rsidRPr="007226D7">
        <w:rPr>
          <w:rFonts w:ascii="Tahoma" w:hAnsi="Tahoma" w:cs="Tahoma"/>
          <w:szCs w:val="22"/>
          <w:lang w:val="es-ES"/>
        </w:rPr>
        <w:t>Reordenamiento del transporte urbano dentro del área de influencia:</w:t>
      </w:r>
    </w:p>
    <w:p w:rsidR="008A37E4" w:rsidRPr="007226D7" w:rsidRDefault="008A37E4" w:rsidP="006E6A64">
      <w:pPr>
        <w:pStyle w:val="ListParagraph"/>
        <w:numPr>
          <w:ilvl w:val="1"/>
          <w:numId w:val="40"/>
        </w:numPr>
      </w:pPr>
      <w:r w:rsidRPr="007226D7">
        <w:t>Retiro de unidades de transporte</w:t>
      </w:r>
    </w:p>
    <w:p w:rsidR="008A37E4" w:rsidRPr="007226D7" w:rsidRDefault="008A37E4" w:rsidP="006E6A64">
      <w:pPr>
        <w:pStyle w:val="ListParagraph"/>
        <w:numPr>
          <w:ilvl w:val="1"/>
          <w:numId w:val="40"/>
        </w:numPr>
        <w:rPr>
          <w:lang w:val="es-ES"/>
        </w:rPr>
      </w:pPr>
      <w:r w:rsidRPr="007226D7">
        <w:rPr>
          <w:lang w:val="es-ES"/>
        </w:rPr>
        <w:t>Modernización de unidades de transporte para acceder a rutas alimentadoras.</w:t>
      </w:r>
    </w:p>
    <w:p w:rsidR="008A37E4" w:rsidRPr="007226D7" w:rsidRDefault="008A37E4" w:rsidP="006E6A64">
      <w:pPr>
        <w:pStyle w:val="ListParagraph"/>
        <w:numPr>
          <w:ilvl w:val="1"/>
          <w:numId w:val="40"/>
        </w:numPr>
        <w:rPr>
          <w:lang w:val="es-ES"/>
        </w:rPr>
      </w:pPr>
      <w:r w:rsidRPr="007226D7">
        <w:rPr>
          <w:lang w:val="es-ES"/>
        </w:rPr>
        <w:t>Reducción de accidentes de tránsito.</w:t>
      </w:r>
    </w:p>
    <w:p w:rsidR="008A37E4" w:rsidRPr="007226D7" w:rsidRDefault="008A37E4" w:rsidP="006E6A64">
      <w:pPr>
        <w:pStyle w:val="ListParagraph"/>
        <w:numPr>
          <w:ilvl w:val="0"/>
          <w:numId w:val="40"/>
        </w:numPr>
        <w:spacing w:line="240" w:lineRule="auto"/>
        <w:rPr>
          <w:rFonts w:cs="Arial"/>
          <w:szCs w:val="22"/>
          <w:lang w:val="es-ES"/>
        </w:rPr>
      </w:pPr>
      <w:r w:rsidRPr="007226D7">
        <w:rPr>
          <w:rFonts w:cs="Arial"/>
          <w:szCs w:val="22"/>
          <w:lang w:val="es-ES"/>
        </w:rPr>
        <w:t>Reducción de emisiones de CO2 y por ende de la contaminación ambiental y enfermedades consecuentes.</w:t>
      </w:r>
    </w:p>
    <w:p w:rsidR="008A37E4" w:rsidRPr="007226D7" w:rsidRDefault="008A37E4" w:rsidP="006E6A64">
      <w:pPr>
        <w:pStyle w:val="ListParagraph"/>
        <w:numPr>
          <w:ilvl w:val="0"/>
          <w:numId w:val="40"/>
        </w:numPr>
        <w:spacing w:line="240" w:lineRule="auto"/>
        <w:rPr>
          <w:rFonts w:cs="Arial"/>
          <w:szCs w:val="22"/>
        </w:rPr>
      </w:pPr>
      <w:r w:rsidRPr="007226D7">
        <w:rPr>
          <w:rFonts w:cs="Arial"/>
          <w:szCs w:val="22"/>
        </w:rPr>
        <w:t xml:space="preserve">Reducción de accidentes de tránsito </w:t>
      </w:r>
    </w:p>
    <w:p w:rsidR="008A37E4" w:rsidRPr="007226D7" w:rsidRDefault="008A37E4" w:rsidP="006E6A64">
      <w:pPr>
        <w:pStyle w:val="ListParagraph"/>
        <w:numPr>
          <w:ilvl w:val="0"/>
          <w:numId w:val="40"/>
        </w:numPr>
        <w:spacing w:line="240" w:lineRule="auto"/>
        <w:rPr>
          <w:rFonts w:cs="Arial"/>
          <w:szCs w:val="22"/>
          <w:lang w:val="es-ES"/>
        </w:rPr>
      </w:pPr>
      <w:r w:rsidRPr="007226D7">
        <w:rPr>
          <w:rFonts w:cs="Arial"/>
          <w:szCs w:val="22"/>
          <w:lang w:val="es-ES"/>
        </w:rPr>
        <w:t>Mejorar la calidad del transporte público en Lima Metropolitana</w:t>
      </w:r>
    </w:p>
    <w:p w:rsidR="008A37E4" w:rsidRPr="007226D7" w:rsidRDefault="008A37E4" w:rsidP="006E6A64">
      <w:pPr>
        <w:pStyle w:val="ListParagraph"/>
        <w:numPr>
          <w:ilvl w:val="0"/>
          <w:numId w:val="40"/>
        </w:numPr>
        <w:spacing w:line="240" w:lineRule="auto"/>
        <w:rPr>
          <w:rFonts w:cs="Arial"/>
          <w:szCs w:val="22"/>
          <w:lang w:val="es-ES"/>
        </w:rPr>
      </w:pPr>
      <w:r w:rsidRPr="007226D7">
        <w:rPr>
          <w:rFonts w:cs="Arial"/>
          <w:szCs w:val="22"/>
          <w:lang w:val="es-ES"/>
        </w:rPr>
        <w:t>Priorizar el transporte público como sistema de movilización urbana.</w:t>
      </w:r>
    </w:p>
    <w:p w:rsidR="008A37E4" w:rsidRPr="007226D7" w:rsidRDefault="008A37E4" w:rsidP="006E6A64">
      <w:pPr>
        <w:pStyle w:val="ListParagraph"/>
        <w:numPr>
          <w:ilvl w:val="0"/>
          <w:numId w:val="40"/>
        </w:numPr>
        <w:spacing w:line="240" w:lineRule="auto"/>
        <w:rPr>
          <w:rFonts w:cs="Arial"/>
          <w:szCs w:val="22"/>
          <w:lang w:val="es-ES"/>
        </w:rPr>
      </w:pPr>
      <w:r w:rsidRPr="007226D7">
        <w:rPr>
          <w:rFonts w:cs="Arial"/>
          <w:szCs w:val="22"/>
          <w:lang w:val="es-ES"/>
        </w:rPr>
        <w:t>Generar beneficios de ordenamiento urbano, por una mayor densificación y concentración de servicios</w:t>
      </w:r>
    </w:p>
    <w:p w:rsidR="00EB6B4D" w:rsidRPr="007226D7" w:rsidRDefault="00EB6B4D">
      <w:pPr>
        <w:spacing w:after="0" w:line="240" w:lineRule="auto"/>
        <w:jc w:val="left"/>
        <w:rPr>
          <w:lang w:val="es-ES"/>
        </w:rPr>
      </w:pPr>
      <w:r w:rsidRPr="007226D7">
        <w:rPr>
          <w:lang w:val="es-ES"/>
        </w:rPr>
        <w:br w:type="page"/>
      </w:r>
    </w:p>
    <w:p w:rsidR="00820151" w:rsidRPr="007226D7" w:rsidRDefault="00CC2DF9" w:rsidP="00EB6B4D">
      <w:pPr>
        <w:rPr>
          <w:snapToGrid w:val="0"/>
          <w:u w:val="single"/>
          <w:lang w:val="es-ES"/>
        </w:rPr>
      </w:pPr>
      <w:r w:rsidRPr="007226D7">
        <w:rPr>
          <w:noProof/>
          <w:u w:val="single"/>
          <w:lang w:val="es-ES"/>
        </w:rPr>
        <w:lastRenderedPageBreak/>
        <w:t xml:space="preserve">Intervenciones programadas - </w:t>
      </w:r>
      <w:r w:rsidR="00820151" w:rsidRPr="007226D7">
        <w:rPr>
          <w:snapToGrid w:val="0"/>
          <w:u w:val="single"/>
          <w:lang w:val="es-ES"/>
        </w:rPr>
        <w:t>Corredores Complementarios</w:t>
      </w:r>
    </w:p>
    <w:p w:rsidR="00820151" w:rsidRPr="007226D7" w:rsidRDefault="00820151" w:rsidP="00CC2DF9">
      <w:pPr>
        <w:rPr>
          <w:lang w:val="es-ES"/>
        </w:rPr>
      </w:pPr>
      <w:r w:rsidRPr="007226D7">
        <w:rPr>
          <w:lang w:val="es-ES"/>
        </w:rPr>
        <w:t>El sistema de Corredores Complementarios identifica 5 corredores portantes cada uno de los cuales está respaldado por un sistema de alimentadores. La imagen siguiente ilustra gráficamente el esquema de red con el cual la Municipalidad Metropolitana de Lima pretende organizar el sistema de transporte de superficie de la ciudad.</w:t>
      </w:r>
    </w:p>
    <w:p w:rsidR="00820151" w:rsidRPr="007226D7" w:rsidRDefault="00820151" w:rsidP="00CC2DF9">
      <w:pPr>
        <w:rPr>
          <w:lang w:val="es-ES"/>
        </w:rPr>
      </w:pPr>
      <w:r w:rsidRPr="007226D7">
        <w:rPr>
          <w:lang w:val="es-ES"/>
        </w:rPr>
        <w:t>La innovación no reside únicamente en el aspecto meramente técnico de la modalidad con la que se realiza el transporte colectivo, sino en el cambio radical de cultura con la que se realiza el servicio de transporte. El paso de las denominadas "rutas" a los “servicios” implica el desmantelamiento de la concepción privada del transporte público tal como la viven hoy los cobradores a favor de una organización más racional de las líneas y de las carreras, pero sobre todo de una visión donde el servicio se entiende en beneficio del ciudadano y no de quien lo gestiona.</w:t>
      </w:r>
    </w:p>
    <w:p w:rsidR="00820151" w:rsidRPr="007226D7" w:rsidRDefault="00820151" w:rsidP="00CC2DF9">
      <w:pPr>
        <w:rPr>
          <w:lang w:val="es-ES"/>
        </w:rPr>
      </w:pPr>
      <w:r w:rsidRPr="007226D7">
        <w:rPr>
          <w:lang w:val="es-ES"/>
        </w:rPr>
        <w:t>En ese sentido las expectativas se refieren no solo a la regularidad y fiabilidad del servicio, sino sobre todo a la reducción de los tiempos de viaje puesto que la introducción del cambio implicará, aunque de formas diferentes de línea a línea, también la separación de los carriles para el transporte público de aquellos del transporte privado. El incremento de la velocidad del transporte público se ha estimado mediante evaluaciones modeladas en un 20% global.</w:t>
      </w:r>
    </w:p>
    <w:p w:rsidR="00820151" w:rsidRPr="007226D7" w:rsidRDefault="00820151" w:rsidP="00CC2DF9">
      <w:pPr>
        <w:rPr>
          <w:lang w:val="es-ES"/>
        </w:rPr>
      </w:pPr>
      <w:r w:rsidRPr="007226D7">
        <w:rPr>
          <w:lang w:val="es-ES"/>
        </w:rPr>
        <w:t>La separación reportará beneficios también para la fluidez del tráfico privado reduciendo la congestión generada por los vehículos parados en el margen derecho de la calzada, principalmente camionetas, combis y micro, y por lo tanto reduciendo también el riesgo hoy elevado de accidentes.</w:t>
      </w:r>
    </w:p>
    <w:p w:rsidR="00820151" w:rsidRPr="007226D7" w:rsidRDefault="00820151" w:rsidP="00CC2DF9">
      <w:pPr>
        <w:rPr>
          <w:lang w:val="es-ES"/>
        </w:rPr>
      </w:pPr>
      <w:r w:rsidRPr="007226D7">
        <w:rPr>
          <w:lang w:val="es-ES"/>
        </w:rPr>
        <w:t>Los nuevos servicios serán en total 188 y, como hemos dicho, se organizan en “paquetes” estructurados de modo que se garantice la posibilidad de una renta razonable a los operadores que podrán concurrir para la asignación de dos o tres “paquetes” como máximo. Este procedimiento se inscribe en la política de la administración pública de reducir en el transcurso de los años el número de sujetos implicados en el ejercicio del transporte público y favorecer su crecimiento en dimensión.</w:t>
      </w:r>
    </w:p>
    <w:p w:rsidR="00820151" w:rsidRPr="007226D7" w:rsidRDefault="00820151" w:rsidP="00CC2DF9">
      <w:pPr>
        <w:rPr>
          <w:lang w:val="es-ES"/>
        </w:rPr>
      </w:pPr>
      <w:r w:rsidRPr="007226D7">
        <w:rPr>
          <w:lang w:val="es-ES"/>
        </w:rPr>
        <w:t>Los paquetes están a punto de ser entregados en concesión, aunque su implementación comenzará por fases cada seis meses. El primer corredor que se pondrá en marcha será el de Panamericana seguido de Tacna, Javier Prado, Carretera Central y SJL-Brasil.</w:t>
      </w:r>
    </w:p>
    <w:p w:rsidR="00820151" w:rsidRPr="007226D7" w:rsidRDefault="00820151" w:rsidP="00CC2DF9">
      <w:pPr>
        <w:rPr>
          <w:lang w:val="es-ES"/>
        </w:rPr>
      </w:pPr>
      <w:r w:rsidRPr="007226D7">
        <w:rPr>
          <w:lang w:val="es-ES"/>
        </w:rPr>
        <w:t>Cada uno de los corredores tendrá un eje portante en el que convergen los servicios troncales de varios paquetes y múltiples alimentadores capaces de asegurar la cobertura adecuada del sector de uso. Se espera por lo tanto que la frecuencia de paso a lo largo de los troncales sea de unos 2 minutos en las horas punta.</w:t>
      </w:r>
    </w:p>
    <w:p w:rsidR="00820151" w:rsidRPr="007226D7" w:rsidRDefault="00820151" w:rsidP="00CC2DF9">
      <w:pPr>
        <w:rPr>
          <w:lang w:val="es-ES"/>
        </w:rPr>
      </w:pPr>
      <w:r w:rsidRPr="007226D7">
        <w:rPr>
          <w:lang w:val="es-ES"/>
        </w:rPr>
        <w:t>Desde un punto de vista operativo, la introducción de esta modificación determina el paso a</w:t>
      </w:r>
      <w:r w:rsidR="00CC2DF9" w:rsidRPr="007226D7">
        <w:rPr>
          <w:lang w:val="es-ES"/>
        </w:rPr>
        <w:t>l</w:t>
      </w:r>
      <w:r w:rsidRPr="007226D7">
        <w:rPr>
          <w:lang w:val="es-ES"/>
        </w:rPr>
        <w:t xml:space="preserve"> nuevo sistema jerarquizado </w:t>
      </w:r>
    </w:p>
    <w:p w:rsidR="00820151" w:rsidRPr="007226D7" w:rsidRDefault="00820151" w:rsidP="00CC2DF9">
      <w:pPr>
        <w:rPr>
          <w:lang w:val="es-ES"/>
        </w:rPr>
      </w:pPr>
      <w:r w:rsidRPr="007226D7">
        <w:rPr>
          <w:lang w:val="es-ES"/>
        </w:rPr>
        <w:t xml:space="preserve">El sistema está todavía en fase de estructuración, sobre todo en los niveles inferiores y la única información disponible a día de hoy es que todas las rutas existentes hoy y todavía no objeto de desmantelamiento con la introducción de los corredores (unas 150 en total) serán sustituidas por nuevos servicios que se integrarán en la arquitectura del nuevo sistema sin </w:t>
      </w:r>
      <w:r w:rsidRPr="007226D7">
        <w:rPr>
          <w:lang w:val="es-ES"/>
        </w:rPr>
        <w:lastRenderedPageBreak/>
        <w:t xml:space="preserve">penalización del área servida. Todavía no hay información detallada disponible sobre los itinerarios ni las lógicas de operatividad. </w:t>
      </w:r>
    </w:p>
    <w:p w:rsidR="008A37E4" w:rsidRPr="007226D7" w:rsidRDefault="00820151" w:rsidP="00CC2DF9">
      <w:pPr>
        <w:rPr>
          <w:lang w:val="es-ES"/>
        </w:rPr>
      </w:pPr>
      <w:r w:rsidRPr="007226D7">
        <w:rPr>
          <w:lang w:val="es-ES"/>
        </w:rPr>
        <w:t>La información disponible se recoge de forma detallada en las tablas siguientes, cuya fuente es el sitio Web de Protransporte con fecha del 14 de noviembre de 2012</w:t>
      </w:r>
    </w:p>
    <w:p w:rsidR="008A37E4" w:rsidRPr="007226D7" w:rsidRDefault="008A37E4" w:rsidP="00CC2DF9">
      <w:pPr>
        <w:rPr>
          <w:lang w:val="es-ES"/>
        </w:rPr>
      </w:pPr>
      <w:r w:rsidRPr="007226D7">
        <w:rPr>
          <w:lang w:val="es-ES"/>
        </w:rPr>
        <w:t>Por último, a pesar de la informalidad de la fuente vale la pena mencionar la reciente acción tomada por el Consejo de Lima sobre la adopción, a corto plazo, de cinco corredores complementarios para el transporte masivo. Sigue una imagen de los corredores propuestos sobrepuestos a el COSAC 1 y el Metro como en el Decreto Supremo N ° 059-2010-MTC.</w:t>
      </w:r>
    </w:p>
    <w:p w:rsidR="008A37E4" w:rsidRPr="007226D7" w:rsidRDefault="008A37E4" w:rsidP="008A37E4">
      <w:pPr>
        <w:rPr>
          <w:lang w:val="es-ES"/>
        </w:rPr>
      </w:pPr>
    </w:p>
    <w:p w:rsidR="008A37E4" w:rsidRPr="007226D7" w:rsidRDefault="008A37E4" w:rsidP="008A37E4">
      <w:r w:rsidRPr="007226D7">
        <w:rPr>
          <w:noProof/>
          <w:lang w:val="en-US" w:eastAsia="en-US"/>
        </w:rPr>
        <w:drawing>
          <wp:inline distT="0" distB="0" distL="0" distR="0" wp14:anchorId="210332B8" wp14:editId="12BD909E">
            <wp:extent cx="5937885" cy="4203700"/>
            <wp:effectExtent l="0" t="0" r="0" b="0"/>
            <wp:docPr id="753" name="Imagen 629" descr="CINCO Corred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4" descr="CINCO Corredores.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7885" cy="4203700"/>
                    </a:xfrm>
                    <a:prstGeom prst="rect">
                      <a:avLst/>
                    </a:prstGeom>
                    <a:noFill/>
                    <a:ln>
                      <a:noFill/>
                    </a:ln>
                  </pic:spPr>
                </pic:pic>
              </a:graphicData>
            </a:graphic>
          </wp:inline>
        </w:drawing>
      </w:r>
    </w:p>
    <w:p w:rsidR="008A37E4" w:rsidRPr="007226D7" w:rsidRDefault="008A37E4" w:rsidP="008A37E4">
      <w:pPr>
        <w:jc w:val="center"/>
        <w:rPr>
          <w:b/>
          <w:sz w:val="16"/>
          <w:szCs w:val="16"/>
          <w:lang w:val="es-ES"/>
        </w:rPr>
      </w:pPr>
      <w:r w:rsidRPr="007226D7">
        <w:rPr>
          <w:b/>
          <w:sz w:val="16"/>
          <w:szCs w:val="16"/>
          <w:lang w:val="es-ES"/>
        </w:rPr>
        <w:t xml:space="preserve">Figura 3.1-62 Nuevos corredores complementarios de buses superpuestos al plano de la Red Básica del Metro de Lima (fuente: </w:t>
      </w:r>
      <w:r w:rsidR="000B2336" w:rsidRPr="007226D7">
        <w:rPr>
          <w:b/>
          <w:sz w:val="16"/>
          <w:szCs w:val="16"/>
          <w:lang w:val="es-ES"/>
        </w:rPr>
        <w:t>elaboración</w:t>
      </w:r>
      <w:r w:rsidRPr="007226D7">
        <w:rPr>
          <w:b/>
          <w:sz w:val="16"/>
          <w:szCs w:val="16"/>
          <w:lang w:val="es-ES"/>
        </w:rPr>
        <w:t xml:space="preserve"> propia de información tomada en internet y periódicos –Septiembre 2012)</w:t>
      </w:r>
    </w:p>
    <w:p w:rsidR="008A37E4" w:rsidRPr="007226D7" w:rsidRDefault="008A37E4" w:rsidP="008A37E4">
      <w:pPr>
        <w:rPr>
          <w:lang w:val="es-ES"/>
        </w:rPr>
      </w:pPr>
    </w:p>
    <w:p w:rsidR="003B04F2" w:rsidRPr="007226D7" w:rsidRDefault="003B04F2">
      <w:pPr>
        <w:spacing w:after="0" w:line="240" w:lineRule="auto"/>
        <w:jc w:val="left"/>
        <w:rPr>
          <w:lang w:val="es-ES"/>
        </w:rPr>
      </w:pPr>
      <w:bookmarkStart w:id="47" w:name="_Toc341642825"/>
      <w:bookmarkStart w:id="48" w:name="_Toc341644634"/>
      <w:bookmarkStart w:id="49" w:name="_Toc341644992"/>
      <w:r w:rsidRPr="007226D7">
        <w:rPr>
          <w:lang w:val="es-ES"/>
        </w:rPr>
        <w:t>En las tablas siguientes se resumen  lo datos de base obtenidos por Protransporte en relación con los nue</w:t>
      </w:r>
      <w:r w:rsidR="008E69FD" w:rsidRPr="007226D7">
        <w:rPr>
          <w:lang w:val="es-ES"/>
        </w:rPr>
        <w:t>vos servicios sujetos a concesió</w:t>
      </w:r>
      <w:r w:rsidRPr="007226D7">
        <w:rPr>
          <w:lang w:val="es-ES"/>
        </w:rPr>
        <w:t xml:space="preserve">n. </w:t>
      </w:r>
    </w:p>
    <w:p w:rsidR="00C15C72" w:rsidRPr="007226D7" w:rsidRDefault="00C15C72">
      <w:pPr>
        <w:spacing w:after="0" w:line="240" w:lineRule="auto"/>
        <w:jc w:val="left"/>
        <w:rPr>
          <w:lang w:val="es-ES"/>
        </w:rPr>
      </w:pPr>
    </w:p>
    <w:p w:rsidR="00C15C72" w:rsidRPr="007226D7" w:rsidRDefault="00C15C72">
      <w:pPr>
        <w:spacing w:after="0" w:line="240" w:lineRule="auto"/>
        <w:jc w:val="left"/>
        <w:rPr>
          <w:lang w:val="es-ES"/>
        </w:rPr>
      </w:pPr>
    </w:p>
    <w:p w:rsidR="00BE33B1" w:rsidRPr="007226D7" w:rsidRDefault="00BE33B1">
      <w:pPr>
        <w:spacing w:after="0" w:line="240" w:lineRule="auto"/>
        <w:jc w:val="left"/>
        <w:rPr>
          <w:b/>
          <w:sz w:val="16"/>
          <w:szCs w:val="16"/>
          <w:lang w:val="es-ES"/>
        </w:rPr>
      </w:pPr>
      <w:r w:rsidRPr="007226D7">
        <w:rPr>
          <w:lang w:val="es-ES"/>
        </w:rPr>
        <w:br w:type="page"/>
      </w:r>
    </w:p>
    <w:p w:rsidR="00C15C72" w:rsidRPr="007226D7" w:rsidRDefault="00C15C72" w:rsidP="00C15C72">
      <w:pPr>
        <w:pStyle w:val="Figuras"/>
      </w:pPr>
      <w:r w:rsidRPr="007226D7">
        <w:lastRenderedPageBreak/>
        <w:t>Tabla 3.1- 66 -  Resumen del sistema propuesto de Corredores Complementarios y Corredores de Integración (Fuente: www.protransporte.gob.pe)</w:t>
      </w:r>
    </w:p>
    <w:tbl>
      <w:tblPr>
        <w:tblStyle w:val="Grigliachiara-Colore11"/>
        <w:tblW w:w="9375" w:type="dxa"/>
        <w:tblLook w:val="04A0" w:firstRow="1" w:lastRow="0" w:firstColumn="1" w:lastColumn="0" w:noHBand="0" w:noVBand="1"/>
      </w:tblPr>
      <w:tblGrid>
        <w:gridCol w:w="3280"/>
        <w:gridCol w:w="1520"/>
        <w:gridCol w:w="1140"/>
        <w:gridCol w:w="1592"/>
        <w:gridCol w:w="1843"/>
      </w:tblGrid>
      <w:tr w:rsidR="00C15C72" w:rsidRPr="007226D7" w:rsidTr="006F147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280" w:type="dxa"/>
            <w:noWrap/>
            <w:hideMark/>
          </w:tcPr>
          <w:p w:rsidR="00C15C72" w:rsidRPr="007226D7" w:rsidRDefault="00C15C72" w:rsidP="00C15C72">
            <w:pPr>
              <w:spacing w:after="0" w:line="240" w:lineRule="auto"/>
              <w:jc w:val="left"/>
              <w:rPr>
                <w:rFonts w:cs="Arial"/>
                <w:color w:val="171717"/>
                <w:szCs w:val="22"/>
                <w:lang w:val="es-ES"/>
              </w:rPr>
            </w:pPr>
            <w:r w:rsidRPr="007226D7">
              <w:rPr>
                <w:rFonts w:cs="Arial"/>
                <w:color w:val="171717"/>
                <w:szCs w:val="22"/>
                <w:lang w:val="es-ES"/>
              </w:rPr>
              <w:t> </w:t>
            </w:r>
          </w:p>
        </w:tc>
        <w:tc>
          <w:tcPr>
            <w:tcW w:w="1520" w:type="dxa"/>
            <w:noWrap/>
            <w:hideMark/>
          </w:tcPr>
          <w:p w:rsidR="00C15C72" w:rsidRPr="007226D7" w:rsidRDefault="00C15C72" w:rsidP="00C15C72">
            <w:pPr>
              <w:spacing w:after="0" w:line="240" w:lineRule="auto"/>
              <w:jc w:val="left"/>
              <w:cnfStyle w:val="100000000000" w:firstRow="1" w:lastRow="0" w:firstColumn="0" w:lastColumn="0" w:oddVBand="0" w:evenVBand="0" w:oddHBand="0" w:evenHBand="0"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140" w:type="dxa"/>
            <w:noWrap/>
            <w:hideMark/>
          </w:tcPr>
          <w:p w:rsidR="00C15C72" w:rsidRPr="007226D7" w:rsidRDefault="00C15C72" w:rsidP="00C15C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i/>
                <w:iCs/>
                <w:color w:val="171717"/>
                <w:sz w:val="18"/>
                <w:szCs w:val="18"/>
              </w:rPr>
            </w:pPr>
            <w:r w:rsidRPr="007226D7">
              <w:rPr>
                <w:rFonts w:cs="Arial"/>
                <w:b w:val="0"/>
                <w:bCs w:val="0"/>
                <w:i/>
                <w:iCs/>
                <w:color w:val="171717"/>
                <w:sz w:val="18"/>
                <w:szCs w:val="18"/>
              </w:rPr>
              <w:t>Servicios</w:t>
            </w:r>
          </w:p>
        </w:tc>
        <w:tc>
          <w:tcPr>
            <w:tcW w:w="1592" w:type="dxa"/>
            <w:noWrap/>
            <w:hideMark/>
          </w:tcPr>
          <w:p w:rsidR="00C15C72" w:rsidRPr="007226D7" w:rsidRDefault="00C15C72" w:rsidP="00C15C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i/>
                <w:iCs/>
                <w:color w:val="171717"/>
                <w:sz w:val="18"/>
                <w:szCs w:val="18"/>
              </w:rPr>
            </w:pPr>
            <w:r w:rsidRPr="007226D7">
              <w:rPr>
                <w:rFonts w:cs="Arial"/>
                <w:b w:val="0"/>
                <w:bCs w:val="0"/>
                <w:i/>
                <w:iCs/>
                <w:color w:val="171717"/>
                <w:sz w:val="18"/>
                <w:szCs w:val="18"/>
              </w:rPr>
              <w:t>Flota (</w:t>
            </w:r>
            <w:proofErr w:type="gramStart"/>
            <w:r w:rsidRPr="007226D7">
              <w:rPr>
                <w:rFonts w:cs="Arial"/>
                <w:b w:val="0"/>
                <w:bCs w:val="0"/>
                <w:i/>
                <w:iCs/>
                <w:color w:val="171717"/>
                <w:sz w:val="18"/>
                <w:szCs w:val="18"/>
              </w:rPr>
              <w:t>12m</w:t>
            </w:r>
            <w:proofErr w:type="gramEnd"/>
            <w:r w:rsidRPr="007226D7">
              <w:rPr>
                <w:rFonts w:cs="Arial"/>
                <w:b w:val="0"/>
                <w:bCs w:val="0"/>
                <w:i/>
                <w:iCs/>
                <w:color w:val="171717"/>
                <w:sz w:val="18"/>
                <w:szCs w:val="18"/>
              </w:rPr>
              <w:t>)</w:t>
            </w:r>
          </w:p>
        </w:tc>
        <w:tc>
          <w:tcPr>
            <w:tcW w:w="1843" w:type="dxa"/>
            <w:noWrap/>
            <w:hideMark/>
          </w:tcPr>
          <w:p w:rsidR="00C15C72" w:rsidRPr="007226D7" w:rsidRDefault="00C15C72" w:rsidP="00C15C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i/>
                <w:iCs/>
                <w:color w:val="171717"/>
                <w:sz w:val="18"/>
                <w:szCs w:val="18"/>
              </w:rPr>
            </w:pPr>
            <w:r w:rsidRPr="007226D7">
              <w:rPr>
                <w:rFonts w:cs="Arial"/>
                <w:b w:val="0"/>
                <w:bCs w:val="0"/>
                <w:i/>
                <w:iCs/>
                <w:color w:val="171717"/>
                <w:sz w:val="18"/>
                <w:szCs w:val="18"/>
              </w:rPr>
              <w:t>Flota Equivalente</w:t>
            </w:r>
            <w:proofErr w:type="gramStart"/>
            <w:r w:rsidRPr="007226D7">
              <w:rPr>
                <w:rFonts w:cs="Arial"/>
                <w:b w:val="0"/>
                <w:bCs w:val="0"/>
                <w:i/>
                <w:iCs/>
                <w:color w:val="171717"/>
                <w:sz w:val="18"/>
                <w:szCs w:val="18"/>
                <w:vertAlign w:val="superscript"/>
              </w:rPr>
              <w:t>(</w:t>
            </w:r>
            <w:proofErr w:type="gramEnd"/>
            <w:r w:rsidRPr="007226D7">
              <w:rPr>
                <w:rFonts w:cs="Arial"/>
                <w:b w:val="0"/>
                <w:bCs w:val="0"/>
                <w:i/>
                <w:iCs/>
                <w:color w:val="171717"/>
                <w:sz w:val="18"/>
                <w:szCs w:val="18"/>
                <w:vertAlign w:val="superscript"/>
              </w:rPr>
              <w:t>1)</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Corredor Panamericana</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17</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1253</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3133</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39</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1149</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2873</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Corredor Javier Prado</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10</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496</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1240</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472</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1180</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Corredor Tacna Garcilaso Arequipa</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138</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345</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420</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1050</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lang w:val="es-ES"/>
              </w:rPr>
            </w:pPr>
            <w:r w:rsidRPr="007226D7">
              <w:rPr>
                <w:rFonts w:cs="Arial"/>
                <w:color w:val="171717"/>
                <w:sz w:val="18"/>
                <w:szCs w:val="18"/>
                <w:lang w:val="es-ES"/>
              </w:rPr>
              <w:t xml:space="preserve">Corredor San Juan de Lurigancho - Brasil </w:t>
            </w:r>
            <w:r w:rsidRPr="007226D7">
              <w:rPr>
                <w:rFonts w:cs="Arial"/>
                <w:color w:val="171717"/>
                <w:sz w:val="18"/>
                <w:szCs w:val="18"/>
                <w:vertAlign w:val="superscript"/>
                <w:lang w:val="es-ES"/>
              </w:rPr>
              <w:t>(3)</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709</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1773</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545</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1363</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 xml:space="preserve">Corredor Carretera Central </w:t>
            </w:r>
            <w:r w:rsidRPr="007226D7">
              <w:rPr>
                <w:rFonts w:cs="Arial"/>
                <w:color w:val="171717"/>
                <w:sz w:val="18"/>
                <w:szCs w:val="18"/>
                <w:vertAlign w:val="superscript"/>
              </w:rPr>
              <w:t>(2)</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797</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1993</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34</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1025</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2563</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80" w:type="dxa"/>
            <w:noWrap/>
            <w:hideMark/>
          </w:tcPr>
          <w:p w:rsidR="00C15C72" w:rsidRPr="007226D7" w:rsidRDefault="00C15C72" w:rsidP="00C15C72">
            <w:pPr>
              <w:spacing w:after="0" w:line="240" w:lineRule="auto"/>
              <w:jc w:val="left"/>
              <w:rPr>
                <w:rFonts w:cs="Arial"/>
                <w:b w:val="0"/>
                <w:color w:val="171717"/>
                <w:sz w:val="18"/>
                <w:szCs w:val="18"/>
              </w:rPr>
            </w:pPr>
            <w:r w:rsidRPr="007226D7">
              <w:rPr>
                <w:rFonts w:cs="Arial"/>
                <w:b w:val="0"/>
                <w:color w:val="171717"/>
                <w:sz w:val="18"/>
                <w:szCs w:val="18"/>
              </w:rPr>
              <w:t>TOTAL CORREDORES COMPLEMENTARIOS</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 </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188</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7004</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17510</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vMerge w:val="restart"/>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Corredores de Integración</w:t>
            </w: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Troncal</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830</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2075</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vMerge/>
            <w:noWrap/>
            <w:hideMark/>
          </w:tcPr>
          <w:p w:rsidR="00C15C72" w:rsidRPr="007226D7" w:rsidRDefault="00C15C72" w:rsidP="00C15C72">
            <w:pPr>
              <w:spacing w:after="0" w:line="240" w:lineRule="auto"/>
              <w:jc w:val="left"/>
              <w:rPr>
                <w:rFonts w:cs="Arial"/>
                <w:color w:val="171717"/>
                <w:sz w:val="18"/>
                <w:szCs w:val="18"/>
              </w:rPr>
            </w:pP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Alimentador</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231</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578</w:t>
            </w:r>
          </w:p>
        </w:tc>
      </w:tr>
      <w:tr w:rsidR="00C15C72" w:rsidRPr="007226D7" w:rsidTr="006F147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80" w:type="dxa"/>
            <w:noWrap/>
            <w:hideMark/>
          </w:tcPr>
          <w:p w:rsidR="00C15C72" w:rsidRPr="007226D7" w:rsidRDefault="00C15C72" w:rsidP="00C15C72">
            <w:pPr>
              <w:spacing w:after="0" w:line="240" w:lineRule="auto"/>
              <w:jc w:val="left"/>
              <w:rPr>
                <w:rFonts w:cs="Arial"/>
                <w:color w:val="171717"/>
                <w:sz w:val="18"/>
                <w:szCs w:val="18"/>
              </w:rPr>
            </w:pPr>
            <w:r w:rsidRPr="007226D7">
              <w:rPr>
                <w:rFonts w:cs="Arial"/>
                <w:color w:val="171717"/>
                <w:sz w:val="18"/>
                <w:szCs w:val="18"/>
              </w:rPr>
              <w:t>TOTAL CORREDORES DE INTEGRACIÓN</w:t>
            </w:r>
          </w:p>
        </w:tc>
        <w:tc>
          <w:tcPr>
            <w:tcW w:w="1520" w:type="dxa"/>
            <w:noWrap/>
            <w:hideMark/>
          </w:tcPr>
          <w:p w:rsidR="00C15C72" w:rsidRPr="007226D7" w:rsidRDefault="00C15C72"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 </w:t>
            </w:r>
          </w:p>
        </w:tc>
        <w:tc>
          <w:tcPr>
            <w:tcW w:w="1140"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39</w:t>
            </w:r>
          </w:p>
        </w:tc>
        <w:tc>
          <w:tcPr>
            <w:tcW w:w="1592"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1061</w:t>
            </w:r>
          </w:p>
        </w:tc>
        <w:tc>
          <w:tcPr>
            <w:tcW w:w="1843" w:type="dxa"/>
            <w:noWrap/>
            <w:hideMark/>
          </w:tcPr>
          <w:p w:rsidR="00C15C72" w:rsidRPr="007226D7" w:rsidRDefault="00C15C72"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2653</w:t>
            </w:r>
          </w:p>
        </w:tc>
      </w:tr>
      <w:tr w:rsidR="006F1479" w:rsidRPr="007226D7" w:rsidTr="006F14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80" w:type="dxa"/>
            <w:noWrap/>
            <w:hideMark/>
          </w:tcPr>
          <w:p w:rsidR="006F1479" w:rsidRPr="007226D7" w:rsidRDefault="006F1479" w:rsidP="006F1479">
            <w:pPr>
              <w:spacing w:after="0" w:line="240" w:lineRule="auto"/>
              <w:jc w:val="left"/>
              <w:rPr>
                <w:rFonts w:cs="Arial"/>
                <w:color w:val="171717"/>
                <w:sz w:val="18"/>
                <w:szCs w:val="18"/>
                <w:lang w:val="es-ES"/>
              </w:rPr>
            </w:pPr>
            <w:r w:rsidRPr="007226D7">
              <w:rPr>
                <w:rFonts w:cs="Arial"/>
                <w:color w:val="171717"/>
                <w:sz w:val="18"/>
                <w:szCs w:val="18"/>
                <w:lang w:val="es-ES"/>
              </w:rPr>
              <w:t>Servicios de Aproximación</w:t>
            </w:r>
          </w:p>
        </w:tc>
        <w:tc>
          <w:tcPr>
            <w:tcW w:w="1520" w:type="dxa"/>
            <w:noWrap/>
            <w:hideMark/>
          </w:tcPr>
          <w:p w:rsidR="006F1479" w:rsidRPr="007226D7" w:rsidRDefault="006F1479"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lang w:val="es-ES"/>
              </w:rPr>
            </w:pPr>
            <w:r w:rsidRPr="007226D7">
              <w:rPr>
                <w:rFonts w:cs="Arial"/>
                <w:color w:val="171717"/>
                <w:sz w:val="18"/>
                <w:szCs w:val="18"/>
                <w:lang w:val="es-ES"/>
              </w:rPr>
              <w:t> </w:t>
            </w:r>
          </w:p>
        </w:tc>
        <w:tc>
          <w:tcPr>
            <w:tcW w:w="1140" w:type="dxa"/>
            <w:noWrap/>
            <w:hideMark/>
          </w:tcPr>
          <w:p w:rsidR="006F1479" w:rsidRPr="007226D7" w:rsidRDefault="006F1479"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80</w:t>
            </w:r>
          </w:p>
        </w:tc>
        <w:tc>
          <w:tcPr>
            <w:tcW w:w="1592" w:type="dxa"/>
            <w:noWrap/>
            <w:hideMark/>
          </w:tcPr>
          <w:p w:rsidR="006F1479" w:rsidRPr="007226D7" w:rsidRDefault="006F1479"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3928</w:t>
            </w:r>
          </w:p>
        </w:tc>
        <w:tc>
          <w:tcPr>
            <w:tcW w:w="1843" w:type="dxa"/>
            <w:noWrap/>
            <w:hideMark/>
          </w:tcPr>
          <w:p w:rsidR="006F1479" w:rsidRPr="007226D7" w:rsidRDefault="006F1479"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9820</w:t>
            </w:r>
          </w:p>
        </w:tc>
      </w:tr>
      <w:tr w:rsidR="006F1479" w:rsidRPr="007226D7" w:rsidTr="006F147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80" w:type="dxa"/>
            <w:noWrap/>
            <w:hideMark/>
          </w:tcPr>
          <w:p w:rsidR="006F1479" w:rsidRPr="007226D7" w:rsidRDefault="006F1479" w:rsidP="00C15C72">
            <w:pPr>
              <w:spacing w:after="0" w:line="240" w:lineRule="auto"/>
              <w:jc w:val="left"/>
              <w:rPr>
                <w:rFonts w:cs="Arial"/>
                <w:color w:val="171717"/>
                <w:sz w:val="18"/>
                <w:szCs w:val="18"/>
              </w:rPr>
            </w:pPr>
            <w:r w:rsidRPr="007226D7">
              <w:rPr>
                <w:rFonts w:cs="Arial"/>
                <w:color w:val="171717"/>
                <w:sz w:val="18"/>
                <w:szCs w:val="18"/>
                <w:lang w:val="es-ES"/>
              </w:rPr>
              <w:t>Rutas de Interconexión</w:t>
            </w:r>
          </w:p>
        </w:tc>
        <w:tc>
          <w:tcPr>
            <w:tcW w:w="1520" w:type="dxa"/>
            <w:noWrap/>
            <w:hideMark/>
          </w:tcPr>
          <w:p w:rsidR="006F1479" w:rsidRPr="007226D7" w:rsidRDefault="006F1479" w:rsidP="00C15C72">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 </w:t>
            </w:r>
          </w:p>
        </w:tc>
        <w:tc>
          <w:tcPr>
            <w:tcW w:w="1140" w:type="dxa"/>
            <w:noWrap/>
            <w:hideMark/>
          </w:tcPr>
          <w:p w:rsidR="006F1479" w:rsidRPr="007226D7" w:rsidRDefault="006F1479"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18</w:t>
            </w:r>
          </w:p>
        </w:tc>
        <w:tc>
          <w:tcPr>
            <w:tcW w:w="1592" w:type="dxa"/>
            <w:noWrap/>
            <w:hideMark/>
          </w:tcPr>
          <w:p w:rsidR="006F1479" w:rsidRPr="007226D7" w:rsidRDefault="006F1479"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1908</w:t>
            </w:r>
          </w:p>
        </w:tc>
        <w:tc>
          <w:tcPr>
            <w:tcW w:w="1843" w:type="dxa"/>
            <w:noWrap/>
            <w:hideMark/>
          </w:tcPr>
          <w:p w:rsidR="006F1479" w:rsidRPr="007226D7" w:rsidRDefault="006F1479" w:rsidP="00C15C72">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Arial"/>
                <w:b/>
                <w:bCs/>
                <w:color w:val="171717"/>
                <w:sz w:val="18"/>
                <w:szCs w:val="18"/>
              </w:rPr>
            </w:pPr>
            <w:r w:rsidRPr="007226D7">
              <w:rPr>
                <w:rFonts w:cs="Arial"/>
                <w:b/>
                <w:bCs/>
                <w:color w:val="171717"/>
                <w:sz w:val="18"/>
                <w:szCs w:val="18"/>
              </w:rPr>
              <w:t>4770</w:t>
            </w:r>
          </w:p>
        </w:tc>
      </w:tr>
      <w:tr w:rsidR="00C15C72" w:rsidRPr="007226D7" w:rsidTr="006F14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80" w:type="dxa"/>
            <w:noWrap/>
            <w:hideMark/>
          </w:tcPr>
          <w:p w:rsidR="00C15C72" w:rsidRPr="007226D7" w:rsidRDefault="00C15C72" w:rsidP="00C15C72">
            <w:pPr>
              <w:spacing w:after="0" w:line="240" w:lineRule="auto"/>
              <w:jc w:val="left"/>
              <w:rPr>
                <w:rFonts w:cs="Arial"/>
                <w:bCs w:val="0"/>
                <w:color w:val="171717"/>
                <w:sz w:val="18"/>
                <w:szCs w:val="18"/>
              </w:rPr>
            </w:pPr>
            <w:r w:rsidRPr="007226D7">
              <w:rPr>
                <w:rFonts w:cs="Arial"/>
                <w:bCs w:val="0"/>
                <w:color w:val="171717"/>
                <w:sz w:val="18"/>
                <w:szCs w:val="18"/>
              </w:rPr>
              <w:t>TOTAL SISTEMA</w:t>
            </w:r>
          </w:p>
        </w:tc>
        <w:tc>
          <w:tcPr>
            <w:tcW w:w="1520" w:type="dxa"/>
            <w:noWrap/>
            <w:hideMark/>
          </w:tcPr>
          <w:p w:rsidR="00C15C72" w:rsidRPr="007226D7" w:rsidRDefault="00C15C72" w:rsidP="00C15C72">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 </w:t>
            </w:r>
          </w:p>
        </w:tc>
        <w:tc>
          <w:tcPr>
            <w:tcW w:w="1140"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325</w:t>
            </w:r>
          </w:p>
        </w:tc>
        <w:tc>
          <w:tcPr>
            <w:tcW w:w="1592"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13901</w:t>
            </w:r>
          </w:p>
        </w:tc>
        <w:tc>
          <w:tcPr>
            <w:tcW w:w="1843" w:type="dxa"/>
            <w:noWrap/>
            <w:hideMark/>
          </w:tcPr>
          <w:p w:rsidR="00C15C72" w:rsidRPr="007226D7" w:rsidRDefault="00C15C72" w:rsidP="00C15C7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
                <w:bCs/>
                <w:color w:val="171717"/>
                <w:sz w:val="18"/>
                <w:szCs w:val="18"/>
              </w:rPr>
            </w:pPr>
            <w:r w:rsidRPr="007226D7">
              <w:rPr>
                <w:rFonts w:cs="Arial"/>
                <w:b/>
                <w:bCs/>
                <w:color w:val="171717"/>
                <w:sz w:val="18"/>
                <w:szCs w:val="18"/>
              </w:rPr>
              <w:t>34753</w:t>
            </w:r>
          </w:p>
        </w:tc>
      </w:tr>
    </w:tbl>
    <w:p w:rsidR="00C15C72" w:rsidRPr="007226D7" w:rsidRDefault="00C15C72">
      <w:pPr>
        <w:spacing w:after="0" w:line="240" w:lineRule="auto"/>
        <w:jc w:val="left"/>
        <w:rPr>
          <w:lang w:val="es-ES"/>
        </w:rPr>
      </w:pPr>
    </w:p>
    <w:p w:rsidR="006C2BB9" w:rsidRPr="007226D7" w:rsidRDefault="006C2BB9">
      <w:pPr>
        <w:spacing w:after="0" w:line="240" w:lineRule="auto"/>
        <w:jc w:val="left"/>
        <w:rPr>
          <w:lang w:val="es-ES"/>
        </w:rPr>
      </w:pPr>
    </w:p>
    <w:tbl>
      <w:tblPr>
        <w:tblStyle w:val="Grigliachiara-Colore11"/>
        <w:tblW w:w="9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280"/>
        <w:gridCol w:w="1520"/>
        <w:gridCol w:w="1140"/>
        <w:gridCol w:w="1592"/>
        <w:gridCol w:w="1843"/>
      </w:tblGrid>
      <w:tr w:rsidR="006F1479" w:rsidRPr="007226D7" w:rsidTr="006F147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rPr>
                <w:rFonts w:cs="Arial"/>
                <w:b w:val="0"/>
                <w:color w:val="171717"/>
                <w:sz w:val="18"/>
                <w:szCs w:val="18"/>
              </w:rPr>
            </w:pPr>
            <w:proofErr w:type="gramStart"/>
            <w:r w:rsidRPr="007226D7">
              <w:rPr>
                <w:rFonts w:cs="Arial"/>
                <w:b w:val="0"/>
                <w:color w:val="171717"/>
                <w:sz w:val="18"/>
                <w:szCs w:val="18"/>
                <w:vertAlign w:val="superscript"/>
              </w:rPr>
              <w:t>(1</w:t>
            </w:r>
            <w:proofErr w:type="gramEnd"/>
            <w:r w:rsidRPr="007226D7">
              <w:rPr>
                <w:rFonts w:cs="Arial"/>
                <w:b w:val="0"/>
                <w:color w:val="171717"/>
                <w:sz w:val="18"/>
                <w:szCs w:val="18"/>
                <w:vertAlign w:val="superscript"/>
              </w:rPr>
              <w:t>)</w:t>
            </w:r>
            <w:r w:rsidRPr="007226D7">
              <w:rPr>
                <w:rFonts w:cs="Arial"/>
                <w:b w:val="0"/>
                <w:color w:val="171717"/>
                <w:sz w:val="18"/>
                <w:szCs w:val="18"/>
              </w:rPr>
              <w:t xml:space="preserve"> Flota actual equivalente</w:t>
            </w:r>
          </w:p>
        </w:tc>
        <w:tc>
          <w:tcPr>
            <w:tcW w:w="152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100000000000" w:firstRow="1" w:lastRow="0" w:firstColumn="0" w:lastColumn="0" w:oddVBand="0" w:evenVBand="0" w:oddHBand="0" w:evenHBand="0" w:firstRowFirstColumn="0" w:firstRowLastColumn="0" w:lastRowFirstColumn="0" w:lastRowLastColumn="0"/>
              <w:rPr>
                <w:rFonts w:cs="Arial"/>
                <w:b w:val="0"/>
                <w:color w:val="171717"/>
                <w:szCs w:val="22"/>
              </w:rPr>
            </w:pPr>
            <w:r w:rsidRPr="007226D7">
              <w:rPr>
                <w:rFonts w:cs="Arial"/>
                <w:b w:val="0"/>
                <w:color w:val="171717"/>
                <w:szCs w:val="22"/>
              </w:rPr>
              <w:t> </w:t>
            </w:r>
          </w:p>
        </w:tc>
        <w:tc>
          <w:tcPr>
            <w:tcW w:w="114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100000000000" w:firstRow="1" w:lastRow="0" w:firstColumn="0" w:lastColumn="0" w:oddVBand="0" w:evenVBand="0" w:oddHBand="0" w:evenHBand="0" w:firstRowFirstColumn="0" w:firstRowLastColumn="0" w:lastRowFirstColumn="0" w:lastRowLastColumn="0"/>
              <w:rPr>
                <w:rFonts w:cs="Arial"/>
                <w:b w:val="0"/>
                <w:color w:val="171717"/>
                <w:szCs w:val="22"/>
              </w:rPr>
            </w:pPr>
            <w:r w:rsidRPr="007226D7">
              <w:rPr>
                <w:rFonts w:cs="Arial"/>
                <w:b w:val="0"/>
                <w:color w:val="171717"/>
                <w:szCs w:val="22"/>
              </w:rPr>
              <w:t> </w:t>
            </w:r>
          </w:p>
        </w:tc>
        <w:tc>
          <w:tcPr>
            <w:tcW w:w="1592"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100000000000" w:firstRow="1" w:lastRow="0" w:firstColumn="0" w:lastColumn="0" w:oddVBand="0" w:evenVBand="0" w:oddHBand="0" w:evenHBand="0" w:firstRowFirstColumn="0" w:firstRowLastColumn="0" w:lastRowFirstColumn="0" w:lastRowLastColumn="0"/>
              <w:rPr>
                <w:rFonts w:cs="Arial"/>
                <w:b w:val="0"/>
                <w:color w:val="171717"/>
                <w:szCs w:val="22"/>
              </w:rPr>
            </w:pPr>
            <w:r w:rsidRPr="007226D7">
              <w:rPr>
                <w:rFonts w:cs="Arial"/>
                <w:b w:val="0"/>
                <w:color w:val="171717"/>
                <w:szCs w:val="22"/>
              </w:rPr>
              <w:t> </w:t>
            </w:r>
          </w:p>
        </w:tc>
        <w:tc>
          <w:tcPr>
            <w:tcW w:w="1843"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100000000000" w:firstRow="1" w:lastRow="0" w:firstColumn="0" w:lastColumn="0" w:oddVBand="0" w:evenVBand="0" w:oddHBand="0" w:evenHBand="0" w:firstRowFirstColumn="0" w:firstRowLastColumn="0" w:lastRowFirstColumn="0" w:lastRowLastColumn="0"/>
              <w:rPr>
                <w:rFonts w:cs="Arial"/>
                <w:b w:val="0"/>
                <w:color w:val="171717"/>
                <w:szCs w:val="22"/>
              </w:rPr>
            </w:pPr>
            <w:r w:rsidRPr="007226D7">
              <w:rPr>
                <w:rFonts w:cs="Arial"/>
                <w:b w:val="0"/>
                <w:color w:val="171717"/>
                <w:szCs w:val="22"/>
              </w:rPr>
              <w:t> </w:t>
            </w:r>
          </w:p>
        </w:tc>
      </w:tr>
      <w:tr w:rsidR="006F1479" w:rsidRPr="0013314C" w:rsidTr="006F147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8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rPr>
                <w:rFonts w:cs="Arial"/>
                <w:b w:val="0"/>
                <w:color w:val="171717"/>
                <w:sz w:val="18"/>
                <w:szCs w:val="18"/>
                <w:lang w:val="es-ES"/>
              </w:rPr>
            </w:pPr>
            <w:r w:rsidRPr="007226D7">
              <w:rPr>
                <w:rFonts w:cs="Arial"/>
                <w:b w:val="0"/>
                <w:color w:val="171717"/>
                <w:sz w:val="18"/>
                <w:szCs w:val="18"/>
                <w:vertAlign w:val="superscript"/>
                <w:lang w:val="es-ES"/>
              </w:rPr>
              <w:t>(2)</w:t>
            </w:r>
            <w:r w:rsidRPr="007226D7">
              <w:rPr>
                <w:rFonts w:cs="Arial"/>
                <w:b w:val="0"/>
                <w:color w:val="171717"/>
                <w:sz w:val="18"/>
                <w:szCs w:val="18"/>
                <w:lang w:val="es-ES"/>
              </w:rPr>
              <w:t xml:space="preserve"> A considerar el impacto de la línea 2 del Metro</w:t>
            </w:r>
          </w:p>
        </w:tc>
        <w:tc>
          <w:tcPr>
            <w:tcW w:w="152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14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592"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843"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171717"/>
                <w:szCs w:val="22"/>
                <w:lang w:val="es-ES"/>
              </w:rPr>
            </w:pPr>
            <w:r w:rsidRPr="007226D7">
              <w:rPr>
                <w:rFonts w:cs="Arial"/>
                <w:color w:val="171717"/>
                <w:szCs w:val="22"/>
                <w:lang w:val="es-ES"/>
              </w:rPr>
              <w:t> </w:t>
            </w:r>
          </w:p>
        </w:tc>
      </w:tr>
      <w:tr w:rsidR="006F1479" w:rsidRPr="0013314C" w:rsidTr="006F1479">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800" w:type="dxa"/>
            <w:gridSpan w:val="2"/>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rPr>
                <w:rFonts w:cs="Arial"/>
                <w:b w:val="0"/>
                <w:color w:val="171717"/>
                <w:sz w:val="18"/>
                <w:szCs w:val="18"/>
                <w:lang w:val="es-ES"/>
              </w:rPr>
            </w:pPr>
            <w:r w:rsidRPr="007226D7">
              <w:rPr>
                <w:rFonts w:cs="Arial"/>
                <w:b w:val="0"/>
                <w:color w:val="171717"/>
                <w:sz w:val="18"/>
                <w:szCs w:val="18"/>
                <w:vertAlign w:val="superscript"/>
                <w:lang w:val="es-ES"/>
              </w:rPr>
              <w:t>(3)</w:t>
            </w:r>
            <w:r w:rsidRPr="007226D7">
              <w:rPr>
                <w:rFonts w:cs="Arial"/>
                <w:b w:val="0"/>
                <w:color w:val="171717"/>
                <w:sz w:val="18"/>
                <w:szCs w:val="18"/>
                <w:lang w:val="es-ES"/>
              </w:rPr>
              <w:t xml:space="preserve"> Considera en funcionamiento el tramo 2 de la línea 1 del Metro</w:t>
            </w:r>
          </w:p>
        </w:tc>
        <w:tc>
          <w:tcPr>
            <w:tcW w:w="1140"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592"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Cs w:val="22"/>
                <w:lang w:val="es-ES"/>
              </w:rPr>
            </w:pPr>
            <w:r w:rsidRPr="007226D7">
              <w:rPr>
                <w:rFonts w:cs="Arial"/>
                <w:color w:val="171717"/>
                <w:szCs w:val="22"/>
                <w:lang w:val="es-ES"/>
              </w:rPr>
              <w:t> </w:t>
            </w:r>
          </w:p>
        </w:tc>
        <w:tc>
          <w:tcPr>
            <w:tcW w:w="1843" w:type="dxa"/>
            <w:tcBorders>
              <w:top w:val="none" w:sz="0" w:space="0" w:color="auto"/>
              <w:left w:val="none" w:sz="0" w:space="0" w:color="auto"/>
              <w:bottom w:val="none" w:sz="0" w:space="0" w:color="auto"/>
              <w:right w:val="none" w:sz="0" w:space="0" w:color="auto"/>
            </w:tcBorders>
            <w:shd w:val="clear" w:color="auto" w:fill="FFFFFF" w:themeFill="background1"/>
            <w:noWrap/>
            <w:hideMark/>
          </w:tcPr>
          <w:p w:rsidR="006F1479" w:rsidRPr="007226D7" w:rsidRDefault="006F1479" w:rsidP="00FD692F">
            <w:pPr>
              <w:spacing w:after="0" w:line="240" w:lineRule="auto"/>
              <w:jc w:val="left"/>
              <w:cnfStyle w:val="000000010000" w:firstRow="0" w:lastRow="0" w:firstColumn="0" w:lastColumn="0" w:oddVBand="0" w:evenVBand="0" w:oddHBand="0" w:evenHBand="1" w:firstRowFirstColumn="0" w:firstRowLastColumn="0" w:lastRowFirstColumn="0" w:lastRowLastColumn="0"/>
              <w:rPr>
                <w:rFonts w:cs="Arial"/>
                <w:color w:val="171717"/>
                <w:szCs w:val="22"/>
                <w:lang w:val="es-ES"/>
              </w:rPr>
            </w:pPr>
            <w:r w:rsidRPr="007226D7">
              <w:rPr>
                <w:rFonts w:cs="Arial"/>
                <w:color w:val="171717"/>
                <w:szCs w:val="22"/>
                <w:lang w:val="es-ES"/>
              </w:rPr>
              <w:t> </w:t>
            </w:r>
          </w:p>
        </w:tc>
      </w:tr>
    </w:tbl>
    <w:p w:rsidR="006F1479" w:rsidRPr="007226D7" w:rsidRDefault="006F1479">
      <w:pPr>
        <w:spacing w:after="0" w:line="240" w:lineRule="auto"/>
        <w:jc w:val="left"/>
        <w:rPr>
          <w:lang w:val="es-ES"/>
        </w:rPr>
      </w:pPr>
    </w:p>
    <w:p w:rsidR="006F1479" w:rsidRPr="007226D7" w:rsidRDefault="006F1479">
      <w:pPr>
        <w:spacing w:after="0" w:line="240" w:lineRule="auto"/>
        <w:jc w:val="left"/>
        <w:rPr>
          <w:lang w:val="es-ES"/>
        </w:rPr>
      </w:pPr>
    </w:p>
    <w:p w:rsidR="006F1479" w:rsidRPr="007226D7" w:rsidRDefault="006F1479">
      <w:pPr>
        <w:spacing w:after="0" w:line="240" w:lineRule="auto"/>
        <w:jc w:val="left"/>
        <w:rPr>
          <w:lang w:val="es-ES"/>
        </w:rPr>
      </w:pPr>
    </w:p>
    <w:p w:rsidR="006F1479" w:rsidRPr="007226D7" w:rsidRDefault="006F1479">
      <w:pPr>
        <w:spacing w:after="0" w:line="240" w:lineRule="auto"/>
        <w:jc w:val="left"/>
        <w:rPr>
          <w:lang w:val="es-ES"/>
        </w:rPr>
        <w:sectPr w:rsidR="006F1479" w:rsidRPr="007226D7" w:rsidSect="00616C7B">
          <w:type w:val="continuous"/>
          <w:pgSz w:w="11907" w:h="16840" w:code="9"/>
          <w:pgMar w:top="1985" w:right="1134" w:bottom="1701" w:left="1418" w:header="720" w:footer="833" w:gutter="0"/>
          <w:paperSrc w:first="15" w:other="15"/>
          <w:cols w:space="720"/>
          <w:docGrid w:linePitch="299"/>
        </w:sectPr>
      </w:pPr>
    </w:p>
    <w:p w:rsidR="006C2BB9" w:rsidRPr="007226D7" w:rsidRDefault="006C2BB9" w:rsidP="006C2BB9">
      <w:pPr>
        <w:pStyle w:val="Figuras"/>
      </w:pPr>
      <w:r w:rsidRPr="007226D7">
        <w:lastRenderedPageBreak/>
        <w:t>Tabla 3.1- 67 -  Corredor Panamericana - Rutas Troncales</w:t>
      </w:r>
    </w:p>
    <w:tbl>
      <w:tblPr>
        <w:tblStyle w:val="Grigliachiara-Colore11"/>
        <w:tblW w:w="6128" w:type="dxa"/>
        <w:tblLook w:val="04A0" w:firstRow="1" w:lastRow="0" w:firstColumn="1" w:lastColumn="0" w:noHBand="0" w:noVBand="1"/>
      </w:tblPr>
      <w:tblGrid>
        <w:gridCol w:w="1668"/>
        <w:gridCol w:w="1701"/>
        <w:gridCol w:w="1559"/>
        <w:gridCol w:w="1200"/>
      </w:tblGrid>
      <w:tr w:rsidR="00A023CE" w:rsidRPr="007226D7" w:rsidTr="006C2B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93.6</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136</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51.4</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52</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32.5</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60</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27.0</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38</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51.4</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52</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27.6</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29</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55.9</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59</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108</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93.6</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136</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109</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93.6</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136</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110</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81.4</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81.4</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77</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81.4</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51.4</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52</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93.6</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136</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32.5</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60</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27.0</w:t>
            </w:r>
          </w:p>
        </w:tc>
        <w:tc>
          <w:tcPr>
            <w:tcW w:w="1559"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38</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117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27.0</w:t>
            </w:r>
          </w:p>
        </w:tc>
        <w:tc>
          <w:tcPr>
            <w:tcW w:w="1559"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38</w:t>
            </w:r>
          </w:p>
        </w:tc>
      </w:tr>
    </w:tbl>
    <w:p w:rsidR="006C2BB9" w:rsidRPr="007226D7" w:rsidRDefault="006C2BB9">
      <w:pPr>
        <w:spacing w:after="0" w:line="240" w:lineRule="auto"/>
        <w:jc w:val="left"/>
        <w:rPr>
          <w:lang w:val="es-ES"/>
        </w:rPr>
      </w:pPr>
    </w:p>
    <w:p w:rsidR="006C2BB9" w:rsidRPr="007226D7" w:rsidRDefault="006C2BB9" w:rsidP="006C2BB9">
      <w:pPr>
        <w:pStyle w:val="Figuras"/>
      </w:pPr>
      <w:r w:rsidRPr="007226D7">
        <w:t>Tabla 3.1- 68 -  Corredor Panamericana - Rutas Alimentadoras</w:t>
      </w:r>
    </w:p>
    <w:tbl>
      <w:tblPr>
        <w:tblStyle w:val="Grigliachiara-Colore11"/>
        <w:tblW w:w="6434" w:type="dxa"/>
        <w:tblLook w:val="04A0" w:firstRow="1" w:lastRow="0" w:firstColumn="1" w:lastColumn="0" w:noHBand="0" w:noVBand="1"/>
      </w:tblPr>
      <w:tblGrid>
        <w:gridCol w:w="1668"/>
        <w:gridCol w:w="1701"/>
        <w:gridCol w:w="1648"/>
        <w:gridCol w:w="1417"/>
      </w:tblGrid>
      <w:tr w:rsidR="00A023CE" w:rsidRPr="007226D7" w:rsidTr="006C2B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648"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417"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31.2</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14</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28</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26.7</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36.5</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61</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33.1</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22</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52</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33.1</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22</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52</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15.1</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29</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41</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15.1</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29</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41</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158</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19.1</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159</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23.1</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160</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16.2</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16.2</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24</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lastRenderedPageBreak/>
              <w:t>162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23.1</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14</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18.5</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38</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28.0</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31</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70</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7.3</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16</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7.3</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5.0</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168</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15.3</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14</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169</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11.7</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7</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170</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11.3</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13.4</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19</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10.7</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6.7</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35.5</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33</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35.5</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33</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57</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16.5</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16.5</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178</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35.5</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33</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179</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96.6</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32</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125</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180</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54.2</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59</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181</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15.2</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182</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51.8</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33</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183</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10.1</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8</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8</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184</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13.5</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185</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13.5</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19</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18</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186</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11.7</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187</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15.7</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w:t>
            </w:r>
          </w:p>
        </w:tc>
      </w:tr>
      <w:tr w:rsidR="006C2BB9"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188</w:t>
            </w:r>
          </w:p>
        </w:tc>
        <w:tc>
          <w:tcPr>
            <w:tcW w:w="1701"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17.2</w:t>
            </w:r>
          </w:p>
        </w:tc>
        <w:tc>
          <w:tcPr>
            <w:tcW w:w="1648"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417" w:type="dxa"/>
            <w:noWrap/>
            <w:hideMark/>
          </w:tcPr>
          <w:p w:rsidR="006C2BB9" w:rsidRPr="007226D7" w:rsidRDefault="006C2BB9" w:rsidP="006C2BB9">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r>
      <w:tr w:rsidR="006C2BB9"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hideMark/>
          </w:tcPr>
          <w:p w:rsidR="006C2BB9" w:rsidRPr="007226D7" w:rsidRDefault="006C2BB9" w:rsidP="006C2BB9">
            <w:pPr>
              <w:spacing w:after="0" w:line="240" w:lineRule="auto"/>
              <w:jc w:val="center"/>
              <w:rPr>
                <w:rFonts w:cs="Arial"/>
                <w:color w:val="171717"/>
                <w:sz w:val="18"/>
                <w:szCs w:val="18"/>
              </w:rPr>
            </w:pPr>
            <w:r w:rsidRPr="007226D7">
              <w:rPr>
                <w:rFonts w:cs="Arial"/>
                <w:color w:val="171717"/>
                <w:sz w:val="18"/>
                <w:szCs w:val="18"/>
              </w:rPr>
              <w:t>189</w:t>
            </w:r>
          </w:p>
        </w:tc>
        <w:tc>
          <w:tcPr>
            <w:tcW w:w="1701"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3.7</w:t>
            </w:r>
          </w:p>
        </w:tc>
        <w:tc>
          <w:tcPr>
            <w:tcW w:w="1648"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w:t>
            </w:r>
          </w:p>
        </w:tc>
        <w:tc>
          <w:tcPr>
            <w:tcW w:w="1417" w:type="dxa"/>
            <w:noWrap/>
            <w:hideMark/>
          </w:tcPr>
          <w:p w:rsidR="006C2BB9" w:rsidRPr="007226D7" w:rsidRDefault="006C2BB9" w:rsidP="006C2BB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5</w:t>
            </w:r>
          </w:p>
        </w:tc>
      </w:tr>
    </w:tbl>
    <w:p w:rsidR="006C2BB9" w:rsidRPr="007226D7" w:rsidRDefault="006C2BB9">
      <w:pPr>
        <w:spacing w:after="0" w:line="240" w:lineRule="auto"/>
        <w:jc w:val="left"/>
        <w:rPr>
          <w:lang w:val="es-ES"/>
        </w:rPr>
      </w:pPr>
    </w:p>
    <w:p w:rsidR="006C2BB9" w:rsidRPr="007226D7" w:rsidRDefault="006C2BB9">
      <w:pPr>
        <w:spacing w:after="0" w:line="240" w:lineRule="auto"/>
        <w:jc w:val="left"/>
        <w:rPr>
          <w:lang w:val="es-ES"/>
        </w:rPr>
      </w:pPr>
      <w:r w:rsidRPr="007226D7">
        <w:rPr>
          <w:lang w:val="es-ES"/>
        </w:rPr>
        <w:br w:type="page"/>
      </w:r>
    </w:p>
    <w:p w:rsidR="00F2075F" w:rsidRPr="007226D7" w:rsidRDefault="00F2075F" w:rsidP="00F2075F">
      <w:pPr>
        <w:pStyle w:val="Figuras"/>
      </w:pPr>
      <w:r w:rsidRPr="007226D7">
        <w:lastRenderedPageBreak/>
        <w:t>Tabla 3.1- 69 -  Corredor Javier Prado - Rutas Troncales</w:t>
      </w:r>
    </w:p>
    <w:tbl>
      <w:tblPr>
        <w:tblStyle w:val="Grigliachiara-Colore11"/>
        <w:tblW w:w="6128" w:type="dxa"/>
        <w:tblLook w:val="04A0" w:firstRow="1" w:lastRow="0" w:firstColumn="1" w:lastColumn="0" w:noHBand="0" w:noVBand="1"/>
      </w:tblPr>
      <w:tblGrid>
        <w:gridCol w:w="1668"/>
        <w:gridCol w:w="1701"/>
        <w:gridCol w:w="1559"/>
        <w:gridCol w:w="1200"/>
      </w:tblGrid>
      <w:tr w:rsidR="00A023CE" w:rsidRPr="007226D7" w:rsidTr="00F2075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201</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36.5</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30</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95</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202</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32.6</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25</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72</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203</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34.5</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25</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74</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204</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30.6</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27</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72</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205</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23.0</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13</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23</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206</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19.1</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21</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44</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207</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23.1</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10</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20</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208</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18.2</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6</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9</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209</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26.3</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17</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22"/>
              </w:rPr>
            </w:pPr>
            <w:r w:rsidRPr="007226D7">
              <w:rPr>
                <w:rFonts w:eastAsiaTheme="majorEastAsia" w:cs="Arial"/>
                <w:bCs/>
                <w:color w:val="171717"/>
                <w:sz w:val="18"/>
                <w:szCs w:val="22"/>
              </w:rPr>
              <w:t>44</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22"/>
              </w:rPr>
            </w:pPr>
            <w:r w:rsidRPr="007226D7">
              <w:rPr>
                <w:rFonts w:cs="Arial"/>
                <w:color w:val="171717"/>
                <w:sz w:val="18"/>
                <w:szCs w:val="22"/>
              </w:rPr>
              <w:t>210</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25.1</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21</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22"/>
              </w:rPr>
            </w:pPr>
            <w:r w:rsidRPr="007226D7">
              <w:rPr>
                <w:rFonts w:cs="Arial"/>
                <w:color w:val="171717"/>
                <w:sz w:val="18"/>
                <w:szCs w:val="22"/>
              </w:rPr>
              <w:t>43</w:t>
            </w:r>
          </w:p>
        </w:tc>
      </w:tr>
    </w:tbl>
    <w:p w:rsidR="006C2BB9" w:rsidRPr="007226D7" w:rsidRDefault="006C2BB9">
      <w:pPr>
        <w:spacing w:after="0" w:line="240" w:lineRule="auto"/>
        <w:jc w:val="left"/>
        <w:rPr>
          <w:rFonts w:cs="Arial"/>
          <w:lang w:val="es-ES"/>
        </w:rPr>
      </w:pPr>
    </w:p>
    <w:p w:rsidR="006C2BB9" w:rsidRPr="007226D7" w:rsidRDefault="006C2BB9">
      <w:pPr>
        <w:spacing w:after="0" w:line="240" w:lineRule="auto"/>
        <w:jc w:val="left"/>
        <w:rPr>
          <w:lang w:val="es-ES"/>
        </w:rPr>
      </w:pPr>
    </w:p>
    <w:p w:rsidR="006C2BB9" w:rsidRPr="007226D7" w:rsidRDefault="006C2BB9">
      <w:pPr>
        <w:spacing w:after="0" w:line="240" w:lineRule="auto"/>
        <w:jc w:val="left"/>
        <w:rPr>
          <w:lang w:val="es-ES"/>
        </w:rPr>
      </w:pPr>
    </w:p>
    <w:p w:rsidR="006C2BB9" w:rsidRPr="007226D7" w:rsidRDefault="006C2BB9">
      <w:pPr>
        <w:spacing w:after="0" w:line="240" w:lineRule="auto"/>
        <w:jc w:val="left"/>
        <w:rPr>
          <w:lang w:val="es-ES"/>
        </w:rPr>
      </w:pPr>
    </w:p>
    <w:p w:rsidR="006C2BB9" w:rsidRPr="007226D7" w:rsidRDefault="006C2BB9">
      <w:pPr>
        <w:spacing w:after="0" w:line="240" w:lineRule="auto"/>
        <w:jc w:val="left"/>
        <w:rPr>
          <w:lang w:val="es-ES"/>
        </w:rPr>
      </w:pPr>
    </w:p>
    <w:p w:rsidR="006C2BB9" w:rsidRPr="007226D7" w:rsidRDefault="00F2075F" w:rsidP="00F2075F">
      <w:pPr>
        <w:pStyle w:val="Figuras"/>
      </w:pPr>
      <w:r w:rsidRPr="007226D7">
        <w:br w:type="column"/>
      </w:r>
      <w:r w:rsidRPr="007226D7">
        <w:lastRenderedPageBreak/>
        <w:t>Tabla 3.1- 70 -  Corredor Javier Prado - Rutas Alimentadoras</w:t>
      </w:r>
    </w:p>
    <w:tbl>
      <w:tblPr>
        <w:tblStyle w:val="Grigliachiara-Colore11"/>
        <w:tblW w:w="6128" w:type="dxa"/>
        <w:tblLook w:val="04A0" w:firstRow="1" w:lastRow="0" w:firstColumn="1" w:lastColumn="0" w:noHBand="0" w:noVBand="1"/>
      </w:tblPr>
      <w:tblGrid>
        <w:gridCol w:w="1668"/>
        <w:gridCol w:w="1701"/>
        <w:gridCol w:w="1559"/>
        <w:gridCol w:w="1200"/>
      </w:tblGrid>
      <w:tr w:rsidR="00A023CE" w:rsidRPr="007226D7" w:rsidTr="00F2075F">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251</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59.0</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73</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252</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59.0</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73</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253</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59.0</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73</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254</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18.7</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255</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55.0</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22</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88</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256</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19.7</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40</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257</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19.7</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28</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40</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258</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30.4</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49</w:t>
            </w:r>
          </w:p>
        </w:tc>
      </w:tr>
      <w:tr w:rsidR="00F2075F"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259</w:t>
            </w:r>
          </w:p>
        </w:tc>
        <w:tc>
          <w:tcPr>
            <w:tcW w:w="1701"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18.6</w:t>
            </w:r>
          </w:p>
        </w:tc>
        <w:tc>
          <w:tcPr>
            <w:tcW w:w="1559"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13</w:t>
            </w:r>
          </w:p>
        </w:tc>
        <w:tc>
          <w:tcPr>
            <w:tcW w:w="1200" w:type="dxa"/>
            <w:noWrap/>
            <w:vAlign w:val="bottom"/>
            <w:hideMark/>
          </w:tcPr>
          <w:p w:rsidR="00F2075F" w:rsidRPr="007226D7" w:rsidRDefault="00F2075F" w:rsidP="00F2075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w:t>
            </w:r>
          </w:p>
        </w:tc>
      </w:tr>
      <w:tr w:rsidR="00F2075F"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F2075F" w:rsidRPr="007226D7" w:rsidRDefault="00F2075F" w:rsidP="00F2075F">
            <w:pPr>
              <w:spacing w:after="0" w:line="240" w:lineRule="auto"/>
              <w:jc w:val="center"/>
              <w:rPr>
                <w:rFonts w:cs="Arial"/>
                <w:color w:val="171717"/>
                <w:sz w:val="18"/>
                <w:szCs w:val="18"/>
              </w:rPr>
            </w:pPr>
            <w:r w:rsidRPr="007226D7">
              <w:rPr>
                <w:rFonts w:cs="Arial"/>
                <w:color w:val="171717"/>
                <w:sz w:val="18"/>
                <w:szCs w:val="18"/>
              </w:rPr>
              <w:t>260</w:t>
            </w:r>
          </w:p>
        </w:tc>
        <w:tc>
          <w:tcPr>
            <w:tcW w:w="1701"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8.5</w:t>
            </w:r>
          </w:p>
        </w:tc>
        <w:tc>
          <w:tcPr>
            <w:tcW w:w="1559"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w:t>
            </w:r>
          </w:p>
        </w:tc>
        <w:tc>
          <w:tcPr>
            <w:tcW w:w="1200" w:type="dxa"/>
            <w:noWrap/>
            <w:vAlign w:val="bottom"/>
            <w:hideMark/>
          </w:tcPr>
          <w:p w:rsidR="00F2075F" w:rsidRPr="007226D7" w:rsidRDefault="00F2075F" w:rsidP="00F2075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w:t>
            </w:r>
          </w:p>
        </w:tc>
      </w:tr>
    </w:tbl>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r w:rsidRPr="007226D7">
        <w:rPr>
          <w:lang w:val="es-ES"/>
        </w:rPr>
        <w:br w:type="page"/>
      </w:r>
    </w:p>
    <w:p w:rsidR="00F2075F" w:rsidRPr="007226D7" w:rsidRDefault="00F2075F" w:rsidP="00F2075F">
      <w:pPr>
        <w:pStyle w:val="Figuras"/>
      </w:pPr>
      <w:r w:rsidRPr="007226D7">
        <w:lastRenderedPageBreak/>
        <w:t xml:space="preserve">Tabla 3.1- </w:t>
      </w:r>
      <w:r w:rsidR="00A023CE" w:rsidRPr="007226D7">
        <w:t>71</w:t>
      </w:r>
      <w:r w:rsidRPr="007226D7">
        <w:t xml:space="preserve"> -  Corredor </w:t>
      </w:r>
      <w:r w:rsidR="00A023CE" w:rsidRPr="007226D7">
        <w:t xml:space="preserve">Tacna - Garcilaso - Arequipa </w:t>
      </w:r>
      <w:r w:rsidRPr="007226D7">
        <w:t>- Rutas Troncales</w:t>
      </w:r>
    </w:p>
    <w:tbl>
      <w:tblPr>
        <w:tblStyle w:val="Grigliachiara-Colore11"/>
        <w:tblW w:w="6128" w:type="dxa"/>
        <w:tblLook w:val="04A0" w:firstRow="1" w:lastRow="0" w:firstColumn="1" w:lastColumn="0" w:noHBand="0" w:noVBand="1"/>
      </w:tblPr>
      <w:tblGrid>
        <w:gridCol w:w="1668"/>
        <w:gridCol w:w="1701"/>
        <w:gridCol w:w="1559"/>
        <w:gridCol w:w="1200"/>
      </w:tblGrid>
      <w:tr w:rsidR="00A023CE"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301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30</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64</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302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8.8</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303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17.7</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36</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304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12.3</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305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13.4</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14</w:t>
            </w:r>
          </w:p>
        </w:tc>
      </w:tr>
    </w:tbl>
    <w:p w:rsidR="00F2075F" w:rsidRPr="007226D7" w:rsidRDefault="00F2075F" w:rsidP="00F2075F">
      <w:pPr>
        <w:spacing w:after="0" w:line="240" w:lineRule="auto"/>
        <w:jc w:val="left"/>
        <w:rPr>
          <w:lang w:val="es-ES"/>
        </w:rPr>
      </w:pPr>
    </w:p>
    <w:p w:rsidR="00F2075F" w:rsidRPr="007226D7" w:rsidRDefault="00F2075F" w:rsidP="00F2075F">
      <w:pPr>
        <w:spacing w:after="0" w:line="240" w:lineRule="auto"/>
        <w:jc w:val="left"/>
        <w:rPr>
          <w:lang w:val="es-ES"/>
        </w:rPr>
      </w:pPr>
    </w:p>
    <w:p w:rsidR="00F2075F" w:rsidRPr="007226D7" w:rsidRDefault="00F2075F" w:rsidP="00F2075F">
      <w:pPr>
        <w:spacing w:after="0" w:line="240" w:lineRule="auto"/>
        <w:jc w:val="left"/>
        <w:rPr>
          <w:lang w:val="es-ES"/>
        </w:rPr>
      </w:pPr>
    </w:p>
    <w:p w:rsidR="00F2075F" w:rsidRPr="007226D7" w:rsidRDefault="00F2075F" w:rsidP="00F2075F">
      <w:pPr>
        <w:spacing w:after="0" w:line="240" w:lineRule="auto"/>
        <w:jc w:val="left"/>
        <w:rPr>
          <w:lang w:val="es-ES"/>
        </w:rPr>
      </w:pPr>
    </w:p>
    <w:p w:rsidR="00F2075F" w:rsidRPr="007226D7" w:rsidRDefault="00F2075F" w:rsidP="00F2075F">
      <w:pPr>
        <w:spacing w:after="0" w:line="240" w:lineRule="auto"/>
        <w:jc w:val="left"/>
        <w:rPr>
          <w:lang w:val="es-ES"/>
        </w:rPr>
      </w:pPr>
    </w:p>
    <w:p w:rsidR="00F2075F" w:rsidRPr="007226D7" w:rsidRDefault="00F2075F" w:rsidP="00F2075F">
      <w:pPr>
        <w:pStyle w:val="Figuras"/>
      </w:pPr>
      <w:r w:rsidRPr="007226D7">
        <w:br w:type="column"/>
      </w:r>
      <w:r w:rsidRPr="007226D7">
        <w:lastRenderedPageBreak/>
        <w:t>Tabla 3.1- 7</w:t>
      </w:r>
      <w:r w:rsidR="00A023CE" w:rsidRPr="007226D7">
        <w:t>2</w:t>
      </w:r>
      <w:r w:rsidRPr="007226D7">
        <w:t xml:space="preserve"> -  Corredor </w:t>
      </w:r>
      <w:r w:rsidR="00A023CE" w:rsidRPr="007226D7">
        <w:t xml:space="preserve">Tacna - Garcilaso - Arequipa </w:t>
      </w:r>
      <w:r w:rsidRPr="007226D7">
        <w:t>- Rutas Alimentadoras</w:t>
      </w:r>
    </w:p>
    <w:tbl>
      <w:tblPr>
        <w:tblStyle w:val="Grigliachiara-Colore11"/>
        <w:tblW w:w="6128" w:type="dxa"/>
        <w:tblLook w:val="04A0" w:firstRow="1" w:lastRow="0" w:firstColumn="1" w:lastColumn="0" w:noHBand="0" w:noVBand="1"/>
      </w:tblPr>
      <w:tblGrid>
        <w:gridCol w:w="1668"/>
        <w:gridCol w:w="1701"/>
        <w:gridCol w:w="1559"/>
        <w:gridCol w:w="1200"/>
      </w:tblGrid>
      <w:tr w:rsidR="00A023CE"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A023CE" w:rsidRPr="007226D7" w:rsidRDefault="00A023CE"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A023CE" w:rsidRPr="007226D7" w:rsidRDefault="00A023CE"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22.0</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49</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19.1</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40</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19.1</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40</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11.0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11.0</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6.3</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357</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19.0</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38</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358</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38</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359</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18</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360</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6.3</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7.3</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6.2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8.5</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12.0</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12.0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367</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9.1</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20</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17</w:t>
            </w:r>
          </w:p>
        </w:tc>
      </w:tr>
      <w:tr w:rsidR="00A023CE" w:rsidRPr="007226D7" w:rsidTr="00A023CE">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368</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9.1</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20</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w:t>
            </w:r>
          </w:p>
        </w:tc>
      </w:tr>
      <w:tr w:rsidR="00A023CE" w:rsidRPr="007226D7" w:rsidTr="00A023CE">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369</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15.6</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10</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14</w:t>
            </w:r>
          </w:p>
        </w:tc>
      </w:tr>
    </w:tbl>
    <w:p w:rsidR="00F2075F" w:rsidRPr="007226D7" w:rsidRDefault="00F2075F" w:rsidP="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r w:rsidRPr="007226D7">
        <w:rPr>
          <w:lang w:val="es-ES"/>
        </w:rPr>
        <w:br w:type="page"/>
      </w:r>
    </w:p>
    <w:p w:rsidR="00F2075F" w:rsidRPr="007226D7" w:rsidRDefault="00F2075F" w:rsidP="00F2075F">
      <w:pPr>
        <w:pStyle w:val="Figuras"/>
      </w:pPr>
      <w:r w:rsidRPr="007226D7">
        <w:lastRenderedPageBreak/>
        <w:t xml:space="preserve">Tabla 3.1- </w:t>
      </w:r>
      <w:r w:rsidR="00A023CE" w:rsidRPr="007226D7">
        <w:t>73</w:t>
      </w:r>
      <w:r w:rsidRPr="007226D7">
        <w:t xml:space="preserve"> -  Corredor </w:t>
      </w:r>
      <w:r w:rsidR="00A023CE" w:rsidRPr="007226D7">
        <w:t xml:space="preserve">San Juan De Lurigancho - Brasil </w:t>
      </w:r>
      <w:r w:rsidRPr="007226D7">
        <w:t>- Rutas Troncales</w:t>
      </w:r>
    </w:p>
    <w:tbl>
      <w:tblPr>
        <w:tblStyle w:val="Grigliachiara-Colore11"/>
        <w:tblW w:w="6128" w:type="dxa"/>
        <w:tblLook w:val="04A0" w:firstRow="1" w:lastRow="0" w:firstColumn="1" w:lastColumn="0" w:noHBand="0" w:noVBand="1"/>
      </w:tblPr>
      <w:tblGrid>
        <w:gridCol w:w="1668"/>
        <w:gridCol w:w="1701"/>
        <w:gridCol w:w="1559"/>
        <w:gridCol w:w="1200"/>
      </w:tblGrid>
      <w:tr w:rsidR="002D0200"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2D0200" w:rsidRPr="007226D7" w:rsidRDefault="002D0200"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44.4</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28</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91</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21.5</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21.7</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49</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34.0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42</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32.6</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13</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35</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38.1</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54</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407</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33.2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28</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408</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36.4</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72</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409</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30.7</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15</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37</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410</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26.5</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37</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31.2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43</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25.8</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54</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24.5</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45</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24.5</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45</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22.8</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416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23.9</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32</w:t>
            </w:r>
          </w:p>
        </w:tc>
      </w:tr>
    </w:tbl>
    <w:p w:rsidR="00F2075F" w:rsidRPr="007226D7" w:rsidRDefault="00F2075F" w:rsidP="00F2075F">
      <w:pPr>
        <w:spacing w:after="0" w:line="240" w:lineRule="auto"/>
        <w:jc w:val="left"/>
        <w:rPr>
          <w:lang w:val="es-ES"/>
        </w:rPr>
      </w:pPr>
    </w:p>
    <w:p w:rsidR="00F2075F" w:rsidRPr="007226D7" w:rsidRDefault="00F2075F" w:rsidP="00F2075F">
      <w:pPr>
        <w:spacing w:after="0" w:line="240" w:lineRule="auto"/>
        <w:jc w:val="left"/>
        <w:rPr>
          <w:lang w:val="es-ES"/>
        </w:rPr>
      </w:pPr>
    </w:p>
    <w:p w:rsidR="00F2075F" w:rsidRPr="007226D7" w:rsidRDefault="00F2075F" w:rsidP="00F2075F">
      <w:pPr>
        <w:pStyle w:val="Figuras"/>
      </w:pPr>
      <w:r w:rsidRPr="007226D7">
        <w:br w:type="column"/>
      </w:r>
      <w:r w:rsidRPr="007226D7">
        <w:lastRenderedPageBreak/>
        <w:t>Tabla 3.1- 7</w:t>
      </w:r>
      <w:r w:rsidR="00A023CE" w:rsidRPr="007226D7">
        <w:t>4</w:t>
      </w:r>
      <w:r w:rsidRPr="007226D7">
        <w:t xml:space="preserve"> -  Corredor </w:t>
      </w:r>
      <w:r w:rsidR="00A023CE" w:rsidRPr="007226D7">
        <w:t xml:space="preserve">San Juan De Lurigancho - Brasil </w:t>
      </w:r>
      <w:r w:rsidRPr="007226D7">
        <w:t>- Rutas Alimentadoras</w:t>
      </w:r>
    </w:p>
    <w:tbl>
      <w:tblPr>
        <w:tblStyle w:val="Grigliachiara-Colore11"/>
        <w:tblW w:w="6128" w:type="dxa"/>
        <w:tblLook w:val="04A0" w:firstRow="1" w:lastRow="0" w:firstColumn="1" w:lastColumn="0" w:noHBand="0" w:noVBand="1"/>
      </w:tblPr>
      <w:tblGrid>
        <w:gridCol w:w="1668"/>
        <w:gridCol w:w="1701"/>
        <w:gridCol w:w="1559"/>
        <w:gridCol w:w="1200"/>
      </w:tblGrid>
      <w:tr w:rsidR="002D0200"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2D0200" w:rsidRPr="007226D7" w:rsidRDefault="002D0200"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2D0200" w:rsidRPr="007226D7" w:rsidRDefault="002D0200"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8.3</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14.1</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17.8</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13</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18</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13.9</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7.7</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12.9</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457</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12.4</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21</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458</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12.4</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459</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19.5</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27</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42</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460</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8.7</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11.7</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18</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19</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5.7</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20.4</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32</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50</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464</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10.3</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22</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465</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15.6</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color w:val="171717"/>
                <w:sz w:val="18"/>
                <w:szCs w:val="18"/>
              </w:rPr>
            </w:pPr>
            <w:r w:rsidRPr="007226D7">
              <w:rPr>
                <w:rFonts w:eastAsiaTheme="majorEastAsia" w:cs="Arial"/>
                <w:color w:val="171717"/>
                <w:sz w:val="18"/>
                <w:szCs w:val="18"/>
              </w:rPr>
              <w:t>29</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466</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20.6</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31</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49</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467</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9.9</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18</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468</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17.4</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34</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469</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12.0</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22</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470</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16.0</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33</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43</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471</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10.2</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32</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27</w:t>
            </w:r>
          </w:p>
        </w:tc>
      </w:tr>
      <w:tr w:rsidR="00A023CE" w:rsidRPr="007226D7" w:rsidTr="002D0200">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472</w:t>
            </w:r>
          </w:p>
        </w:tc>
        <w:tc>
          <w:tcPr>
            <w:tcW w:w="1701"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11.5</w:t>
            </w:r>
          </w:p>
        </w:tc>
        <w:tc>
          <w:tcPr>
            <w:tcW w:w="1559"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10</w:t>
            </w:r>
          </w:p>
        </w:tc>
        <w:tc>
          <w:tcPr>
            <w:tcW w:w="1200" w:type="dxa"/>
            <w:noWrap/>
            <w:vAlign w:val="bottom"/>
            <w:hideMark/>
          </w:tcPr>
          <w:p w:rsidR="00A023CE" w:rsidRPr="007226D7" w:rsidRDefault="00A023CE" w:rsidP="00A023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heme="majorEastAsia" w:cs="Arial"/>
                <w:b/>
                <w:bCs/>
                <w:color w:val="171717"/>
                <w:sz w:val="18"/>
                <w:szCs w:val="18"/>
              </w:rPr>
            </w:pPr>
            <w:r w:rsidRPr="007226D7">
              <w:rPr>
                <w:rFonts w:eastAsiaTheme="majorEastAsia" w:cs="Arial"/>
                <w:b/>
                <w:bCs/>
                <w:color w:val="171717"/>
                <w:sz w:val="18"/>
                <w:szCs w:val="18"/>
              </w:rPr>
              <w:t>10</w:t>
            </w:r>
          </w:p>
        </w:tc>
      </w:tr>
      <w:tr w:rsidR="00A023CE" w:rsidRPr="007226D7" w:rsidTr="002D020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A023CE" w:rsidRPr="007226D7" w:rsidRDefault="00A023CE" w:rsidP="00A023CE">
            <w:pPr>
              <w:spacing w:after="0" w:line="240" w:lineRule="auto"/>
              <w:jc w:val="center"/>
              <w:rPr>
                <w:rFonts w:cs="Arial"/>
                <w:color w:val="171717"/>
                <w:sz w:val="18"/>
                <w:szCs w:val="18"/>
              </w:rPr>
            </w:pPr>
            <w:r w:rsidRPr="007226D7">
              <w:rPr>
                <w:rFonts w:cs="Arial"/>
                <w:color w:val="171717"/>
                <w:sz w:val="18"/>
                <w:szCs w:val="18"/>
              </w:rPr>
              <w:t>473</w:t>
            </w:r>
          </w:p>
        </w:tc>
        <w:tc>
          <w:tcPr>
            <w:tcW w:w="1701"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17.4</w:t>
            </w:r>
          </w:p>
        </w:tc>
        <w:tc>
          <w:tcPr>
            <w:tcW w:w="1559"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6</w:t>
            </w:r>
          </w:p>
        </w:tc>
        <w:tc>
          <w:tcPr>
            <w:tcW w:w="1200" w:type="dxa"/>
            <w:noWrap/>
            <w:vAlign w:val="bottom"/>
            <w:hideMark/>
          </w:tcPr>
          <w:p w:rsidR="00A023CE" w:rsidRPr="007226D7" w:rsidRDefault="00A023CE" w:rsidP="00A023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171717"/>
                <w:sz w:val="18"/>
                <w:szCs w:val="18"/>
              </w:rPr>
            </w:pPr>
            <w:r w:rsidRPr="007226D7">
              <w:rPr>
                <w:rFonts w:cs="Arial"/>
                <w:color w:val="171717"/>
                <w:sz w:val="18"/>
                <w:szCs w:val="18"/>
              </w:rPr>
              <w:t>8</w:t>
            </w:r>
          </w:p>
        </w:tc>
      </w:tr>
    </w:tbl>
    <w:p w:rsidR="00F2075F" w:rsidRPr="007226D7" w:rsidRDefault="00F2075F" w:rsidP="00A023CE">
      <w:pPr>
        <w:spacing w:after="0" w:line="240" w:lineRule="auto"/>
        <w:jc w:val="center"/>
        <w:rPr>
          <w:rFonts w:ascii="Calibri" w:eastAsiaTheme="majorEastAsia" w:hAnsi="Calibri" w:cstheme="majorBidi"/>
          <w:b/>
          <w:bCs/>
          <w:color w:val="171717"/>
          <w:szCs w:val="22"/>
        </w:rPr>
      </w:pPr>
    </w:p>
    <w:p w:rsidR="00F2075F" w:rsidRPr="007226D7" w:rsidRDefault="00F2075F">
      <w:pPr>
        <w:spacing w:after="0" w:line="240" w:lineRule="auto"/>
        <w:jc w:val="left"/>
        <w:rPr>
          <w:lang w:val="es-ES"/>
        </w:rPr>
      </w:pPr>
      <w:r w:rsidRPr="007226D7">
        <w:rPr>
          <w:lang w:val="es-ES"/>
        </w:rPr>
        <w:br w:type="page"/>
      </w:r>
    </w:p>
    <w:p w:rsidR="00F2075F" w:rsidRPr="007226D7" w:rsidRDefault="00F2075F" w:rsidP="00F2075F">
      <w:pPr>
        <w:pStyle w:val="Figuras"/>
      </w:pPr>
      <w:r w:rsidRPr="007226D7">
        <w:lastRenderedPageBreak/>
        <w:t xml:space="preserve">Tabla 3.1- </w:t>
      </w:r>
      <w:r w:rsidR="00F07F50" w:rsidRPr="007226D7">
        <w:t>75</w:t>
      </w:r>
      <w:r w:rsidRPr="007226D7">
        <w:t xml:space="preserve"> -  Corredor </w:t>
      </w:r>
      <w:r w:rsidR="005E52D2" w:rsidRPr="007226D7">
        <w:t xml:space="preserve">Carretera Central </w:t>
      </w:r>
      <w:r w:rsidRPr="007226D7">
        <w:t>- Rutas Troncales</w:t>
      </w:r>
    </w:p>
    <w:tbl>
      <w:tblPr>
        <w:tblStyle w:val="Grigliachiara-Colore11"/>
        <w:tblW w:w="6128" w:type="dxa"/>
        <w:tblLook w:val="04A0" w:firstRow="1" w:lastRow="0" w:firstColumn="1" w:lastColumn="0" w:noHBand="0" w:noVBand="1"/>
      </w:tblPr>
      <w:tblGrid>
        <w:gridCol w:w="1668"/>
        <w:gridCol w:w="1701"/>
        <w:gridCol w:w="1559"/>
        <w:gridCol w:w="1200"/>
      </w:tblGrid>
      <w:tr w:rsidR="005E52D2"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5E52D2" w:rsidRPr="007226D7" w:rsidRDefault="005E52D2"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48.0</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91</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31.9</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48</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39.6</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67</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26.9</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49</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505</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44.0</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53</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506</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35.7</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13</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33</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507</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26.9</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21</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49</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508</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19.2</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14</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509</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34.3</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12</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29</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510</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44.0</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53</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48.0</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91</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39.6</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67</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31.9</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48</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31.9</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48</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515</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31.9</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48</w:t>
            </w:r>
          </w:p>
        </w:tc>
      </w:tr>
    </w:tbl>
    <w:p w:rsidR="00F2075F" w:rsidRPr="007226D7" w:rsidRDefault="00F2075F" w:rsidP="00F2075F">
      <w:pPr>
        <w:spacing w:after="0" w:line="240" w:lineRule="auto"/>
        <w:jc w:val="left"/>
        <w:rPr>
          <w:lang w:val="es-ES"/>
        </w:rPr>
      </w:pPr>
    </w:p>
    <w:p w:rsidR="00F2075F" w:rsidRPr="007226D7" w:rsidRDefault="00F2075F" w:rsidP="00F2075F">
      <w:pPr>
        <w:pStyle w:val="Figuras"/>
      </w:pPr>
      <w:r w:rsidRPr="007226D7">
        <w:t>Tabla 3.1- 7</w:t>
      </w:r>
      <w:r w:rsidR="00F07F50" w:rsidRPr="007226D7">
        <w:t>6</w:t>
      </w:r>
      <w:r w:rsidRPr="007226D7">
        <w:t xml:space="preserve"> -  Corredor </w:t>
      </w:r>
      <w:r w:rsidR="005E52D2" w:rsidRPr="007226D7">
        <w:t xml:space="preserve">Carretera Central </w:t>
      </w:r>
      <w:r w:rsidRPr="007226D7">
        <w:t>- Rutas Alimentadoras</w:t>
      </w:r>
    </w:p>
    <w:tbl>
      <w:tblPr>
        <w:tblStyle w:val="Grigliachiara-Colore11"/>
        <w:tblW w:w="6128" w:type="dxa"/>
        <w:tblLook w:val="04A0" w:firstRow="1" w:lastRow="0" w:firstColumn="1" w:lastColumn="0" w:noHBand="0" w:noVBand="1"/>
      </w:tblPr>
      <w:tblGrid>
        <w:gridCol w:w="1668"/>
        <w:gridCol w:w="1701"/>
        <w:gridCol w:w="1559"/>
        <w:gridCol w:w="1200"/>
      </w:tblGrid>
      <w:tr w:rsidR="005E52D2" w:rsidRPr="007226D7" w:rsidTr="00FD692F">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668" w:type="dxa"/>
            <w:noWrap/>
            <w:vAlign w:val="center"/>
            <w:hideMark/>
          </w:tcPr>
          <w:p w:rsidR="005E52D2" w:rsidRPr="007226D7" w:rsidRDefault="005E52D2" w:rsidP="00FD692F">
            <w:pPr>
              <w:spacing w:after="0" w:line="240" w:lineRule="auto"/>
              <w:jc w:val="center"/>
              <w:rPr>
                <w:rFonts w:cs="Arial"/>
                <w:i/>
                <w:iCs/>
                <w:color w:val="171717"/>
                <w:sz w:val="20"/>
                <w:szCs w:val="22"/>
              </w:rPr>
            </w:pPr>
            <w:r w:rsidRPr="007226D7">
              <w:rPr>
                <w:rFonts w:cs="Arial"/>
                <w:i/>
                <w:iCs/>
                <w:color w:val="171717"/>
                <w:sz w:val="20"/>
                <w:szCs w:val="22"/>
              </w:rPr>
              <w:t>Id</w:t>
            </w:r>
          </w:p>
        </w:tc>
        <w:tc>
          <w:tcPr>
            <w:tcW w:w="1701"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Longitud</w:t>
            </w:r>
          </w:p>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(km I+V)</w:t>
            </w:r>
          </w:p>
        </w:tc>
        <w:tc>
          <w:tcPr>
            <w:tcW w:w="1559"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Frecuencia (veh/hora)</w:t>
            </w:r>
          </w:p>
        </w:tc>
        <w:tc>
          <w:tcPr>
            <w:tcW w:w="1200" w:type="dxa"/>
            <w:noWrap/>
            <w:vAlign w:val="center"/>
            <w:hideMark/>
          </w:tcPr>
          <w:p w:rsidR="005E52D2" w:rsidRPr="007226D7" w:rsidRDefault="005E52D2" w:rsidP="00FD692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i/>
                <w:iCs/>
                <w:color w:val="171717"/>
                <w:sz w:val="20"/>
                <w:szCs w:val="22"/>
              </w:rPr>
            </w:pPr>
            <w:r w:rsidRPr="007226D7">
              <w:rPr>
                <w:rFonts w:cs="Arial"/>
                <w:i/>
                <w:iCs/>
                <w:color w:val="171717"/>
                <w:sz w:val="20"/>
                <w:szCs w:val="22"/>
              </w:rPr>
              <w:t>Flota</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38.3</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72</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16.5</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32</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20.8</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18</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21.3</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8</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555</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23.6</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11</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556</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26.2</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15</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557</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23.7</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6</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558</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24.6</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42</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65</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559</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20.1</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8</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560</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24.5</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25.2</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6</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48.6</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lastRenderedPageBreak/>
              <w:t>563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16.6</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27</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36</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56.2</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35</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102</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565</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10.5</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8</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566</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25.0</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28</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49</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567</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10.4</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568</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9.7</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569</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12.4</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0</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0</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570</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6.7</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56</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14.2</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7.2</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17.1</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27</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47</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16.7</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31</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575</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14.6</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26</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28</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576</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38.3</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23</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72</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577</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16.6</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27</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36</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578</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56.2</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35</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102</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579</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15.5</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10</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580</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9.7</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21</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16</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581</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3.7</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9</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582</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17.1</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27</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47</w:t>
            </w:r>
          </w:p>
        </w:tc>
      </w:tr>
      <w:tr w:rsidR="005E52D2" w:rsidRPr="007226D7" w:rsidTr="00FD692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583</w:t>
            </w:r>
          </w:p>
        </w:tc>
        <w:tc>
          <w:tcPr>
            <w:tcW w:w="1701"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16.7</w:t>
            </w:r>
          </w:p>
        </w:tc>
        <w:tc>
          <w:tcPr>
            <w:tcW w:w="1559"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24</w:t>
            </w:r>
          </w:p>
        </w:tc>
        <w:tc>
          <w:tcPr>
            <w:tcW w:w="1200" w:type="dxa"/>
            <w:noWrap/>
            <w:vAlign w:val="bottom"/>
            <w:hideMark/>
          </w:tcPr>
          <w:p w:rsidR="005E52D2" w:rsidRPr="007226D7" w:rsidRDefault="005E52D2" w:rsidP="005E52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ajorEastAsia" w:cs="Arial"/>
                <w:bCs/>
                <w:color w:val="171717"/>
                <w:sz w:val="18"/>
                <w:szCs w:val="18"/>
              </w:rPr>
            </w:pPr>
            <w:r w:rsidRPr="007226D7">
              <w:rPr>
                <w:rFonts w:eastAsiaTheme="majorEastAsia" w:cs="Arial"/>
                <w:bCs/>
                <w:color w:val="171717"/>
                <w:sz w:val="18"/>
                <w:szCs w:val="18"/>
              </w:rPr>
              <w:t>31</w:t>
            </w:r>
          </w:p>
        </w:tc>
      </w:tr>
      <w:tr w:rsidR="005E52D2" w:rsidRPr="007226D7" w:rsidTr="00FD692F">
        <w:trPr>
          <w:cnfStyle w:val="000000010000" w:firstRow="0" w:lastRow="0" w:firstColumn="0" w:lastColumn="0" w:oddVBand="0" w:evenVBand="0" w:oddHBand="0" w:evenHBand="1"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668" w:type="dxa"/>
            <w:noWrap/>
            <w:vAlign w:val="bottom"/>
            <w:hideMark/>
          </w:tcPr>
          <w:p w:rsidR="005E52D2" w:rsidRPr="007226D7" w:rsidRDefault="005E52D2" w:rsidP="005E52D2">
            <w:pPr>
              <w:spacing w:after="0" w:line="240" w:lineRule="auto"/>
              <w:jc w:val="center"/>
              <w:rPr>
                <w:rFonts w:cs="Arial"/>
                <w:color w:val="171717"/>
                <w:sz w:val="18"/>
                <w:szCs w:val="18"/>
              </w:rPr>
            </w:pPr>
            <w:r w:rsidRPr="007226D7">
              <w:rPr>
                <w:rFonts w:cs="Arial"/>
                <w:color w:val="171717"/>
                <w:sz w:val="18"/>
                <w:szCs w:val="18"/>
              </w:rPr>
              <w:t>584</w:t>
            </w:r>
          </w:p>
        </w:tc>
        <w:tc>
          <w:tcPr>
            <w:tcW w:w="1701"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20.8</w:t>
            </w:r>
          </w:p>
        </w:tc>
        <w:tc>
          <w:tcPr>
            <w:tcW w:w="1559"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18</w:t>
            </w:r>
          </w:p>
        </w:tc>
        <w:tc>
          <w:tcPr>
            <w:tcW w:w="1200" w:type="dxa"/>
            <w:noWrap/>
            <w:vAlign w:val="bottom"/>
            <w:hideMark/>
          </w:tcPr>
          <w:p w:rsidR="005E52D2" w:rsidRPr="007226D7" w:rsidRDefault="005E52D2" w:rsidP="005E52D2">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Arial"/>
                <w:color w:val="171717"/>
                <w:sz w:val="18"/>
                <w:szCs w:val="18"/>
              </w:rPr>
            </w:pPr>
            <w:r w:rsidRPr="007226D7">
              <w:rPr>
                <w:rFonts w:cs="Arial"/>
                <w:color w:val="171717"/>
                <w:sz w:val="18"/>
                <w:szCs w:val="18"/>
              </w:rPr>
              <w:t>26</w:t>
            </w:r>
          </w:p>
        </w:tc>
      </w:tr>
    </w:tbl>
    <w:p w:rsidR="00F2075F" w:rsidRPr="007226D7" w:rsidRDefault="00F2075F" w:rsidP="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F2075F" w:rsidRPr="007226D7" w:rsidRDefault="00F2075F">
      <w:pPr>
        <w:spacing w:after="0" w:line="240" w:lineRule="auto"/>
        <w:jc w:val="left"/>
        <w:rPr>
          <w:lang w:val="es-ES"/>
        </w:rPr>
      </w:pPr>
    </w:p>
    <w:p w:rsidR="006C2BB9" w:rsidRPr="007226D7" w:rsidRDefault="006C2BB9">
      <w:pPr>
        <w:spacing w:after="0" w:line="240" w:lineRule="auto"/>
        <w:jc w:val="left"/>
        <w:rPr>
          <w:lang w:val="es-ES"/>
        </w:rPr>
      </w:pPr>
    </w:p>
    <w:p w:rsidR="006C2BB9" w:rsidRPr="007226D7" w:rsidRDefault="006C2BB9">
      <w:pPr>
        <w:spacing w:after="0" w:line="240" w:lineRule="auto"/>
        <w:jc w:val="left"/>
        <w:rPr>
          <w:lang w:val="es-ES"/>
        </w:rPr>
        <w:sectPr w:rsidR="006C2BB9" w:rsidRPr="007226D7" w:rsidSect="00616C7B">
          <w:pgSz w:w="16840" w:h="11907" w:orient="landscape" w:code="9"/>
          <w:pgMar w:top="1418" w:right="1985" w:bottom="1134" w:left="1701" w:header="720" w:footer="833" w:gutter="0"/>
          <w:paperSrc w:first="15" w:other="15"/>
          <w:cols w:num="2" w:space="720"/>
          <w:docGrid w:linePitch="299"/>
        </w:sectPr>
      </w:pPr>
    </w:p>
    <w:p w:rsidR="008A37E4" w:rsidRPr="007226D7" w:rsidRDefault="008A37E4" w:rsidP="00BB081C">
      <w:pPr>
        <w:pStyle w:val="Heading4"/>
        <w:rPr>
          <w:lang w:val="es-ES"/>
        </w:rPr>
      </w:pPr>
      <w:r w:rsidRPr="007226D7">
        <w:rPr>
          <w:lang w:val="es-ES"/>
        </w:rPr>
        <w:lastRenderedPageBreak/>
        <w:t>Diagn</w:t>
      </w:r>
      <w:r w:rsidR="006D76EB" w:rsidRPr="007226D7">
        <w:rPr>
          <w:lang w:val="es-ES"/>
        </w:rPr>
        <w:t>ó</w:t>
      </w:r>
      <w:r w:rsidRPr="007226D7">
        <w:rPr>
          <w:lang w:val="es-ES"/>
        </w:rPr>
        <w:t>stico Transporte Urbano- Obsolescencia del parque automotor</w:t>
      </w:r>
      <w:bookmarkEnd w:id="47"/>
      <w:bookmarkEnd w:id="48"/>
      <w:bookmarkEnd w:id="49"/>
    </w:p>
    <w:p w:rsidR="008A37E4" w:rsidRPr="007226D7" w:rsidRDefault="008A37E4" w:rsidP="008A37E4">
      <w:pPr>
        <w:rPr>
          <w:lang w:val="es-ES"/>
        </w:rPr>
      </w:pPr>
      <w:r w:rsidRPr="007226D7">
        <w:rPr>
          <w:lang w:val="es-ES"/>
        </w:rPr>
        <w:t xml:space="preserve">A noviembre del 2010, existían en Lima Metropolitana alrededor de 25,874 vehículos de transporte urbano regular, de los cuales 3,631 son ómnibus, 10,962 son microbuses y 11,281 son camionetas rurales o combis que tienen poca capacidad. De estos, la mayoría cuenta con una antigüedad promedio similar, las cuales se distinguen por los tipos de vehículos, así para el ómnibus es de 20 años, el del microbús 18 años, el de un </w:t>
      </w:r>
      <w:r w:rsidR="000B2336" w:rsidRPr="007226D7">
        <w:rPr>
          <w:lang w:val="es-ES"/>
        </w:rPr>
        <w:t>vehículo</w:t>
      </w:r>
      <w:r w:rsidRPr="007226D7">
        <w:rPr>
          <w:lang w:val="es-ES"/>
        </w:rPr>
        <w:t xml:space="preserve"> tipo combi 15 años.</w:t>
      </w:r>
    </w:p>
    <w:p w:rsidR="008A37E4" w:rsidRPr="007226D7" w:rsidRDefault="008A37E4" w:rsidP="008A37E4">
      <w:pPr>
        <w:rPr>
          <w:lang w:val="es-ES"/>
        </w:rPr>
      </w:pPr>
      <w:r w:rsidRPr="007226D7">
        <w:rPr>
          <w:lang w:val="es-ES"/>
        </w:rPr>
        <w:t xml:space="preserve">Esta antigüedad, comparada con promedios de otras ciudades es mucho mayor, por ejemplo, en el caso de Santiago de Chile se ha establecido como medida de antigüedad el kilometraje recorrido, el cual debe ser 1 000 000 de kilómetros como máximo, lo que en promedio resultaría en 10 o 12 años; y en el caso de Buenos Aires durante el 2006 el promedio de su parque automotor fue de 8,3 </w:t>
      </w:r>
      <w:proofErr w:type="gramStart"/>
      <w:r w:rsidRPr="007226D7">
        <w:rPr>
          <w:lang w:val="es-ES"/>
        </w:rPr>
        <w:t>años ,</w:t>
      </w:r>
      <w:proofErr w:type="gramEnd"/>
      <w:r w:rsidRPr="007226D7">
        <w:rPr>
          <w:lang w:val="es-ES"/>
        </w:rPr>
        <w:t xml:space="preserve"> en ambos casos, cifras muy por debajo de los vehículos de transporte urbano de Lima.</w:t>
      </w:r>
    </w:p>
    <w:p w:rsidR="008A37E4" w:rsidRPr="007226D7" w:rsidRDefault="008A37E4" w:rsidP="008A37E4">
      <w:pPr>
        <w:rPr>
          <w:lang w:val="es-ES"/>
        </w:rPr>
      </w:pPr>
      <w:r w:rsidRPr="007226D7">
        <w:rPr>
          <w:lang w:val="es-ES"/>
        </w:rPr>
        <w:t>El 84% de la flota que opera en Lima tiene más de 15 años de antigüedad; es decir, si se hiciera efectivo lo dispuesto por el DS – 017-2009-MTC, el cual establece una antigüedad máxima de 15 años para los vehículos de transporte público de personas, Lima se quedaría prácticamente sin servicio.</w:t>
      </w:r>
    </w:p>
    <w:p w:rsidR="008A37E4" w:rsidRPr="007226D7" w:rsidRDefault="008A37E4" w:rsidP="008A37E4">
      <w:pPr>
        <w:rPr>
          <w:lang w:val="es-ES"/>
        </w:rPr>
      </w:pPr>
      <w:r w:rsidRPr="007226D7">
        <w:rPr>
          <w:lang w:val="es-ES"/>
        </w:rPr>
        <w:t>Otra característica del servicio es lo inadecuado de su tecnología vehicular. El 40% de la oferta del servicio se realiza en Camionetas Rurales, cuya capacidad máxima de transporte es de 16 pasajeros, mientras que sólo el 15% se realiza en omnibuses.</w:t>
      </w:r>
    </w:p>
    <w:p w:rsidR="008A37E4" w:rsidRPr="007226D7" w:rsidRDefault="008A37E4" w:rsidP="008A37E4">
      <w:pPr>
        <w:rPr>
          <w:lang w:val="es-ES"/>
        </w:rPr>
      </w:pPr>
    </w:p>
    <w:p w:rsidR="008A37E4" w:rsidRPr="007226D7" w:rsidRDefault="008A37E4" w:rsidP="008A37E4">
      <w:pPr>
        <w:jc w:val="center"/>
        <w:rPr>
          <w:lang w:val="es-ES"/>
        </w:rPr>
      </w:pPr>
      <w:r w:rsidRPr="007226D7">
        <w:rPr>
          <w:lang w:val="es-ES"/>
        </w:rPr>
        <w:t>Tabla 3.1-</w:t>
      </w:r>
      <w:r w:rsidR="006A75F8" w:rsidRPr="007226D7">
        <w:rPr>
          <w:lang w:val="es-ES"/>
        </w:rPr>
        <w:t>77</w:t>
      </w:r>
      <w:r w:rsidRPr="007226D7">
        <w:rPr>
          <w:lang w:val="es-ES"/>
        </w:rPr>
        <w:t xml:space="preserve"> - Antigüedad de la Flota por tipo de Vehículo en Lima Metropolitana</w:t>
      </w:r>
    </w:p>
    <w:p w:rsidR="008A37E4" w:rsidRPr="007226D7" w:rsidRDefault="008A37E4" w:rsidP="008A37E4">
      <w:pPr>
        <w:jc w:val="center"/>
      </w:pPr>
      <w:r w:rsidRPr="007226D7">
        <w:rPr>
          <w:noProof/>
          <w:lang w:val="en-US" w:eastAsia="en-US"/>
        </w:rPr>
        <w:drawing>
          <wp:inline distT="0" distB="0" distL="0" distR="0" wp14:anchorId="725A59C0" wp14:editId="0F3217CF">
            <wp:extent cx="5295900" cy="2095248"/>
            <wp:effectExtent l="0" t="0" r="0" b="0"/>
            <wp:docPr id="75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5314092" cy="2102445"/>
                    </a:xfrm>
                    <a:prstGeom prst="rect">
                      <a:avLst/>
                    </a:prstGeom>
                    <a:noFill/>
                    <a:ln w="9525">
                      <a:noFill/>
                      <a:miter lim="800000"/>
                      <a:headEnd/>
                      <a:tailEnd/>
                    </a:ln>
                  </pic:spPr>
                </pic:pic>
              </a:graphicData>
            </a:graphic>
          </wp:inline>
        </w:drawing>
      </w:r>
    </w:p>
    <w:p w:rsidR="008A37E4" w:rsidRPr="007226D7" w:rsidRDefault="008A37E4" w:rsidP="008A37E4"/>
    <w:p w:rsidR="008A37E4" w:rsidRPr="007226D7" w:rsidRDefault="008A37E4" w:rsidP="008A37E4">
      <w:pPr>
        <w:pStyle w:val="FootnoteText"/>
        <w:rPr>
          <w:rFonts w:ascii="Arial" w:hAnsi="Arial" w:cs="Arial"/>
          <w:szCs w:val="18"/>
          <w:lang w:val="es-ES"/>
        </w:rPr>
      </w:pPr>
      <w:r w:rsidRPr="007226D7">
        <w:rPr>
          <w:rStyle w:val="FootnoteReference"/>
          <w:rFonts w:ascii="Arial" w:hAnsi="Arial" w:cs="Arial"/>
          <w:szCs w:val="18"/>
        </w:rPr>
        <w:footnoteRef/>
      </w:r>
      <w:r w:rsidRPr="007226D7">
        <w:rPr>
          <w:rFonts w:ascii="Arial" w:hAnsi="Arial" w:cs="Arial"/>
          <w:szCs w:val="18"/>
          <w:lang w:val="es-ES"/>
        </w:rPr>
        <w:t xml:space="preserve"> Información obtenida del Boletín Informativo de la Defensoría del Pueblo “En Lima ocurre casi el 60% de los accidentes de tránsito del país” 28 de noviembre del 2008</w:t>
      </w:r>
    </w:p>
    <w:p w:rsidR="008A37E4" w:rsidRPr="007226D7" w:rsidRDefault="008A37E4" w:rsidP="008A37E4">
      <w:pPr>
        <w:pStyle w:val="FootnoteText"/>
        <w:rPr>
          <w:rFonts w:ascii="Arial" w:hAnsi="Arial" w:cs="Arial"/>
          <w:szCs w:val="18"/>
          <w:lang w:val="es-ES"/>
        </w:rPr>
      </w:pPr>
      <w:r w:rsidRPr="007226D7">
        <w:rPr>
          <w:rStyle w:val="FootnoteReference"/>
          <w:rFonts w:ascii="Arial" w:hAnsi="Arial" w:cs="Arial"/>
          <w:szCs w:val="18"/>
          <w:lang w:val="es-ES"/>
        </w:rPr>
        <w:t>2</w:t>
      </w:r>
      <w:r w:rsidRPr="007226D7">
        <w:rPr>
          <w:rFonts w:ascii="Arial" w:hAnsi="Arial" w:cs="Arial"/>
          <w:szCs w:val="18"/>
          <w:lang w:val="es-ES"/>
        </w:rPr>
        <w:t xml:space="preserve"> Sin embargo, según la Gerencia de Transporte Urbano de la Municipalidad de </w:t>
      </w:r>
      <w:proofErr w:type="gramStart"/>
      <w:r w:rsidRPr="007226D7">
        <w:rPr>
          <w:rFonts w:ascii="Arial" w:hAnsi="Arial" w:cs="Arial"/>
          <w:szCs w:val="18"/>
          <w:lang w:val="es-ES"/>
        </w:rPr>
        <w:t>Lima(</w:t>
      </w:r>
      <w:proofErr w:type="gramEnd"/>
      <w:r w:rsidRPr="007226D7">
        <w:rPr>
          <w:rFonts w:ascii="Arial" w:hAnsi="Arial" w:cs="Arial"/>
          <w:szCs w:val="18"/>
          <w:lang w:val="es-ES"/>
        </w:rPr>
        <w:t>, el promedio de los vehículos de transporte es de 14 años . Informe Defensorial Nº 137 pág. 172</w:t>
      </w:r>
    </w:p>
    <w:p w:rsidR="008A37E4" w:rsidRPr="007226D7" w:rsidRDefault="008A37E4" w:rsidP="008A37E4">
      <w:pPr>
        <w:rPr>
          <w:rFonts w:cs="Arial"/>
          <w:sz w:val="18"/>
          <w:szCs w:val="18"/>
          <w:lang w:val="es-ES"/>
        </w:rPr>
      </w:pPr>
      <w:r w:rsidRPr="007226D7">
        <w:rPr>
          <w:rStyle w:val="FootnoteReference"/>
          <w:rFonts w:cs="Arial"/>
          <w:sz w:val="18"/>
          <w:szCs w:val="18"/>
          <w:lang w:val="es-ES"/>
        </w:rPr>
        <w:t>3</w:t>
      </w:r>
      <w:r w:rsidRPr="007226D7">
        <w:rPr>
          <w:rFonts w:cs="Arial"/>
          <w:sz w:val="18"/>
          <w:szCs w:val="18"/>
          <w:lang w:val="es-ES"/>
        </w:rPr>
        <w:t xml:space="preserve"> Durante el periodo de 1990 al 2006, los años promedio han fluctuado entre 6,5 y 8,3 años. – Informe Defensorial Nº 137 pág. 172</w:t>
      </w:r>
    </w:p>
    <w:p w:rsidR="00D20F1B" w:rsidRPr="007226D7" w:rsidRDefault="00D20F1B" w:rsidP="00BB081C">
      <w:pPr>
        <w:pStyle w:val="Heading3"/>
        <w:rPr>
          <w:lang w:val="es-ES"/>
        </w:rPr>
      </w:pPr>
      <w:bookmarkStart w:id="50" w:name="_Toc341644993"/>
      <w:bookmarkStart w:id="51" w:name="_Toc346541913"/>
      <w:r w:rsidRPr="007226D7">
        <w:rPr>
          <w:lang w:val="es-ES"/>
        </w:rPr>
        <w:lastRenderedPageBreak/>
        <w:t>Análisis de vulnerabilidad (exposición, fragilidad y resiliencia)</w:t>
      </w:r>
      <w:bookmarkEnd w:id="50"/>
      <w:bookmarkEnd w:id="51"/>
    </w:p>
    <w:p w:rsidR="00D20F1B" w:rsidRPr="007226D7" w:rsidRDefault="00D20F1B" w:rsidP="00D20F1B">
      <w:pPr>
        <w:spacing w:after="0" w:line="240" w:lineRule="auto"/>
        <w:rPr>
          <w:lang w:val="es-ES"/>
        </w:rPr>
      </w:pPr>
      <w:r w:rsidRPr="007226D7">
        <w:rPr>
          <w:lang w:val="es-ES"/>
        </w:rPr>
        <w:t>Un Proyecto de Inversión Pública (PIP) se define como “toda intervención limitada en el tiempo que utiliza total o parcialmente recursos públicos, con el fin de crear, ampliar, mejorar, modernizar o recuperar la capacidad productora de bienes o servicios, cuyos beneficios se generan durante la vida útil del proyecto y son independientes de otros proyectos”.</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En el SNIP se plantean como requisitos para la declaración de viabilidad que los proyectos demuestren ser socialmente rentables, sostenibles, y que se enmarquen en las políticas sectoriales, regionales y/o locales.</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Cuando un PIP es afectado por un peligro, se genera la interrupción parcial o total del servicio que brinda el proyecto, gastos en rehabilitación y/o reconstrucción y pérdidas económicas, físicas y/o sociales para los usuarios. Como consecuencia de esta situación, los beneficios son menores a los previstos y los costos mayores a los inicialmente planificados, todo lo cual afecta negativamente la rentabilidad social de proyecto.</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Más aún, al interrumpirse los servicios, se estarían afectando la sostenibilidad del mismo, en términos de los beneficios que brinda.</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De esta forma, cuando en un proyecto no se analiza el riesgo y no se adoptan medidas para evitar su vulnerabilidad, es probable que dicha inversión no cumpla con las condiciones establecidas en el SNIP para el otorgamiento de su declaratoria de viabilidad.</w:t>
      </w:r>
      <w:r w:rsidRPr="007226D7">
        <w:rPr>
          <w:lang w:val="es-ES"/>
        </w:rPr>
        <w:cr/>
      </w:r>
    </w:p>
    <w:p w:rsidR="00D20F1B" w:rsidRPr="007226D7" w:rsidRDefault="00D20F1B" w:rsidP="00BB081C">
      <w:pPr>
        <w:pStyle w:val="Heading4"/>
      </w:pPr>
      <w:bookmarkStart w:id="52" w:name="_Toc341642827"/>
      <w:bookmarkStart w:id="53" w:name="_Toc341644636"/>
      <w:bookmarkStart w:id="54" w:name="_Toc341644994"/>
      <w:r w:rsidRPr="007226D7">
        <w:t>Análisis de Riesgo</w:t>
      </w:r>
      <w:bookmarkEnd w:id="52"/>
      <w:bookmarkEnd w:id="53"/>
      <w:bookmarkEnd w:id="54"/>
    </w:p>
    <w:p w:rsidR="00D20F1B" w:rsidRPr="007226D7" w:rsidRDefault="00D20F1B" w:rsidP="00D20F1B">
      <w:pPr>
        <w:autoSpaceDE w:val="0"/>
        <w:autoSpaceDN w:val="0"/>
        <w:adjustRightInd w:val="0"/>
        <w:spacing w:after="0" w:line="240" w:lineRule="auto"/>
        <w:rPr>
          <w:rFonts w:cs="Arial"/>
          <w:lang w:val="es-ES"/>
        </w:rPr>
      </w:pPr>
      <w:r w:rsidRPr="007226D7">
        <w:rPr>
          <w:rFonts w:cs="Arial"/>
          <w:lang w:val="es-ES"/>
        </w:rPr>
        <w:t xml:space="preserve">El </w:t>
      </w:r>
      <w:r w:rsidRPr="007226D7">
        <w:rPr>
          <w:rFonts w:cs="Arial"/>
          <w:i/>
          <w:iCs/>
          <w:lang w:val="es-ES"/>
        </w:rPr>
        <w:t xml:space="preserve">riesgo </w:t>
      </w:r>
      <w:r w:rsidRPr="007226D7">
        <w:rPr>
          <w:rFonts w:cs="Arial"/>
          <w:lang w:val="es-ES"/>
        </w:rPr>
        <w:t xml:space="preserve">se define como la </w:t>
      </w:r>
      <w:r w:rsidRPr="007226D7">
        <w:rPr>
          <w:rFonts w:cs="Arial"/>
          <w:b/>
          <w:bCs/>
          <w:lang w:val="es-ES"/>
        </w:rPr>
        <w:t xml:space="preserve">“la probabilidad de que la unidad social o sus medios de vida sufran daños y pérdidas a consecuencia del impacto de un peligro” </w:t>
      </w:r>
      <w:r w:rsidRPr="007226D7">
        <w:rPr>
          <w:rFonts w:cs="Arial"/>
          <w:lang w:val="es-ES"/>
        </w:rPr>
        <w:t xml:space="preserve">(MEF, 2006). El riesgo es función de un </w:t>
      </w:r>
      <w:r w:rsidRPr="007226D7">
        <w:rPr>
          <w:rFonts w:cs="Arial"/>
          <w:i/>
          <w:iCs/>
          <w:lang w:val="es-ES"/>
        </w:rPr>
        <w:t xml:space="preserve">peligro </w:t>
      </w:r>
      <w:r w:rsidRPr="007226D7">
        <w:rPr>
          <w:rFonts w:cs="Arial"/>
          <w:lang w:val="es-ES"/>
        </w:rPr>
        <w:t xml:space="preserve">o </w:t>
      </w:r>
      <w:r w:rsidRPr="007226D7">
        <w:rPr>
          <w:rFonts w:cs="Arial"/>
          <w:i/>
          <w:iCs/>
          <w:lang w:val="es-ES"/>
        </w:rPr>
        <w:t>amenaza</w:t>
      </w:r>
      <w:r w:rsidRPr="007226D7">
        <w:rPr>
          <w:rFonts w:cs="Arial"/>
          <w:lang w:val="es-ES"/>
        </w:rPr>
        <w:t xml:space="preserve"> que tiene unas determinadas características, y de la </w:t>
      </w:r>
      <w:r w:rsidRPr="007226D7">
        <w:rPr>
          <w:rFonts w:cs="Arial"/>
          <w:i/>
          <w:iCs/>
          <w:lang w:val="es-ES"/>
        </w:rPr>
        <w:t xml:space="preserve">vulnerabilidad </w:t>
      </w:r>
      <w:r w:rsidRPr="007226D7">
        <w:rPr>
          <w:rFonts w:cs="Arial"/>
          <w:lang w:val="es-ES"/>
        </w:rPr>
        <w:t>de una unidad social (personas, familias, comunidad, sociedad), estructura física o actividad económica, a dicho peligro. Esto quiere decir que el riesgo es una función de ambos componentes:</w:t>
      </w:r>
    </w:p>
    <w:p w:rsidR="00D20F1B" w:rsidRPr="007226D7" w:rsidRDefault="00D20F1B" w:rsidP="00D20F1B">
      <w:pPr>
        <w:autoSpaceDE w:val="0"/>
        <w:autoSpaceDN w:val="0"/>
        <w:adjustRightInd w:val="0"/>
        <w:spacing w:after="0" w:line="240" w:lineRule="auto"/>
        <w:rPr>
          <w:rFonts w:cs="Arial"/>
          <w:b/>
          <w:bCs/>
          <w:lang w:val="es-ES"/>
        </w:rPr>
      </w:pPr>
    </w:p>
    <w:p w:rsidR="00D20F1B" w:rsidRPr="007226D7" w:rsidRDefault="00D20F1B" w:rsidP="00D20F1B">
      <w:pPr>
        <w:autoSpaceDE w:val="0"/>
        <w:autoSpaceDN w:val="0"/>
        <w:adjustRightInd w:val="0"/>
        <w:spacing w:after="0" w:line="240" w:lineRule="auto"/>
        <w:jc w:val="center"/>
        <w:rPr>
          <w:rFonts w:cs="Arial"/>
          <w:b/>
          <w:bCs/>
          <w:lang w:val="es-ES"/>
        </w:rPr>
      </w:pPr>
      <w:r w:rsidRPr="007226D7">
        <w:rPr>
          <w:rFonts w:cs="Arial"/>
          <w:b/>
          <w:bCs/>
          <w:lang w:val="es-ES"/>
        </w:rPr>
        <w:t xml:space="preserve">Riesgo = </w:t>
      </w:r>
      <w:proofErr w:type="gramStart"/>
      <w:r w:rsidRPr="007226D7">
        <w:rPr>
          <w:rFonts w:cs="Arial"/>
          <w:b/>
          <w:bCs/>
          <w:lang w:val="es-ES"/>
        </w:rPr>
        <w:t>f(</w:t>
      </w:r>
      <w:proofErr w:type="gramEnd"/>
      <w:r w:rsidRPr="007226D7">
        <w:rPr>
          <w:rFonts w:cs="Arial"/>
          <w:b/>
          <w:bCs/>
          <w:lang w:val="es-ES"/>
        </w:rPr>
        <w:t>peligro, vulnerabilidad)</w:t>
      </w:r>
    </w:p>
    <w:p w:rsidR="00D20F1B" w:rsidRPr="007226D7" w:rsidRDefault="00D20F1B" w:rsidP="00D20F1B">
      <w:pPr>
        <w:autoSpaceDE w:val="0"/>
        <w:autoSpaceDN w:val="0"/>
        <w:adjustRightInd w:val="0"/>
        <w:spacing w:after="0" w:line="240" w:lineRule="auto"/>
        <w:rPr>
          <w:rFonts w:cs="Arial"/>
          <w:b/>
          <w:bCs/>
          <w:lang w:val="es-ES"/>
        </w:rPr>
      </w:pPr>
    </w:p>
    <w:p w:rsidR="00D20F1B" w:rsidRPr="007226D7" w:rsidRDefault="00D20F1B" w:rsidP="00D20F1B">
      <w:pPr>
        <w:autoSpaceDE w:val="0"/>
        <w:autoSpaceDN w:val="0"/>
        <w:adjustRightInd w:val="0"/>
        <w:spacing w:after="0" w:line="240" w:lineRule="auto"/>
        <w:rPr>
          <w:rFonts w:cs="Arial"/>
          <w:lang w:val="es-ES"/>
        </w:rPr>
      </w:pPr>
      <w:r w:rsidRPr="007226D7">
        <w:rPr>
          <w:rFonts w:cs="Arial"/>
          <w:lang w:val="es-ES"/>
        </w:rPr>
        <w:t>La relación es positiva en ambos casos: a mayor peligro (intensidad, multiplicidad, frecuencia), mayor riesgo; y a mayor vulnerabilidad -que se explica por tres factores: mayor exposición, mayor fragilidad o menor resiliencia mayor riesgo, es decir, que la probabilidad de daños y/o pérdidas sea mayor. El nivel de riesgo se caracteriza por ser dinámico y cambiante, de acuerdo con las variaciones que sufren sus dos componentes (peligro y vulnerabilidad) en el tiempo, en el territorio, en el ambiente y en la sociedad. La tarea consiste en reducir el nivel de riesgo, logrando que no se activen nuevos peligros, no se generen nuevas condiciones de vulnerabilidad o se reduzcan las vulnerabilidades existentes (MEF, 2006).</w:t>
      </w:r>
    </w:p>
    <w:p w:rsidR="00D20F1B" w:rsidRPr="007226D7" w:rsidRDefault="00D20F1B" w:rsidP="00D20F1B">
      <w:pPr>
        <w:autoSpaceDE w:val="0"/>
        <w:autoSpaceDN w:val="0"/>
        <w:adjustRightInd w:val="0"/>
        <w:spacing w:after="0" w:line="240" w:lineRule="auto"/>
        <w:rPr>
          <w:rFonts w:cs="Arial"/>
          <w:lang w:val="es-ES"/>
        </w:rPr>
      </w:pPr>
    </w:p>
    <w:p w:rsidR="00D20F1B" w:rsidRPr="007226D7" w:rsidRDefault="00D20F1B" w:rsidP="00D20F1B">
      <w:pPr>
        <w:spacing w:after="0" w:line="240" w:lineRule="auto"/>
        <w:rPr>
          <w:rFonts w:cs="Arial"/>
          <w:lang w:val="es-ES"/>
        </w:rPr>
      </w:pPr>
      <w:r w:rsidRPr="007226D7">
        <w:rPr>
          <w:rFonts w:cs="Arial"/>
          <w:lang w:val="es-ES"/>
        </w:rPr>
        <w:t>A continuación se analizan las características de los peligros y la vulnerabilidad que explican el riesgo.</w:t>
      </w:r>
    </w:p>
    <w:p w:rsidR="00D20F1B" w:rsidRPr="007226D7" w:rsidRDefault="00D20F1B" w:rsidP="00D20F1B">
      <w:pPr>
        <w:spacing w:after="0" w:line="240" w:lineRule="auto"/>
        <w:rPr>
          <w:lang w:val="es-ES"/>
        </w:rPr>
      </w:pPr>
    </w:p>
    <w:p w:rsidR="00D20F1B" w:rsidRPr="007226D7" w:rsidRDefault="00D20F1B" w:rsidP="00D20F1B">
      <w:pPr>
        <w:autoSpaceDE w:val="0"/>
        <w:autoSpaceDN w:val="0"/>
        <w:adjustRightInd w:val="0"/>
        <w:spacing w:after="0" w:line="240" w:lineRule="auto"/>
        <w:rPr>
          <w:rFonts w:cs="Arial"/>
          <w:b/>
          <w:bCs/>
          <w:lang w:val="es-ES"/>
        </w:rPr>
      </w:pPr>
      <w:r w:rsidRPr="007226D7">
        <w:rPr>
          <w:rFonts w:cs="Arial"/>
          <w:b/>
          <w:bCs/>
          <w:lang w:val="es-ES"/>
        </w:rPr>
        <w:t>Peligro o amenaza</w:t>
      </w:r>
    </w:p>
    <w:p w:rsidR="00D20F1B" w:rsidRPr="007226D7" w:rsidRDefault="00D20F1B" w:rsidP="00D20F1B">
      <w:pPr>
        <w:autoSpaceDE w:val="0"/>
        <w:autoSpaceDN w:val="0"/>
        <w:adjustRightInd w:val="0"/>
        <w:spacing w:after="0" w:line="240" w:lineRule="auto"/>
        <w:rPr>
          <w:rFonts w:cs="Arial"/>
          <w:lang w:val="es-ES"/>
        </w:rPr>
      </w:pPr>
      <w:r w:rsidRPr="007226D7">
        <w:rPr>
          <w:rFonts w:cs="Arial"/>
          <w:lang w:val="es-ES"/>
        </w:rPr>
        <w:t xml:space="preserve">El primer elemento que explica el nivel de riesgo es el </w:t>
      </w:r>
      <w:r w:rsidRPr="007226D7">
        <w:rPr>
          <w:rFonts w:cs="Arial"/>
          <w:b/>
          <w:bCs/>
          <w:lang w:val="es-ES"/>
        </w:rPr>
        <w:t>peligro</w:t>
      </w:r>
      <w:r w:rsidRPr="007226D7">
        <w:rPr>
          <w:rFonts w:cs="Arial"/>
          <w:lang w:val="es-ES"/>
        </w:rPr>
        <w:t xml:space="preserve">. Este es un evento físico que tiene probabilidad de ocurrir y por tanto de causar daños a una unidad social o económica. El fenómeno físico se puede presentar en un lugar específico, con una cierta intensidad y en un </w:t>
      </w:r>
      <w:r w:rsidRPr="007226D7">
        <w:rPr>
          <w:rFonts w:cs="Arial"/>
          <w:lang w:val="es-ES"/>
        </w:rPr>
        <w:lastRenderedPageBreak/>
        <w:t>período de tiempo definido. Así, el grado o nivel de peligro está definido en función de características como intensidad, localización, área de impacto, duración y período de recurrencia.</w:t>
      </w:r>
    </w:p>
    <w:p w:rsidR="00D20F1B" w:rsidRPr="007226D7" w:rsidRDefault="00D20F1B" w:rsidP="00D20F1B">
      <w:pPr>
        <w:spacing w:after="0" w:line="240" w:lineRule="auto"/>
        <w:rPr>
          <w:rFonts w:cs="Arial"/>
          <w:lang w:val="es-ES"/>
        </w:rPr>
      </w:pPr>
    </w:p>
    <w:p w:rsidR="00D20F1B" w:rsidRPr="007226D7" w:rsidRDefault="00D20F1B" w:rsidP="00D20F1B">
      <w:pPr>
        <w:autoSpaceDE w:val="0"/>
        <w:autoSpaceDN w:val="0"/>
        <w:adjustRightInd w:val="0"/>
        <w:spacing w:after="0" w:line="240" w:lineRule="auto"/>
        <w:rPr>
          <w:rFonts w:cs="Arial"/>
          <w:b/>
          <w:bCs/>
          <w:lang w:val="es-ES"/>
        </w:rPr>
      </w:pPr>
      <w:r w:rsidRPr="007226D7">
        <w:rPr>
          <w:rFonts w:cs="Arial"/>
          <w:b/>
          <w:bCs/>
          <w:lang w:val="es-ES"/>
        </w:rPr>
        <w:t>Vulnerabilidad</w:t>
      </w:r>
    </w:p>
    <w:p w:rsidR="00D20F1B" w:rsidRPr="007226D7" w:rsidRDefault="00D20F1B" w:rsidP="00D20F1B">
      <w:pPr>
        <w:autoSpaceDE w:val="0"/>
        <w:autoSpaceDN w:val="0"/>
        <w:adjustRightInd w:val="0"/>
        <w:spacing w:after="0" w:line="240" w:lineRule="auto"/>
        <w:rPr>
          <w:rFonts w:cs="Arial"/>
          <w:lang w:val="es-ES"/>
        </w:rPr>
      </w:pPr>
      <w:r w:rsidRPr="007226D7">
        <w:rPr>
          <w:rFonts w:cs="Arial"/>
          <w:lang w:val="es-ES"/>
        </w:rPr>
        <w:t xml:space="preserve">El segundo elemento que explica la condición de riesgo es la </w:t>
      </w:r>
      <w:r w:rsidRPr="007226D7">
        <w:rPr>
          <w:rFonts w:cs="Arial"/>
          <w:b/>
          <w:bCs/>
          <w:lang w:val="es-ES"/>
        </w:rPr>
        <w:t>vulnerabilidad</w:t>
      </w:r>
      <w:r w:rsidRPr="007226D7">
        <w:rPr>
          <w:rFonts w:cs="Arial"/>
          <w:lang w:val="es-ES"/>
        </w:rPr>
        <w:t>, la cual se entiende como la incapacidad de una unidad social (personas, familias, comunidad, sociedad), estructura física o actividad económica, de anticiparse, resistir y/o recuperarse de los daños que le ocasionaría la ocurrencia de un peligro o amenaza. La vulnerabilidad es, entre otros, el resultado de procesos de inapropiada ocupación del espacio y del inadecuado uso de los recursos naturales (suelo, agua, biodiversidad, entre otros) y la aplicación de estilos o modelos de desarrollo inapropiados, que afectan negativamente las posibilidades de un desarrollo sostenible.</w:t>
      </w:r>
    </w:p>
    <w:p w:rsidR="00D20F1B" w:rsidRPr="007226D7" w:rsidRDefault="00D20F1B" w:rsidP="00D20F1B">
      <w:pPr>
        <w:spacing w:after="0" w:line="240" w:lineRule="auto"/>
        <w:ind w:left="708"/>
        <w:rPr>
          <w:rFonts w:cs="Arial"/>
          <w:lang w:val="es-ES"/>
        </w:rPr>
      </w:pPr>
    </w:p>
    <w:p w:rsidR="00D20F1B" w:rsidRPr="007226D7" w:rsidRDefault="00D20F1B" w:rsidP="00D20F1B">
      <w:pPr>
        <w:rPr>
          <w:lang w:val="es-ES"/>
        </w:rPr>
      </w:pPr>
      <w:r w:rsidRPr="007226D7">
        <w:rPr>
          <w:rFonts w:cs="Arial"/>
          <w:lang w:val="es-ES"/>
        </w:rPr>
        <w:t>A continuación se describen los principales peligros.</w:t>
      </w:r>
    </w:p>
    <w:p w:rsidR="00D20F1B" w:rsidRPr="007226D7" w:rsidRDefault="00D20F1B" w:rsidP="00BB081C">
      <w:pPr>
        <w:pStyle w:val="Heading5"/>
      </w:pPr>
      <w:bookmarkStart w:id="55" w:name="_Toc341644995"/>
      <w:r w:rsidRPr="007226D7">
        <w:t>Riesgo Sísmico</w:t>
      </w:r>
      <w:bookmarkEnd w:id="55"/>
    </w:p>
    <w:p w:rsidR="00D20F1B" w:rsidRPr="007226D7" w:rsidRDefault="00D20F1B" w:rsidP="00D20F1B">
      <w:pPr>
        <w:spacing w:after="0" w:line="240" w:lineRule="auto"/>
        <w:rPr>
          <w:rFonts w:cs="Arial"/>
          <w:lang w:val="es-ES" w:eastAsia="el-GR"/>
        </w:rPr>
      </w:pPr>
      <w:r w:rsidRPr="007226D7">
        <w:rPr>
          <w:rFonts w:cs="Arial"/>
          <w:lang w:val="es-ES" w:eastAsia="el-GR"/>
        </w:rPr>
        <w:t xml:space="preserve">De acuerdo a los estudios previos básicos se determinaron los niveles de la actividad sísmica que ocurre dentro del área de influencia sísmica y las aceleraciones que pueden presentarse y el riesgo de éstas a lo largo de la línea 2 y la línea 4. Inicialmente, se ha efectuado un análisis y completado los catálogos sísmicos existentes, además se efectuó a </w:t>
      </w:r>
      <w:proofErr w:type="gramStart"/>
      <w:r w:rsidRPr="007226D7">
        <w:rPr>
          <w:rFonts w:cs="Arial"/>
          <w:lang w:val="es-ES" w:eastAsia="el-GR"/>
        </w:rPr>
        <w:t>revisión de informes sobre sismo tectónica, sismológicos y geológicos</w:t>
      </w:r>
      <w:proofErr w:type="gramEnd"/>
      <w:r w:rsidRPr="007226D7">
        <w:rPr>
          <w:rFonts w:cs="Arial"/>
          <w:lang w:val="es-ES" w:eastAsia="el-GR"/>
        </w:rPr>
        <w:t xml:space="preserve"> pertinentes.</w:t>
      </w:r>
    </w:p>
    <w:p w:rsidR="00D20F1B" w:rsidRPr="007226D7" w:rsidRDefault="00D20F1B" w:rsidP="00D20F1B">
      <w:pPr>
        <w:spacing w:after="0" w:line="240" w:lineRule="auto"/>
        <w:rPr>
          <w:rFonts w:cs="Arial"/>
          <w:lang w:val="es-ES" w:eastAsia="el-GR"/>
        </w:rPr>
      </w:pPr>
    </w:p>
    <w:p w:rsidR="00D20F1B" w:rsidRPr="007226D7" w:rsidRDefault="00D20F1B" w:rsidP="00D20F1B">
      <w:pPr>
        <w:spacing w:after="0" w:line="240" w:lineRule="auto"/>
        <w:rPr>
          <w:rFonts w:cs="Arial"/>
          <w:b/>
          <w:lang w:val="es-ES"/>
        </w:rPr>
      </w:pPr>
      <w:r w:rsidRPr="007226D7">
        <w:rPr>
          <w:rFonts w:cs="Arial"/>
          <w:lang w:val="es-ES"/>
        </w:rPr>
        <w:t xml:space="preserve">En las obras civiles en la Ciudad de Lima, dos son los temas  principales de análisis de evaluación de riesgos físicos por geodinámica interna. El primero referido a </w:t>
      </w:r>
      <w:r w:rsidRPr="007226D7">
        <w:rPr>
          <w:rFonts w:cs="Arial"/>
          <w:b/>
          <w:lang w:val="es-ES"/>
        </w:rPr>
        <w:t>los riesgos por Potencialidad de Licuefacción</w:t>
      </w:r>
      <w:r w:rsidRPr="007226D7">
        <w:rPr>
          <w:rFonts w:cs="Arial"/>
          <w:lang w:val="es-ES"/>
        </w:rPr>
        <w:t xml:space="preserve"> y el segundo a los </w:t>
      </w:r>
      <w:r w:rsidRPr="007226D7">
        <w:rPr>
          <w:rFonts w:cs="Arial"/>
          <w:b/>
          <w:lang w:val="es-ES"/>
        </w:rPr>
        <w:t>riesgos por Potencialidad de Amplificación Sísmica</w:t>
      </w:r>
      <w:r w:rsidRPr="007226D7">
        <w:rPr>
          <w:rFonts w:cs="Arial"/>
          <w:lang w:val="es-ES"/>
        </w:rPr>
        <w:t xml:space="preserve">, ambos en caso de producirse sismos de escalas destructivas. En cuanto al Potencial de Licuefacción se circunscribe a áreas constituidas por suelos eólicos, lacustrinos y pantanosos en donde se depositaron suelos de arenas mal gradadas, limoarenas, limos, arcillas expansivas, con presencia de la napa freática cercana hacia la superficie, condiciones bajo las cuales durante los sismos se pueden producir asentamientos y hundimientos de obras civiles. Las áreas con tales características corresponden al sector Distrito de La Molina en el sector de Rinconada de Lago, y en el Litoral de los Distritos de Lurín, Chorrillos, el </w:t>
      </w:r>
      <w:r w:rsidRPr="007226D7">
        <w:rPr>
          <w:rFonts w:cs="Arial"/>
          <w:b/>
          <w:lang w:val="es-ES"/>
        </w:rPr>
        <w:t>Callao y Ventanilla.</w:t>
      </w:r>
    </w:p>
    <w:p w:rsidR="00D20F1B" w:rsidRPr="007226D7" w:rsidRDefault="00D20F1B" w:rsidP="00D20F1B">
      <w:pPr>
        <w:spacing w:after="0" w:line="240" w:lineRule="auto"/>
        <w:ind w:left="708"/>
        <w:rPr>
          <w:rFonts w:cs="Arial"/>
          <w:b/>
          <w:lang w:val="es-ES"/>
        </w:rPr>
      </w:pPr>
    </w:p>
    <w:p w:rsidR="00D20F1B" w:rsidRPr="007226D7" w:rsidRDefault="00D20F1B" w:rsidP="00D20F1B">
      <w:pPr>
        <w:rPr>
          <w:lang w:val="es-ES"/>
        </w:rPr>
      </w:pPr>
      <w:r w:rsidRPr="007226D7">
        <w:rPr>
          <w:rFonts w:cs="Arial"/>
          <w:lang w:val="es-ES"/>
        </w:rPr>
        <w:t xml:space="preserve">De acuerdo a lo señalado anteriormente, el área específica materia del estudio, se encuentra políticamente en el sector limítrofe entre los distritos de Lima Cercado, El Agustino y La Victoria, ubicándose en la parte central norte de la llanura aluvial o cono aluvial del Río Rímac, en el flanco izquierdo del valle, en donde los suelos preponderantes son de naturaleza conglomerádica granular, compuesta de cantos redondeados y gravas mal gradadas, de decenas de metros de espesor, con la napa freática en decenas de metros de profundidad, debe ser considerada exenta del </w:t>
      </w:r>
      <w:r w:rsidRPr="007226D7">
        <w:rPr>
          <w:rFonts w:cs="Arial"/>
          <w:b/>
          <w:lang w:val="es-ES"/>
        </w:rPr>
        <w:t>riesgo de licuefacción o licuación</w:t>
      </w:r>
      <w:r w:rsidRPr="007226D7">
        <w:rPr>
          <w:rFonts w:cs="Arial"/>
          <w:lang w:val="es-ES"/>
        </w:rPr>
        <w:t xml:space="preserve">. En relación al tema del </w:t>
      </w:r>
      <w:r w:rsidRPr="007226D7">
        <w:rPr>
          <w:rFonts w:cs="Arial"/>
          <w:b/>
          <w:lang w:val="es-ES"/>
        </w:rPr>
        <w:t>Potencial de Amplificación Sísmica</w:t>
      </w:r>
      <w:r w:rsidRPr="007226D7">
        <w:rPr>
          <w:rFonts w:cs="Arial"/>
          <w:lang w:val="es-ES"/>
        </w:rPr>
        <w:t xml:space="preserve">, aparte de otras consideraciones en los actuales estándares de estudios se deberá considerar las normas oficiales de  las Normas Peruanas de Diseño Sismorresistente y la nueva Norma Técnica E-30 que tienen carácter obligatorio. De acuerdo a la Zonificación Sísmica Nacional en dichas normas, el área específica materia del presente estudio ubicada entre los distritos de Lima Cercado y La Victoria, está dentro de la denominada ZONA 3 del país, de Sismicidad, que naturalmente engloba al Departamento de Lima y a Lima Metropolitana y la Provincia Constitucional del Callao. Esta Zona 3, por supuesto </w:t>
      </w:r>
      <w:r w:rsidRPr="007226D7">
        <w:rPr>
          <w:rFonts w:cs="Arial"/>
          <w:lang w:val="es-ES"/>
        </w:rPr>
        <w:lastRenderedPageBreak/>
        <w:t>incluye los afloramientos rocosos y estratos potentes de grava que conforman la llanura aluvial del Ríos Rímac. Los terrenos de la llanura aluvial del Río Rímac, compuestos de gravas y cantos rodados mal gradados (SUCS GP), de acuerdo a las Normas Peruanas de Diseño Sismorresistente son considerados suelos de comportamiento rígido durante los sismos, con períodos de vibración natural entre 0.1 y 0.3 segundos. El factor de amplificación sísmica por efecto local del suelo en esta zona es de S = 1.0 y el período natural del suelo es Tp= 0.4 segundos, correspondiendo a un Suelo Tipo 1 de la propia Norma.</w:t>
      </w:r>
    </w:p>
    <w:p w:rsidR="00D20F1B" w:rsidRPr="007226D7" w:rsidRDefault="00D20F1B" w:rsidP="00BB081C">
      <w:pPr>
        <w:pStyle w:val="Heading5"/>
      </w:pPr>
      <w:bookmarkStart w:id="56" w:name="_Toc341644996"/>
      <w:r w:rsidRPr="007226D7">
        <w:t>Riesgo de Inundaciones y Tsunamis</w:t>
      </w:r>
      <w:bookmarkEnd w:id="56"/>
    </w:p>
    <w:p w:rsidR="00D20F1B" w:rsidRPr="007226D7" w:rsidRDefault="00D20F1B" w:rsidP="00D20F1B">
      <w:pPr>
        <w:spacing w:after="0" w:line="240" w:lineRule="auto"/>
        <w:rPr>
          <w:rFonts w:cs="Arial"/>
          <w:lang w:val="es-ES"/>
        </w:rPr>
      </w:pPr>
      <w:r w:rsidRPr="007226D7">
        <w:rPr>
          <w:rFonts w:cs="Arial"/>
          <w:lang w:val="es-ES"/>
        </w:rPr>
        <w:t>En relación a los aspectos de geodinámica externa, con excepción del segmento correspondiente a las progresivas Km 5+700 - 6+700 de la Línea 4, ubicado en un sector de remota probabilidad de inundación del río Rímac, el área específica en donde se ubica el tramo de la línea 4, no presenta riesgo físico (con una excepción de tsunamis) alguno relacionado a eventos posibles de laderas y a fenómenos de geodinámica externa debido a los aspectos hidrológicos.</w:t>
      </w:r>
    </w:p>
    <w:p w:rsidR="00D20F1B" w:rsidRPr="007226D7" w:rsidRDefault="00D20F1B" w:rsidP="00D20F1B">
      <w:pPr>
        <w:spacing w:after="0" w:line="240" w:lineRule="auto"/>
        <w:rPr>
          <w:rFonts w:cs="Arial"/>
          <w:lang w:val="es-ES"/>
        </w:rPr>
      </w:pPr>
    </w:p>
    <w:p w:rsidR="00D20F1B" w:rsidRPr="007226D7" w:rsidRDefault="00D20F1B" w:rsidP="00D20F1B">
      <w:pPr>
        <w:spacing w:after="0" w:line="240" w:lineRule="auto"/>
        <w:rPr>
          <w:rFonts w:cs="Arial"/>
          <w:lang w:val="es-ES"/>
        </w:rPr>
      </w:pPr>
      <w:r w:rsidRPr="007226D7">
        <w:rPr>
          <w:rFonts w:cs="Arial"/>
          <w:lang w:val="es-ES"/>
        </w:rPr>
        <w:t xml:space="preserve">Con relación a los riesgos de tsunamis, según el mapa de procesos naturales por agentes externos </w:t>
      </w:r>
      <w:r w:rsidRPr="007226D7">
        <w:rPr>
          <w:rFonts w:cs="Arial"/>
          <w:b/>
          <w:lang w:val="es-ES"/>
        </w:rPr>
        <w:t>(inundación de tsunamis)</w:t>
      </w:r>
      <w:r w:rsidRPr="007226D7">
        <w:rPr>
          <w:rFonts w:cs="Arial"/>
          <w:lang w:val="es-ES"/>
        </w:rPr>
        <w:t xml:space="preserve"> de la ciudad de Lima Metropolitana y la Provincia Constitucional de Callao hay la posibilidad de inundación por tsunamis en las partes iniciales del tramo  de las líneas 2y 4 y especialmente entre las progresivas km 0+000 y km. 2+400 de la línea 2 y entre las progresivas km 0+000 y km. 3+200 de la línea 4 respectivamente.</w:t>
      </w:r>
    </w:p>
    <w:p w:rsidR="00D20F1B" w:rsidRPr="007226D7" w:rsidRDefault="00D20F1B" w:rsidP="00D20F1B">
      <w:pPr>
        <w:spacing w:after="0" w:line="240" w:lineRule="auto"/>
        <w:rPr>
          <w:rFonts w:cs="Arial"/>
          <w:b/>
          <w:lang w:val="es-ES" w:eastAsia="el-GR"/>
        </w:rPr>
      </w:pPr>
    </w:p>
    <w:p w:rsidR="00D20F1B" w:rsidRPr="007226D7" w:rsidRDefault="00D20F1B" w:rsidP="00D20F1B">
      <w:pPr>
        <w:rPr>
          <w:lang w:val="es-ES"/>
        </w:rPr>
      </w:pPr>
      <w:r w:rsidRPr="007226D7">
        <w:rPr>
          <w:rFonts w:cs="Arial"/>
          <w:lang w:val="es-ES"/>
        </w:rPr>
        <w:t xml:space="preserve">Finalmente, con relación a los </w:t>
      </w:r>
      <w:r w:rsidRPr="007226D7">
        <w:rPr>
          <w:rFonts w:cs="Arial"/>
          <w:b/>
          <w:lang w:val="es-ES"/>
        </w:rPr>
        <w:t>aspectos geomorfológicos</w:t>
      </w:r>
      <w:r w:rsidRPr="007226D7">
        <w:rPr>
          <w:rFonts w:cs="Arial"/>
          <w:lang w:val="es-ES"/>
        </w:rPr>
        <w:t xml:space="preserve"> locales del lugar, a lo largo principal del trazo de la línea 2 (con excepción del segmento señalado anteriormente), no existe ninguna problemática de riesgos físicos para las obras civiles que se diseñen en cualquier alternativa. De igual modo se resume que área específica materia del presente estudio no presenta riesgo físico alguno relacionado a eventos posibles y fenómenos de geodinámica externa debido a los aspectos hidrológicos.</w:t>
      </w:r>
    </w:p>
    <w:p w:rsidR="008C707F" w:rsidRPr="007226D7" w:rsidRDefault="008C707F">
      <w:pPr>
        <w:spacing w:after="0" w:line="240" w:lineRule="auto"/>
        <w:jc w:val="left"/>
        <w:rPr>
          <w:lang w:val="es-ES"/>
        </w:rPr>
      </w:pPr>
      <w:bookmarkStart w:id="57" w:name="_Toc341644997"/>
      <w:r w:rsidRPr="007226D7">
        <w:rPr>
          <w:lang w:val="es-ES"/>
        </w:rPr>
        <w:br w:type="page"/>
      </w:r>
    </w:p>
    <w:p w:rsidR="00D20F1B" w:rsidRPr="007226D7" w:rsidRDefault="00D20F1B" w:rsidP="00807661">
      <w:pPr>
        <w:pStyle w:val="Heading3"/>
        <w:rPr>
          <w:lang w:val="es-ES"/>
        </w:rPr>
      </w:pPr>
      <w:bookmarkStart w:id="58" w:name="_Toc346541914"/>
      <w:r w:rsidRPr="007226D7">
        <w:rPr>
          <w:lang w:val="es-ES"/>
        </w:rPr>
        <w:lastRenderedPageBreak/>
        <w:t>Los involucrados en el proyecto</w:t>
      </w:r>
      <w:bookmarkEnd w:id="57"/>
      <w:bookmarkEnd w:id="58"/>
    </w:p>
    <w:p w:rsidR="00D20F1B" w:rsidRPr="007226D7" w:rsidRDefault="00D20F1B" w:rsidP="00807661">
      <w:pPr>
        <w:pStyle w:val="Heading4"/>
        <w:rPr>
          <w:lang w:val="es-ES"/>
        </w:rPr>
      </w:pPr>
      <w:r w:rsidRPr="007226D7">
        <w:rPr>
          <w:lang w:val="es-ES"/>
        </w:rPr>
        <w:t xml:space="preserve"> </w:t>
      </w:r>
      <w:bookmarkStart w:id="59" w:name="_Toc341642829"/>
      <w:bookmarkStart w:id="60" w:name="_Toc341644638"/>
      <w:bookmarkStart w:id="61" w:name="_Toc341644998"/>
      <w:r w:rsidRPr="007226D7">
        <w:rPr>
          <w:lang w:val="es-ES"/>
        </w:rPr>
        <w:t>Institucionalidad Local y Grupo de Interés</w:t>
      </w:r>
      <w:bookmarkEnd w:id="59"/>
      <w:bookmarkEnd w:id="60"/>
      <w:bookmarkEnd w:id="61"/>
    </w:p>
    <w:p w:rsidR="00D20F1B" w:rsidRPr="007226D7" w:rsidRDefault="00D20F1B" w:rsidP="00807661">
      <w:pPr>
        <w:pStyle w:val="Heading5"/>
      </w:pPr>
      <w:bookmarkStart w:id="62" w:name="_Toc341644999"/>
      <w:r w:rsidRPr="007226D7">
        <w:t>Institucionalidad Local</w:t>
      </w:r>
      <w:bookmarkEnd w:id="62"/>
    </w:p>
    <w:p w:rsidR="00D20F1B" w:rsidRPr="007226D7" w:rsidRDefault="00D20F1B" w:rsidP="00D20F1B">
      <w:pPr>
        <w:spacing w:after="0" w:line="240" w:lineRule="auto"/>
        <w:rPr>
          <w:lang w:val="es-ES"/>
        </w:rPr>
      </w:pPr>
      <w:r w:rsidRPr="007226D7">
        <w:rPr>
          <w:lang w:val="es-ES"/>
        </w:rPr>
        <w:t xml:space="preserve">La institucionalidad local se refiere a la presencia de autoridades políticas, instituciones públicas en el AID que representan al Estado en la zona, tanto a nivel nacional como local. Constituyen las autoridades formales reconocidas como tales por la población de las localidades de estudio. Asimismo, interesa conocer las instituciones privadas y sobre todo las organizaciones sociales más representativas, a fin de evaluar si la zona cuenta con </w:t>
      </w:r>
      <w:proofErr w:type="gramStart"/>
      <w:r w:rsidRPr="007226D7">
        <w:rPr>
          <w:lang w:val="es-ES"/>
        </w:rPr>
        <w:t>una</w:t>
      </w:r>
      <w:proofErr w:type="gramEnd"/>
      <w:r w:rsidRPr="007226D7">
        <w:rPr>
          <w:lang w:val="es-ES"/>
        </w:rPr>
        <w:t xml:space="preserve"> alta o baja red de instituciones y organizaciones que miden el grado de organización de la sociedad.</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Conocer la institucionalidad local es importante porque permite describir la red de instituciones públicas y privadas; así como las organizaciones sociales de sobrevivencia (Comité de Vaso de Leche, Comedor Popular, etc.) y organizaciones sociales de desarrollo como los comités de barrios, etc.</w:t>
      </w:r>
    </w:p>
    <w:p w:rsidR="00D20F1B" w:rsidRPr="007226D7" w:rsidRDefault="00D20F1B" w:rsidP="00D20F1B">
      <w:pPr>
        <w:spacing w:after="0" w:line="240" w:lineRule="auto"/>
        <w:rPr>
          <w:lang w:val="es-ES"/>
        </w:rPr>
      </w:pPr>
    </w:p>
    <w:p w:rsidR="00D20F1B" w:rsidRPr="007226D7" w:rsidRDefault="00D20F1B" w:rsidP="00D20F1B">
      <w:pPr>
        <w:spacing w:after="0" w:line="240" w:lineRule="auto"/>
      </w:pPr>
      <w:r w:rsidRPr="007226D7">
        <w:rPr>
          <w:lang w:val="es-ES"/>
        </w:rPr>
        <w:t xml:space="preserve">Los distritos del Área de Influencia cuentan con alcaldes distritales elegidos por votación popular, son acompañados por los principales funcionarios que velan los intereses de su jurisdicción. Otras autoridades son los Gobernadores que son representantes del Estado Peruano y entre sus principales funciones está mantener el orden y la seguridad pública. </w:t>
      </w:r>
      <w:r w:rsidRPr="007226D7">
        <w:t>Ver Tabla siguiente.</w:t>
      </w:r>
    </w:p>
    <w:p w:rsidR="00D20F1B" w:rsidRPr="007226D7" w:rsidRDefault="00D20F1B" w:rsidP="00D20F1B">
      <w:pPr>
        <w:pStyle w:val="Figuras"/>
      </w:pPr>
      <w:r w:rsidRPr="007226D7">
        <w:t>Tabla 3.</w:t>
      </w:r>
      <w:r w:rsidR="006A75F8" w:rsidRPr="007226D7">
        <w:t>1</w:t>
      </w:r>
      <w:r w:rsidRPr="007226D7">
        <w:t>-</w:t>
      </w:r>
      <w:r w:rsidR="006A75F8" w:rsidRPr="007226D7">
        <w:t xml:space="preserve">78 </w:t>
      </w:r>
      <w:r w:rsidRPr="007226D7">
        <w:t xml:space="preserve"> Institucionalidad Local por distritos</w:t>
      </w:r>
    </w:p>
    <w:tbl>
      <w:tblPr>
        <w:tblW w:w="9286" w:type="dxa"/>
        <w:jc w:val="center"/>
        <w:tblCellMar>
          <w:left w:w="70" w:type="dxa"/>
          <w:right w:w="70" w:type="dxa"/>
        </w:tblCellMar>
        <w:tblLook w:val="04A0" w:firstRow="1" w:lastRow="0" w:firstColumn="1" w:lastColumn="0" w:noHBand="0" w:noVBand="1"/>
      </w:tblPr>
      <w:tblGrid>
        <w:gridCol w:w="980"/>
        <w:gridCol w:w="4481"/>
        <w:gridCol w:w="2858"/>
        <w:gridCol w:w="967"/>
      </w:tblGrid>
      <w:tr w:rsidR="00D20F1B" w:rsidRPr="0013314C" w:rsidTr="007572D7">
        <w:trPr>
          <w:trHeight w:val="227"/>
          <w:tblHeader/>
          <w:jc w:val="center"/>
        </w:trPr>
        <w:tc>
          <w:tcPr>
            <w:tcW w:w="980" w:type="dxa"/>
            <w:tcBorders>
              <w:top w:val="single" w:sz="4" w:space="0" w:color="auto"/>
              <w:left w:val="single" w:sz="4" w:space="0" w:color="auto"/>
              <w:bottom w:val="single" w:sz="4" w:space="0" w:color="auto"/>
              <w:right w:val="single" w:sz="4" w:space="0" w:color="auto"/>
            </w:tcBorders>
            <w:shd w:val="pct25" w:color="000000" w:fill="auto"/>
            <w:vAlign w:val="center"/>
          </w:tcPr>
          <w:p w:rsidR="00D20F1B" w:rsidRPr="007226D7" w:rsidRDefault="00D20F1B" w:rsidP="007572D7">
            <w:pPr>
              <w:spacing w:after="0" w:line="240" w:lineRule="auto"/>
              <w:jc w:val="center"/>
              <w:rPr>
                <w:rFonts w:ascii="Arial Narrow" w:hAnsi="Arial Narrow" w:cs="Calibri"/>
                <w:b/>
                <w:bCs/>
                <w:color w:val="000000"/>
                <w:sz w:val="20"/>
                <w:lang w:eastAsia="es-ES"/>
              </w:rPr>
            </w:pPr>
            <w:r w:rsidRPr="007226D7">
              <w:rPr>
                <w:rFonts w:ascii="Arial Narrow" w:hAnsi="Arial Narrow" w:cs="Calibri"/>
                <w:b/>
                <w:bCs/>
                <w:color w:val="000000"/>
                <w:sz w:val="20"/>
                <w:lang w:eastAsia="es-ES"/>
              </w:rPr>
              <w:t>Distrito</w:t>
            </w:r>
          </w:p>
        </w:tc>
        <w:tc>
          <w:tcPr>
            <w:tcW w:w="4481" w:type="dxa"/>
            <w:tcBorders>
              <w:top w:val="single" w:sz="4" w:space="0" w:color="auto"/>
              <w:left w:val="nil"/>
              <w:bottom w:val="single" w:sz="4" w:space="0" w:color="auto"/>
              <w:right w:val="single" w:sz="4" w:space="0" w:color="auto"/>
            </w:tcBorders>
            <w:shd w:val="pct25" w:color="000000" w:fill="auto"/>
            <w:vAlign w:val="center"/>
          </w:tcPr>
          <w:p w:rsidR="00D20F1B" w:rsidRPr="007226D7" w:rsidRDefault="00D20F1B" w:rsidP="007572D7">
            <w:pPr>
              <w:spacing w:after="0" w:line="240" w:lineRule="auto"/>
              <w:jc w:val="center"/>
              <w:rPr>
                <w:rFonts w:ascii="Arial Narrow" w:hAnsi="Arial Narrow" w:cs="Calibri"/>
                <w:b/>
                <w:bCs/>
                <w:color w:val="000000"/>
                <w:sz w:val="20"/>
                <w:lang w:val="es-ES" w:eastAsia="es-ES"/>
              </w:rPr>
            </w:pPr>
            <w:r w:rsidRPr="007226D7">
              <w:rPr>
                <w:rFonts w:ascii="Arial Narrow" w:hAnsi="Arial Narrow" w:cs="Calibri"/>
                <w:b/>
                <w:bCs/>
                <w:color w:val="000000"/>
                <w:sz w:val="20"/>
                <w:lang w:val="es-ES" w:eastAsia="es-ES"/>
              </w:rPr>
              <w:t>Nombre Oficial de la Institución</w:t>
            </w:r>
          </w:p>
        </w:tc>
        <w:tc>
          <w:tcPr>
            <w:tcW w:w="2858" w:type="dxa"/>
            <w:tcBorders>
              <w:top w:val="single" w:sz="4" w:space="0" w:color="auto"/>
              <w:left w:val="nil"/>
              <w:bottom w:val="single" w:sz="4" w:space="0" w:color="auto"/>
              <w:right w:val="single" w:sz="4" w:space="0" w:color="auto"/>
            </w:tcBorders>
            <w:shd w:val="pct25" w:color="000000" w:fill="auto"/>
            <w:vAlign w:val="center"/>
          </w:tcPr>
          <w:p w:rsidR="00D20F1B" w:rsidRPr="007226D7" w:rsidRDefault="00D20F1B" w:rsidP="007572D7">
            <w:pPr>
              <w:spacing w:after="0" w:line="240" w:lineRule="auto"/>
              <w:jc w:val="center"/>
              <w:rPr>
                <w:rFonts w:ascii="Arial Narrow" w:hAnsi="Arial Narrow" w:cs="Calibri"/>
                <w:b/>
                <w:bCs/>
                <w:color w:val="000000"/>
                <w:sz w:val="20"/>
                <w:lang w:eastAsia="es-ES"/>
              </w:rPr>
            </w:pPr>
            <w:r w:rsidRPr="007226D7">
              <w:rPr>
                <w:rFonts w:ascii="Arial Narrow" w:hAnsi="Arial Narrow" w:cs="Calibri"/>
                <w:b/>
                <w:bCs/>
                <w:color w:val="000000"/>
                <w:sz w:val="20"/>
                <w:lang w:eastAsia="es-ES"/>
              </w:rPr>
              <w:t>Nombre del Representante</w:t>
            </w:r>
          </w:p>
        </w:tc>
        <w:tc>
          <w:tcPr>
            <w:tcW w:w="967" w:type="dxa"/>
            <w:tcBorders>
              <w:top w:val="single" w:sz="4" w:space="0" w:color="auto"/>
              <w:left w:val="nil"/>
              <w:bottom w:val="single" w:sz="4" w:space="0" w:color="auto"/>
              <w:right w:val="single" w:sz="4" w:space="0" w:color="auto"/>
            </w:tcBorders>
            <w:shd w:val="pct25" w:color="000000" w:fill="auto"/>
            <w:vAlign w:val="center"/>
          </w:tcPr>
          <w:p w:rsidR="00D20F1B" w:rsidRPr="007226D7" w:rsidRDefault="00D20F1B" w:rsidP="007572D7">
            <w:pPr>
              <w:spacing w:after="0" w:line="240" w:lineRule="auto"/>
              <w:jc w:val="center"/>
              <w:rPr>
                <w:rFonts w:ascii="Arial Narrow" w:hAnsi="Arial Narrow" w:cs="Calibri"/>
                <w:b/>
                <w:bCs/>
                <w:color w:val="000000"/>
                <w:sz w:val="20"/>
                <w:lang w:val="es-ES" w:eastAsia="es-ES"/>
              </w:rPr>
            </w:pPr>
            <w:r w:rsidRPr="007226D7">
              <w:rPr>
                <w:rFonts w:ascii="Arial Narrow" w:hAnsi="Arial Narrow" w:cs="Arial"/>
                <w:b/>
                <w:bCs/>
                <w:color w:val="000000"/>
                <w:sz w:val="20"/>
                <w:lang w:val="es-ES" w:eastAsia="es-ES"/>
              </w:rPr>
              <w:t xml:space="preserve">Grupo de Interés </w:t>
            </w:r>
            <w:r w:rsidRPr="007226D7">
              <w:rPr>
                <w:rFonts w:ascii="Arial Narrow" w:hAnsi="Arial Narrow" w:cs="Arial"/>
                <w:b/>
                <w:bCs/>
                <w:color w:val="000000"/>
                <w:sz w:val="20"/>
                <w:lang w:val="es-ES" w:eastAsia="es-ES"/>
              </w:rPr>
              <w:br/>
              <w:t>(Sí o No)</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Lurigancho (Chosica)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Alcalde </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Luis Bueno Quino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Obras Públicas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José Huari Valencia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Gerente de Obras Públicas con Participación Vecinal-Ccatari</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José Portocarrero Torres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Gerencia de Áreas Verdes y Medio Ambiente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Mario Nicodemos Centeno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Gerencia de Participación Ciudadana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Ernesto Calixto Castillo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Ate</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Oscar Benavides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Gerencia de Participación Ciudadana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Félix Vivanco Maldonado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Arq. Mario Castro Vásquez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Infraestructura Pública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Arq. Ilich Gustavo Sumarriva Lezama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proofErr w:type="gramStart"/>
            <w:r w:rsidRPr="007226D7">
              <w:rPr>
                <w:rFonts w:ascii="Arial Narrow" w:hAnsi="Arial Narrow" w:cs="Arial"/>
                <w:bCs/>
                <w:color w:val="000000"/>
                <w:sz w:val="20"/>
                <w:lang w:eastAsia="es-ES"/>
              </w:rPr>
              <w:t xml:space="preserve">Santa </w:t>
            </w:r>
            <w:proofErr w:type="gramEnd"/>
            <w:r w:rsidRPr="007226D7">
              <w:rPr>
                <w:rFonts w:ascii="Arial Narrow" w:hAnsi="Arial Narrow" w:cs="Arial"/>
                <w:bCs/>
                <w:color w:val="000000"/>
                <w:sz w:val="20"/>
                <w:lang w:eastAsia="es-ES"/>
              </w:rPr>
              <w:t>Anita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Leonor Chumbimune Cajahuaringa </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Oficina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Mariella Alejandro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El Agustino</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Víctor Salcedo Ríos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Diodora Maslucán Goñas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Encargada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Rosario Quicaño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Desarrollo Ambiental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Wilfredo Toribio Rodríguez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San Luis</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Ricardo Fidel Castro Sierra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Gerente de Imagen Institucional y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Nino SullcahuamánYberico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Carmen Kon Requena La Rosa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La Victoria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Alberto Sánchez Aizcorbe Carranza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Gerencia de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Jesús Manuel Díaz Saenz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Gerente de Ecología y Medio Ambiente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Wilfredo Toribio Rodríguez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GettyYanez Fuentes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Breña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Lic. José Antonio Gordillo Abad</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Asistente </w:t>
            </w:r>
            <w:proofErr w:type="gramStart"/>
            <w:r w:rsidRPr="007226D7">
              <w:rPr>
                <w:rFonts w:ascii="Arial Narrow" w:hAnsi="Arial Narrow" w:cs="Arial"/>
                <w:color w:val="000000"/>
                <w:sz w:val="20"/>
                <w:lang w:eastAsia="es-ES"/>
              </w:rPr>
              <w:t xml:space="preserve">del </w:t>
            </w:r>
            <w:proofErr w:type="gramEnd"/>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Nancy Calle Calle</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Servicios Sociales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Sr. Rolando Cabrera García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Encargado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Cs w:val="22"/>
                <w:lang w:eastAsia="es-ES"/>
              </w:rPr>
            </w:pPr>
            <w:r w:rsidRPr="007226D7">
              <w:rPr>
                <w:rFonts w:ascii="Arial Narrow" w:hAnsi="Arial Narrow" w:cs="Calibri"/>
                <w:color w:val="000000"/>
                <w:szCs w:val="22"/>
                <w:lang w:eastAsia="es-ES"/>
              </w:rPr>
              <w:t> </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Imagen Institucional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Walter Nassi</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Cercado de Lima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Alcaldesa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Susana Villarán de la Puente</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Mariella Blanca Bazán Maccera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José Vargas Vía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Transporte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María Jara Risco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Asesor Presupuesto Participativo </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Ángel Ccari</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San Miguel</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Alcalde </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Salvador HeresiChicoma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Gerencia de Servicios a la Ciudad y Medio Ambiente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sz w:val="20"/>
                <w:lang w:eastAsia="es-ES"/>
              </w:rPr>
            </w:pPr>
            <w:bookmarkStart w:id="63" w:name="_Toc341642830"/>
            <w:r w:rsidRPr="007226D7">
              <w:rPr>
                <w:rFonts w:ascii="Arial Narrow" w:hAnsi="Arial Narrow" w:cs="Arial"/>
                <w:color w:val="000000"/>
                <w:sz w:val="20"/>
                <w:lang w:eastAsia="es-ES"/>
              </w:rPr>
              <w:t>Juan Carlos Takahesu</w:t>
            </w:r>
            <w:bookmarkEnd w:id="63"/>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20"/>
                <w:lang w:eastAsia="es-ES"/>
              </w:rPr>
            </w:pPr>
            <w:r w:rsidRPr="007226D7">
              <w:rPr>
                <w:rFonts w:ascii="Arial Narrow" w:hAnsi="Arial Narrow" w:cs="Calibri"/>
                <w:color w:val="000000"/>
                <w:szCs w:val="22"/>
                <w:lang w:eastAsia="es-ES"/>
              </w:rPr>
              <w:t> </w:t>
            </w:r>
            <w:r w:rsidRPr="007226D7">
              <w:rPr>
                <w:rFonts w:ascii="Arial Narrow" w:hAnsi="Arial Narrow" w:cs="Calibri"/>
                <w:color w:val="000000"/>
                <w:sz w:val="20"/>
                <w:lang w:eastAsia="es-ES"/>
              </w:rPr>
              <w:t>Ana Victoria Diaz Boza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Gerencia de Participación Vecinal y Promoción Social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20"/>
                <w:lang w:eastAsia="es-ES"/>
              </w:rPr>
            </w:pPr>
            <w:r w:rsidRPr="007226D7">
              <w:rPr>
                <w:rFonts w:ascii="Arial Narrow" w:hAnsi="Arial Narrow" w:cs="Calibri"/>
                <w:color w:val="000000"/>
                <w:szCs w:val="22"/>
                <w:lang w:val="es-ES" w:eastAsia="es-ES"/>
              </w:rPr>
              <w:t> </w:t>
            </w:r>
            <w:r w:rsidRPr="007226D7">
              <w:rPr>
                <w:rFonts w:ascii="Arial Narrow" w:hAnsi="Arial Narrow" w:cs="Calibri"/>
                <w:color w:val="000000"/>
                <w:sz w:val="20"/>
                <w:lang w:eastAsia="es-ES"/>
              </w:rPr>
              <w:t>Cesar Santa Cruz Julca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Programa Vaso de leche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eastAsia="es-ES"/>
              </w:rPr>
            </w:pPr>
            <w:r w:rsidRPr="007226D7">
              <w:rPr>
                <w:rFonts w:ascii="Arial Narrow" w:hAnsi="Arial Narrow" w:cs="Calibri"/>
                <w:color w:val="000000"/>
                <w:szCs w:val="22"/>
                <w:lang w:eastAsia="es-ES"/>
              </w:rPr>
              <w:t> </w:t>
            </w:r>
            <w:r w:rsidRPr="007226D7">
              <w:rPr>
                <w:rFonts w:ascii="Arial Narrow" w:hAnsi="Arial Narrow" w:cs="Calibri"/>
                <w:sz w:val="20"/>
                <w:lang w:eastAsia="es-ES"/>
              </w:rPr>
              <w:t>Samuel Sanchez Saavedra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Bellavista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Calibri"/>
                <w:bCs/>
                <w:color w:val="000000"/>
                <w:sz w:val="20"/>
                <w:lang w:eastAsia="es-ES"/>
              </w:rPr>
              <w:t>Iván Ricardo Rivadeneyra Medina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Catastro e Infraestructura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Wilfredo LeonidasDepazMartinez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María Elena Flores Jiménez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Desarrollo Económico y Cooperación Técnica</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Carlos Frank Celis Ramirez</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Ariel MaximoLopez Sueldo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Protección Ambiental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Fernando LLanos Silva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Programa Vaso de Leche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Richard Cesar Beraun Horna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La Perla</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proofErr w:type="gramStart"/>
            <w:r w:rsidRPr="007226D7">
              <w:rPr>
                <w:rFonts w:ascii="Arial Narrow" w:hAnsi="Arial Narrow" w:cs="Arial"/>
                <w:color w:val="000000"/>
                <w:sz w:val="20"/>
                <w:lang w:eastAsia="es-ES"/>
              </w:rPr>
              <w:t>Dr.</w:t>
            </w:r>
            <w:proofErr w:type="gramEnd"/>
            <w:r w:rsidRPr="007226D7">
              <w:rPr>
                <w:rFonts w:ascii="Arial Narrow" w:hAnsi="Arial Narrow" w:cs="Arial"/>
                <w:color w:val="000000"/>
                <w:sz w:val="20"/>
                <w:lang w:eastAsia="es-ES"/>
              </w:rPr>
              <w:t xml:space="preserve"> Pedro López Barrios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eastAsia="es-ES"/>
              </w:rPr>
            </w:pPr>
            <w:r w:rsidRPr="007226D7">
              <w:rPr>
                <w:rFonts w:ascii="Arial Narrow" w:hAnsi="Arial Narrow" w:cs="Calibri"/>
                <w:bCs/>
                <w:sz w:val="20"/>
                <w:lang w:eastAsia="es-ES"/>
              </w:rPr>
              <w:t>Aníbal N. Jara Aguirre</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Servicios Comunales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Juan Mattamarín</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Sug Gerencia de Programa del Vaso de Leche y Comedor</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eastAsia="es-ES"/>
              </w:rPr>
            </w:pPr>
            <w:r w:rsidRPr="007226D7">
              <w:rPr>
                <w:rFonts w:ascii="Arial Narrow" w:hAnsi="Arial Narrow" w:cs="Calibri"/>
                <w:bCs/>
                <w:sz w:val="20"/>
                <w:lang w:eastAsia="es-ES"/>
              </w:rPr>
              <w:t xml:space="preserve">Violeta </w:t>
            </w:r>
            <w:proofErr w:type="gramStart"/>
            <w:r w:rsidRPr="007226D7">
              <w:rPr>
                <w:rFonts w:ascii="Arial Narrow" w:hAnsi="Arial Narrow" w:cs="Calibri"/>
                <w:bCs/>
                <w:sz w:val="20"/>
                <w:lang w:eastAsia="es-ES"/>
              </w:rPr>
              <w:t>O.</w:t>
            </w:r>
            <w:proofErr w:type="gramEnd"/>
            <w:r w:rsidRPr="007226D7">
              <w:rPr>
                <w:rFonts w:ascii="Arial Narrow" w:hAnsi="Arial Narrow" w:cs="Calibri"/>
                <w:bCs/>
                <w:sz w:val="20"/>
                <w:lang w:eastAsia="es-ES"/>
              </w:rPr>
              <w:t xml:space="preserve"> Pereda Meza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val="es-ES" w:eastAsia="es-ES"/>
              </w:rPr>
            </w:pPr>
            <w:r w:rsidRPr="007226D7">
              <w:rPr>
                <w:rFonts w:ascii="Arial Narrow" w:hAnsi="Arial Narrow" w:cs="Calibri"/>
                <w:bCs/>
                <w:sz w:val="20"/>
                <w:lang w:val="es-ES" w:eastAsia="es-ES"/>
              </w:rPr>
              <w:t>Sub Gerencia de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eastAsia="es-ES"/>
              </w:rPr>
            </w:pPr>
            <w:r w:rsidRPr="007226D7">
              <w:rPr>
                <w:rFonts w:ascii="Arial Narrow" w:hAnsi="Arial Narrow" w:cs="Calibri"/>
                <w:bCs/>
                <w:sz w:val="20"/>
                <w:lang w:eastAsia="es-ES"/>
              </w:rPr>
              <w:t>Nicolás Quispichito Zamora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8C61F3" w:rsidRDefault="00D20F1B" w:rsidP="007572D7">
            <w:pPr>
              <w:spacing w:after="0" w:line="240" w:lineRule="auto"/>
              <w:jc w:val="left"/>
              <w:rPr>
                <w:rFonts w:ascii="Arial Narrow" w:hAnsi="Arial Narrow" w:cs="Calibri"/>
                <w:sz w:val="20"/>
                <w:lang w:val="pt-BR" w:eastAsia="es-ES"/>
              </w:rPr>
            </w:pPr>
            <w:r w:rsidRPr="008C61F3">
              <w:rPr>
                <w:rFonts w:ascii="Arial Narrow" w:hAnsi="Arial Narrow" w:cs="Calibri"/>
                <w:bCs/>
                <w:sz w:val="20"/>
                <w:lang w:val="pt-BR" w:eastAsia="es-ES"/>
              </w:rPr>
              <w:t>Sub Gerencia de Obras Públicas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20"/>
                <w:lang w:eastAsia="es-ES"/>
              </w:rPr>
            </w:pPr>
            <w:r w:rsidRPr="007226D7">
              <w:rPr>
                <w:rFonts w:ascii="Arial Narrow" w:hAnsi="Arial Narrow" w:cs="Calibri"/>
                <w:bCs/>
                <w:sz w:val="20"/>
                <w:lang w:eastAsia="es-ES"/>
              </w:rPr>
              <w:t>Alfredo M. Espinoza Jáuregui</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bCs/>
                <w:color w:val="000000"/>
                <w:sz w:val="20"/>
                <w:lang w:eastAsia="es-ES"/>
              </w:rPr>
              <w:t xml:space="preserve">Cercado </w:t>
            </w:r>
            <w:proofErr w:type="gramStart"/>
            <w:r w:rsidRPr="007226D7">
              <w:rPr>
                <w:rFonts w:ascii="Arial Narrow" w:hAnsi="Arial Narrow" w:cs="Arial"/>
                <w:bCs/>
                <w:color w:val="000000"/>
                <w:sz w:val="20"/>
                <w:lang w:eastAsia="es-ES"/>
              </w:rPr>
              <w:t>del</w:t>
            </w:r>
            <w:proofErr w:type="gramEnd"/>
            <w:r w:rsidRPr="007226D7">
              <w:rPr>
                <w:rFonts w:ascii="Arial Narrow" w:hAnsi="Arial Narrow" w:cs="Arial"/>
                <w:bCs/>
                <w:color w:val="000000"/>
                <w:sz w:val="20"/>
                <w:lang w:eastAsia="es-ES"/>
              </w:rPr>
              <w:t xml:space="preserve"> Callao</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20"/>
                <w:lang w:eastAsia="es-ES"/>
              </w:rPr>
            </w:pPr>
            <w:r w:rsidRPr="007226D7">
              <w:rPr>
                <w:rFonts w:ascii="Arial Narrow" w:hAnsi="Arial Narrow" w:cs="Arial"/>
                <w:color w:val="000000"/>
                <w:sz w:val="20"/>
                <w:lang w:eastAsia="es-ES"/>
              </w:rPr>
              <w:t>Alcalde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20"/>
                <w:lang w:eastAsia="es-ES"/>
              </w:rPr>
            </w:pPr>
            <w:r w:rsidRPr="007226D7">
              <w:rPr>
                <w:rFonts w:ascii="Arial Narrow" w:hAnsi="Arial Narrow" w:cs="Arial"/>
                <w:color w:val="000000"/>
                <w:sz w:val="20"/>
                <w:lang w:eastAsia="es-ES"/>
              </w:rPr>
              <w:t>Juan Sotomayor García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Gerente General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Arq. Fernando Gordillo Tordoya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Gerencia de Planeamiento Urbano y Catastro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Patricia Meza Zambrano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Obras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Félix Morales Ubillús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General de Transporte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Belizario Gonzales Huapaya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Gerencia de Transporte y Tránsito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Carmen Barreto Aparicio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Gerente de Protección del medio Ambiente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Jorge Cruzalegui Tello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Control Ambiental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Juan Malpartida Filio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Gerencia de Vaso de Leche</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Jorge Juárez Mendoza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Emilio Calderón Gaudry</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Gerencia de Organizaciones Vecinales</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Gisset Castro Ruitron</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val="es-ES" w:eastAsia="es-ES"/>
              </w:rPr>
            </w:pPr>
            <w:r w:rsidRPr="007226D7">
              <w:rPr>
                <w:rFonts w:ascii="Arial Narrow" w:hAnsi="Arial Narrow" w:cs="Arial"/>
                <w:bCs/>
                <w:color w:val="000000"/>
                <w:sz w:val="20"/>
                <w:lang w:val="es-ES" w:eastAsia="es-ES"/>
              </w:rPr>
              <w:t>Carmen de la Legua - Reynoso</w:t>
            </w: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 xml:space="preserve">Alcalde </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Daniel Lecca Rubio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Gerente de desarrollo Urbano</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Alberto Cachuan Zúñiga</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Sub Gerente de Participación Vecinal</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Pedro Ruiz Alvarado</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r w:rsidR="00D20F1B" w:rsidRPr="007226D7" w:rsidTr="007572D7">
        <w:trPr>
          <w:trHeight w:val="227"/>
          <w:jc w:val="center"/>
        </w:trPr>
        <w:tc>
          <w:tcPr>
            <w:tcW w:w="980"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20"/>
                <w:lang w:eastAsia="es-ES"/>
              </w:rPr>
            </w:pPr>
          </w:p>
        </w:tc>
        <w:tc>
          <w:tcPr>
            <w:tcW w:w="4481"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val="es-ES" w:eastAsia="es-ES"/>
              </w:rPr>
            </w:pPr>
            <w:r w:rsidRPr="007226D7">
              <w:rPr>
                <w:rFonts w:ascii="Arial Narrow" w:hAnsi="Arial Narrow" w:cs="Arial"/>
                <w:color w:val="000000"/>
                <w:sz w:val="20"/>
                <w:lang w:val="es-ES" w:eastAsia="es-ES"/>
              </w:rPr>
              <w:t>Gerente de Saneamiento Ambiental y Sanidad</w:t>
            </w:r>
          </w:p>
        </w:tc>
        <w:tc>
          <w:tcPr>
            <w:tcW w:w="2858"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rPr>
                <w:rFonts w:ascii="Arial Narrow" w:hAnsi="Arial Narrow" w:cs="Calibri"/>
                <w:color w:val="000000"/>
                <w:sz w:val="20"/>
                <w:lang w:eastAsia="es-ES"/>
              </w:rPr>
            </w:pPr>
            <w:r w:rsidRPr="007226D7">
              <w:rPr>
                <w:rFonts w:ascii="Arial Narrow" w:hAnsi="Arial Narrow" w:cs="Arial"/>
                <w:color w:val="000000"/>
                <w:sz w:val="20"/>
                <w:lang w:eastAsia="es-ES"/>
              </w:rPr>
              <w:t>Johnny Morales Gonzales</w:t>
            </w:r>
          </w:p>
        </w:tc>
        <w:tc>
          <w:tcPr>
            <w:tcW w:w="96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20"/>
                <w:lang w:eastAsia="es-ES"/>
              </w:rPr>
            </w:pPr>
            <w:r w:rsidRPr="007226D7">
              <w:rPr>
                <w:rFonts w:ascii="Arial Narrow" w:hAnsi="Arial Narrow" w:cs="Arial"/>
                <w:color w:val="000000"/>
                <w:sz w:val="20"/>
                <w:lang w:eastAsia="es-ES"/>
              </w:rPr>
              <w:t>Sí</w:t>
            </w:r>
          </w:p>
        </w:tc>
      </w:tr>
    </w:tbl>
    <w:p w:rsidR="00D20F1B" w:rsidRPr="007226D7" w:rsidRDefault="00D20F1B" w:rsidP="00D20F1B">
      <w:pPr>
        <w:spacing w:after="0" w:line="240" w:lineRule="auto"/>
        <w:ind w:firstLine="142"/>
        <w:rPr>
          <w:sz w:val="16"/>
          <w:szCs w:val="16"/>
        </w:rPr>
      </w:pPr>
      <w:r w:rsidRPr="007226D7">
        <w:rPr>
          <w:sz w:val="16"/>
          <w:szCs w:val="16"/>
          <w:lang w:val="es-ES"/>
        </w:rPr>
        <w:t xml:space="preserve">Fuente: Consorcio Geodata, ESAN y Serconsult. </w:t>
      </w:r>
      <w:r w:rsidRPr="007226D7">
        <w:rPr>
          <w:sz w:val="16"/>
          <w:szCs w:val="16"/>
        </w:rPr>
        <w:t>Julio 2012.</w:t>
      </w:r>
    </w:p>
    <w:p w:rsidR="00D20F1B" w:rsidRPr="007226D7" w:rsidRDefault="00D20F1B" w:rsidP="00D20F1B">
      <w:pPr>
        <w:spacing w:after="0" w:line="240" w:lineRule="auto"/>
      </w:pPr>
    </w:p>
    <w:p w:rsidR="00D20F1B" w:rsidRPr="007226D7" w:rsidRDefault="00D20F1B" w:rsidP="00807661">
      <w:pPr>
        <w:pStyle w:val="Heading6"/>
        <w:rPr>
          <w:lang w:val="es-ES"/>
        </w:rPr>
      </w:pPr>
      <w:r w:rsidRPr="007226D7">
        <w:rPr>
          <w:lang w:val="es-ES"/>
        </w:rPr>
        <w:t>Características Generales de los Grupos de Interés</w:t>
      </w:r>
    </w:p>
    <w:p w:rsidR="00D20F1B" w:rsidRPr="007226D7" w:rsidRDefault="00D20F1B" w:rsidP="00D20F1B">
      <w:pPr>
        <w:spacing w:after="0" w:line="240" w:lineRule="auto"/>
        <w:rPr>
          <w:lang w:val="es-ES"/>
        </w:rPr>
      </w:pPr>
      <w:r w:rsidRPr="007226D7">
        <w:rPr>
          <w:lang w:val="es-ES"/>
        </w:rPr>
        <w:t xml:space="preserve">Se entiende como grupo de interés al conjunto de actores sociales (organizaciones, instituciones) que según su capacidad de presión puede influir políticamente en la ejecución del Proyecto: “Línea 2 de la Red Básica del Metro de Lima - Sistema Eléctrico de Transporte Masivo de Lima y Callao”, asimismo pueden ser personas u organizaciones locales que son </w:t>
      </w:r>
      <w:r w:rsidRPr="007226D7">
        <w:rPr>
          <w:lang w:val="es-ES"/>
        </w:rPr>
        <w:lastRenderedPageBreak/>
        <w:t xml:space="preserve">afectadas, positiva o negativamente, por dicho Proyecto: “Línea 2 de la Red Básica del Metro de Lima - Sistema Eléctrico de Transporte Masivo de Lima y Callao”. </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Las organizaciones barriales serán contempladas necesariamente como grupos de interés. Se determinará su posición, percepción, interés y expectativas con respecto al Proyecto: “Línea 2 de la Red Básica del Metro de Lima - Sistema Eléctrico de Transporte Masivo de Lima y Callao”.</w:t>
      </w:r>
    </w:p>
    <w:p w:rsidR="00D20F1B" w:rsidRPr="007226D7" w:rsidRDefault="00D20F1B" w:rsidP="00807661">
      <w:pPr>
        <w:pStyle w:val="Heading6"/>
        <w:rPr>
          <w:lang w:val="es-ES"/>
        </w:rPr>
      </w:pPr>
      <w:r w:rsidRPr="007226D7">
        <w:rPr>
          <w:lang w:val="es-ES"/>
        </w:rPr>
        <w:t>Diagnóstico de Grupo de Interés</w:t>
      </w:r>
    </w:p>
    <w:p w:rsidR="00D20F1B" w:rsidRPr="007226D7" w:rsidRDefault="00D20F1B" w:rsidP="00D20F1B">
      <w:pPr>
        <w:spacing w:after="0" w:line="240" w:lineRule="auto"/>
        <w:rPr>
          <w:lang w:val="es-ES"/>
        </w:rPr>
      </w:pPr>
      <w:r w:rsidRPr="007226D7">
        <w:rPr>
          <w:lang w:val="es-ES"/>
        </w:rPr>
        <w:t>Cada Grupo de Interés cumple un rol muy importante en la medida de su participación, observación y sugerencias en la realización del proyecto. A continuación algunos características como Grupo de Interés.</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Los alcaldes distritales cumplen las funciones de defender y cautelar los derechos e intereses de la municipalidad y los vecinos; dictar decretos y resoluciones de alcaldía, con sujeción a las leyes y ordenanzas; dirigir la formulación y someter a aprobación del concejo el plan integral de desarrollo local; dirigir la ejecución de los planes de desarrollo municipal.</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El Alcalde por ser el representante de la comunidad local, es el vocero natural y directo de la población ante las autoridades regionales y nacionales. Su intermediación entre la comunidad local y las entidades señaladas lo convierte en el principal interesado de todos los proyectos que se realicen dentro del ámbito de su jurisdicción, por lo que no solo manifiesta las necesidades y expectativas de su municipio, sino también canaliza los recursos de cooperación para el desarrollo de la localidad; en ese sentido el principal interés de los alcaldes sobre el Proyecto Línea 2 de la Red Básica del Metro de Lima se centra no solo en el fomento del desarrollo de sus localidades, sino también como una meta de gestión.</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Adicionalmente, los alcaldes por ser personajes representativos en su localidad y tener, tanto dentro de su periodo de gestión como luego de concluido, influencia en la población; generan corrientes de opinión en su localidad y son escuchados por esa misma población.</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Las principales funciones de las Instituciones Educativas están vinculadas con la formación educativa regular de menores en los niveles de inicial, primaria y secundaria. Así también en la formación ocupacional y técnica, Sus intereses estarían vinculados básicamente con las facilidades que tendrían maestros y alumnos para trasladarse desde sus hogares hacia los centro educativos.</w:t>
      </w:r>
    </w:p>
    <w:p w:rsidR="00D20F1B" w:rsidRPr="007226D7" w:rsidRDefault="00D20F1B" w:rsidP="00D20F1B">
      <w:pPr>
        <w:spacing w:after="0" w:line="240" w:lineRule="auto"/>
        <w:rPr>
          <w:lang w:val="es-ES"/>
        </w:rPr>
      </w:pPr>
    </w:p>
    <w:p w:rsidR="00D20F1B" w:rsidRPr="007226D7" w:rsidRDefault="00D20F1B" w:rsidP="00D20F1B">
      <w:pPr>
        <w:spacing w:after="0" w:line="240" w:lineRule="auto"/>
      </w:pPr>
      <w:r w:rsidRPr="007226D7">
        <w:rPr>
          <w:lang w:val="es-ES"/>
        </w:rPr>
        <w:t xml:space="preserve">La estructura organizativa de los grupos de interés está basada en la clásica organización social gremial, es decir, en defensa de sus intereses sociales, sin embargo, sus principales debilidades son la baja capacitación e información sobre proyectos de desarrollo social y mecanismos de participación ciudadana para incidir en las políticas de desarrollo. La relación que tienen con otros grupos de interés es mínima, la mayoría sólo mantiene contacto permanente con los gobiernos locales que poco pueden hacer para resolver sus problemas. </w:t>
      </w:r>
      <w:r w:rsidRPr="007226D7">
        <w:t>Ver Tabla siguiente.</w:t>
      </w:r>
    </w:p>
    <w:p w:rsidR="00D20F1B" w:rsidRPr="007226D7" w:rsidRDefault="00D20F1B" w:rsidP="00D20F1B">
      <w:pPr>
        <w:spacing w:after="0" w:line="240" w:lineRule="auto"/>
      </w:pPr>
    </w:p>
    <w:p w:rsidR="00104194" w:rsidRPr="007226D7" w:rsidRDefault="00104194" w:rsidP="00D20F1B">
      <w:pPr>
        <w:spacing w:after="0" w:line="240" w:lineRule="auto"/>
      </w:pPr>
    </w:p>
    <w:p w:rsidR="00807661" w:rsidRPr="007226D7" w:rsidRDefault="00807661" w:rsidP="00D20F1B">
      <w:pPr>
        <w:spacing w:after="0" w:line="240" w:lineRule="auto"/>
      </w:pPr>
    </w:p>
    <w:p w:rsidR="00807661" w:rsidRPr="007226D7" w:rsidRDefault="00807661" w:rsidP="00D20F1B">
      <w:pPr>
        <w:spacing w:after="0" w:line="240" w:lineRule="auto"/>
      </w:pPr>
    </w:p>
    <w:p w:rsidR="00807661" w:rsidRPr="007226D7" w:rsidRDefault="00807661" w:rsidP="00D20F1B">
      <w:pPr>
        <w:spacing w:after="0" w:line="240" w:lineRule="auto"/>
      </w:pPr>
    </w:p>
    <w:p w:rsidR="00104194" w:rsidRPr="007226D7" w:rsidRDefault="00104194" w:rsidP="00D20F1B">
      <w:pPr>
        <w:spacing w:after="0" w:line="240" w:lineRule="auto"/>
      </w:pPr>
    </w:p>
    <w:p w:rsidR="00104194" w:rsidRPr="007226D7" w:rsidRDefault="00104194" w:rsidP="00D20F1B">
      <w:pPr>
        <w:spacing w:after="0" w:line="240" w:lineRule="auto"/>
      </w:pPr>
    </w:p>
    <w:p w:rsidR="00D20F1B" w:rsidRPr="007226D7" w:rsidRDefault="00D20F1B" w:rsidP="00D20F1B">
      <w:pPr>
        <w:pStyle w:val="Figuras"/>
      </w:pPr>
      <w:r w:rsidRPr="007226D7">
        <w:lastRenderedPageBreak/>
        <w:t>Tabla 3.</w:t>
      </w:r>
      <w:r w:rsidR="006A75F8" w:rsidRPr="007226D7">
        <w:t>1</w:t>
      </w:r>
      <w:r w:rsidRPr="007226D7">
        <w:t>-</w:t>
      </w:r>
      <w:r w:rsidR="006A75F8" w:rsidRPr="007226D7">
        <w:t>79</w:t>
      </w:r>
      <w:r w:rsidRPr="007226D7">
        <w:t xml:space="preserve"> Diagnóstico de grupos de interés</w:t>
      </w:r>
    </w:p>
    <w:tbl>
      <w:tblPr>
        <w:tblW w:w="9171" w:type="dxa"/>
        <w:jc w:val="center"/>
        <w:tblCellMar>
          <w:left w:w="70" w:type="dxa"/>
          <w:right w:w="70" w:type="dxa"/>
        </w:tblCellMar>
        <w:tblLook w:val="04A0" w:firstRow="1" w:lastRow="0" w:firstColumn="1" w:lastColumn="0" w:noHBand="0" w:noVBand="1"/>
      </w:tblPr>
      <w:tblGrid>
        <w:gridCol w:w="938"/>
        <w:gridCol w:w="2837"/>
        <w:gridCol w:w="2697"/>
        <w:gridCol w:w="1738"/>
        <w:gridCol w:w="961"/>
      </w:tblGrid>
      <w:tr w:rsidR="00D20F1B" w:rsidRPr="0013314C" w:rsidTr="007572D7">
        <w:trPr>
          <w:trHeight w:val="765"/>
          <w:tblHeader/>
          <w:jc w:val="center"/>
        </w:trPr>
        <w:tc>
          <w:tcPr>
            <w:tcW w:w="938" w:type="dxa"/>
            <w:tcBorders>
              <w:top w:val="single" w:sz="4" w:space="0" w:color="auto"/>
              <w:left w:val="single" w:sz="4" w:space="0" w:color="auto"/>
              <w:bottom w:val="single" w:sz="4" w:space="0" w:color="auto"/>
              <w:right w:val="single" w:sz="4" w:space="0" w:color="auto"/>
            </w:tcBorders>
            <w:shd w:val="clear" w:color="000000" w:fill="C0C0C0"/>
            <w:vAlign w:val="center"/>
          </w:tcPr>
          <w:p w:rsidR="00D20F1B" w:rsidRPr="007226D7" w:rsidRDefault="00D20F1B" w:rsidP="007572D7">
            <w:pPr>
              <w:spacing w:after="0" w:line="240" w:lineRule="auto"/>
              <w:jc w:val="center"/>
              <w:rPr>
                <w:rFonts w:ascii="Arial Narrow" w:hAnsi="Arial Narrow" w:cs="Calibri"/>
                <w:b/>
                <w:bCs/>
                <w:color w:val="000000"/>
                <w:sz w:val="18"/>
                <w:szCs w:val="18"/>
                <w:lang w:eastAsia="es-ES"/>
              </w:rPr>
            </w:pPr>
            <w:r w:rsidRPr="007226D7">
              <w:rPr>
                <w:rFonts w:ascii="Arial Narrow" w:hAnsi="Arial Narrow" w:cs="Arial"/>
                <w:b/>
                <w:bCs/>
                <w:color w:val="000000"/>
                <w:sz w:val="18"/>
                <w:szCs w:val="18"/>
                <w:lang w:eastAsia="es-ES"/>
              </w:rPr>
              <w:t>Distrito</w:t>
            </w:r>
          </w:p>
        </w:tc>
        <w:tc>
          <w:tcPr>
            <w:tcW w:w="2837" w:type="dxa"/>
            <w:tcBorders>
              <w:top w:val="single" w:sz="4" w:space="0" w:color="auto"/>
              <w:left w:val="nil"/>
              <w:bottom w:val="single" w:sz="4" w:space="0" w:color="auto"/>
              <w:right w:val="single" w:sz="4" w:space="0" w:color="auto"/>
            </w:tcBorders>
            <w:shd w:val="clear" w:color="000000" w:fill="C0C0C0"/>
            <w:vAlign w:val="center"/>
          </w:tcPr>
          <w:p w:rsidR="00D20F1B" w:rsidRPr="007226D7" w:rsidRDefault="00D20F1B" w:rsidP="007572D7">
            <w:pPr>
              <w:spacing w:after="0" w:line="240" w:lineRule="auto"/>
              <w:jc w:val="center"/>
              <w:rPr>
                <w:rFonts w:ascii="Arial Narrow" w:hAnsi="Arial Narrow" w:cs="Calibri"/>
                <w:b/>
                <w:bCs/>
                <w:color w:val="000000"/>
                <w:sz w:val="18"/>
                <w:szCs w:val="18"/>
                <w:lang w:eastAsia="es-ES"/>
              </w:rPr>
            </w:pPr>
            <w:r w:rsidRPr="007226D7">
              <w:rPr>
                <w:rFonts w:ascii="Arial Narrow" w:hAnsi="Arial Narrow" w:cs="Arial"/>
                <w:b/>
                <w:bCs/>
                <w:color w:val="000000"/>
                <w:sz w:val="18"/>
                <w:szCs w:val="18"/>
                <w:lang w:eastAsia="es-ES"/>
              </w:rPr>
              <w:t>Grupos de Interés</w:t>
            </w:r>
          </w:p>
        </w:tc>
        <w:tc>
          <w:tcPr>
            <w:tcW w:w="2697" w:type="dxa"/>
            <w:tcBorders>
              <w:top w:val="single" w:sz="4" w:space="0" w:color="auto"/>
              <w:left w:val="nil"/>
              <w:bottom w:val="single" w:sz="4" w:space="0" w:color="auto"/>
              <w:right w:val="single" w:sz="4" w:space="0" w:color="auto"/>
            </w:tcBorders>
            <w:shd w:val="clear" w:color="000000" w:fill="C0C0C0"/>
            <w:vAlign w:val="center"/>
          </w:tcPr>
          <w:p w:rsidR="00D20F1B" w:rsidRPr="007226D7" w:rsidRDefault="00D20F1B" w:rsidP="007572D7">
            <w:pPr>
              <w:spacing w:after="0" w:line="240" w:lineRule="auto"/>
              <w:jc w:val="center"/>
              <w:rPr>
                <w:rFonts w:ascii="Arial Narrow" w:hAnsi="Arial Narrow" w:cs="Calibri"/>
                <w:b/>
                <w:bCs/>
                <w:color w:val="000000"/>
                <w:sz w:val="18"/>
                <w:szCs w:val="18"/>
                <w:lang w:eastAsia="es-ES"/>
              </w:rPr>
            </w:pPr>
            <w:r w:rsidRPr="007226D7">
              <w:rPr>
                <w:rFonts w:ascii="Arial Narrow" w:hAnsi="Arial Narrow" w:cs="Arial"/>
                <w:b/>
                <w:bCs/>
                <w:color w:val="000000"/>
                <w:sz w:val="18"/>
                <w:szCs w:val="18"/>
                <w:lang w:eastAsia="es-ES"/>
              </w:rPr>
              <w:t>Nombres de sus representantes</w:t>
            </w:r>
          </w:p>
        </w:tc>
        <w:tc>
          <w:tcPr>
            <w:tcW w:w="1738" w:type="dxa"/>
            <w:tcBorders>
              <w:top w:val="single" w:sz="4" w:space="0" w:color="auto"/>
              <w:left w:val="nil"/>
              <w:bottom w:val="single" w:sz="4" w:space="0" w:color="auto"/>
              <w:right w:val="single" w:sz="4" w:space="0" w:color="auto"/>
            </w:tcBorders>
            <w:shd w:val="clear" w:color="000000" w:fill="C0C0C0"/>
            <w:vAlign w:val="center"/>
          </w:tcPr>
          <w:p w:rsidR="00D20F1B" w:rsidRPr="007226D7" w:rsidRDefault="00D20F1B" w:rsidP="007572D7">
            <w:pPr>
              <w:spacing w:after="0" w:line="240" w:lineRule="auto"/>
              <w:jc w:val="center"/>
              <w:rPr>
                <w:rFonts w:ascii="Arial Narrow" w:hAnsi="Arial Narrow" w:cs="Calibri"/>
                <w:b/>
                <w:bCs/>
                <w:color w:val="000000"/>
                <w:sz w:val="18"/>
                <w:szCs w:val="18"/>
                <w:lang w:eastAsia="es-ES"/>
              </w:rPr>
            </w:pPr>
            <w:r w:rsidRPr="007226D7">
              <w:rPr>
                <w:rFonts w:ascii="Arial Narrow" w:hAnsi="Arial Narrow" w:cs="Arial"/>
                <w:b/>
                <w:bCs/>
                <w:color w:val="000000"/>
                <w:sz w:val="18"/>
                <w:szCs w:val="18"/>
                <w:lang w:eastAsia="es-ES"/>
              </w:rPr>
              <w:t>Estructura organizativa</w:t>
            </w:r>
          </w:p>
        </w:tc>
        <w:tc>
          <w:tcPr>
            <w:tcW w:w="961" w:type="dxa"/>
            <w:tcBorders>
              <w:top w:val="single" w:sz="4" w:space="0" w:color="auto"/>
              <w:left w:val="nil"/>
              <w:bottom w:val="single" w:sz="4" w:space="0" w:color="auto"/>
              <w:right w:val="single" w:sz="4" w:space="0" w:color="auto"/>
            </w:tcBorders>
            <w:shd w:val="clear" w:color="000000" w:fill="C0C0C0"/>
            <w:vAlign w:val="center"/>
          </w:tcPr>
          <w:p w:rsidR="00D20F1B" w:rsidRPr="007226D7" w:rsidRDefault="00D20F1B" w:rsidP="007572D7">
            <w:pPr>
              <w:spacing w:after="0" w:line="240" w:lineRule="auto"/>
              <w:jc w:val="center"/>
              <w:rPr>
                <w:rFonts w:ascii="Arial Narrow" w:hAnsi="Arial Narrow" w:cs="Calibri"/>
                <w:b/>
                <w:bCs/>
                <w:color w:val="000000"/>
                <w:sz w:val="18"/>
                <w:szCs w:val="18"/>
                <w:lang w:val="es-ES" w:eastAsia="es-ES"/>
              </w:rPr>
            </w:pPr>
            <w:r w:rsidRPr="007226D7">
              <w:rPr>
                <w:rFonts w:ascii="Arial Narrow" w:hAnsi="Arial Narrow" w:cs="Arial"/>
                <w:b/>
                <w:bCs/>
                <w:color w:val="000000"/>
                <w:sz w:val="18"/>
                <w:szCs w:val="18"/>
                <w:lang w:val="es-ES" w:eastAsia="es-ES"/>
              </w:rPr>
              <w:t>Relación con otros grupos de interés</w:t>
            </w: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Lurigancho (Chosica)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xml:space="preserve">Alcalde </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Luis Bueno Quino</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Obras Públicas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José Huari Valencia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Gerente de Obras Públicas con Participación Vecinal-Ccatari</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José Portocarrero Torres</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Gerencia de Áreas Verdes y Medio Ambiente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Mario Nicodemos Centeno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Gerencia de Participación Ciudadana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Ernesto Calixto Castillo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Ate</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Oscar Benavides</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Gerencia de Participación Ciudadana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Félix Vivanco Maldonado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Arq. Mario Castro Vásquez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Infraestructura Pública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Arq. Ilich Gustavo Sumarriva Lezama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405"/>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proofErr w:type="gramStart"/>
            <w:r w:rsidRPr="007226D7">
              <w:rPr>
                <w:rFonts w:ascii="Arial Narrow" w:hAnsi="Arial Narrow" w:cs="Calibri"/>
                <w:color w:val="000000"/>
                <w:sz w:val="18"/>
                <w:szCs w:val="18"/>
                <w:lang w:eastAsia="es-ES"/>
              </w:rPr>
              <w:t xml:space="preserve">Santa </w:t>
            </w:r>
            <w:proofErr w:type="gramEnd"/>
            <w:r w:rsidRPr="007226D7">
              <w:rPr>
                <w:rFonts w:ascii="Arial Narrow" w:hAnsi="Arial Narrow" w:cs="Calibri"/>
                <w:color w:val="000000"/>
                <w:sz w:val="18"/>
                <w:szCs w:val="18"/>
                <w:lang w:eastAsia="es-ES"/>
              </w:rPr>
              <w:t>Anita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Leonor ChumbimuneCajahuaringa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405"/>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Oficina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Mariella Alejandro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El Agustino</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Víctor Salcedo Ríos</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13314C"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 xml:space="preserve">Diodora Maslucán Goñas </w:t>
            </w:r>
            <w:r w:rsidRPr="007226D7">
              <w:rPr>
                <w:rFonts w:ascii="Arial Narrow" w:hAnsi="Arial Narrow" w:cs="Arial"/>
                <w:color w:val="000000"/>
                <w:sz w:val="18"/>
                <w:szCs w:val="18"/>
                <w:lang w:val="es-ES" w:eastAsia="es-ES"/>
              </w:rPr>
              <w:br/>
              <w:t>Rosario Quicaño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Ambiental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Wilfredo Toribio Rodríguez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Ing. Víctor Mendoza Ñahui</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San Luis</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Ricardo Fidel Castro Sierra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Gerente de Imagen Institucional y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Nino SullcahuamánYberico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Carmen Kon Requena La Rosa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La Victoria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Alberto Sánchez Aizcorbe Carranza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Gerencia de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Jesús Manuel Díaz Saenz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Gerente de Ecología y Medio Ambiente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Wilfredo Toribio Rodríguez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GettyYanez Fuentes</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Breña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Lic. José Antonio Gordillo Abad</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xml:space="preserve">Asistente </w:t>
            </w:r>
            <w:proofErr w:type="gramStart"/>
            <w:r w:rsidRPr="007226D7">
              <w:rPr>
                <w:rFonts w:ascii="Arial Narrow" w:hAnsi="Arial Narrow" w:cs="Arial"/>
                <w:color w:val="000000"/>
                <w:sz w:val="18"/>
                <w:szCs w:val="18"/>
                <w:lang w:eastAsia="es-ES"/>
              </w:rPr>
              <w:t xml:space="preserve">del </w:t>
            </w:r>
            <w:proofErr w:type="gramEnd"/>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Nancy Calle Calle</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Servicios Sociales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Sr. Rolando Cabrera García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Encargado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Imagen Institucional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Walter Nassi</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Cercado de Lima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Alcaldesa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Susana Villarán de la Puente</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Mariella Blanca Bazán Maccera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José Vargas Vía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Transporte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María Jara Risco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xml:space="preserve">Asesor Presupuesto Participativo </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Ángel Ccari</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lastRenderedPageBreak/>
              <w:t>San Miguel</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xml:space="preserve">Alcalde </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Salvador HeresiChicoma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Gerencia de Servicios a la Ciudad y Medio Ambiente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Calibri"/>
                <w:color w:val="000000"/>
                <w:sz w:val="18"/>
                <w:szCs w:val="18"/>
                <w:lang w:val="es-ES" w:eastAsia="es-ES"/>
              </w:rPr>
              <w:t> </w:t>
            </w:r>
            <w:r w:rsidRPr="007226D7">
              <w:rPr>
                <w:rFonts w:ascii="Arial Narrow" w:hAnsi="Arial Narrow" w:cs="Calibri"/>
                <w:color w:val="000000"/>
                <w:sz w:val="18"/>
                <w:szCs w:val="18"/>
                <w:lang w:eastAsia="es-ES"/>
              </w:rPr>
              <w:t>Juan Carlos Takahesu</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Ana Victoria Diaz Boza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Gerencia de Participación Vecinal y Promoción Social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val="es-ES" w:eastAsia="es-ES"/>
              </w:rPr>
              <w:t> </w:t>
            </w:r>
            <w:r w:rsidRPr="007226D7">
              <w:rPr>
                <w:rFonts w:ascii="Arial Narrow" w:hAnsi="Arial Narrow" w:cs="Arial"/>
                <w:color w:val="000000"/>
                <w:sz w:val="18"/>
                <w:szCs w:val="18"/>
                <w:lang w:eastAsia="es-ES"/>
              </w:rPr>
              <w:t>Cesar Santa Cruz Julca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Programa Vaso de leche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Samuel Sánchez Saavedra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Bellavista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Iván Ricardo Rivadeneyra Medina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Catastro e Infraestructura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Wilfredo LeonidasDepazMartinez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María Elena Flores Jiménez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Desarrollo Económico y Cooperación Técnica</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Carlos Frank Celis Ramirez</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Ariel MaximoLopez Sueldo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Protección Ambiental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Fernando LLanos Silva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Programa Vaso de Leche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Richard Cesar Beraun Horna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La Perla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18"/>
                <w:szCs w:val="18"/>
                <w:lang w:eastAsia="es-ES"/>
              </w:rPr>
            </w:pPr>
            <w:r w:rsidRPr="007226D7">
              <w:rPr>
                <w:rFonts w:ascii="Arial Narrow" w:hAnsi="Arial Narrow" w:cs="Calibri"/>
                <w:sz w:val="18"/>
                <w:szCs w:val="18"/>
                <w:lang w:eastAsia="es-ES"/>
              </w:rPr>
              <w:t>Aníbal N. Jara Aguirre</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Servicios Comunales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Juan Mattamarín</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51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Sug Gerencia de Programa del Vaso de Leche y Comedor</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18"/>
                <w:szCs w:val="18"/>
                <w:lang w:eastAsia="es-ES"/>
              </w:rPr>
            </w:pPr>
            <w:r w:rsidRPr="007226D7">
              <w:rPr>
                <w:rFonts w:ascii="Arial Narrow" w:hAnsi="Arial Narrow" w:cs="Calibri"/>
                <w:sz w:val="18"/>
                <w:szCs w:val="18"/>
                <w:lang w:eastAsia="es-ES"/>
              </w:rPr>
              <w:t xml:space="preserve">Violeta </w:t>
            </w:r>
            <w:proofErr w:type="gramStart"/>
            <w:r w:rsidRPr="007226D7">
              <w:rPr>
                <w:rFonts w:ascii="Arial Narrow" w:hAnsi="Arial Narrow" w:cs="Calibri"/>
                <w:sz w:val="18"/>
                <w:szCs w:val="18"/>
                <w:lang w:eastAsia="es-ES"/>
              </w:rPr>
              <w:t>O.</w:t>
            </w:r>
            <w:proofErr w:type="gramEnd"/>
            <w:r w:rsidRPr="007226D7">
              <w:rPr>
                <w:rFonts w:ascii="Arial Narrow" w:hAnsi="Arial Narrow" w:cs="Calibri"/>
                <w:sz w:val="18"/>
                <w:szCs w:val="18"/>
                <w:lang w:eastAsia="es-ES"/>
              </w:rPr>
              <w:t xml:space="preserve"> Pereda Meza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18"/>
                <w:szCs w:val="18"/>
                <w:lang w:val="es-ES" w:eastAsia="es-ES"/>
              </w:rPr>
            </w:pPr>
            <w:r w:rsidRPr="007226D7">
              <w:rPr>
                <w:rFonts w:ascii="Arial Narrow" w:hAnsi="Arial Narrow" w:cs="Calibri"/>
                <w:sz w:val="18"/>
                <w:szCs w:val="18"/>
                <w:lang w:val="es-ES" w:eastAsia="es-ES"/>
              </w:rPr>
              <w:t>Sub Gerencia de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18"/>
                <w:szCs w:val="18"/>
                <w:lang w:eastAsia="es-ES"/>
              </w:rPr>
            </w:pPr>
            <w:r w:rsidRPr="007226D7">
              <w:rPr>
                <w:rFonts w:ascii="Arial Narrow" w:hAnsi="Arial Narrow" w:cs="Calibri"/>
                <w:sz w:val="18"/>
                <w:szCs w:val="18"/>
                <w:lang w:eastAsia="es-ES"/>
              </w:rPr>
              <w:t>Nicolás Quispichito Zamora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8C61F3" w:rsidRDefault="00D20F1B" w:rsidP="007572D7">
            <w:pPr>
              <w:spacing w:after="0" w:line="240" w:lineRule="auto"/>
              <w:jc w:val="left"/>
              <w:rPr>
                <w:rFonts w:ascii="Arial Narrow" w:hAnsi="Arial Narrow" w:cs="Calibri"/>
                <w:sz w:val="18"/>
                <w:szCs w:val="18"/>
                <w:lang w:val="pt-BR" w:eastAsia="es-ES"/>
              </w:rPr>
            </w:pPr>
            <w:r w:rsidRPr="008C61F3">
              <w:rPr>
                <w:rFonts w:ascii="Arial Narrow" w:hAnsi="Arial Narrow" w:cs="Calibri"/>
                <w:sz w:val="18"/>
                <w:szCs w:val="18"/>
                <w:lang w:val="pt-BR" w:eastAsia="es-ES"/>
              </w:rPr>
              <w:t>Sub Gerencia de Obras Públicas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sz w:val="18"/>
                <w:szCs w:val="18"/>
                <w:lang w:eastAsia="es-ES"/>
              </w:rPr>
            </w:pPr>
            <w:r w:rsidRPr="007226D7">
              <w:rPr>
                <w:rFonts w:ascii="Arial Narrow" w:hAnsi="Arial Narrow" w:cs="Calibri"/>
                <w:sz w:val="18"/>
                <w:szCs w:val="18"/>
                <w:lang w:eastAsia="es-ES"/>
              </w:rPr>
              <w:t>Alfredo M. Espinoza Jáuregui</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Cercado </w:t>
            </w:r>
            <w:proofErr w:type="gramStart"/>
            <w:r w:rsidRPr="007226D7">
              <w:rPr>
                <w:rFonts w:ascii="Arial Narrow" w:hAnsi="Arial Narrow" w:cs="Calibri"/>
                <w:color w:val="000000"/>
                <w:sz w:val="18"/>
                <w:szCs w:val="18"/>
                <w:lang w:eastAsia="es-ES"/>
              </w:rPr>
              <w:t>del</w:t>
            </w:r>
            <w:proofErr w:type="gramEnd"/>
            <w:r w:rsidRPr="007226D7">
              <w:rPr>
                <w:rFonts w:ascii="Arial Narrow" w:hAnsi="Arial Narrow" w:cs="Calibri"/>
                <w:color w:val="000000"/>
                <w:sz w:val="18"/>
                <w:szCs w:val="18"/>
                <w:lang w:eastAsia="es-ES"/>
              </w:rPr>
              <w:t xml:space="preserve"> Callao</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Alcalde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Juan Sotomayor García</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Gerente General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Arq. Fernando Gordillo Tordoya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Gerencia de Planeamiento Urbano y Catastro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Patricia Meza Zambrano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Obras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Félix Morales Ubillús</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General de Transporte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Belizario Gonzales Huapaya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Gerencia de Transporte y Tránsito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Carmen Barreto Aparicio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Gerente de Protección del medio Ambiente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Jorge Cruzalegui Tello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Control Ambiental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Juan Malpartida Filio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Gerencia de Vaso de Leche</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Jorge Juárez Mendoza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Emilio Calderón Gaudry</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Gerencia de Organizaciones Vecinales</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Gisset Castro Ruitron</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Carmen de La Legua</w:t>
            </w: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 xml:space="preserve">Alcalde </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Daniel Lecca Rubio</w:t>
            </w:r>
          </w:p>
        </w:tc>
        <w:tc>
          <w:tcPr>
            <w:tcW w:w="1738"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val="es-ES" w:eastAsia="es-ES"/>
              </w:rPr>
            </w:pPr>
            <w:r w:rsidRPr="007226D7">
              <w:rPr>
                <w:rFonts w:ascii="Arial Narrow" w:hAnsi="Arial Narrow" w:cs="Calibri"/>
                <w:color w:val="000000"/>
                <w:sz w:val="18"/>
                <w:szCs w:val="18"/>
                <w:lang w:val="es-ES" w:eastAsia="es-ES"/>
              </w:rPr>
              <w:t>Alcalde</w:t>
            </w:r>
            <w:r w:rsidRPr="007226D7">
              <w:rPr>
                <w:rFonts w:ascii="Arial Narrow" w:hAnsi="Arial Narrow" w:cs="Calibri"/>
                <w:color w:val="000000"/>
                <w:sz w:val="18"/>
                <w:szCs w:val="18"/>
                <w:lang w:val="es-ES" w:eastAsia="es-ES"/>
              </w:rPr>
              <w:br/>
              <w:t>Consejo</w:t>
            </w:r>
            <w:r w:rsidRPr="007226D7">
              <w:rPr>
                <w:rFonts w:ascii="Arial Narrow" w:hAnsi="Arial Narrow" w:cs="Calibri"/>
                <w:color w:val="000000"/>
                <w:sz w:val="18"/>
                <w:szCs w:val="18"/>
                <w:lang w:val="es-ES" w:eastAsia="es-ES"/>
              </w:rPr>
              <w:br/>
              <w:t>Gerencias por sectores</w:t>
            </w:r>
          </w:p>
        </w:tc>
        <w:tc>
          <w:tcPr>
            <w:tcW w:w="961" w:type="dxa"/>
            <w:vMerge w:val="restart"/>
            <w:tcBorders>
              <w:top w:val="nil"/>
              <w:left w:val="single" w:sz="4" w:space="0" w:color="auto"/>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center"/>
              <w:rPr>
                <w:rFonts w:ascii="Arial Narrow" w:hAnsi="Arial Narrow" w:cs="Calibri"/>
                <w:color w:val="000000"/>
                <w:sz w:val="18"/>
                <w:szCs w:val="18"/>
                <w:lang w:eastAsia="es-ES"/>
              </w:rPr>
            </w:pPr>
            <w:r w:rsidRPr="007226D7">
              <w:rPr>
                <w:rFonts w:ascii="Arial Narrow" w:hAnsi="Arial Narrow" w:cs="Calibri"/>
                <w:color w:val="000000"/>
                <w:sz w:val="18"/>
                <w:szCs w:val="18"/>
                <w:lang w:eastAsia="es-ES"/>
              </w:rPr>
              <w:t xml:space="preserve">Instituciones </w:t>
            </w:r>
            <w:proofErr w:type="gramStart"/>
            <w:r w:rsidRPr="007226D7">
              <w:rPr>
                <w:rFonts w:ascii="Arial Narrow" w:hAnsi="Arial Narrow" w:cs="Calibri"/>
                <w:color w:val="000000"/>
                <w:sz w:val="18"/>
                <w:szCs w:val="18"/>
                <w:lang w:eastAsia="es-ES"/>
              </w:rPr>
              <w:t xml:space="preserve">del </w:t>
            </w:r>
            <w:proofErr w:type="gramEnd"/>
            <w:r w:rsidRPr="007226D7">
              <w:rPr>
                <w:rFonts w:ascii="Arial Narrow" w:hAnsi="Arial Narrow" w:cs="Calibri"/>
                <w:color w:val="000000"/>
                <w:sz w:val="18"/>
                <w:szCs w:val="18"/>
                <w:lang w:eastAsia="es-ES"/>
              </w:rPr>
              <w:t>Estado</w:t>
            </w: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Gerente de desarrollo Urbano</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Alberto Cachuan Zúñiga</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Sub Gerente de Participación Vecinal</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Pedro Ruiz Alvarado</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r w:rsidR="00D20F1B" w:rsidRPr="007226D7" w:rsidTr="007572D7">
        <w:trPr>
          <w:trHeight w:val="300"/>
          <w:jc w:val="center"/>
        </w:trPr>
        <w:tc>
          <w:tcPr>
            <w:tcW w:w="9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283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val="es-ES" w:eastAsia="es-ES"/>
              </w:rPr>
            </w:pPr>
            <w:r w:rsidRPr="007226D7">
              <w:rPr>
                <w:rFonts w:ascii="Arial Narrow" w:hAnsi="Arial Narrow" w:cs="Arial"/>
                <w:color w:val="000000"/>
                <w:sz w:val="18"/>
                <w:szCs w:val="18"/>
                <w:lang w:val="es-ES" w:eastAsia="es-ES"/>
              </w:rPr>
              <w:t>Gerente de Saneamiento Ambiental y Sanidad</w:t>
            </w:r>
          </w:p>
        </w:tc>
        <w:tc>
          <w:tcPr>
            <w:tcW w:w="2697" w:type="dxa"/>
            <w:tcBorders>
              <w:top w:val="nil"/>
              <w:left w:val="nil"/>
              <w:bottom w:val="single" w:sz="4" w:space="0" w:color="auto"/>
              <w:right w:val="single" w:sz="4" w:space="0" w:color="auto"/>
            </w:tcBorders>
            <w:shd w:val="clear" w:color="auto" w:fill="auto"/>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r w:rsidRPr="007226D7">
              <w:rPr>
                <w:rFonts w:ascii="Arial Narrow" w:hAnsi="Arial Narrow" w:cs="Arial"/>
                <w:color w:val="000000"/>
                <w:sz w:val="18"/>
                <w:szCs w:val="18"/>
                <w:lang w:eastAsia="es-ES"/>
              </w:rPr>
              <w:t>Johnny Morales Gonzales</w:t>
            </w:r>
          </w:p>
        </w:tc>
        <w:tc>
          <w:tcPr>
            <w:tcW w:w="1738"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c>
          <w:tcPr>
            <w:tcW w:w="961" w:type="dxa"/>
            <w:vMerge/>
            <w:tcBorders>
              <w:top w:val="nil"/>
              <w:left w:val="single" w:sz="4" w:space="0" w:color="auto"/>
              <w:bottom w:val="single" w:sz="4" w:space="0" w:color="auto"/>
              <w:right w:val="single" w:sz="4" w:space="0" w:color="auto"/>
            </w:tcBorders>
            <w:vAlign w:val="center"/>
          </w:tcPr>
          <w:p w:rsidR="00D20F1B" w:rsidRPr="007226D7" w:rsidRDefault="00D20F1B" w:rsidP="007572D7">
            <w:pPr>
              <w:spacing w:after="0" w:line="240" w:lineRule="auto"/>
              <w:jc w:val="left"/>
              <w:rPr>
                <w:rFonts w:ascii="Arial Narrow" w:hAnsi="Arial Narrow" w:cs="Calibri"/>
                <w:color w:val="000000"/>
                <w:sz w:val="18"/>
                <w:szCs w:val="18"/>
                <w:lang w:eastAsia="es-ES"/>
              </w:rPr>
            </w:pPr>
          </w:p>
        </w:tc>
      </w:tr>
    </w:tbl>
    <w:p w:rsidR="00D20F1B" w:rsidRPr="007226D7" w:rsidRDefault="00D20F1B" w:rsidP="00D20F1B">
      <w:pPr>
        <w:spacing w:after="0" w:line="240" w:lineRule="auto"/>
        <w:ind w:firstLine="284"/>
        <w:rPr>
          <w:sz w:val="16"/>
          <w:szCs w:val="16"/>
          <w:lang w:val="es-ES"/>
        </w:rPr>
      </w:pPr>
      <w:r w:rsidRPr="007226D7">
        <w:rPr>
          <w:sz w:val="16"/>
          <w:szCs w:val="16"/>
          <w:lang w:val="es-ES"/>
        </w:rPr>
        <w:t>Fuente: Trabajo de Campo, Agosto 2012</w:t>
      </w:r>
    </w:p>
    <w:p w:rsidR="00D20F1B" w:rsidRPr="007226D7" w:rsidRDefault="00D20F1B" w:rsidP="00104194">
      <w:pPr>
        <w:pStyle w:val="Heading2"/>
      </w:pPr>
      <w:bookmarkStart w:id="64" w:name="_Toc341645000"/>
      <w:bookmarkStart w:id="65" w:name="_Toc346541915"/>
      <w:r w:rsidRPr="007226D7">
        <w:lastRenderedPageBreak/>
        <w:t>Objetivo del Proyecto</w:t>
      </w:r>
      <w:bookmarkEnd w:id="64"/>
      <w:bookmarkEnd w:id="65"/>
    </w:p>
    <w:p w:rsidR="00D20F1B" w:rsidRPr="007226D7" w:rsidRDefault="00D20F1B" w:rsidP="00104194">
      <w:pPr>
        <w:pStyle w:val="Heading3"/>
      </w:pPr>
      <w:bookmarkStart w:id="66" w:name="_Toc341645001"/>
      <w:bookmarkStart w:id="67" w:name="_Toc346541916"/>
      <w:r w:rsidRPr="007226D7">
        <w:t>Objetivo central</w:t>
      </w:r>
      <w:bookmarkEnd w:id="66"/>
      <w:bookmarkEnd w:id="67"/>
    </w:p>
    <w:p w:rsidR="00D20F1B" w:rsidRPr="007226D7" w:rsidRDefault="00D20F1B" w:rsidP="00D20F1B">
      <w:pPr>
        <w:rPr>
          <w:lang w:val="es-ES"/>
        </w:rPr>
      </w:pPr>
      <w:r w:rsidRPr="007226D7">
        <w:rPr>
          <w:lang w:val="es-ES"/>
        </w:rPr>
        <w:t xml:space="preserve">El objetivo central del proyecto es lograr: </w:t>
      </w:r>
      <w:r w:rsidRPr="007226D7">
        <w:rPr>
          <w:b/>
          <w:lang w:val="es-ES"/>
        </w:rPr>
        <w:t>Adecuadas condiciones viales para instalar un moderno sistema de transporte público masivo en el eje vial este-oeste (Ate –Lima – Callao)</w:t>
      </w:r>
    </w:p>
    <w:p w:rsidR="00D20F1B" w:rsidRPr="007226D7" w:rsidRDefault="00D20F1B" w:rsidP="00104194">
      <w:pPr>
        <w:pStyle w:val="Heading3"/>
      </w:pPr>
      <w:bookmarkStart w:id="68" w:name="_Toc341645002"/>
      <w:bookmarkStart w:id="69" w:name="_Toc346541917"/>
      <w:r w:rsidRPr="007226D7">
        <w:t>Objetivos específicos</w:t>
      </w:r>
      <w:bookmarkEnd w:id="68"/>
      <w:bookmarkEnd w:id="69"/>
    </w:p>
    <w:p w:rsidR="00D20F1B" w:rsidRPr="007226D7" w:rsidRDefault="00D20F1B" w:rsidP="006E6A64">
      <w:pPr>
        <w:widowControl w:val="0"/>
        <w:numPr>
          <w:ilvl w:val="0"/>
          <w:numId w:val="43"/>
        </w:numPr>
        <w:autoSpaceDE w:val="0"/>
        <w:autoSpaceDN w:val="0"/>
        <w:spacing w:before="120" w:after="0" w:line="264" w:lineRule="auto"/>
        <w:rPr>
          <w:rFonts w:cs="Arial"/>
          <w:spacing w:val="3"/>
          <w:szCs w:val="22"/>
          <w:lang w:val="es-ES_tradnl"/>
        </w:rPr>
      </w:pPr>
      <w:r w:rsidRPr="007226D7">
        <w:rPr>
          <w:rFonts w:cs="Arial"/>
          <w:b/>
          <w:spacing w:val="1"/>
          <w:szCs w:val="22"/>
          <w:lang w:val="es-ES_tradnl"/>
        </w:rPr>
        <w:t xml:space="preserve">Sistema Vial de Alta Capacidad para el Transporte Público Masivo. </w:t>
      </w:r>
    </w:p>
    <w:p w:rsidR="00D20F1B" w:rsidRPr="007226D7" w:rsidRDefault="00D20F1B" w:rsidP="00D20F1B">
      <w:pPr>
        <w:widowControl w:val="0"/>
        <w:autoSpaceDE w:val="0"/>
        <w:autoSpaceDN w:val="0"/>
        <w:spacing w:before="120" w:after="0" w:line="264" w:lineRule="auto"/>
        <w:rPr>
          <w:rFonts w:cs="Arial"/>
          <w:szCs w:val="22"/>
          <w:lang w:val="es-ES_tradnl"/>
        </w:rPr>
      </w:pPr>
      <w:r w:rsidRPr="007226D7">
        <w:rPr>
          <w:rFonts w:cs="Arial"/>
          <w:spacing w:val="1"/>
          <w:szCs w:val="22"/>
          <w:lang w:val="es-ES_tradnl"/>
        </w:rPr>
        <w:t>I</w:t>
      </w:r>
      <w:r w:rsidRPr="007226D7">
        <w:rPr>
          <w:rFonts w:cs="Arial"/>
          <w:spacing w:val="3"/>
          <w:szCs w:val="22"/>
          <w:lang w:val="es-ES_tradnl"/>
        </w:rPr>
        <w:t>nfraestructura vial preparada para el transporte público masivo con facilidades para los usuarios, con una i</w:t>
      </w:r>
      <w:r w:rsidRPr="007226D7">
        <w:rPr>
          <w:rFonts w:cs="Arial"/>
          <w:szCs w:val="22"/>
          <w:lang w:val="es-ES_tradnl"/>
        </w:rPr>
        <w:t>nfraestructura adecuada y moderna para el transporte público masivo y la construcción de un sistema vial moderno para el transporte público masivo.</w:t>
      </w:r>
    </w:p>
    <w:p w:rsidR="00D20F1B" w:rsidRPr="007226D7" w:rsidRDefault="00D20F1B" w:rsidP="00D20F1B">
      <w:pPr>
        <w:spacing w:after="0" w:line="240" w:lineRule="auto"/>
        <w:ind w:left="425"/>
        <w:rPr>
          <w:rFonts w:cs="Arial"/>
          <w:szCs w:val="22"/>
          <w:lang w:val="es-ES_tradnl"/>
        </w:rPr>
      </w:pPr>
    </w:p>
    <w:p w:rsidR="00D20F1B" w:rsidRPr="007226D7" w:rsidRDefault="00D20F1B" w:rsidP="006E6A64">
      <w:pPr>
        <w:widowControl w:val="0"/>
        <w:numPr>
          <w:ilvl w:val="0"/>
          <w:numId w:val="43"/>
        </w:numPr>
        <w:autoSpaceDE w:val="0"/>
        <w:autoSpaceDN w:val="0"/>
        <w:spacing w:after="0" w:line="264" w:lineRule="auto"/>
        <w:ind w:left="357" w:hanging="357"/>
        <w:rPr>
          <w:rFonts w:cs="Arial"/>
          <w:b/>
          <w:spacing w:val="1"/>
          <w:szCs w:val="22"/>
          <w:lang w:val="es-ES_tradnl"/>
        </w:rPr>
      </w:pPr>
      <w:r w:rsidRPr="007226D7">
        <w:rPr>
          <w:rFonts w:cs="Arial"/>
          <w:b/>
          <w:spacing w:val="1"/>
          <w:szCs w:val="22"/>
          <w:lang w:val="es-ES_tradnl"/>
        </w:rPr>
        <w:t xml:space="preserve">Operación comercial eficiente del sistema de Transporte Público </w:t>
      </w:r>
    </w:p>
    <w:p w:rsidR="00D20F1B" w:rsidRPr="007226D7" w:rsidRDefault="00D20F1B" w:rsidP="00D20F1B">
      <w:pPr>
        <w:spacing w:before="120" w:line="264" w:lineRule="auto"/>
        <w:rPr>
          <w:rFonts w:cs="Arial"/>
          <w:szCs w:val="22"/>
          <w:lang w:val="es-ES_tradnl"/>
        </w:rPr>
      </w:pPr>
      <w:r w:rsidRPr="007226D7">
        <w:rPr>
          <w:rFonts w:cs="Arial"/>
          <w:spacing w:val="3"/>
          <w:szCs w:val="22"/>
          <w:lang w:val="es-ES_tradnl"/>
        </w:rPr>
        <w:t xml:space="preserve">Sistema de transporte público que cuenta con una alta confiabilidad en la operación con una flota adecuada para el transporte público de alta capacidad. </w:t>
      </w:r>
      <w:r w:rsidRPr="007226D7">
        <w:rPr>
          <w:rFonts w:cs="Arial"/>
          <w:szCs w:val="22"/>
          <w:lang w:val="es-ES_tradnl"/>
        </w:rPr>
        <w:t>Alta confiabilidad en la operación del sistema de transporte público masivo a cargo de la sociedad concesionaria con experiencia en la administración de este tipo de infraestructura.</w:t>
      </w:r>
    </w:p>
    <w:p w:rsidR="00D20F1B" w:rsidRPr="007226D7" w:rsidRDefault="00D20F1B" w:rsidP="00D20F1B">
      <w:pPr>
        <w:spacing w:before="120" w:line="264" w:lineRule="auto"/>
        <w:ind w:left="426"/>
        <w:rPr>
          <w:rFonts w:cs="Arial"/>
          <w:szCs w:val="22"/>
          <w:lang w:val="es-ES_tradnl"/>
        </w:rPr>
      </w:pPr>
    </w:p>
    <w:p w:rsidR="00D20F1B" w:rsidRPr="007226D7" w:rsidRDefault="00D20F1B" w:rsidP="00D20F1B">
      <w:pPr>
        <w:spacing w:after="0" w:line="240" w:lineRule="auto"/>
        <w:jc w:val="left"/>
        <w:rPr>
          <w:b/>
          <w:caps/>
          <w:lang w:val="es-ES"/>
        </w:rPr>
      </w:pPr>
      <w:bookmarkStart w:id="70" w:name="_Toc341645003"/>
      <w:bookmarkStart w:id="71" w:name="_Toc331279820"/>
      <w:r w:rsidRPr="007226D7">
        <w:rPr>
          <w:lang w:val="es-ES"/>
        </w:rPr>
        <w:br w:type="page"/>
      </w:r>
    </w:p>
    <w:p w:rsidR="00D20F1B" w:rsidRPr="007226D7" w:rsidRDefault="00D20F1B" w:rsidP="00D20F1B">
      <w:pPr>
        <w:pStyle w:val="Heading1"/>
        <w:spacing w:before="0" w:after="120" w:line="240" w:lineRule="auto"/>
      </w:pPr>
      <w:bookmarkStart w:id="72" w:name="_Toc346541918"/>
      <w:r w:rsidRPr="007226D7">
        <w:lastRenderedPageBreak/>
        <w:t>FORMULACIÓN</w:t>
      </w:r>
      <w:bookmarkEnd w:id="70"/>
      <w:bookmarkEnd w:id="72"/>
      <w:r w:rsidRPr="007226D7">
        <w:t xml:space="preserve"> </w:t>
      </w:r>
      <w:bookmarkEnd w:id="71"/>
    </w:p>
    <w:p w:rsidR="003440EE" w:rsidRPr="007226D7" w:rsidRDefault="003440EE" w:rsidP="003440EE">
      <w:pPr>
        <w:rPr>
          <w:lang w:val="es-ES"/>
        </w:rPr>
      </w:pPr>
      <w:r w:rsidRPr="007226D7">
        <w:rPr>
          <w:lang w:val="es-ES"/>
        </w:rPr>
        <w:t>El presente documento pretende profundizar en los análisis realizados en el Informe 2, relativos a la cuantificación de la demanda potencial adquirible de la nueva Línea 2 del metro de Lima y en concreto evaluar detalladamente la solución de proyecto seleccionada.</w:t>
      </w:r>
    </w:p>
    <w:p w:rsidR="003440EE" w:rsidRPr="007226D7" w:rsidRDefault="003440EE" w:rsidP="003440EE">
      <w:pPr>
        <w:rPr>
          <w:lang w:val="es-ES"/>
        </w:rPr>
      </w:pPr>
      <w:r w:rsidRPr="007226D7">
        <w:rPr>
          <w:lang w:val="es-ES"/>
        </w:rPr>
        <w:t>El instrumento esencial para verificar el impacto que producirá la nueva infraestructura en el sistema de la movilidad en el ámbito urbano en e</w:t>
      </w:r>
      <w:r w:rsidR="0004764F" w:rsidRPr="007226D7">
        <w:rPr>
          <w:lang w:val="es-ES"/>
        </w:rPr>
        <w:t>l cual se insertará el proyecto</w:t>
      </w:r>
      <w:r w:rsidRPr="007226D7">
        <w:rPr>
          <w:lang w:val="es-ES"/>
        </w:rPr>
        <w:t xml:space="preserve"> ha sido el modelo de transporte desarrollado con el paquete de software TRANSCAD 6.0 (versión 6030B).</w:t>
      </w:r>
    </w:p>
    <w:p w:rsidR="003440EE" w:rsidRPr="007226D7" w:rsidRDefault="003440EE" w:rsidP="003440EE">
      <w:pPr>
        <w:rPr>
          <w:lang w:val="es-ES"/>
        </w:rPr>
      </w:pPr>
      <w:r w:rsidRPr="007226D7">
        <w:rPr>
          <w:lang w:val="es-ES"/>
        </w:rPr>
        <w:t>Los elementos fundamentales que han guiado la ejecución de este estudio se recogen sintéticamente a continuación:</w:t>
      </w:r>
    </w:p>
    <w:p w:rsidR="003440EE" w:rsidRPr="007226D7" w:rsidRDefault="003440EE" w:rsidP="006E6A64">
      <w:pPr>
        <w:pStyle w:val="ListParagraph"/>
        <w:numPr>
          <w:ilvl w:val="0"/>
          <w:numId w:val="49"/>
        </w:numPr>
        <w:rPr>
          <w:lang w:val="es-ES"/>
        </w:rPr>
      </w:pPr>
      <w:r w:rsidRPr="007226D7">
        <w:rPr>
          <w:noProof/>
          <w:lang w:val="es-ES"/>
        </w:rPr>
        <w:t>El estudio “Servicio de toma y análisis - Estudio de demanda de la Línea 2 de metro de Lima” proporcionado por AATE</w:t>
      </w:r>
    </w:p>
    <w:p w:rsidR="003440EE" w:rsidRPr="007226D7" w:rsidRDefault="003440EE" w:rsidP="006E6A64">
      <w:pPr>
        <w:pStyle w:val="ListParagraph"/>
        <w:numPr>
          <w:ilvl w:val="0"/>
          <w:numId w:val="49"/>
        </w:numPr>
        <w:rPr>
          <w:lang w:val="es-ES"/>
        </w:rPr>
      </w:pPr>
      <w:r w:rsidRPr="007226D7">
        <w:rPr>
          <w:noProof/>
          <w:lang w:val="es-ES"/>
        </w:rPr>
        <w:t>La información de los Cinco</w:t>
      </w:r>
      <w:r w:rsidRPr="007226D7">
        <w:rPr>
          <w:lang w:val="es-ES"/>
        </w:rPr>
        <w:t xml:space="preserve"> </w:t>
      </w:r>
      <w:r w:rsidRPr="007226D7">
        <w:rPr>
          <w:lang w:val="es-ES"/>
        </w:rPr>
        <w:tab/>
      </w:r>
      <w:r w:rsidRPr="007226D7">
        <w:rPr>
          <w:noProof/>
          <w:lang w:val="es-ES"/>
        </w:rPr>
        <w:t>Corredores Complementarios del transporte público en superficie de la ciudad de Lima proporcionada por PROTRANSPORTE</w:t>
      </w:r>
    </w:p>
    <w:p w:rsidR="003440EE" w:rsidRPr="007226D7" w:rsidRDefault="003440EE" w:rsidP="006E6A64">
      <w:pPr>
        <w:pStyle w:val="ListParagraph"/>
        <w:numPr>
          <w:ilvl w:val="0"/>
          <w:numId w:val="49"/>
        </w:numPr>
        <w:rPr>
          <w:lang w:val="es-ES"/>
        </w:rPr>
      </w:pPr>
      <w:r w:rsidRPr="007226D7">
        <w:rPr>
          <w:noProof/>
          <w:lang w:val="es-ES"/>
        </w:rPr>
        <w:t>Trazado, localizaciones de las estaciones, datos técnicos y desarrollo temporal del proyecto surgidos durante el desarrollo del INFORME 2 para el trazado seleccionado.</w:t>
      </w:r>
    </w:p>
    <w:p w:rsidR="003440EE" w:rsidRPr="007226D7" w:rsidRDefault="003440EE">
      <w:pPr>
        <w:spacing w:after="0" w:line="240" w:lineRule="auto"/>
        <w:jc w:val="left"/>
        <w:rPr>
          <w:lang w:val="es-ES"/>
        </w:rPr>
      </w:pPr>
    </w:p>
    <w:p w:rsidR="00D20F1B" w:rsidRPr="007226D7" w:rsidRDefault="00D20F1B" w:rsidP="00D20F1B">
      <w:pPr>
        <w:pStyle w:val="Heading2"/>
        <w:rPr>
          <w:lang w:val="es-ES"/>
        </w:rPr>
      </w:pPr>
      <w:bookmarkStart w:id="73" w:name="_Toc341645004"/>
      <w:bookmarkStart w:id="74" w:name="_Toc346541919"/>
      <w:bookmarkStart w:id="75" w:name="_Toc334964422"/>
      <w:r w:rsidRPr="007226D7">
        <w:rPr>
          <w:lang w:val="es-ES"/>
        </w:rPr>
        <w:t>Definición del horizonte de evaluación del proyecto</w:t>
      </w:r>
      <w:bookmarkEnd w:id="73"/>
      <w:bookmarkEnd w:id="74"/>
    </w:p>
    <w:p w:rsidR="00D20F1B" w:rsidRPr="007226D7" w:rsidRDefault="00D20F1B" w:rsidP="00D20F1B">
      <w:pPr>
        <w:spacing w:after="0" w:line="240" w:lineRule="auto"/>
        <w:rPr>
          <w:lang w:val="es-ES"/>
        </w:rPr>
      </w:pPr>
      <w:r w:rsidRPr="007226D7">
        <w:rPr>
          <w:lang w:val="es-ES"/>
        </w:rPr>
        <w:t>El horizonte de evaluación del proyecto se enmarca dentro de la Resolución Directoral 003-2011-EF/68.01 (Anexo SNIP 10 – Parámetros de Evaluación), modificado por la Resolución Directoral 006-2012/EF/63.01 que para el Proyecto es de 34 años periodo en el cual se considera por un lado el tiempo en que se ejecutarán los componentes de inversión (Infraestructura y Equipamiento) que abarca los primeros 6 años de ejecución del proyecto a partir del año 2014 y por otro lado el tiempo de operación del proyecto que comprende 30 años a partir del año 2018, durante este periodo se medirá la rentabilidad y sostenibilidad del proyecto, la ejecución de obras del tramo II y operación se superponen en los años 2018 y 2019, según se muestra en el Cronograma de obra adjunto .</w:t>
      </w:r>
    </w:p>
    <w:p w:rsidR="00D20F1B" w:rsidRPr="007226D7" w:rsidRDefault="00D20F1B" w:rsidP="00D20F1B">
      <w:pPr>
        <w:spacing w:after="0" w:line="240" w:lineRule="auto"/>
        <w:rPr>
          <w:lang w:val="es-ES"/>
        </w:rPr>
      </w:pPr>
    </w:p>
    <w:p w:rsidR="00D20F1B" w:rsidRPr="007226D7" w:rsidRDefault="00D20F1B" w:rsidP="00D20F1B">
      <w:pPr>
        <w:spacing w:after="0" w:line="240" w:lineRule="auto"/>
        <w:rPr>
          <w:lang w:val="es-ES"/>
        </w:rPr>
      </w:pPr>
      <w:r w:rsidRPr="007226D7">
        <w:rPr>
          <w:lang w:val="es-ES"/>
        </w:rPr>
        <w:t>Es importante mencionar que el horizonte de evaluación permanecerá constante durante toda la fase del proyecto (Perfil y Factibilidad).</w:t>
      </w:r>
    </w:p>
    <w:p w:rsidR="00D20F1B" w:rsidRPr="007226D7" w:rsidRDefault="00D20F1B" w:rsidP="00D20F1B">
      <w:pPr>
        <w:rPr>
          <w:lang w:val="es-ES"/>
        </w:rPr>
      </w:pPr>
    </w:p>
    <w:p w:rsidR="00D20F1B" w:rsidRPr="007226D7" w:rsidRDefault="00D20F1B" w:rsidP="00D20F1B">
      <w:pPr>
        <w:jc w:val="center"/>
      </w:pPr>
      <w:r w:rsidRPr="007226D7">
        <w:rPr>
          <w:noProof/>
          <w:lang w:val="en-US" w:eastAsia="en-US"/>
        </w:rPr>
        <w:drawing>
          <wp:inline distT="0" distB="0" distL="0" distR="0" wp14:anchorId="342DA380" wp14:editId="55E63992">
            <wp:extent cx="6339774" cy="1413163"/>
            <wp:effectExtent l="19050" t="0" r="3876" b="0"/>
            <wp:docPr id="7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6335567" cy="1412225"/>
                    </a:xfrm>
                    <a:prstGeom prst="rect">
                      <a:avLst/>
                    </a:prstGeom>
                    <a:noFill/>
                    <a:ln w="9525">
                      <a:noFill/>
                      <a:miter lim="800000"/>
                      <a:headEnd/>
                      <a:tailEnd/>
                    </a:ln>
                  </pic:spPr>
                </pic:pic>
              </a:graphicData>
            </a:graphic>
          </wp:inline>
        </w:drawing>
      </w:r>
    </w:p>
    <w:p w:rsidR="00D20F1B" w:rsidRPr="007226D7" w:rsidRDefault="00D20F1B" w:rsidP="00D20F1B">
      <w:pPr>
        <w:jc w:val="center"/>
        <w:rPr>
          <w:lang w:val="es-ES"/>
        </w:rPr>
      </w:pPr>
      <w:r w:rsidRPr="007226D7">
        <w:rPr>
          <w:b/>
          <w:sz w:val="16"/>
          <w:szCs w:val="16"/>
          <w:lang w:val="es-ES"/>
        </w:rPr>
        <w:t>Figura 4.1-1 Periodo de Evaluación del Proyecto</w:t>
      </w:r>
    </w:p>
    <w:p w:rsidR="00D20F1B" w:rsidRPr="007226D7" w:rsidRDefault="00D20F1B" w:rsidP="00D20F1B">
      <w:pPr>
        <w:rPr>
          <w:lang w:val="es-ES"/>
        </w:rPr>
      </w:pPr>
    </w:p>
    <w:p w:rsidR="00ED1F70" w:rsidRPr="007226D7" w:rsidRDefault="00D20F1B" w:rsidP="00594D53">
      <w:pPr>
        <w:pStyle w:val="Heading2"/>
        <w:rPr>
          <w:b w:val="0"/>
        </w:rPr>
      </w:pPr>
      <w:bookmarkStart w:id="76" w:name="_Toc341645005"/>
      <w:r w:rsidRPr="007226D7">
        <w:rPr>
          <w:lang w:val="es-ES"/>
        </w:rPr>
        <w:br w:type="page"/>
      </w:r>
      <w:bookmarkStart w:id="77" w:name="_Toc341645009"/>
      <w:bookmarkStart w:id="78" w:name="_Toc342751268"/>
      <w:bookmarkStart w:id="79" w:name="_Toc346541920"/>
      <w:r w:rsidR="00ED1F70" w:rsidRPr="007226D7">
        <w:rPr>
          <w:lang w:val="es-ES"/>
        </w:rPr>
        <w:lastRenderedPageBreak/>
        <w:t>Mod</w:t>
      </w:r>
      <w:r w:rsidR="00ED1F70" w:rsidRPr="007226D7">
        <w:t>elo de transporte</w:t>
      </w:r>
      <w:bookmarkEnd w:id="77"/>
      <w:bookmarkEnd w:id="78"/>
      <w:bookmarkEnd w:id="79"/>
    </w:p>
    <w:p w:rsidR="00ED1F70" w:rsidRPr="007226D7" w:rsidRDefault="00ED1F70" w:rsidP="00ED1F70">
      <w:pPr>
        <w:rPr>
          <w:lang w:val="es-ES"/>
        </w:rPr>
      </w:pPr>
      <w:r w:rsidRPr="007226D7">
        <w:rPr>
          <w:lang w:val="es-ES"/>
        </w:rPr>
        <w:t xml:space="preserve">Este </w:t>
      </w:r>
      <w:r w:rsidR="000B2336" w:rsidRPr="007226D7">
        <w:rPr>
          <w:lang w:val="es-ES"/>
        </w:rPr>
        <w:t>párrafo</w:t>
      </w:r>
      <w:r w:rsidRPr="007226D7">
        <w:rPr>
          <w:lang w:val="es-ES"/>
        </w:rPr>
        <w:t xml:space="preserve"> describe las actividades realizadas para implementar el Modelo de Transporte del área analizada. En éste se ilustran las actividades relativas a la construcción y a la calibración del Modelo de Transporte. </w:t>
      </w:r>
    </w:p>
    <w:p w:rsidR="00ED1F70" w:rsidRPr="007226D7" w:rsidRDefault="00ED1F70" w:rsidP="00ED1F70">
      <w:pPr>
        <w:rPr>
          <w:lang w:val="es-ES"/>
        </w:rPr>
      </w:pPr>
      <w:r w:rsidRPr="007226D7">
        <w:rPr>
          <w:lang w:val="es-ES"/>
        </w:rPr>
        <w:t xml:space="preserve">Una vez “calibrado”, el modelo puede utilizarse para evaluar escenarios futuros. La significatividad del trabajo de simulación de modelos del tráfico reside no tanto en la “fidelidad” alcanzada por el medio informático sujeta a una inevitable simplificación (y en cualquier caso de notable precisión), precisamente del modelo, sino más bien en la posibilidad de valuar los resultados obtenidos en relación a datos homogéneos y coherentes, articular las soluciones por fases o por “partes” significativas y, por lo tanto, operar en base a los informes elaborados en el marco de una rigurosa comparabilidad (homogeneidad) de los datos, formulando evaluaciones respecto a una situación base, el “estado de hecho”, asumida y compartida como globalmente esperable. </w:t>
      </w:r>
    </w:p>
    <w:p w:rsidR="00ED1F70" w:rsidRPr="007226D7" w:rsidRDefault="00ED1F70" w:rsidP="00ED1F70">
      <w:pPr>
        <w:rPr>
          <w:lang w:val="es-ES"/>
        </w:rPr>
      </w:pPr>
      <w:r w:rsidRPr="007226D7">
        <w:rPr>
          <w:lang w:val="es-ES"/>
        </w:rPr>
        <w:t xml:space="preserve">Como base de referencia para la construcción del escenario actual se han utilizado los datos a disposición en el estudio “SERVICIO DE TOMA Y ANÁLISIS-ESTUDIO DE DEMANDA DE LA LÍNEA 2 DEL METRO DE LIMA”. </w:t>
      </w:r>
    </w:p>
    <w:p w:rsidR="00ED1F70" w:rsidRPr="007226D7" w:rsidRDefault="00ED1F70" w:rsidP="00ED1F70">
      <w:pPr>
        <w:rPr>
          <w:lang w:val="es-ES"/>
        </w:rPr>
      </w:pPr>
      <w:r w:rsidRPr="007226D7">
        <w:rPr>
          <w:lang w:val="es-ES"/>
        </w:rPr>
        <w:t>Esta base de datos ha sido esencial para construir y calibrar el modelo de tráfico.</w:t>
      </w:r>
    </w:p>
    <w:p w:rsidR="00ED1F70" w:rsidRPr="007226D7" w:rsidRDefault="00ED1F70" w:rsidP="00ED1F70">
      <w:pPr>
        <w:rPr>
          <w:lang w:val="es-ES"/>
        </w:rPr>
      </w:pPr>
      <w:r w:rsidRPr="007226D7">
        <w:rPr>
          <w:lang w:val="es-ES"/>
        </w:rPr>
        <w:t xml:space="preserve">A partir de esta referencia se ha deducido la extensión de la red objeto de modelización y el alcance de la demanda de movilidad existente en la red de transporte. </w:t>
      </w:r>
    </w:p>
    <w:p w:rsidR="00ED1F70" w:rsidRPr="007226D7" w:rsidRDefault="00ED1F70" w:rsidP="00ED1F70">
      <w:pPr>
        <w:rPr>
          <w:lang w:val="es-ES"/>
        </w:rPr>
      </w:pPr>
      <w:r w:rsidRPr="007226D7">
        <w:rPr>
          <w:lang w:val="es-ES"/>
        </w:rPr>
        <w:t xml:space="preserve">Las franjas horarias utilizadas para elaborar el modelo son las siguientes: </w:t>
      </w:r>
    </w:p>
    <w:p w:rsidR="00ED1F70" w:rsidRPr="007226D7" w:rsidRDefault="00ED1F70" w:rsidP="00ED1F70">
      <w:pPr>
        <w:pStyle w:val="ListParagraph"/>
        <w:numPr>
          <w:ilvl w:val="0"/>
          <w:numId w:val="50"/>
        </w:numPr>
        <w:rPr>
          <w:lang w:val="es-ES"/>
        </w:rPr>
      </w:pPr>
      <w:r w:rsidRPr="007226D7">
        <w:rPr>
          <w:lang w:val="es-ES"/>
        </w:rPr>
        <w:t>Hora punta matinal (HPM) que comprende la franja horaria 7:00 – 9:00 a.m.</w:t>
      </w:r>
    </w:p>
    <w:p w:rsidR="00ED1F70" w:rsidRPr="007226D7" w:rsidRDefault="00ED1F70" w:rsidP="00ED1F70">
      <w:pPr>
        <w:pStyle w:val="ListParagraph"/>
        <w:numPr>
          <w:ilvl w:val="0"/>
          <w:numId w:val="50"/>
        </w:numPr>
        <w:rPr>
          <w:lang w:val="es-ES"/>
        </w:rPr>
      </w:pPr>
      <w:r w:rsidRPr="007226D7">
        <w:rPr>
          <w:lang w:val="es-ES"/>
        </w:rPr>
        <w:t>Hora punta de tarde (HPT) que comprende la franja horaria 18:00 – 20:00</w:t>
      </w:r>
    </w:p>
    <w:p w:rsidR="00ED1F70" w:rsidRPr="007226D7" w:rsidRDefault="00ED1F70" w:rsidP="00ED1F70">
      <w:pPr>
        <w:pStyle w:val="ListParagraph"/>
        <w:numPr>
          <w:ilvl w:val="0"/>
          <w:numId w:val="50"/>
        </w:numPr>
        <w:rPr>
          <w:lang w:val="es-ES"/>
        </w:rPr>
      </w:pPr>
      <w:r w:rsidRPr="007226D7">
        <w:rPr>
          <w:lang w:val="es-ES"/>
        </w:rPr>
        <w:t>Hora valle (HV) que comprende la medida del período 6:00 a.m. – 23:00 (17 h), sin incluir las horas punta.</w:t>
      </w:r>
    </w:p>
    <w:p w:rsidR="00ED1F70" w:rsidRPr="007226D7" w:rsidRDefault="00ED1F70" w:rsidP="00ED1F70">
      <w:pPr>
        <w:pStyle w:val="Heading3"/>
        <w:rPr>
          <w:lang w:val="es-ES"/>
        </w:rPr>
      </w:pPr>
      <w:bookmarkStart w:id="80" w:name="_Toc342465465"/>
      <w:bookmarkStart w:id="81" w:name="_Toc342751269"/>
      <w:bookmarkStart w:id="82" w:name="_Toc346541921"/>
      <w:r w:rsidRPr="007226D7">
        <w:t>Área</w:t>
      </w:r>
      <w:r w:rsidRPr="007226D7">
        <w:rPr>
          <w:lang w:val="es-ES"/>
        </w:rPr>
        <w:t xml:space="preserve"> de estudio</w:t>
      </w:r>
      <w:bookmarkEnd w:id="80"/>
      <w:bookmarkEnd w:id="81"/>
      <w:bookmarkEnd w:id="82"/>
    </w:p>
    <w:p w:rsidR="00ED1F70" w:rsidRPr="007226D7" w:rsidRDefault="00ED1F70" w:rsidP="00ED1F70">
      <w:pPr>
        <w:rPr>
          <w:lang w:val="es-ES"/>
        </w:rPr>
      </w:pPr>
      <w:r w:rsidRPr="007226D7">
        <w:rPr>
          <w:noProof/>
          <w:lang w:val="es-ES"/>
        </w:rPr>
        <w:t>Para definir la zonificación del área de estudio se ha partido de los datos del “SERVICIO DE TOMA Y ANÁLISIS-ESTUDIO DE DEMANDA DE LA LÍNEA 2 DEL METRO DE LIMA” que contaba con 534 zonas de transporte en Lima y 19 zonas externas ubicadas en los viales de acceso a la ciudad.</w:t>
      </w:r>
      <w:r w:rsidRPr="007226D7">
        <w:rPr>
          <w:lang w:val="es-ES"/>
        </w:rPr>
        <w:t xml:space="preserve"> </w:t>
      </w:r>
    </w:p>
    <w:p w:rsidR="00ED1F70" w:rsidRPr="007226D7" w:rsidRDefault="00ED1F70" w:rsidP="00ED1F70">
      <w:pPr>
        <w:spacing w:after="0" w:line="240" w:lineRule="auto"/>
        <w:jc w:val="left"/>
        <w:rPr>
          <w:noProof/>
          <w:lang w:val="es-ES"/>
        </w:rPr>
      </w:pPr>
    </w:p>
    <w:p w:rsidR="00ED1F70" w:rsidRPr="007226D7" w:rsidRDefault="00ED1F70" w:rsidP="00ED1F70">
      <w:pPr>
        <w:spacing w:after="0" w:line="240" w:lineRule="auto"/>
        <w:jc w:val="left"/>
        <w:rPr>
          <w:noProof/>
          <w:lang w:val="es-ES"/>
        </w:rPr>
      </w:pPr>
      <w:r w:rsidRPr="007226D7">
        <w:rPr>
          <w:noProof/>
          <w:lang w:val="es-ES"/>
        </w:rPr>
        <w:t>En las siguientes figuras se muestra la zonificación utilizada para el modelo de transporte:</w:t>
      </w:r>
    </w:p>
    <w:p w:rsidR="00ED1F70" w:rsidRPr="007226D7" w:rsidRDefault="00ED1F70" w:rsidP="00ED1F70">
      <w:pPr>
        <w:spacing w:after="0" w:line="240" w:lineRule="auto"/>
        <w:jc w:val="left"/>
        <w:rPr>
          <w:noProof/>
          <w:lang w:val="es-ES"/>
        </w:rPr>
      </w:pPr>
    </w:p>
    <w:p w:rsidR="00ED1F70" w:rsidRPr="007226D7" w:rsidRDefault="00ED1F70" w:rsidP="00ED1F70">
      <w:pPr>
        <w:spacing w:after="0" w:line="240" w:lineRule="auto"/>
        <w:jc w:val="left"/>
        <w:rPr>
          <w:noProof/>
          <w:lang w:val="es-ES"/>
        </w:rPr>
      </w:pPr>
    </w:p>
    <w:p w:rsidR="003D2AD2" w:rsidRPr="007226D7" w:rsidRDefault="00ED1F70" w:rsidP="00ED1F70">
      <w:pPr>
        <w:spacing w:after="0" w:line="240" w:lineRule="auto"/>
        <w:jc w:val="left"/>
        <w:rPr>
          <w:noProof/>
          <w:lang w:val="es-ES"/>
        </w:rPr>
      </w:pPr>
      <w:r w:rsidRPr="007226D7">
        <w:rPr>
          <w:noProof/>
          <w:lang w:val="en-US" w:eastAsia="en-US"/>
        </w:rPr>
        <w:lastRenderedPageBreak/>
        <w:drawing>
          <wp:inline distT="0" distB="0" distL="0" distR="0" wp14:anchorId="7C3B683B" wp14:editId="0E1AA99B">
            <wp:extent cx="5520335" cy="7801006"/>
            <wp:effectExtent l="19050" t="0" r="4165" b="0"/>
            <wp:docPr id="1" name="Immagine 7" descr="LIMA_zone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A_zone system.png"/>
                    <pic:cNvPicPr/>
                  </pic:nvPicPr>
                  <pic:blipFill>
                    <a:blip r:embed="rId140" cstate="print"/>
                    <a:stretch>
                      <a:fillRect/>
                    </a:stretch>
                  </pic:blipFill>
                  <pic:spPr>
                    <a:xfrm>
                      <a:off x="0" y="0"/>
                      <a:ext cx="5520335" cy="7801006"/>
                    </a:xfrm>
                    <a:prstGeom prst="rect">
                      <a:avLst/>
                    </a:prstGeom>
                  </pic:spPr>
                </pic:pic>
              </a:graphicData>
            </a:graphic>
          </wp:inline>
        </w:drawing>
      </w:r>
    </w:p>
    <w:p w:rsidR="003D2AD2" w:rsidRPr="007226D7" w:rsidRDefault="003D2AD2" w:rsidP="00ED1F70">
      <w:pPr>
        <w:spacing w:after="0" w:line="240" w:lineRule="auto"/>
        <w:jc w:val="left"/>
        <w:rPr>
          <w:noProof/>
          <w:lang w:val="es-ES"/>
        </w:rPr>
      </w:pPr>
    </w:p>
    <w:p w:rsidR="00ED1F70" w:rsidRPr="007226D7" w:rsidRDefault="003D2AD2" w:rsidP="003D2AD2">
      <w:pPr>
        <w:pStyle w:val="Figuras"/>
        <w:rPr>
          <w:noProof/>
        </w:rPr>
      </w:pPr>
      <w:r w:rsidRPr="007226D7">
        <w:rPr>
          <w:noProof/>
        </w:rPr>
        <w:t xml:space="preserve">Figura 4.2 – 1: Zonificación utilizada para el modelo de transporte </w:t>
      </w:r>
      <w:r w:rsidR="00ED1F70" w:rsidRPr="007226D7">
        <w:rPr>
          <w:noProof/>
        </w:rPr>
        <w:br w:type="page"/>
      </w:r>
    </w:p>
    <w:p w:rsidR="00ED1F70" w:rsidRPr="007226D7" w:rsidRDefault="00ED1F70" w:rsidP="00ED1F70">
      <w:pPr>
        <w:pStyle w:val="Heading3"/>
        <w:rPr>
          <w:lang w:val="es-ES"/>
        </w:rPr>
      </w:pPr>
      <w:bookmarkStart w:id="83" w:name="_Toc342465466"/>
      <w:bookmarkStart w:id="84" w:name="_Toc342751270"/>
      <w:bookmarkStart w:id="85" w:name="_Toc346541922"/>
      <w:r w:rsidRPr="007226D7">
        <w:rPr>
          <w:noProof/>
          <w:lang w:val="es-ES"/>
        </w:rPr>
        <w:lastRenderedPageBreak/>
        <w:t xml:space="preserve">Red </w:t>
      </w:r>
      <w:r w:rsidRPr="007226D7">
        <w:t>Viaria</w:t>
      </w:r>
      <w:bookmarkEnd w:id="83"/>
      <w:bookmarkEnd w:id="84"/>
      <w:bookmarkEnd w:id="85"/>
    </w:p>
    <w:p w:rsidR="00ED1F70" w:rsidRPr="007226D7" w:rsidRDefault="00ED1F70" w:rsidP="00ED1F70">
      <w:pPr>
        <w:rPr>
          <w:lang w:val="es-ES"/>
        </w:rPr>
      </w:pPr>
      <w:r w:rsidRPr="007226D7">
        <w:rPr>
          <w:noProof/>
          <w:lang w:val="es-ES"/>
        </w:rPr>
        <w:t>La red viaria comprende las calles de la ciudad de Lima y Callao y las principales carreteras de acceso.</w:t>
      </w:r>
      <w:r w:rsidRPr="007226D7">
        <w:rPr>
          <w:lang w:val="es-ES"/>
        </w:rPr>
        <w:t xml:space="preserve"> </w:t>
      </w:r>
      <w:r w:rsidRPr="007226D7">
        <w:rPr>
          <w:noProof/>
          <w:lang w:val="es-ES"/>
        </w:rPr>
        <w:t>Para completar el viario inicial de partida se han tenido en cuenta fundamentalmente dos premisas:</w:t>
      </w:r>
    </w:p>
    <w:p w:rsidR="00ED1F70" w:rsidRPr="007226D7" w:rsidRDefault="00ED1F70" w:rsidP="00ED1F70">
      <w:pPr>
        <w:pStyle w:val="ListParagraph"/>
        <w:numPr>
          <w:ilvl w:val="0"/>
          <w:numId w:val="67"/>
        </w:numPr>
        <w:rPr>
          <w:lang w:val="es-ES"/>
        </w:rPr>
      </w:pPr>
      <w:r w:rsidRPr="007226D7">
        <w:rPr>
          <w:noProof/>
          <w:lang w:val="es-ES"/>
        </w:rPr>
        <w:t>Codificar la red viaria en función de las necesidades determinadas por la zonificación ampliada en el corredor del Metropolitano.</w:t>
      </w:r>
      <w:r w:rsidRPr="007226D7">
        <w:rPr>
          <w:lang w:val="es-ES"/>
        </w:rPr>
        <w:t xml:space="preserve"> </w:t>
      </w:r>
    </w:p>
    <w:p w:rsidR="00ED1F70" w:rsidRPr="007226D7" w:rsidRDefault="00ED1F70" w:rsidP="00ED1F70">
      <w:pPr>
        <w:pStyle w:val="ListParagraph"/>
        <w:numPr>
          <w:ilvl w:val="0"/>
          <w:numId w:val="67"/>
        </w:numPr>
        <w:rPr>
          <w:lang w:val="es-ES"/>
        </w:rPr>
      </w:pPr>
      <w:r w:rsidRPr="007226D7">
        <w:rPr>
          <w:noProof/>
          <w:lang w:val="es-ES"/>
        </w:rPr>
        <w:t>Asegurar el viario necesario para posteriormente poder detallar las rutas de las líneas de autobús y sus paradas.</w:t>
      </w:r>
    </w:p>
    <w:p w:rsidR="00ED1F70" w:rsidRPr="007226D7" w:rsidRDefault="00ED1F70" w:rsidP="00ED1F70">
      <w:pPr>
        <w:rPr>
          <w:lang w:val="es-ES"/>
        </w:rPr>
      </w:pPr>
      <w:r w:rsidRPr="007226D7">
        <w:rPr>
          <w:noProof/>
          <w:lang w:val="es-ES"/>
        </w:rPr>
        <w:t>Las características y atributos definidos para esta red viaria son los siguientes:</w:t>
      </w:r>
    </w:p>
    <w:p w:rsidR="00ED1F70" w:rsidRPr="007226D7" w:rsidRDefault="00ED1F70" w:rsidP="00ED1F70">
      <w:pPr>
        <w:pStyle w:val="ListParagraph"/>
        <w:numPr>
          <w:ilvl w:val="0"/>
          <w:numId w:val="51"/>
        </w:numPr>
        <w:rPr>
          <w:lang w:val="es-ES"/>
        </w:rPr>
      </w:pPr>
      <w:r w:rsidRPr="007226D7">
        <w:rPr>
          <w:noProof/>
          <w:lang w:val="es-ES"/>
        </w:rPr>
        <w:t>Nodo origen y destino.</w:t>
      </w:r>
      <w:r w:rsidRPr="007226D7">
        <w:rPr>
          <w:lang w:val="es-ES"/>
        </w:rPr>
        <w:t xml:space="preserve"> </w:t>
      </w:r>
    </w:p>
    <w:p w:rsidR="00ED1F70" w:rsidRPr="007226D7" w:rsidRDefault="00ED1F70" w:rsidP="00ED1F70">
      <w:pPr>
        <w:pStyle w:val="ListParagraph"/>
        <w:numPr>
          <w:ilvl w:val="0"/>
          <w:numId w:val="51"/>
        </w:numPr>
        <w:rPr>
          <w:lang w:val="es-ES"/>
        </w:rPr>
      </w:pPr>
      <w:r w:rsidRPr="007226D7">
        <w:rPr>
          <w:noProof/>
          <w:lang w:val="es-ES"/>
        </w:rPr>
        <w:t>Longitud del arco.</w:t>
      </w:r>
      <w:r w:rsidRPr="007226D7">
        <w:rPr>
          <w:lang w:val="es-ES"/>
        </w:rPr>
        <w:t xml:space="preserve"> </w:t>
      </w:r>
    </w:p>
    <w:p w:rsidR="00ED1F70" w:rsidRPr="007226D7" w:rsidRDefault="00ED1F70" w:rsidP="00ED1F70">
      <w:pPr>
        <w:pStyle w:val="ListParagraph"/>
        <w:numPr>
          <w:ilvl w:val="0"/>
          <w:numId w:val="51"/>
        </w:numPr>
        <w:rPr>
          <w:lang w:val="es-ES"/>
        </w:rPr>
      </w:pPr>
      <w:r w:rsidRPr="007226D7">
        <w:rPr>
          <w:noProof/>
          <w:lang w:val="es-ES"/>
        </w:rPr>
        <w:t>Tipología de arco, que responde a los distintos tipos de infraestructura existentes en el área de estudio.</w:t>
      </w:r>
      <w:r w:rsidRPr="007226D7">
        <w:rPr>
          <w:lang w:val="es-ES"/>
        </w:rPr>
        <w:t xml:space="preserve"> </w:t>
      </w:r>
    </w:p>
    <w:p w:rsidR="00ED1F70" w:rsidRPr="007226D7" w:rsidRDefault="00ED1F70" w:rsidP="00ED1F70">
      <w:pPr>
        <w:pStyle w:val="ListParagraph"/>
        <w:numPr>
          <w:ilvl w:val="0"/>
          <w:numId w:val="51"/>
        </w:numPr>
        <w:rPr>
          <w:lang w:val="es-ES"/>
        </w:rPr>
      </w:pPr>
      <w:r w:rsidRPr="007226D7">
        <w:rPr>
          <w:noProof/>
          <w:lang w:val="es-ES"/>
        </w:rPr>
        <w:t>Número de carriles.</w:t>
      </w:r>
      <w:r w:rsidRPr="007226D7">
        <w:rPr>
          <w:lang w:val="es-ES"/>
        </w:rPr>
        <w:t xml:space="preserve"> </w:t>
      </w:r>
    </w:p>
    <w:p w:rsidR="00ED1F70" w:rsidRPr="007226D7" w:rsidRDefault="00ED1F70" w:rsidP="00ED1F70">
      <w:pPr>
        <w:pStyle w:val="ListParagraph"/>
        <w:numPr>
          <w:ilvl w:val="0"/>
          <w:numId w:val="51"/>
        </w:numPr>
        <w:rPr>
          <w:lang w:val="es-ES"/>
        </w:rPr>
      </w:pPr>
      <w:r w:rsidRPr="007226D7">
        <w:rPr>
          <w:noProof/>
          <w:lang w:val="es-ES"/>
        </w:rPr>
        <w:t>Capacidad de los arcos en veh/carril por hora.</w:t>
      </w:r>
      <w:r w:rsidRPr="007226D7">
        <w:rPr>
          <w:lang w:val="es-ES"/>
        </w:rPr>
        <w:t xml:space="preserve"> </w:t>
      </w:r>
    </w:p>
    <w:p w:rsidR="00ED1F70" w:rsidRPr="007226D7" w:rsidRDefault="00ED1F70" w:rsidP="00ED1F70">
      <w:pPr>
        <w:pStyle w:val="ListParagraph"/>
        <w:numPr>
          <w:ilvl w:val="0"/>
          <w:numId w:val="51"/>
        </w:numPr>
        <w:rPr>
          <w:lang w:val="es-ES"/>
        </w:rPr>
      </w:pPr>
      <w:r w:rsidRPr="007226D7">
        <w:rPr>
          <w:noProof/>
          <w:lang w:val="es-ES"/>
        </w:rPr>
        <w:t>Velocidad del arco (km/h) y tiempos de recorrido (min) en un estado óptimo de “no congestión”, es decir, de flujo libre.</w:t>
      </w:r>
    </w:p>
    <w:p w:rsidR="00ED1F70" w:rsidRPr="007226D7" w:rsidRDefault="00ED1F70" w:rsidP="00ED1F70">
      <w:pPr>
        <w:pStyle w:val="ListParagraph"/>
        <w:numPr>
          <w:ilvl w:val="0"/>
          <w:numId w:val="51"/>
        </w:numPr>
        <w:rPr>
          <w:lang w:val="es-ES"/>
        </w:rPr>
      </w:pPr>
      <w:r w:rsidRPr="007226D7">
        <w:rPr>
          <w:noProof/>
          <w:lang w:val="es-ES"/>
        </w:rPr>
        <w:t>Función volumen-tiempo utilizada para representar el comportamiento de las vías frente a la congestión.</w:t>
      </w:r>
      <w:r w:rsidRPr="007226D7">
        <w:rPr>
          <w:lang w:val="es-ES"/>
        </w:rPr>
        <w:t xml:space="preserve"> </w:t>
      </w:r>
      <w:r w:rsidRPr="007226D7">
        <w:rPr>
          <w:noProof/>
          <w:lang w:val="es-ES"/>
        </w:rPr>
        <w:t>Las funciones de demora, utilizadas para reflejar el comportamiento de las vías frente a la congestión, relacionan la intensidad, es decir el volumen de vehículos asignados, con el tiempo de recorrido para cada arco.</w:t>
      </w:r>
    </w:p>
    <w:p w:rsidR="00ED1F70" w:rsidRPr="007226D7" w:rsidRDefault="00ED1F70" w:rsidP="00ED1F70">
      <w:pPr>
        <w:rPr>
          <w:noProof/>
          <w:lang w:val="es-ES"/>
        </w:rPr>
      </w:pPr>
      <w:r w:rsidRPr="007226D7">
        <w:rPr>
          <w:noProof/>
          <w:lang w:val="es-ES"/>
        </w:rPr>
        <w:t>En la tabla y en la figura adjunta se detallan los principales atributos de la red viaria definida:</w:t>
      </w:r>
    </w:p>
    <w:p w:rsidR="00ED1F70" w:rsidRPr="007226D7" w:rsidRDefault="00596F60" w:rsidP="00ED1F70">
      <w:pPr>
        <w:pStyle w:val="Figuras"/>
      </w:pPr>
      <w:r w:rsidRPr="007226D7">
        <w:rPr>
          <w:noProof/>
        </w:rPr>
        <w:t>Tabla 4.2 – 1:</w:t>
      </w:r>
      <w:r w:rsidR="00ED1F70" w:rsidRPr="007226D7">
        <w:rPr>
          <w:noProof/>
        </w:rPr>
        <w:t>principales atributos de la red viaria definida</w:t>
      </w:r>
    </w:p>
    <w:tbl>
      <w:tblPr>
        <w:tblW w:w="8500" w:type="dxa"/>
        <w:jc w:val="center"/>
        <w:tblInd w:w="55" w:type="dxa"/>
        <w:tblCellMar>
          <w:left w:w="70" w:type="dxa"/>
          <w:right w:w="70" w:type="dxa"/>
        </w:tblCellMar>
        <w:tblLook w:val="04A0" w:firstRow="1" w:lastRow="0" w:firstColumn="1" w:lastColumn="0" w:noHBand="0" w:noVBand="1"/>
      </w:tblPr>
      <w:tblGrid>
        <w:gridCol w:w="940"/>
        <w:gridCol w:w="3600"/>
        <w:gridCol w:w="1340"/>
        <w:gridCol w:w="1300"/>
        <w:gridCol w:w="660"/>
        <w:gridCol w:w="660"/>
      </w:tblGrid>
      <w:tr w:rsidR="00C77FB9" w:rsidRPr="00C77FB9" w:rsidTr="00C77FB9">
        <w:trPr>
          <w:trHeight w:val="499"/>
          <w:jc w:val="center"/>
        </w:trPr>
        <w:tc>
          <w:tcPr>
            <w:tcW w:w="940" w:type="dxa"/>
            <w:tcBorders>
              <w:top w:val="single" w:sz="4" w:space="0" w:color="auto"/>
              <w:left w:val="single" w:sz="4" w:space="0" w:color="auto"/>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Código</w:t>
            </w:r>
          </w:p>
        </w:tc>
        <w:tc>
          <w:tcPr>
            <w:tcW w:w="3600" w:type="dxa"/>
            <w:tcBorders>
              <w:top w:val="single" w:sz="4" w:space="0" w:color="auto"/>
              <w:left w:val="nil"/>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Tipo</w:t>
            </w:r>
          </w:p>
        </w:tc>
        <w:tc>
          <w:tcPr>
            <w:tcW w:w="1340" w:type="dxa"/>
            <w:tcBorders>
              <w:top w:val="single" w:sz="4" w:space="0" w:color="auto"/>
              <w:left w:val="nil"/>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Capacidad</w:t>
            </w:r>
          </w:p>
        </w:tc>
        <w:tc>
          <w:tcPr>
            <w:tcW w:w="1300" w:type="dxa"/>
            <w:tcBorders>
              <w:top w:val="single" w:sz="4" w:space="0" w:color="auto"/>
              <w:left w:val="nil"/>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Velocidad</w:t>
            </w:r>
          </w:p>
        </w:tc>
        <w:tc>
          <w:tcPr>
            <w:tcW w:w="660" w:type="dxa"/>
            <w:tcBorders>
              <w:top w:val="single" w:sz="4" w:space="0" w:color="auto"/>
              <w:left w:val="nil"/>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proofErr w:type="gramStart"/>
            <w:r w:rsidRPr="00C77FB9">
              <w:rPr>
                <w:rFonts w:cs="Arial"/>
                <w:b/>
                <w:bCs/>
                <w:color w:val="171717"/>
                <w:sz w:val="20"/>
              </w:rPr>
              <w:t>a</w:t>
            </w:r>
            <w:proofErr w:type="gramEnd"/>
          </w:p>
        </w:tc>
        <w:tc>
          <w:tcPr>
            <w:tcW w:w="660" w:type="dxa"/>
            <w:tcBorders>
              <w:top w:val="single" w:sz="4" w:space="0" w:color="auto"/>
              <w:left w:val="nil"/>
              <w:bottom w:val="single" w:sz="4" w:space="0" w:color="auto"/>
              <w:right w:val="single" w:sz="4" w:space="0" w:color="auto"/>
            </w:tcBorders>
            <w:shd w:val="clear" w:color="171717" w:fill="C5C5C5"/>
            <w:vAlign w:val="center"/>
            <w:hideMark/>
          </w:tcPr>
          <w:p w:rsidR="00C77FB9" w:rsidRPr="00C77FB9" w:rsidRDefault="00C77FB9" w:rsidP="00C77FB9">
            <w:pPr>
              <w:spacing w:after="0" w:line="240" w:lineRule="auto"/>
              <w:jc w:val="center"/>
              <w:rPr>
                <w:rFonts w:cs="Arial"/>
                <w:b/>
                <w:bCs/>
                <w:color w:val="171717"/>
                <w:sz w:val="20"/>
              </w:rPr>
            </w:pPr>
            <w:proofErr w:type="gramStart"/>
            <w:r w:rsidRPr="00C77FB9">
              <w:rPr>
                <w:rFonts w:cs="Arial"/>
                <w:b/>
                <w:bCs/>
                <w:color w:val="171717"/>
                <w:sz w:val="20"/>
              </w:rPr>
              <w:t>b</w:t>
            </w:r>
            <w:proofErr w:type="gramEnd"/>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1</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arteriales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1,200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45.00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3.75</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3.35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2</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colectoras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960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30.00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1.10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3.20</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3</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expresas metropolitanas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1,400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80.00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2.55</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2.65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4</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expresas regionales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1,400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80.00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2.55</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2.65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5</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 locales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840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25.00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1.38</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2.35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6</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mal pavimentadas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700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1.38</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2.35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7</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Vías sin pavimentar</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600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1.38</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2.35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8</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Enlaces penalizados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600</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10.00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1.38</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2.35</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20-29</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Corredores Metropolitano y Metro</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9,999</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30</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Arcos peatonales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9,999</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4.00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r>
      <w:tr w:rsidR="00C77FB9" w:rsidRPr="00C77FB9" w:rsidTr="00C77FB9">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center"/>
              <w:rPr>
                <w:rFonts w:cs="Arial"/>
                <w:b/>
                <w:bCs/>
                <w:color w:val="171717"/>
                <w:sz w:val="20"/>
              </w:rPr>
            </w:pPr>
            <w:r w:rsidRPr="00C77FB9">
              <w:rPr>
                <w:rFonts w:cs="Arial"/>
                <w:b/>
                <w:bCs/>
                <w:color w:val="171717"/>
                <w:sz w:val="20"/>
              </w:rPr>
              <w:t>99</w:t>
            </w:r>
          </w:p>
        </w:tc>
        <w:tc>
          <w:tcPr>
            <w:tcW w:w="36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Conectores</w:t>
            </w:r>
          </w:p>
        </w:tc>
        <w:tc>
          <w:tcPr>
            <w:tcW w:w="134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9,999</w:t>
            </w:r>
          </w:p>
        </w:tc>
        <w:tc>
          <w:tcPr>
            <w:tcW w:w="130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4.00</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c>
          <w:tcPr>
            <w:tcW w:w="660" w:type="dxa"/>
            <w:tcBorders>
              <w:top w:val="nil"/>
              <w:left w:val="nil"/>
              <w:bottom w:val="single" w:sz="4" w:space="0" w:color="auto"/>
              <w:right w:val="single" w:sz="4" w:space="0" w:color="auto"/>
            </w:tcBorders>
            <w:shd w:val="clear" w:color="auto" w:fill="auto"/>
            <w:vAlign w:val="center"/>
            <w:hideMark/>
          </w:tcPr>
          <w:p w:rsidR="00C77FB9" w:rsidRPr="00C77FB9" w:rsidRDefault="00C77FB9" w:rsidP="00C77FB9">
            <w:pPr>
              <w:spacing w:after="0" w:line="240" w:lineRule="auto"/>
              <w:jc w:val="right"/>
              <w:rPr>
                <w:rFonts w:cs="Arial"/>
                <w:color w:val="000000"/>
                <w:sz w:val="20"/>
              </w:rPr>
            </w:pPr>
            <w:r w:rsidRPr="00C77FB9">
              <w:rPr>
                <w:rFonts w:cs="Arial"/>
                <w:color w:val="000000"/>
                <w:sz w:val="20"/>
              </w:rPr>
              <w:t>-</w:t>
            </w:r>
          </w:p>
        </w:tc>
      </w:tr>
    </w:tbl>
    <w:p w:rsidR="00ED1F70" w:rsidRPr="007226D7" w:rsidRDefault="00ED1F70" w:rsidP="00ED1F70">
      <w:pPr>
        <w:pStyle w:val="Corpodeltesto1"/>
        <w:jc w:val="center"/>
        <w:rPr>
          <w:color w:val="auto"/>
        </w:rPr>
      </w:pPr>
    </w:p>
    <w:p w:rsidR="00ED1F70" w:rsidRPr="007226D7" w:rsidRDefault="00ED1F70" w:rsidP="00ED1F70">
      <w:pPr>
        <w:spacing w:after="0" w:line="240" w:lineRule="auto"/>
        <w:jc w:val="left"/>
      </w:pPr>
      <w:bookmarkStart w:id="86" w:name="_Toc342465467"/>
      <w:r w:rsidRPr="007226D7">
        <w:br w:type="page"/>
      </w:r>
    </w:p>
    <w:p w:rsidR="00ED1F70" w:rsidRPr="007226D7" w:rsidRDefault="00ED1F70" w:rsidP="00ED1F70">
      <w:pPr>
        <w:spacing w:after="0" w:line="240" w:lineRule="auto"/>
        <w:jc w:val="center"/>
      </w:pPr>
      <w:r w:rsidRPr="007226D7">
        <w:rPr>
          <w:noProof/>
          <w:lang w:val="en-US" w:eastAsia="en-US"/>
        </w:rPr>
        <w:lastRenderedPageBreak/>
        <w:drawing>
          <wp:inline distT="0" distB="0" distL="0" distR="0" wp14:anchorId="2FE950B0" wp14:editId="24C93E51">
            <wp:extent cx="5520335" cy="7801006"/>
            <wp:effectExtent l="19050" t="0" r="4165" b="0"/>
            <wp:docPr id="5" name="Immagine 12" descr="redviaria_L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dviaria_L03"/>
                    <pic:cNvPicPr>
                      <a:picLocks noChangeAspect="1" noChangeArrowheads="1"/>
                    </pic:cNvPicPr>
                  </pic:nvPicPr>
                  <pic:blipFill>
                    <a:blip r:embed="rId141" cstate="print"/>
                    <a:srcRect/>
                    <a:stretch>
                      <a:fillRect/>
                    </a:stretch>
                  </pic:blipFill>
                  <pic:spPr bwMode="auto">
                    <a:xfrm>
                      <a:off x="0" y="0"/>
                      <a:ext cx="5520335" cy="7801006"/>
                    </a:xfrm>
                    <a:prstGeom prst="rect">
                      <a:avLst/>
                    </a:prstGeom>
                    <a:noFill/>
                    <a:ln w="9525">
                      <a:noFill/>
                      <a:miter lim="800000"/>
                      <a:headEnd/>
                      <a:tailEnd/>
                    </a:ln>
                  </pic:spPr>
                </pic:pic>
              </a:graphicData>
            </a:graphic>
          </wp:inline>
        </w:drawing>
      </w:r>
    </w:p>
    <w:p w:rsidR="00ED1F70" w:rsidRPr="007226D7" w:rsidRDefault="003D2AD2" w:rsidP="003D2AD2">
      <w:pPr>
        <w:pStyle w:val="Figuras"/>
      </w:pPr>
      <w:r w:rsidRPr="007226D7">
        <w:rPr>
          <w:noProof/>
        </w:rPr>
        <w:t>Figura 4.2 – 2: red viaria definida en el modelo de transporte</w:t>
      </w:r>
    </w:p>
    <w:p w:rsidR="00ED1F70" w:rsidRPr="007226D7" w:rsidRDefault="00ED1F70" w:rsidP="00ED1F70">
      <w:pPr>
        <w:spacing w:after="0" w:line="240" w:lineRule="auto"/>
        <w:jc w:val="left"/>
        <w:rPr>
          <w:lang w:val="es-ES"/>
        </w:rPr>
      </w:pPr>
      <w:r w:rsidRPr="007226D7">
        <w:rPr>
          <w:lang w:val="es-ES"/>
        </w:rPr>
        <w:br w:type="page"/>
      </w:r>
    </w:p>
    <w:p w:rsidR="00ED1F70" w:rsidRPr="007226D7" w:rsidRDefault="00ED1F70" w:rsidP="00ED1F70">
      <w:pPr>
        <w:pStyle w:val="Heading3"/>
        <w:rPr>
          <w:lang w:val="es-ES"/>
        </w:rPr>
      </w:pPr>
      <w:bookmarkStart w:id="87" w:name="_Toc342751271"/>
      <w:bookmarkStart w:id="88" w:name="_Toc346541923"/>
      <w:r w:rsidRPr="007226D7">
        <w:lastRenderedPageBreak/>
        <w:t>Líneas</w:t>
      </w:r>
      <w:r w:rsidRPr="007226D7">
        <w:rPr>
          <w:noProof/>
          <w:lang w:val="es-ES"/>
        </w:rPr>
        <w:t xml:space="preserve"> de transporte público</w:t>
      </w:r>
      <w:bookmarkEnd w:id="86"/>
      <w:bookmarkEnd w:id="87"/>
      <w:bookmarkEnd w:id="88"/>
    </w:p>
    <w:p w:rsidR="00ED1F70" w:rsidRPr="007226D7" w:rsidRDefault="00ED1F70" w:rsidP="00ED1F70">
      <w:pPr>
        <w:rPr>
          <w:lang w:val="es-ES"/>
        </w:rPr>
      </w:pPr>
      <w:r w:rsidRPr="007226D7">
        <w:rPr>
          <w:noProof/>
          <w:lang w:val="es-ES"/>
        </w:rPr>
        <w:t>La red de transporte público de Lima del año 2012 comprende un total de 1122 líneas de ida y vuelta estructuradas en un sistema de camionetas rurales, microbuses y autobuses, sistema que se completa con el Metropolitano (1</w:t>
      </w:r>
      <w:r w:rsidR="006C214F">
        <w:rPr>
          <w:noProof/>
          <w:lang w:val="es-ES"/>
        </w:rPr>
        <w:t>8</w:t>
      </w:r>
      <w:r w:rsidRPr="007226D7">
        <w:rPr>
          <w:noProof/>
          <w:lang w:val="es-ES"/>
        </w:rPr>
        <w:t xml:space="preserve"> líneas de ida y vuelta), sus alimentadoras (36 líneas de ida y vuelta) y el Metro (2 líneas de ida y vuelta).</w:t>
      </w:r>
    </w:p>
    <w:p w:rsidR="00ED1F70" w:rsidRPr="007226D7" w:rsidRDefault="00ED1F70" w:rsidP="00ED1F70">
      <w:pPr>
        <w:pStyle w:val="ListParagraph"/>
        <w:numPr>
          <w:ilvl w:val="0"/>
          <w:numId w:val="52"/>
        </w:numPr>
        <w:rPr>
          <w:lang w:val="es-ES"/>
        </w:rPr>
      </w:pPr>
      <w:r w:rsidRPr="007226D7">
        <w:rPr>
          <w:noProof/>
          <w:lang w:val="es-ES"/>
        </w:rPr>
        <w:t>La red de transporte público resultante se define por una serie de características:</w:t>
      </w:r>
    </w:p>
    <w:p w:rsidR="00ED1F70" w:rsidRPr="007226D7" w:rsidRDefault="00ED1F70" w:rsidP="00ED1F70">
      <w:pPr>
        <w:pStyle w:val="ListParagraph"/>
        <w:numPr>
          <w:ilvl w:val="0"/>
          <w:numId w:val="52"/>
        </w:numPr>
        <w:rPr>
          <w:lang w:val="es-ES"/>
        </w:rPr>
      </w:pPr>
      <w:r w:rsidRPr="007226D7">
        <w:rPr>
          <w:noProof/>
          <w:lang w:val="es-ES"/>
        </w:rPr>
        <w:t>Itinerario de la línea y paradas.</w:t>
      </w:r>
      <w:r w:rsidRPr="007226D7">
        <w:rPr>
          <w:lang w:val="es-ES"/>
        </w:rPr>
        <w:t xml:space="preserve"> </w:t>
      </w:r>
    </w:p>
    <w:p w:rsidR="00ED1F70" w:rsidRPr="007226D7" w:rsidRDefault="00ED1F70" w:rsidP="00ED1F70">
      <w:pPr>
        <w:pStyle w:val="ListParagraph"/>
        <w:numPr>
          <w:ilvl w:val="0"/>
          <w:numId w:val="52"/>
        </w:numPr>
        <w:rPr>
          <w:lang w:val="es-ES"/>
        </w:rPr>
      </w:pPr>
      <w:r w:rsidRPr="007226D7">
        <w:rPr>
          <w:noProof/>
          <w:lang w:val="es-ES"/>
        </w:rPr>
        <w:t>Frecuencia de servicio reflejada como tiempo de espera (min) en HPM, HPT y HV.</w:t>
      </w:r>
      <w:r w:rsidRPr="007226D7">
        <w:rPr>
          <w:lang w:val="es-ES"/>
        </w:rPr>
        <w:t xml:space="preserve"> </w:t>
      </w:r>
    </w:p>
    <w:p w:rsidR="00ED1F70" w:rsidRPr="007226D7" w:rsidRDefault="00ED1F70" w:rsidP="00ED1F70">
      <w:pPr>
        <w:pStyle w:val="ListParagraph"/>
        <w:numPr>
          <w:ilvl w:val="0"/>
          <w:numId w:val="52"/>
        </w:numPr>
        <w:rPr>
          <w:lang w:val="es-ES"/>
        </w:rPr>
      </w:pPr>
      <w:r w:rsidRPr="007226D7">
        <w:rPr>
          <w:noProof/>
          <w:lang w:val="es-ES"/>
        </w:rPr>
        <w:t>Tarifas de viaje aplicando el siguiente sistema:</w:t>
      </w:r>
    </w:p>
    <w:p w:rsidR="00ED1F70" w:rsidRPr="007226D7" w:rsidRDefault="00ED1F70" w:rsidP="00ED1F70">
      <w:pPr>
        <w:pStyle w:val="ListParagraph"/>
        <w:numPr>
          <w:ilvl w:val="1"/>
          <w:numId w:val="52"/>
        </w:numPr>
        <w:rPr>
          <w:lang w:val="es-ES"/>
        </w:rPr>
      </w:pPr>
      <w:r w:rsidRPr="007226D7">
        <w:rPr>
          <w:noProof/>
          <w:lang w:val="es-ES"/>
        </w:rPr>
        <w:t>El sistema convencional tiene una matriz de tarifas zonales, construida a partir de las distancias entre zonas de transporte y teniendo en cuenta la variación de tarifas existentes en el sistema actual.</w:t>
      </w:r>
      <w:r w:rsidRPr="007226D7">
        <w:rPr>
          <w:lang w:val="es-ES"/>
        </w:rPr>
        <w:t xml:space="preserve"> </w:t>
      </w:r>
      <w:r w:rsidRPr="007226D7">
        <w:rPr>
          <w:noProof/>
          <w:lang w:val="es-ES"/>
        </w:rPr>
        <w:t>Cada embarque en una nueva ruta supone la nueva aplicación de la matriz de tarifas.</w:t>
      </w:r>
    </w:p>
    <w:p w:rsidR="00ED1F70" w:rsidRPr="007226D7" w:rsidRDefault="00ED1F70" w:rsidP="00ED1F70">
      <w:pPr>
        <w:pStyle w:val="ListParagraph"/>
        <w:numPr>
          <w:ilvl w:val="1"/>
          <w:numId w:val="52"/>
        </w:numPr>
        <w:rPr>
          <w:lang w:val="es-ES"/>
        </w:rPr>
      </w:pPr>
      <w:r w:rsidRPr="007226D7">
        <w:rPr>
          <w:noProof/>
          <w:lang w:val="es-ES"/>
        </w:rPr>
        <w:t>El resto de sistemas (Metropolitano, rutas alimentadoras y Metro) tienen una tarifa plana de</w:t>
      </w:r>
      <w:r w:rsidRPr="007226D7">
        <w:rPr>
          <w:lang w:val="es-ES"/>
        </w:rPr>
        <w:t xml:space="preserve"> </w:t>
      </w:r>
    </w:p>
    <w:p w:rsidR="00ED1F70" w:rsidRPr="007226D7" w:rsidRDefault="00ED1F70" w:rsidP="00ED1F70">
      <w:pPr>
        <w:pStyle w:val="ListParagraph"/>
        <w:numPr>
          <w:ilvl w:val="2"/>
          <w:numId w:val="52"/>
        </w:numPr>
        <w:rPr>
          <w:lang w:val="es-ES"/>
        </w:rPr>
      </w:pPr>
      <w:r w:rsidRPr="007226D7">
        <w:rPr>
          <w:noProof/>
          <w:lang w:val="es-ES"/>
        </w:rPr>
        <w:t xml:space="preserve">1.50 Soles para Metropolitano y Metro, y </w:t>
      </w:r>
    </w:p>
    <w:p w:rsidR="00ED1F70" w:rsidRPr="007226D7" w:rsidRDefault="00ED1F70" w:rsidP="00ED1F70">
      <w:pPr>
        <w:pStyle w:val="ListParagraph"/>
        <w:numPr>
          <w:ilvl w:val="2"/>
          <w:numId w:val="52"/>
        </w:numPr>
        <w:rPr>
          <w:lang w:val="es-ES"/>
        </w:rPr>
      </w:pPr>
      <w:r w:rsidRPr="007226D7">
        <w:rPr>
          <w:noProof/>
          <w:lang w:val="es-ES"/>
        </w:rPr>
        <w:t>0.80 Soles para las alimentadoras - pago que se realiza en el abordaje inicial de la línea y en los consiguientes trasbordos.</w:t>
      </w:r>
    </w:p>
    <w:p w:rsidR="00ED1F70" w:rsidRPr="007226D7" w:rsidRDefault="00ED1F70" w:rsidP="00ED1F70">
      <w:pPr>
        <w:pStyle w:val="ListParagraph"/>
        <w:numPr>
          <w:ilvl w:val="1"/>
          <w:numId w:val="52"/>
        </w:numPr>
        <w:rPr>
          <w:lang w:val="es-ES"/>
        </w:rPr>
      </w:pPr>
      <w:r w:rsidRPr="007226D7">
        <w:rPr>
          <w:noProof/>
          <w:lang w:val="es-ES"/>
        </w:rPr>
        <w:t>Dado que el modelo de asignación funciona con variables de tiempo, esta tarifa debe transformarse en tiempo, para lo cual se adopta un valor del tiempo de 3 Soles/h.</w:t>
      </w:r>
    </w:p>
    <w:p w:rsidR="00ED1F70" w:rsidRPr="007226D7" w:rsidRDefault="00ED1F70" w:rsidP="00ED1F70">
      <w:pPr>
        <w:pStyle w:val="ListParagraph"/>
        <w:numPr>
          <w:ilvl w:val="0"/>
          <w:numId w:val="52"/>
        </w:numPr>
        <w:rPr>
          <w:lang w:val="es-ES"/>
        </w:rPr>
      </w:pPr>
      <w:r w:rsidRPr="007226D7">
        <w:rPr>
          <w:noProof/>
          <w:lang w:val="es-ES"/>
        </w:rPr>
        <w:t xml:space="preserve">Otro factor fundamental en el modelo son las funciones de tiempo que evalúan el tiempo real que un autobús tarda en realizar su recorrido en función </w:t>
      </w:r>
      <w:r w:rsidR="00A6151B" w:rsidRPr="007226D7">
        <w:rPr>
          <w:noProof/>
          <w:lang w:val="es-ES"/>
        </w:rPr>
        <w:t>de una serie de variables que le</w:t>
      </w:r>
      <w:r w:rsidRPr="007226D7">
        <w:rPr>
          <w:noProof/>
          <w:lang w:val="es-ES"/>
        </w:rPr>
        <w:t xml:space="preserve"> afectan como son el tráfico y la congestión en la red.</w:t>
      </w:r>
      <w:r w:rsidRPr="007226D7">
        <w:rPr>
          <w:lang w:val="es-ES"/>
        </w:rPr>
        <w:t xml:space="preserve"> </w:t>
      </w:r>
    </w:p>
    <w:p w:rsidR="00ED1F70" w:rsidRPr="007226D7" w:rsidRDefault="00ED1F70" w:rsidP="00ED1F70">
      <w:pPr>
        <w:pStyle w:val="ListParagraph"/>
        <w:ind w:left="720"/>
        <w:rPr>
          <w:lang w:val="es-ES"/>
        </w:rPr>
      </w:pPr>
      <w:r w:rsidRPr="007226D7">
        <w:rPr>
          <w:noProof/>
          <w:lang w:val="es-ES"/>
        </w:rPr>
        <w:t>Estas funciones recogen el comportamiento global de la red de transporte público en función de las velocidades del vehículo privado y las propias limitaciones de los autobuses.</w:t>
      </w:r>
      <w:r w:rsidRPr="007226D7">
        <w:rPr>
          <w:lang w:val="es-ES"/>
        </w:rPr>
        <w:t xml:space="preserve"> </w:t>
      </w:r>
      <w:r w:rsidRPr="007226D7">
        <w:rPr>
          <w:noProof/>
          <w:lang w:val="es-ES"/>
        </w:rPr>
        <w:t>En el área de estudio se ha considerado la siguiente relación de tráfico privado/público:</w:t>
      </w:r>
    </w:p>
    <w:p w:rsidR="00ED1F70" w:rsidRPr="007226D7" w:rsidRDefault="00ED1F70" w:rsidP="00ED1F70">
      <w:pPr>
        <w:pStyle w:val="ListParagraph"/>
        <w:numPr>
          <w:ilvl w:val="1"/>
          <w:numId w:val="52"/>
        </w:numPr>
        <w:rPr>
          <w:noProof/>
          <w:lang w:val="es-ES"/>
        </w:rPr>
      </w:pPr>
      <w:r w:rsidRPr="007226D7">
        <w:rPr>
          <w:noProof/>
          <w:lang w:val="es-ES"/>
        </w:rPr>
        <w:t>Vprivado≤10 km/h</w:t>
      </w:r>
      <w:r w:rsidRPr="007226D7">
        <w:rPr>
          <w:noProof/>
          <w:lang w:val="es-ES"/>
        </w:rPr>
        <w:tab/>
      </w:r>
      <w:r w:rsidRPr="007226D7">
        <w:rPr>
          <w:noProof/>
          <w:lang w:val="es-ES"/>
        </w:rPr>
        <w:tab/>
      </w:r>
      <w:r w:rsidRPr="007226D7">
        <w:rPr>
          <w:noProof/>
          <w:lang w:val="es-ES"/>
        </w:rPr>
        <w:tab/>
        <w:t>Vpúblico= Vprivado</w:t>
      </w:r>
    </w:p>
    <w:p w:rsidR="00ED1F70" w:rsidRPr="008C61F3" w:rsidRDefault="00ED1F70" w:rsidP="00ED1F70">
      <w:pPr>
        <w:pStyle w:val="ListParagraph"/>
        <w:numPr>
          <w:ilvl w:val="1"/>
          <w:numId w:val="52"/>
        </w:numPr>
        <w:rPr>
          <w:noProof/>
          <w:lang w:val="pt-BR"/>
        </w:rPr>
      </w:pPr>
      <w:r w:rsidRPr="008C61F3">
        <w:rPr>
          <w:noProof/>
          <w:lang w:val="pt-BR"/>
        </w:rPr>
        <w:t xml:space="preserve">10 km/h &lt;Vprivado&lt; Vpubmax </w:t>
      </w:r>
      <w:r w:rsidRPr="008C61F3">
        <w:rPr>
          <w:noProof/>
          <w:lang w:val="pt-BR"/>
        </w:rPr>
        <w:tab/>
        <w:t>Vpúblico= a * Vprivado</w:t>
      </w:r>
    </w:p>
    <w:p w:rsidR="00ED1F70" w:rsidRPr="008C61F3" w:rsidRDefault="00ED1F70" w:rsidP="00ED1F70">
      <w:pPr>
        <w:pStyle w:val="ListParagraph"/>
        <w:numPr>
          <w:ilvl w:val="1"/>
          <w:numId w:val="52"/>
        </w:numPr>
        <w:rPr>
          <w:noProof/>
          <w:lang w:val="pt-BR"/>
        </w:rPr>
      </w:pPr>
      <w:r w:rsidRPr="008C61F3">
        <w:rPr>
          <w:noProof/>
          <w:lang w:val="pt-BR"/>
        </w:rPr>
        <w:t>Vpúbmax≤Vprivado</w:t>
      </w:r>
      <w:r w:rsidRPr="008C61F3">
        <w:rPr>
          <w:noProof/>
          <w:lang w:val="pt-BR"/>
        </w:rPr>
        <w:tab/>
      </w:r>
      <w:r w:rsidRPr="008C61F3">
        <w:rPr>
          <w:noProof/>
          <w:lang w:val="pt-BR"/>
        </w:rPr>
        <w:tab/>
      </w:r>
      <w:r w:rsidRPr="008C61F3">
        <w:rPr>
          <w:noProof/>
          <w:lang w:val="pt-BR"/>
        </w:rPr>
        <w:tab/>
        <w:t>Vpúblico= Vpubmax= 30 km/h</w:t>
      </w:r>
    </w:p>
    <w:p w:rsidR="00ED1F70" w:rsidRPr="007226D7" w:rsidRDefault="000B2336" w:rsidP="00ED1F70">
      <w:pPr>
        <w:rPr>
          <w:lang w:val="es-ES"/>
        </w:rPr>
      </w:pPr>
      <w:r w:rsidRPr="007226D7">
        <w:rPr>
          <w:lang w:val="es-ES"/>
        </w:rPr>
        <w:t>Es</w:t>
      </w:r>
      <w:r w:rsidR="00ED1F70" w:rsidRPr="007226D7">
        <w:rPr>
          <w:lang w:val="es-ES"/>
        </w:rPr>
        <w:t xml:space="preserve"> decir, la velocidad del autobús se define como un coeficiente por la velocidad de privado, pero si ésta es muy alta el autobús no puede superar su velocidad máxima de diseño. Por el contrario, si la vía se encuentra congestionada, la velocidad del transporte público es semejante a la velocidad del vehículo privado.</w:t>
      </w:r>
    </w:p>
    <w:p w:rsidR="00ED1F70" w:rsidRPr="007226D7" w:rsidRDefault="00ED1F70" w:rsidP="00ED1F70">
      <w:pPr>
        <w:rPr>
          <w:lang w:val="es-ES"/>
        </w:rPr>
      </w:pPr>
      <w:r w:rsidRPr="007226D7">
        <w:rPr>
          <w:lang w:val="es-ES"/>
        </w:rPr>
        <w:t>En el plano adjunto se muestra el sistema de rutas de Lima:</w:t>
      </w:r>
    </w:p>
    <w:p w:rsidR="00ED1F70" w:rsidRPr="007226D7" w:rsidRDefault="00ED1F70" w:rsidP="00ED1F70">
      <w:pPr>
        <w:rPr>
          <w:lang w:val="es-ES"/>
        </w:rPr>
      </w:pPr>
    </w:p>
    <w:p w:rsidR="00ED1F70" w:rsidRPr="007226D7" w:rsidRDefault="00ED1F70" w:rsidP="00ED1F70">
      <w:pPr>
        <w:jc w:val="center"/>
        <w:rPr>
          <w:lang w:val="es-ES"/>
        </w:rPr>
      </w:pPr>
      <w:r w:rsidRPr="007226D7">
        <w:rPr>
          <w:noProof/>
          <w:lang w:val="en-US" w:eastAsia="en-US"/>
        </w:rPr>
        <w:lastRenderedPageBreak/>
        <w:drawing>
          <wp:inline distT="0" distB="0" distL="0" distR="0" wp14:anchorId="57685CC0" wp14:editId="59BB1BD9">
            <wp:extent cx="5520335" cy="7801006"/>
            <wp:effectExtent l="19050" t="0" r="4165" b="0"/>
            <wp:docPr id="9" name="Immagine 8" descr="LIMA_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A_PT.png"/>
                    <pic:cNvPicPr/>
                  </pic:nvPicPr>
                  <pic:blipFill>
                    <a:blip r:embed="rId142" cstate="print"/>
                    <a:stretch>
                      <a:fillRect/>
                    </a:stretch>
                  </pic:blipFill>
                  <pic:spPr>
                    <a:xfrm>
                      <a:off x="0" y="0"/>
                      <a:ext cx="5520335" cy="7801006"/>
                    </a:xfrm>
                    <a:prstGeom prst="rect">
                      <a:avLst/>
                    </a:prstGeom>
                  </pic:spPr>
                </pic:pic>
              </a:graphicData>
            </a:graphic>
          </wp:inline>
        </w:drawing>
      </w:r>
    </w:p>
    <w:p w:rsidR="003D2AD2" w:rsidRPr="007226D7" w:rsidRDefault="003D2AD2" w:rsidP="003D2AD2">
      <w:pPr>
        <w:pStyle w:val="Figuras"/>
      </w:pPr>
      <w:r w:rsidRPr="007226D7">
        <w:rPr>
          <w:noProof/>
        </w:rPr>
        <w:t xml:space="preserve">Figura 4.2 – 3: </w:t>
      </w:r>
      <w:r w:rsidRPr="007226D7">
        <w:t>sistema de rutas de Lima</w:t>
      </w:r>
      <w:r w:rsidRPr="007226D7">
        <w:rPr>
          <w:noProof/>
        </w:rPr>
        <w:t xml:space="preserve"> incluido en el modelo de transporte</w:t>
      </w:r>
    </w:p>
    <w:p w:rsidR="00ED1F70" w:rsidRPr="007226D7" w:rsidRDefault="00ED1F70" w:rsidP="00ED1F70">
      <w:pPr>
        <w:pStyle w:val="Heading3"/>
        <w:rPr>
          <w:lang w:val="es-ES"/>
        </w:rPr>
      </w:pPr>
      <w:bookmarkStart w:id="89" w:name="_Toc342465468"/>
      <w:bookmarkStart w:id="90" w:name="_Toc342751272"/>
      <w:bookmarkStart w:id="91" w:name="_Toc346541924"/>
      <w:r w:rsidRPr="007226D7">
        <w:rPr>
          <w:lang w:val="es-ES"/>
        </w:rPr>
        <w:lastRenderedPageBreak/>
        <w:t xml:space="preserve">Matrices de </w:t>
      </w:r>
      <w:bookmarkEnd w:id="89"/>
      <w:bookmarkEnd w:id="90"/>
      <w:r w:rsidR="00596F60" w:rsidRPr="007226D7">
        <w:rPr>
          <w:lang w:val="es-ES"/>
        </w:rPr>
        <w:t>viajes</w:t>
      </w:r>
      <w:bookmarkEnd w:id="91"/>
    </w:p>
    <w:p w:rsidR="00ED1F70" w:rsidRPr="007226D7" w:rsidRDefault="00ED1F70" w:rsidP="00ED1F70">
      <w:pPr>
        <w:rPr>
          <w:lang w:val="es-ES"/>
        </w:rPr>
      </w:pPr>
      <w:r w:rsidRPr="007226D7">
        <w:rPr>
          <w:lang w:val="es-ES"/>
        </w:rPr>
        <w:t xml:space="preserve">Las matrices de </w:t>
      </w:r>
      <w:r w:rsidR="00596F60" w:rsidRPr="007226D7">
        <w:rPr>
          <w:lang w:val="es-ES"/>
        </w:rPr>
        <w:t>viajes</w:t>
      </w:r>
      <w:r w:rsidRPr="007226D7">
        <w:rPr>
          <w:lang w:val="es-ES"/>
        </w:rPr>
        <w:t xml:space="preserve"> relativas al año 2012 para las tres franjas temporales diversas se han facilitado en el estudio “"SERVICIO DE TOMA Y ANÁLISIS-ESTUDIO DE DEMANDA DE LA LÍNEA 2 DEL METRO DE LIMA”.</w:t>
      </w:r>
    </w:p>
    <w:p w:rsidR="00ED1F70" w:rsidRPr="007226D7" w:rsidRDefault="00ED1F70" w:rsidP="00ED1F70">
      <w:pPr>
        <w:rPr>
          <w:noProof/>
          <w:lang w:val="es-ES"/>
        </w:rPr>
      </w:pPr>
      <w:r w:rsidRPr="007226D7">
        <w:rPr>
          <w:noProof/>
          <w:lang w:val="es-ES"/>
        </w:rPr>
        <w:t>Los valores para el año 2012 son los siguientes:</w:t>
      </w:r>
    </w:p>
    <w:p w:rsidR="00596F60" w:rsidRPr="007226D7" w:rsidRDefault="00596F60" w:rsidP="00596F60">
      <w:pPr>
        <w:pStyle w:val="Figuras"/>
      </w:pPr>
      <w:r w:rsidRPr="007226D7">
        <w:rPr>
          <w:noProof/>
        </w:rPr>
        <w:t>Tabla 4.2 – 2: matrices de viajes relativas al año 2012</w:t>
      </w:r>
    </w:p>
    <w:tbl>
      <w:tblPr>
        <w:tblW w:w="9060" w:type="dxa"/>
        <w:jc w:val="center"/>
        <w:tblInd w:w="55" w:type="dxa"/>
        <w:tblCellMar>
          <w:left w:w="70" w:type="dxa"/>
          <w:right w:w="70" w:type="dxa"/>
        </w:tblCellMar>
        <w:tblLook w:val="04A0" w:firstRow="1" w:lastRow="0" w:firstColumn="1" w:lastColumn="0" w:noHBand="0" w:noVBand="1"/>
      </w:tblPr>
      <w:tblGrid>
        <w:gridCol w:w="2420"/>
        <w:gridCol w:w="1660"/>
        <w:gridCol w:w="1660"/>
        <w:gridCol w:w="1660"/>
        <w:gridCol w:w="1660"/>
      </w:tblGrid>
      <w:tr w:rsidR="006C214F" w:rsidRPr="006C214F" w:rsidTr="006C214F">
        <w:trPr>
          <w:trHeight w:val="499"/>
          <w:jc w:val="center"/>
        </w:trPr>
        <w:tc>
          <w:tcPr>
            <w:tcW w:w="2420" w:type="dxa"/>
            <w:tcBorders>
              <w:top w:val="single" w:sz="4" w:space="0" w:color="auto"/>
              <w:left w:val="single" w:sz="4" w:space="0" w:color="auto"/>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left"/>
              <w:rPr>
                <w:rFonts w:cs="Arial"/>
                <w:b/>
                <w:bCs/>
                <w:color w:val="171717"/>
                <w:sz w:val="20"/>
              </w:rPr>
            </w:pPr>
            <w:r w:rsidRPr="006C214F">
              <w:rPr>
                <w:rFonts w:cs="Arial"/>
                <w:b/>
                <w:bCs/>
                <w:color w:val="171717"/>
                <w:sz w:val="20"/>
              </w:rPr>
              <w:t>Matriz O/D</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 xml:space="preserve">Viajes HPM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 xml:space="preserve">Viajes HPT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 xml:space="preserve">Viajes HV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 xml:space="preserve">Total diario </w:t>
            </w:r>
          </w:p>
        </w:tc>
      </w:tr>
      <w:tr w:rsidR="006C214F" w:rsidRPr="006C214F" w:rsidTr="006C214F">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 xml:space="preserve">Auto particular </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187,038</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106,891</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82,557</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1,661,099</w:t>
            </w:r>
          </w:p>
        </w:tc>
      </w:tr>
      <w:tr w:rsidR="006C214F" w:rsidRPr="006C214F" w:rsidTr="006C214F">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 xml:space="preserve">Taxi </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116,307</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105,396</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88,860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1,598,586</w:t>
            </w:r>
          </w:p>
        </w:tc>
      </w:tr>
      <w:tr w:rsidR="006C214F" w:rsidRPr="006C214F" w:rsidTr="006C214F">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 xml:space="preserve">Vehículos pesados </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14,052</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10,776</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10,369</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184,453</w:t>
            </w:r>
          </w:p>
        </w:tc>
      </w:tr>
      <w:tr w:rsidR="006C214F" w:rsidRPr="006C214F" w:rsidTr="006C214F">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 xml:space="preserve">Transporte público </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1,026,919</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697,980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481,503</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9,708,931</w:t>
            </w:r>
          </w:p>
        </w:tc>
      </w:tr>
    </w:tbl>
    <w:p w:rsidR="00ED1F70" w:rsidRPr="007226D7" w:rsidRDefault="00ED1F70" w:rsidP="00ED1F70">
      <w:pPr>
        <w:jc w:val="center"/>
        <w:rPr>
          <w:lang w:val="es-ES"/>
        </w:rPr>
      </w:pPr>
    </w:p>
    <w:p w:rsidR="00916F36" w:rsidRPr="007226D7" w:rsidRDefault="00ED1F70" w:rsidP="00ED1F70">
      <w:pPr>
        <w:rPr>
          <w:lang w:val="es-ES"/>
        </w:rPr>
      </w:pPr>
      <w:r w:rsidRPr="007226D7">
        <w:rPr>
          <w:lang w:val="es-ES"/>
        </w:rPr>
        <w:t>Estas matrices resultan fundamentales tanto para la asignación del modelo de transporte representativo de la situación actual, como elemento de partida para estimar las matrices futuras.</w:t>
      </w:r>
    </w:p>
    <w:p w:rsidR="00A6151B" w:rsidRPr="007226D7" w:rsidRDefault="00A6151B" w:rsidP="00ED1F70">
      <w:pPr>
        <w:rPr>
          <w:lang w:val="es-ES"/>
        </w:rPr>
      </w:pPr>
      <w:r w:rsidRPr="007226D7">
        <w:rPr>
          <w:lang w:val="es-ES"/>
        </w:rPr>
        <w:t>Por d</w:t>
      </w:r>
      <w:r w:rsidR="00300951" w:rsidRPr="007226D7">
        <w:rPr>
          <w:lang w:val="es-ES"/>
        </w:rPr>
        <w:t xml:space="preserve">etalles sobre el </w:t>
      </w:r>
      <w:r w:rsidR="000B2336" w:rsidRPr="007226D7">
        <w:rPr>
          <w:lang w:val="es-ES"/>
        </w:rPr>
        <w:t>análisis</w:t>
      </w:r>
      <w:r w:rsidR="00300951" w:rsidRPr="007226D7">
        <w:rPr>
          <w:lang w:val="es-ES"/>
        </w:rPr>
        <w:t xml:space="preserve"> de </w:t>
      </w:r>
      <w:r w:rsidRPr="007226D7">
        <w:rPr>
          <w:lang w:val="es-ES"/>
        </w:rPr>
        <w:t>d</w:t>
      </w:r>
      <w:r w:rsidR="000B2336" w:rsidRPr="007226D7">
        <w:rPr>
          <w:lang w:val="es-ES"/>
        </w:rPr>
        <w:t>e</w:t>
      </w:r>
      <w:r w:rsidRPr="007226D7">
        <w:rPr>
          <w:lang w:val="es-ES"/>
        </w:rPr>
        <w:t>manda se consulte la sección 4.5</w:t>
      </w:r>
      <w:r w:rsidR="00300951" w:rsidRPr="007226D7">
        <w:rPr>
          <w:lang w:val="es-ES"/>
        </w:rPr>
        <w:t>.</w:t>
      </w:r>
    </w:p>
    <w:p w:rsidR="00ED1F70" w:rsidRPr="007226D7" w:rsidRDefault="00ED1F70" w:rsidP="00ED1F70">
      <w:pPr>
        <w:pStyle w:val="Heading3"/>
        <w:rPr>
          <w:lang w:val="es-ES"/>
        </w:rPr>
      </w:pPr>
      <w:bookmarkStart w:id="92" w:name="_Toc342465469"/>
      <w:bookmarkStart w:id="93" w:name="_Toc342751273"/>
      <w:bookmarkStart w:id="94" w:name="_Toc346541925"/>
      <w:r w:rsidRPr="007226D7">
        <w:rPr>
          <w:noProof/>
          <w:lang w:val="es-ES"/>
        </w:rPr>
        <w:t>Procedimiento de asignación</w:t>
      </w:r>
      <w:bookmarkEnd w:id="92"/>
      <w:bookmarkEnd w:id="93"/>
      <w:bookmarkEnd w:id="94"/>
    </w:p>
    <w:p w:rsidR="00ED1F70" w:rsidRPr="007226D7" w:rsidRDefault="00ED1F70" w:rsidP="00ED1F70">
      <w:pPr>
        <w:rPr>
          <w:lang w:val="es-ES"/>
        </w:rPr>
      </w:pPr>
      <w:r w:rsidRPr="007226D7">
        <w:rPr>
          <w:noProof/>
          <w:lang w:val="es-ES"/>
        </w:rPr>
        <w:t>La metodología seguida para el proceso de asignación y calibrado ha sido la siguiente:</w:t>
      </w:r>
    </w:p>
    <w:p w:rsidR="00ED1F70" w:rsidRPr="007226D7" w:rsidRDefault="00ED1F70" w:rsidP="00ED1F70">
      <w:pPr>
        <w:pStyle w:val="ListParagraph"/>
        <w:numPr>
          <w:ilvl w:val="0"/>
          <w:numId w:val="53"/>
        </w:numPr>
        <w:rPr>
          <w:lang w:val="es-ES"/>
        </w:rPr>
      </w:pPr>
      <w:r w:rsidRPr="007226D7">
        <w:rPr>
          <w:noProof/>
          <w:lang w:val="es-ES"/>
        </w:rPr>
        <w:t>Primero se adopta como elemento de precarga en la red de transporte privado las rutas del sistema de transporte público.</w:t>
      </w:r>
    </w:p>
    <w:p w:rsidR="00ED1F70" w:rsidRPr="007226D7" w:rsidRDefault="00ED1F70" w:rsidP="00ED1F70">
      <w:pPr>
        <w:pStyle w:val="ListParagraph"/>
        <w:numPr>
          <w:ilvl w:val="0"/>
          <w:numId w:val="53"/>
        </w:numPr>
        <w:rPr>
          <w:lang w:val="es-ES"/>
        </w:rPr>
      </w:pPr>
      <w:r w:rsidRPr="007226D7">
        <w:rPr>
          <w:noProof/>
          <w:lang w:val="es-ES"/>
        </w:rPr>
        <w:t>Luego se realiza la asignación de la red de transporte privado mediante el procedimiento de multi-clase (coche, taxi y vehículos pesados) con equilibrio del usuario y la precarga.</w:t>
      </w:r>
      <w:r w:rsidRPr="007226D7">
        <w:rPr>
          <w:lang w:val="es-ES"/>
        </w:rPr>
        <w:t xml:space="preserve"> </w:t>
      </w:r>
      <w:r w:rsidRPr="007226D7">
        <w:rPr>
          <w:noProof/>
          <w:lang w:val="es-ES"/>
        </w:rPr>
        <w:t>Los parámetros de entrada para esta asignación son los siguientes:</w:t>
      </w:r>
    </w:p>
    <w:p w:rsidR="00ED1F70" w:rsidRPr="007226D7" w:rsidRDefault="00ED1F70" w:rsidP="00ED1F70">
      <w:pPr>
        <w:pStyle w:val="ListParagraph"/>
        <w:numPr>
          <w:ilvl w:val="1"/>
          <w:numId w:val="53"/>
        </w:numPr>
        <w:rPr>
          <w:lang w:val="es-ES"/>
        </w:rPr>
      </w:pPr>
      <w:r w:rsidRPr="007226D7">
        <w:rPr>
          <w:noProof/>
          <w:lang w:val="es-ES"/>
        </w:rPr>
        <w:t>Matrices de viajes de coche, taxi y vehículos pesados, donde a estos últimos se le aplica un coeficiente de vehículos equivalentes de 2.</w:t>
      </w:r>
    </w:p>
    <w:p w:rsidR="00ED1F70" w:rsidRPr="007226D7" w:rsidRDefault="00ED1F70" w:rsidP="00ED1F70">
      <w:pPr>
        <w:pStyle w:val="ListParagraph"/>
        <w:numPr>
          <w:ilvl w:val="1"/>
          <w:numId w:val="53"/>
        </w:numPr>
        <w:rPr>
          <w:lang w:val="es-ES"/>
        </w:rPr>
      </w:pPr>
      <w:r w:rsidRPr="007226D7">
        <w:rPr>
          <w:noProof/>
          <w:lang w:val="es-ES"/>
        </w:rPr>
        <w:t>Los tiempos de viaje en un estado de no-congestión, obtenidos mediante las distancias y velocidades de cada arco según tipo de vía.</w:t>
      </w:r>
      <w:r w:rsidRPr="007226D7">
        <w:rPr>
          <w:lang w:val="es-ES"/>
        </w:rPr>
        <w:t xml:space="preserve"> </w:t>
      </w:r>
    </w:p>
    <w:p w:rsidR="00ED1F70" w:rsidRPr="007226D7" w:rsidRDefault="00ED1F70" w:rsidP="00ED1F70">
      <w:pPr>
        <w:pStyle w:val="ListParagraph"/>
        <w:numPr>
          <w:ilvl w:val="1"/>
          <w:numId w:val="53"/>
        </w:numPr>
        <w:rPr>
          <w:lang w:val="es-ES"/>
        </w:rPr>
      </w:pPr>
      <w:r w:rsidRPr="007226D7">
        <w:rPr>
          <w:noProof/>
          <w:lang w:val="es-ES"/>
        </w:rPr>
        <w:t>La capacidad de cada arco definida como la capacidad según tipo de vía por el número de carriles de cada vial.</w:t>
      </w:r>
    </w:p>
    <w:p w:rsidR="00ED1F70" w:rsidRPr="007226D7" w:rsidRDefault="00ED1F70" w:rsidP="00ED1F70">
      <w:pPr>
        <w:pStyle w:val="ListParagraph"/>
        <w:numPr>
          <w:ilvl w:val="1"/>
          <w:numId w:val="53"/>
        </w:numPr>
        <w:rPr>
          <w:lang w:val="es-ES"/>
        </w:rPr>
      </w:pPr>
      <w:r w:rsidRPr="007226D7">
        <w:rPr>
          <w:noProof/>
          <w:lang w:val="es-ES"/>
        </w:rPr>
        <w:t>Coeficientes alpha y beta de la función de tiempo según tipo de vía.</w:t>
      </w:r>
    </w:p>
    <w:p w:rsidR="00ED1F70" w:rsidRPr="007226D7" w:rsidRDefault="00ED1F70" w:rsidP="00ED1F70">
      <w:pPr>
        <w:pStyle w:val="ListParagraph"/>
        <w:numPr>
          <w:ilvl w:val="1"/>
          <w:numId w:val="53"/>
        </w:numPr>
        <w:rPr>
          <w:lang w:val="es-ES"/>
        </w:rPr>
      </w:pPr>
      <w:r w:rsidRPr="007226D7">
        <w:rPr>
          <w:noProof/>
          <w:lang w:val="es-ES"/>
        </w:rPr>
        <w:t>La precarga del sistema de transporte público.</w:t>
      </w:r>
    </w:p>
    <w:p w:rsidR="00ED1F70" w:rsidRPr="007226D7" w:rsidRDefault="00ED1F70" w:rsidP="00ED1F70">
      <w:pPr>
        <w:rPr>
          <w:lang w:val="es-ES"/>
        </w:rPr>
      </w:pPr>
      <w:r w:rsidRPr="007226D7">
        <w:rPr>
          <w:noProof/>
          <w:lang w:val="es-ES"/>
        </w:rPr>
        <w:t>Este procedimiento de asignación adopta un algoritmo de aproximación lineal que consiste en la elección del camino más óptimo.</w:t>
      </w:r>
      <w:r w:rsidRPr="007226D7">
        <w:rPr>
          <w:lang w:val="es-ES"/>
        </w:rPr>
        <w:t xml:space="preserve"> </w:t>
      </w:r>
      <w:r w:rsidRPr="007226D7">
        <w:rPr>
          <w:noProof/>
          <w:lang w:val="es-ES"/>
        </w:rPr>
        <w:t>Mediante un proceso iterativo se persigue que cada usuario elija la ruta que perciba como la mejor, es decir, aquélla que minimiza su coste generalizado de viaje.</w:t>
      </w:r>
      <w:r w:rsidRPr="007226D7">
        <w:rPr>
          <w:lang w:val="es-ES"/>
        </w:rPr>
        <w:t xml:space="preserve"> </w:t>
      </w:r>
      <w:r w:rsidRPr="007226D7">
        <w:rPr>
          <w:noProof/>
          <w:lang w:val="es-ES"/>
        </w:rPr>
        <w:t>Al final del proceso se cumple el principio de Wardrop:</w:t>
      </w:r>
      <w:r w:rsidRPr="007226D7">
        <w:rPr>
          <w:lang w:val="es-ES"/>
        </w:rPr>
        <w:t xml:space="preserve"> </w:t>
      </w:r>
      <w:r w:rsidRPr="007226D7">
        <w:rPr>
          <w:noProof/>
          <w:lang w:val="es-ES"/>
        </w:rPr>
        <w:t>en el equilibrio, ningún viajero puede reducir su coste generalizado de viaje cambiando la ruta.</w:t>
      </w:r>
      <w:r w:rsidRPr="007226D7">
        <w:rPr>
          <w:lang w:val="es-ES"/>
        </w:rPr>
        <w:t xml:space="preserve"> </w:t>
      </w:r>
      <w:r w:rsidRPr="007226D7">
        <w:rPr>
          <w:noProof/>
          <w:lang w:val="es-ES"/>
        </w:rPr>
        <w:t xml:space="preserve">Por tanto, el coste </w:t>
      </w:r>
      <w:r w:rsidRPr="007226D7">
        <w:rPr>
          <w:noProof/>
          <w:lang w:val="es-ES"/>
        </w:rPr>
        <w:lastRenderedPageBreak/>
        <w:t>generalizado de viaje entre un mismo origen y destino será igual en todos los caminos disponibles.</w:t>
      </w:r>
      <w:r w:rsidRPr="007226D7">
        <w:rPr>
          <w:lang w:val="es-ES"/>
        </w:rPr>
        <w:t xml:space="preserve"> </w:t>
      </w:r>
    </w:p>
    <w:p w:rsidR="00ED1F70" w:rsidRPr="007226D7" w:rsidRDefault="00ED1F70" w:rsidP="00ED1F70">
      <w:pPr>
        <w:rPr>
          <w:lang w:val="es-ES"/>
        </w:rPr>
      </w:pPr>
      <w:r w:rsidRPr="007226D7">
        <w:rPr>
          <w:noProof/>
          <w:lang w:val="es-ES"/>
        </w:rPr>
        <w:t>La asignación multi-clase permite asignar simultáneamente las matrices de coche, taxi y vehículos pesados. Con estas asignaciones se obtiene</w:t>
      </w:r>
      <w:r w:rsidR="00A6151B" w:rsidRPr="007226D7">
        <w:rPr>
          <w:noProof/>
          <w:lang w:val="es-ES"/>
        </w:rPr>
        <w:t>n</w:t>
      </w:r>
      <w:r w:rsidRPr="007226D7">
        <w:rPr>
          <w:noProof/>
          <w:lang w:val="es-ES"/>
        </w:rPr>
        <w:t xml:space="preserve"> datos de tráficos y tiempos de viaje en cada vía para cada período horario:</w:t>
      </w:r>
    </w:p>
    <w:p w:rsidR="00ED1F70" w:rsidRPr="007226D7" w:rsidRDefault="00ED1F70" w:rsidP="00ED1F70">
      <w:pPr>
        <w:pStyle w:val="ListParagraph"/>
        <w:numPr>
          <w:ilvl w:val="0"/>
          <w:numId w:val="54"/>
        </w:numPr>
        <w:rPr>
          <w:lang w:val="es-ES"/>
        </w:rPr>
      </w:pPr>
      <w:r w:rsidRPr="007226D7">
        <w:rPr>
          <w:noProof/>
          <w:lang w:val="es-ES"/>
        </w:rPr>
        <w:t xml:space="preserve">con las velocidades del vehículo privado de cada período horario, se estiman los tiempos de viaje para la red de transporte público con las funciones de tiempo ya indicadas en previos epígrafes, y </w:t>
      </w:r>
    </w:p>
    <w:p w:rsidR="00ED1F70" w:rsidRPr="007226D7" w:rsidRDefault="00ED1F70" w:rsidP="00ED1F70">
      <w:pPr>
        <w:pStyle w:val="ListParagraph"/>
        <w:numPr>
          <w:ilvl w:val="0"/>
          <w:numId w:val="54"/>
        </w:numPr>
        <w:rPr>
          <w:lang w:val="es-ES"/>
        </w:rPr>
      </w:pPr>
      <w:r w:rsidRPr="007226D7">
        <w:rPr>
          <w:noProof/>
          <w:lang w:val="es-ES"/>
        </w:rPr>
        <w:t>por último, se asigna la red de transporte público obteniendo la demanda captada por este sistema; esta asignación se realiza mediante el sistema Pathfinder de TRANSCAD.</w:t>
      </w:r>
      <w:r w:rsidRPr="007226D7">
        <w:rPr>
          <w:lang w:val="es-ES"/>
        </w:rPr>
        <w:t xml:space="preserve"> </w:t>
      </w:r>
    </w:p>
    <w:p w:rsidR="00ED1F70" w:rsidRPr="007226D7" w:rsidRDefault="00ED1F70" w:rsidP="00ED1F70">
      <w:pPr>
        <w:rPr>
          <w:lang w:val="es-ES"/>
        </w:rPr>
      </w:pPr>
      <w:r w:rsidRPr="007226D7">
        <w:rPr>
          <w:noProof/>
          <w:lang w:val="es-ES"/>
        </w:rPr>
        <w:t>Este tipo de asignación se caracteriza por minimizar el tiempo y coste total de viaje y para ello el viajero elige la línea o conjunto de líneas que reducen al máximo su coste generalizado.</w:t>
      </w:r>
      <w:r w:rsidRPr="007226D7">
        <w:rPr>
          <w:lang w:val="es-ES"/>
        </w:rPr>
        <w:t xml:space="preserve"> </w:t>
      </w:r>
      <w:r w:rsidRPr="007226D7">
        <w:rPr>
          <w:noProof/>
          <w:lang w:val="es-ES"/>
        </w:rPr>
        <w:t>Con este propósito, se asume que en cualquier punto de espera el usuario elige el conjunto de líneas que más atractivas le resultan, seguidamente coge la que primero llega y cambia de modo si es necesario hasta llegar a su punto de destino.</w:t>
      </w:r>
    </w:p>
    <w:p w:rsidR="00ED1F70" w:rsidRPr="007226D7" w:rsidRDefault="00ED1F70" w:rsidP="00ED1F70">
      <w:pPr>
        <w:rPr>
          <w:lang w:val="es-ES"/>
        </w:rPr>
      </w:pPr>
      <w:r w:rsidRPr="007226D7">
        <w:rPr>
          <w:noProof/>
          <w:lang w:val="es-ES"/>
        </w:rPr>
        <w:t>Los datos de entrada para esta asignación son los siguientes:</w:t>
      </w:r>
    </w:p>
    <w:p w:rsidR="00ED1F70" w:rsidRPr="007226D7" w:rsidRDefault="00ED1F70" w:rsidP="00ED1F70">
      <w:pPr>
        <w:pStyle w:val="ListParagraph"/>
        <w:numPr>
          <w:ilvl w:val="0"/>
          <w:numId w:val="54"/>
        </w:numPr>
        <w:rPr>
          <w:noProof/>
          <w:lang w:val="es-ES"/>
        </w:rPr>
      </w:pPr>
      <w:r w:rsidRPr="007226D7">
        <w:rPr>
          <w:noProof/>
          <w:lang w:val="es-ES"/>
        </w:rPr>
        <w:t>Las matrices de viajes en transporte público de cada período horario.</w:t>
      </w:r>
    </w:p>
    <w:p w:rsidR="00ED1F70" w:rsidRPr="007226D7" w:rsidRDefault="00ED1F70" w:rsidP="00ED1F70">
      <w:pPr>
        <w:pStyle w:val="ListParagraph"/>
        <w:numPr>
          <w:ilvl w:val="0"/>
          <w:numId w:val="54"/>
        </w:numPr>
        <w:rPr>
          <w:noProof/>
          <w:lang w:val="es-ES"/>
        </w:rPr>
      </w:pPr>
      <w:r w:rsidRPr="007226D7">
        <w:rPr>
          <w:noProof/>
          <w:lang w:val="es-ES"/>
        </w:rPr>
        <w:t>El fichero de modos que indica los servicios activos y sus parámetros en términos de tiempos de viaje y tarifas.</w:t>
      </w:r>
    </w:p>
    <w:p w:rsidR="00ED1F70" w:rsidRPr="007226D7" w:rsidRDefault="00ED1F70" w:rsidP="00ED1F70">
      <w:pPr>
        <w:pStyle w:val="ListParagraph"/>
        <w:numPr>
          <w:ilvl w:val="0"/>
          <w:numId w:val="54"/>
        </w:numPr>
        <w:rPr>
          <w:noProof/>
          <w:lang w:val="es-ES"/>
        </w:rPr>
      </w:pPr>
      <w:r w:rsidRPr="007226D7">
        <w:rPr>
          <w:noProof/>
          <w:lang w:val="es-ES"/>
        </w:rPr>
        <w:t>La frecuencia de cada línea por período horario que queda recogida en el fichero de líneas.</w:t>
      </w:r>
    </w:p>
    <w:p w:rsidR="00ED1F70" w:rsidRPr="007226D7" w:rsidRDefault="00ED1F70" w:rsidP="00ED1F70">
      <w:pPr>
        <w:pStyle w:val="ListParagraph"/>
        <w:numPr>
          <w:ilvl w:val="0"/>
          <w:numId w:val="54"/>
        </w:numPr>
        <w:rPr>
          <w:noProof/>
          <w:lang w:val="es-ES"/>
        </w:rPr>
      </w:pPr>
      <w:r w:rsidRPr="007226D7">
        <w:rPr>
          <w:noProof/>
          <w:lang w:val="es-ES"/>
        </w:rPr>
        <w:t>Los tiempos de viaje de los autobuses, Metropolitano, Metro y de los accesos y dispersión. Los tiempos de los autobuses se obtienen mediante las funciones de tiempo; el Metropolitano y el Metro mediante velocidades prefijadas y los tiempos de acceso y dispersión se estim</w:t>
      </w:r>
      <w:r w:rsidR="00C77A7A" w:rsidRPr="007226D7">
        <w:rPr>
          <w:noProof/>
          <w:lang w:val="es-ES"/>
        </w:rPr>
        <w:t>an considerando una velocidad</w:t>
      </w:r>
      <w:r w:rsidRPr="007226D7">
        <w:rPr>
          <w:noProof/>
          <w:lang w:val="es-ES"/>
        </w:rPr>
        <w:t xml:space="preserve"> a pie de 4 km/h.</w:t>
      </w:r>
    </w:p>
    <w:p w:rsidR="00ED1F70" w:rsidRPr="007226D7" w:rsidRDefault="00ED1F70" w:rsidP="00ED1F70">
      <w:pPr>
        <w:pStyle w:val="ListParagraph"/>
        <w:numPr>
          <w:ilvl w:val="0"/>
          <w:numId w:val="54"/>
        </w:numPr>
        <w:rPr>
          <w:noProof/>
          <w:lang w:val="es-ES"/>
        </w:rPr>
      </w:pPr>
      <w:r w:rsidRPr="007226D7">
        <w:rPr>
          <w:noProof/>
          <w:lang w:val="es-ES"/>
        </w:rPr>
        <w:t>Las tarifas de viaje aplicando el siguiente sistema:</w:t>
      </w:r>
    </w:p>
    <w:p w:rsidR="00ED1F70" w:rsidRPr="007226D7" w:rsidRDefault="00ED1F70" w:rsidP="00ED1F70">
      <w:pPr>
        <w:pStyle w:val="ListParagraph"/>
        <w:numPr>
          <w:ilvl w:val="0"/>
          <w:numId w:val="54"/>
        </w:numPr>
        <w:rPr>
          <w:noProof/>
          <w:lang w:val="es-ES"/>
        </w:rPr>
      </w:pPr>
      <w:r w:rsidRPr="007226D7">
        <w:rPr>
          <w:noProof/>
          <w:lang w:val="es-ES"/>
        </w:rPr>
        <w:t>El sistema convencional tiene una matriz de tarifas zonales. Cada embarque en una nueva ruta supone la nueva aplicación de la matriz de tarifas.</w:t>
      </w:r>
    </w:p>
    <w:p w:rsidR="00ED1F70" w:rsidRPr="007226D7" w:rsidRDefault="00ED1F70" w:rsidP="00ED1F70">
      <w:pPr>
        <w:pStyle w:val="ListParagraph"/>
        <w:numPr>
          <w:ilvl w:val="0"/>
          <w:numId w:val="54"/>
        </w:numPr>
        <w:rPr>
          <w:noProof/>
          <w:lang w:val="es-ES"/>
        </w:rPr>
      </w:pPr>
      <w:r w:rsidRPr="007226D7">
        <w:rPr>
          <w:noProof/>
          <w:lang w:val="es-ES"/>
        </w:rPr>
        <w:t>El resto de sistemas (Metropolitano, rutas alimentadoras y metro) tienen una tarifa, pago que se realiza en el abordaje inicial de la línea y en los consiguientes trasbordos.</w:t>
      </w:r>
    </w:p>
    <w:p w:rsidR="00ED1F70" w:rsidRPr="007226D7" w:rsidRDefault="00ED1F70" w:rsidP="00ED1F70">
      <w:pPr>
        <w:pStyle w:val="ListParagraph"/>
        <w:numPr>
          <w:ilvl w:val="0"/>
          <w:numId w:val="54"/>
        </w:numPr>
        <w:rPr>
          <w:noProof/>
          <w:lang w:val="es-ES"/>
        </w:rPr>
      </w:pPr>
      <w:r w:rsidRPr="007226D7">
        <w:rPr>
          <w:noProof/>
          <w:lang w:val="es-ES"/>
        </w:rPr>
        <w:t>El factor de tiempo de espera que se considera la mitad de la frecuencia.</w:t>
      </w:r>
    </w:p>
    <w:p w:rsidR="00ED1F70" w:rsidRPr="007226D7" w:rsidRDefault="00ED1F70" w:rsidP="00ED1F70">
      <w:pPr>
        <w:pStyle w:val="ListParagraph"/>
        <w:numPr>
          <w:ilvl w:val="0"/>
          <w:numId w:val="54"/>
        </w:numPr>
        <w:rPr>
          <w:noProof/>
          <w:lang w:val="es-ES"/>
        </w:rPr>
      </w:pPr>
      <w:r w:rsidRPr="007226D7">
        <w:rPr>
          <w:noProof/>
          <w:lang w:val="es-ES"/>
        </w:rPr>
        <w:t>Los pesos para los componentes del tiempo de viaje que cuantifican la percepción y el valor que cada usuario da al tiempo de espera, tiempo de transferencia, tiempo en los modos auxiliares y la tarifa. Estos pesos se consideran 1 para todos los factores de tiempo, exceptuando el tiempo de espera inicial, de transferencia y de caminata que se le dan pesos de 2, 3 y 3 respectivamente.</w:t>
      </w:r>
    </w:p>
    <w:p w:rsidR="006C214F" w:rsidRDefault="00ED1F70" w:rsidP="006C214F">
      <w:pPr>
        <w:pStyle w:val="ListParagraph"/>
        <w:numPr>
          <w:ilvl w:val="0"/>
          <w:numId w:val="54"/>
        </w:numPr>
        <w:rPr>
          <w:noProof/>
          <w:lang w:val="es-ES"/>
        </w:rPr>
      </w:pPr>
      <w:r w:rsidRPr="007226D7">
        <w:rPr>
          <w:noProof/>
          <w:lang w:val="es-ES"/>
        </w:rPr>
        <w:t xml:space="preserve">El trasbordo entre los distintos sistemas operativos se controla, con objeto de que el modelo no haga un uso irracional del sistema, mediante un fichero de trasferencias </w:t>
      </w:r>
      <w:r w:rsidRPr="007226D7">
        <w:rPr>
          <w:noProof/>
          <w:lang w:val="es-ES"/>
        </w:rPr>
        <w:lastRenderedPageBreak/>
        <w:t>donde se penalizan los trasbordos entre sistemas mediante un tiempo adicional (min) y se define la tarifa de trasferencias. La penalización de las trasferencias entre el sistema convencional con otras rutas convencionales y el resto de los sistemas públicos asciende a 5 min y se recoge en los valores genéricos de la asignación.</w:t>
      </w:r>
    </w:p>
    <w:p w:rsidR="006C214F" w:rsidRPr="006C214F" w:rsidRDefault="006C214F" w:rsidP="006C214F">
      <w:pPr>
        <w:rPr>
          <w:noProof/>
          <w:lang w:val="es-ES"/>
        </w:rPr>
      </w:pPr>
    </w:p>
    <w:p w:rsidR="00ED1F70" w:rsidRPr="007226D7" w:rsidRDefault="00596F60" w:rsidP="00ED1F70">
      <w:pPr>
        <w:pStyle w:val="Figuras"/>
      </w:pPr>
      <w:bookmarkStart w:id="95" w:name="_Toc341645010"/>
      <w:r w:rsidRPr="007226D7">
        <w:rPr>
          <w:noProof/>
        </w:rPr>
        <w:t xml:space="preserve">Tabla 4.2 – 3: </w:t>
      </w:r>
      <w:r w:rsidR="00ED1F70" w:rsidRPr="007226D7">
        <w:t>Tabla de costos de transferencia</w:t>
      </w:r>
    </w:p>
    <w:tbl>
      <w:tblPr>
        <w:tblW w:w="7100" w:type="dxa"/>
        <w:jc w:val="center"/>
        <w:tblInd w:w="56" w:type="dxa"/>
        <w:tblCellMar>
          <w:left w:w="70" w:type="dxa"/>
          <w:right w:w="70" w:type="dxa"/>
        </w:tblCellMar>
        <w:tblLook w:val="04A0" w:firstRow="1" w:lastRow="0" w:firstColumn="1" w:lastColumn="0" w:noHBand="0" w:noVBand="1"/>
      </w:tblPr>
      <w:tblGrid>
        <w:gridCol w:w="2120"/>
        <w:gridCol w:w="1660"/>
        <w:gridCol w:w="1660"/>
        <w:gridCol w:w="1660"/>
      </w:tblGrid>
      <w:tr w:rsidR="006C214F" w:rsidRPr="006C214F" w:rsidTr="006C214F">
        <w:trPr>
          <w:trHeight w:val="499"/>
          <w:jc w:val="center"/>
        </w:trPr>
        <w:tc>
          <w:tcPr>
            <w:tcW w:w="2120" w:type="dxa"/>
            <w:tcBorders>
              <w:top w:val="single" w:sz="4" w:space="0" w:color="auto"/>
              <w:left w:val="single" w:sz="4" w:space="0" w:color="auto"/>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left"/>
              <w:rPr>
                <w:rFonts w:cs="Arial"/>
                <w:b/>
                <w:bCs/>
                <w:color w:val="171717"/>
                <w:sz w:val="20"/>
              </w:rPr>
            </w:pPr>
            <w:r w:rsidRPr="006C214F">
              <w:rPr>
                <w:rFonts w:cs="Arial"/>
                <w:b/>
                <w:bCs/>
                <w:color w:val="171717"/>
                <w:sz w:val="20"/>
              </w:rPr>
              <w:t>MODORG</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MODDST</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PENALTY</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6C214F" w:rsidRPr="006C214F" w:rsidRDefault="006C214F" w:rsidP="006C214F">
            <w:pPr>
              <w:spacing w:after="0" w:line="240" w:lineRule="auto"/>
              <w:jc w:val="right"/>
              <w:rPr>
                <w:rFonts w:cs="Arial"/>
                <w:b/>
                <w:bCs/>
                <w:color w:val="171717"/>
                <w:sz w:val="20"/>
              </w:rPr>
            </w:pPr>
            <w:r w:rsidRPr="006C214F">
              <w:rPr>
                <w:rFonts w:cs="Arial"/>
                <w:b/>
                <w:bCs/>
                <w:color w:val="171717"/>
                <w:sz w:val="20"/>
              </w:rPr>
              <w:t>FARE</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2.00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0.00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1.50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1.50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1.50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2.00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0.00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1.50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Bus 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0.80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Metro</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0.80</w:t>
            </w:r>
          </w:p>
        </w:tc>
      </w:tr>
      <w:tr w:rsidR="006C214F" w:rsidRPr="006C214F" w:rsidTr="006C214F">
        <w:trPr>
          <w:trHeight w:val="255"/>
          <w:jc w:val="center"/>
        </w:trPr>
        <w:tc>
          <w:tcPr>
            <w:tcW w:w="2120" w:type="dxa"/>
            <w:tcBorders>
              <w:top w:val="nil"/>
              <w:left w:val="single" w:sz="4" w:space="0" w:color="auto"/>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rPr>
                <w:rFonts w:cs="Arial"/>
                <w:b/>
                <w:bCs/>
                <w:color w:val="171717"/>
                <w:sz w:val="20"/>
              </w:rPr>
            </w:pPr>
            <w:r w:rsidRPr="006C214F">
              <w:rPr>
                <w:rFonts w:cs="Arial"/>
                <w:b/>
                <w:bCs/>
                <w:color w:val="171717"/>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AlimentCosac</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5.00</w:t>
            </w:r>
          </w:p>
        </w:tc>
        <w:tc>
          <w:tcPr>
            <w:tcW w:w="1660" w:type="dxa"/>
            <w:tcBorders>
              <w:top w:val="nil"/>
              <w:left w:val="nil"/>
              <w:bottom w:val="single" w:sz="4" w:space="0" w:color="auto"/>
              <w:right w:val="single" w:sz="4" w:space="0" w:color="auto"/>
            </w:tcBorders>
            <w:shd w:val="clear" w:color="auto" w:fill="auto"/>
            <w:vAlign w:val="center"/>
            <w:hideMark/>
          </w:tcPr>
          <w:p w:rsidR="006C214F" w:rsidRPr="006C214F" w:rsidRDefault="006C214F" w:rsidP="006C214F">
            <w:pPr>
              <w:spacing w:after="0" w:line="240" w:lineRule="auto"/>
              <w:jc w:val="right"/>
              <w:rPr>
                <w:rFonts w:cs="Arial"/>
                <w:color w:val="000000"/>
                <w:sz w:val="20"/>
              </w:rPr>
            </w:pPr>
            <w:r w:rsidRPr="006C214F">
              <w:rPr>
                <w:rFonts w:cs="Arial"/>
                <w:color w:val="000000"/>
                <w:sz w:val="20"/>
              </w:rPr>
              <w:t>0.80</w:t>
            </w:r>
          </w:p>
        </w:tc>
      </w:tr>
    </w:tbl>
    <w:p w:rsidR="006C214F" w:rsidRPr="006C214F" w:rsidRDefault="006C214F" w:rsidP="006C214F">
      <w:pPr>
        <w:rPr>
          <w:noProof/>
          <w:lang w:val="es-ES"/>
        </w:rPr>
      </w:pPr>
      <w:bookmarkStart w:id="96" w:name="_Toc342751274"/>
    </w:p>
    <w:p w:rsidR="00ED1F70" w:rsidRPr="007226D7" w:rsidRDefault="00ED1F70" w:rsidP="00ED1F70">
      <w:pPr>
        <w:pStyle w:val="Heading3"/>
      </w:pPr>
      <w:bookmarkStart w:id="97" w:name="_Toc346541926"/>
      <w:r w:rsidRPr="007226D7">
        <w:t>Calibración del Modelo</w:t>
      </w:r>
      <w:bookmarkEnd w:id="95"/>
      <w:bookmarkEnd w:id="96"/>
      <w:bookmarkEnd w:id="97"/>
    </w:p>
    <w:p w:rsidR="00ED1F70" w:rsidRPr="007226D7" w:rsidRDefault="00ED1F70" w:rsidP="00ED1F70">
      <w:pPr>
        <w:rPr>
          <w:lang w:val="es-ES"/>
        </w:rPr>
      </w:pPr>
      <w:r w:rsidRPr="007226D7">
        <w:rPr>
          <w:lang w:val="es-ES"/>
        </w:rPr>
        <w:t xml:space="preserve">Un modelo de simulación permite evaluar los efectos de posibles variaciones de las redes de transporte, de la realización de nuevas infraestructuras o de la potenciación de las existentes, y de cualquier otra intervención administrativa e infraestructural razonablemente previsible. Una vez calibrado, el modelo puede utilizarse naturalmente tanto para la evaluación de los escenarios a corto, medio y largo plazo. Para estos últimos se </w:t>
      </w:r>
      <w:proofErr w:type="gramStart"/>
      <w:r w:rsidRPr="007226D7">
        <w:rPr>
          <w:lang w:val="es-ES"/>
        </w:rPr>
        <w:t>necesitará</w:t>
      </w:r>
      <w:proofErr w:type="gramEnd"/>
      <w:r w:rsidRPr="007226D7">
        <w:rPr>
          <w:lang w:val="es-ES"/>
        </w:rPr>
        <w:t xml:space="preserve">, evidentemente, operar también respecto a la variable “demanda” además de la variable “oferta”. </w:t>
      </w:r>
    </w:p>
    <w:p w:rsidR="00ED1F70" w:rsidRPr="007226D7" w:rsidRDefault="00ED1F70" w:rsidP="00ED1F70">
      <w:pPr>
        <w:rPr>
          <w:lang w:val="es-ES"/>
        </w:rPr>
      </w:pPr>
      <w:bookmarkStart w:id="98" w:name="OLE_LINK1"/>
      <w:r w:rsidRPr="007226D7">
        <w:rPr>
          <w:lang w:val="es-ES"/>
        </w:rPr>
        <w:t>Para estar seguros de poder utilizar el modelo en las fases simulativas, es necesario examinar la capacidad de describir la realidad observada en el estado de hecho. El proceso de evaluación de la calidad del Modelo de Transporte elaborado se denomina validación.</w:t>
      </w:r>
    </w:p>
    <w:p w:rsidR="00ED1F70" w:rsidRPr="007226D7" w:rsidRDefault="00ED1F70" w:rsidP="00ED1F70">
      <w:pPr>
        <w:pStyle w:val="Heading4"/>
        <w:rPr>
          <w:lang w:val="es-ES"/>
        </w:rPr>
      </w:pPr>
      <w:bookmarkStart w:id="99" w:name="_Toc342465471"/>
      <w:bookmarkEnd w:id="98"/>
      <w:r w:rsidRPr="007226D7">
        <w:t>Prestaciones</w:t>
      </w:r>
      <w:r w:rsidRPr="007226D7">
        <w:rPr>
          <w:lang w:val="es-ES"/>
        </w:rPr>
        <w:t xml:space="preserve"> generales del modelo</w:t>
      </w:r>
      <w:bookmarkEnd w:id="99"/>
    </w:p>
    <w:p w:rsidR="00ED1F70" w:rsidRPr="007226D7" w:rsidRDefault="00ED1F70" w:rsidP="00ED1F70">
      <w:pPr>
        <w:rPr>
          <w:lang w:val="es-ES"/>
        </w:rPr>
      </w:pPr>
      <w:r w:rsidRPr="007226D7">
        <w:rPr>
          <w:lang w:val="es-ES"/>
        </w:rPr>
        <w:t>Las prestaciones generales facilitadas por el modelo se han evaluado examinando dos variables generadas por éste: Los itinerarios y los flujos en los arcos.</w:t>
      </w:r>
    </w:p>
    <w:p w:rsidR="00ED1F70" w:rsidRPr="007226D7" w:rsidRDefault="00ED1F70" w:rsidP="00ED1F70">
      <w:pPr>
        <w:pStyle w:val="ListParagraph"/>
        <w:numPr>
          <w:ilvl w:val="0"/>
          <w:numId w:val="54"/>
        </w:numPr>
        <w:rPr>
          <w:lang w:val="es-ES"/>
        </w:rPr>
      </w:pPr>
      <w:r w:rsidRPr="007226D7">
        <w:rPr>
          <w:lang w:val="es-ES"/>
        </w:rPr>
        <w:t>Itinerarios</w:t>
      </w:r>
    </w:p>
    <w:p w:rsidR="003D2AD2" w:rsidRPr="007226D7" w:rsidRDefault="00ED1F70" w:rsidP="00596F60">
      <w:pPr>
        <w:pStyle w:val="ListParagraph"/>
        <w:numPr>
          <w:ilvl w:val="1"/>
          <w:numId w:val="54"/>
        </w:numPr>
        <w:spacing w:after="0" w:line="240" w:lineRule="auto"/>
        <w:jc w:val="left"/>
        <w:rPr>
          <w:lang w:val="es-ES"/>
        </w:rPr>
      </w:pPr>
      <w:r w:rsidRPr="007226D7">
        <w:rPr>
          <w:lang w:val="es-ES"/>
        </w:rPr>
        <w:t>Los itinerarios seguidos por los desplazamientos en la redes para conectar los diversos pares de zonas O/D representan un indicador útil de la credibilidad del modelo. Los itinerarios calculados por el proceso iterativo gestionado por el programa se han memorizado y controlado por vídeo utilizando el paquete gráfico. Esto ha permitido verificar la corrección del procedimiento de asignación, no estando presentes a lo largo de estos arcos-clave relaciones OD impropias. Las verificaciones dan tenido resultado positivo.</w:t>
      </w:r>
      <w:r w:rsidR="003D2AD2" w:rsidRPr="007226D7">
        <w:rPr>
          <w:lang w:val="es-ES"/>
        </w:rPr>
        <w:br w:type="page"/>
      </w:r>
    </w:p>
    <w:p w:rsidR="00ED1F70" w:rsidRPr="007226D7" w:rsidRDefault="00ED1F70" w:rsidP="00ED1F70">
      <w:pPr>
        <w:pStyle w:val="ListParagraph"/>
        <w:numPr>
          <w:ilvl w:val="0"/>
          <w:numId w:val="54"/>
        </w:numPr>
        <w:rPr>
          <w:lang w:val="es-ES"/>
        </w:rPr>
      </w:pPr>
      <w:r w:rsidRPr="007226D7">
        <w:rPr>
          <w:lang w:val="es-ES"/>
        </w:rPr>
        <w:lastRenderedPageBreak/>
        <w:t>Flujos en los arcos</w:t>
      </w:r>
    </w:p>
    <w:p w:rsidR="00ED1F70" w:rsidRPr="007226D7" w:rsidRDefault="00ED1F70" w:rsidP="00ED1F70">
      <w:pPr>
        <w:pStyle w:val="ListParagraph"/>
        <w:numPr>
          <w:ilvl w:val="1"/>
          <w:numId w:val="54"/>
        </w:numPr>
        <w:rPr>
          <w:lang w:val="es-ES"/>
        </w:rPr>
      </w:pPr>
      <w:r w:rsidRPr="007226D7">
        <w:rPr>
          <w:lang w:val="es-ES"/>
        </w:rPr>
        <w:t>Los flujos de vehículos y pasajeros direccionales que ocupan la red de la ciudad de Lima en las diversas horas punta se han verificado atentamente utilizando los recuentos efectuados en la reciente campaña de investigación.</w:t>
      </w:r>
    </w:p>
    <w:p w:rsidR="00ED1F70" w:rsidRPr="007226D7" w:rsidRDefault="00ED1F70" w:rsidP="00ED1F70">
      <w:pPr>
        <w:pStyle w:val="Heading4"/>
        <w:rPr>
          <w:lang w:val="es-ES"/>
        </w:rPr>
      </w:pPr>
      <w:bookmarkStart w:id="100" w:name="_Toc342465472"/>
      <w:r w:rsidRPr="007226D7">
        <w:rPr>
          <w:lang w:val="es-ES"/>
        </w:rPr>
        <w:t>Validación</w:t>
      </w:r>
      <w:bookmarkEnd w:id="100"/>
    </w:p>
    <w:p w:rsidR="00ED1F70" w:rsidRPr="007226D7" w:rsidRDefault="00ED1F70" w:rsidP="00ED1F70">
      <w:pPr>
        <w:rPr>
          <w:lang w:val="es-ES"/>
        </w:rPr>
      </w:pPr>
      <w:r w:rsidRPr="007226D7">
        <w:rPr>
          <w:color w:val="333333"/>
          <w:lang w:val="es-ES"/>
        </w:rPr>
        <w:t>El Modelo de Transporte ha sido validado comparando los valores observados y los modelados a lo largo de cada arco en los que se han efectuado los diversos recuentos. La imagen siguiente muestra las ubicaciones en las que se han realizado los recuentos de los vehículos privados:</w:t>
      </w:r>
    </w:p>
    <w:p w:rsidR="00ED1F70" w:rsidRPr="007226D7" w:rsidRDefault="00ED1F70" w:rsidP="00ED1F70">
      <w:pPr>
        <w:jc w:val="center"/>
        <w:rPr>
          <w:color w:val="333333"/>
          <w:lang w:val="es-ES"/>
        </w:rPr>
      </w:pPr>
      <w:r w:rsidRPr="007226D7">
        <w:rPr>
          <w:noProof/>
          <w:color w:val="333333"/>
          <w:lang w:val="en-US" w:eastAsia="en-US"/>
        </w:rPr>
        <w:drawing>
          <wp:inline distT="0" distB="0" distL="0" distR="0" wp14:anchorId="7A283576" wp14:editId="7397E3B4">
            <wp:extent cx="5876973" cy="4160481"/>
            <wp:effectExtent l="19050" t="0" r="9477" b="0"/>
            <wp:docPr id="1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a:stretch>
                      <a:fillRect/>
                    </a:stretch>
                  </pic:blipFill>
                  <pic:spPr bwMode="auto">
                    <a:xfrm>
                      <a:off x="0" y="0"/>
                      <a:ext cx="5876973" cy="4160481"/>
                    </a:xfrm>
                    <a:prstGeom prst="rect">
                      <a:avLst/>
                    </a:prstGeom>
                    <a:noFill/>
                    <a:ln w="9525">
                      <a:noFill/>
                      <a:miter lim="800000"/>
                      <a:headEnd/>
                      <a:tailEnd/>
                    </a:ln>
                  </pic:spPr>
                </pic:pic>
              </a:graphicData>
            </a:graphic>
          </wp:inline>
        </w:drawing>
      </w:r>
    </w:p>
    <w:p w:rsidR="003D2AD2" w:rsidRPr="007226D7" w:rsidRDefault="003D2AD2" w:rsidP="003D2AD2">
      <w:pPr>
        <w:pStyle w:val="Figuras"/>
        <w:rPr>
          <w:noProof/>
        </w:rPr>
      </w:pPr>
      <w:bookmarkStart w:id="101" w:name="_Toc341645011"/>
      <w:r w:rsidRPr="007226D7">
        <w:rPr>
          <w:noProof/>
        </w:rPr>
        <w:t xml:space="preserve">Figura 4.2 – 4: </w:t>
      </w:r>
      <w:r w:rsidR="009563C7" w:rsidRPr="007226D7">
        <w:rPr>
          <w:noProof/>
        </w:rPr>
        <w:t>U</w:t>
      </w:r>
      <w:r w:rsidRPr="007226D7">
        <w:rPr>
          <w:noProof/>
        </w:rPr>
        <w:t>bicaciones en las que se han realizado los recuentos de los vehículos privados</w:t>
      </w:r>
    </w:p>
    <w:p w:rsidR="00596F60" w:rsidRPr="007226D7" w:rsidRDefault="00596F60">
      <w:pPr>
        <w:spacing w:after="0" w:line="240" w:lineRule="auto"/>
        <w:jc w:val="left"/>
        <w:rPr>
          <w:rFonts w:cs="Arial"/>
          <w:iCs/>
          <w:color w:val="000000" w:themeColor="text1"/>
          <w:lang w:val="es-ES"/>
        </w:rPr>
      </w:pPr>
      <w:r w:rsidRPr="007226D7">
        <w:rPr>
          <w:rFonts w:cs="Arial"/>
          <w:iCs/>
          <w:color w:val="000000" w:themeColor="text1"/>
          <w:lang w:val="es-ES"/>
        </w:rPr>
        <w:br w:type="page"/>
      </w:r>
    </w:p>
    <w:p w:rsidR="003D2AD2" w:rsidRPr="007226D7" w:rsidRDefault="003D2AD2" w:rsidP="003D2AD2">
      <w:pPr>
        <w:rPr>
          <w:rFonts w:cs="Arial"/>
          <w:iCs/>
          <w:color w:val="000000" w:themeColor="text1"/>
          <w:lang w:val="es-ES"/>
        </w:rPr>
      </w:pPr>
      <w:r w:rsidRPr="007226D7">
        <w:rPr>
          <w:rFonts w:cs="Arial"/>
          <w:iCs/>
          <w:color w:val="000000" w:themeColor="text1"/>
          <w:lang w:val="es-ES"/>
        </w:rPr>
        <w:lastRenderedPageBreak/>
        <w:t>Los resultados se han sintetizado en la siguiente tabla por tipología vehicular y por franjas horarias:</w:t>
      </w:r>
    </w:p>
    <w:p w:rsidR="00596F60" w:rsidRPr="007226D7" w:rsidRDefault="00596F60" w:rsidP="00596F60">
      <w:pPr>
        <w:pStyle w:val="Figuras"/>
        <w:rPr>
          <w:rFonts w:cs="Arial"/>
          <w:iCs/>
          <w:color w:val="333333"/>
        </w:rPr>
      </w:pPr>
      <w:r w:rsidRPr="007226D7">
        <w:rPr>
          <w:noProof/>
        </w:rPr>
        <w:t>Tabla 4.2 – 4 (serie): resultados del proceso de calibración – RED VIAL</w:t>
      </w:r>
      <w:r w:rsidR="00376E84">
        <w:rPr>
          <w:noProof/>
        </w:rPr>
        <w:t xml:space="preserve"> HPM</w:t>
      </w:r>
    </w:p>
    <w:p w:rsidR="00ED1F70" w:rsidRPr="007226D7" w:rsidRDefault="00376E84" w:rsidP="00ED1F70">
      <w:pPr>
        <w:jc w:val="left"/>
        <w:rPr>
          <w:rFonts w:cs="Arial"/>
          <w:lang w:val="es-ES"/>
        </w:rPr>
      </w:pPr>
      <w:r w:rsidRPr="00376E84">
        <w:rPr>
          <w:noProof/>
          <w:lang w:val="en-US" w:eastAsia="en-US"/>
        </w:rPr>
        <w:drawing>
          <wp:inline distT="0" distB="0" distL="0" distR="0" wp14:anchorId="2507698D" wp14:editId="28691520">
            <wp:extent cx="5940425" cy="3758260"/>
            <wp:effectExtent l="19050" t="0" r="3175" b="0"/>
            <wp:docPr id="78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srcRect/>
                    <a:stretch>
                      <a:fillRect/>
                    </a:stretch>
                  </pic:blipFill>
                  <pic:spPr bwMode="auto">
                    <a:xfrm>
                      <a:off x="0" y="0"/>
                      <a:ext cx="5940425" cy="3758260"/>
                    </a:xfrm>
                    <a:prstGeom prst="rect">
                      <a:avLst/>
                    </a:prstGeom>
                    <a:noFill/>
                    <a:ln w="9525">
                      <a:noFill/>
                      <a:miter lim="800000"/>
                      <a:headEnd/>
                      <a:tailEnd/>
                    </a:ln>
                  </pic:spPr>
                </pic:pic>
              </a:graphicData>
            </a:graphic>
          </wp:inline>
        </w:drawing>
      </w:r>
    </w:p>
    <w:p w:rsidR="00ED1F70" w:rsidRPr="007226D7" w:rsidRDefault="00376E84" w:rsidP="00ED1F70">
      <w:pPr>
        <w:jc w:val="left"/>
        <w:rPr>
          <w:rFonts w:cs="Arial"/>
          <w:lang w:val="es-ES"/>
        </w:rPr>
      </w:pPr>
      <w:r w:rsidRPr="00376E84">
        <w:rPr>
          <w:noProof/>
          <w:lang w:val="en-US" w:eastAsia="en-US"/>
        </w:rPr>
        <w:drawing>
          <wp:inline distT="0" distB="0" distL="0" distR="0" wp14:anchorId="625C2A5D" wp14:editId="04D22567">
            <wp:extent cx="5940425" cy="3758260"/>
            <wp:effectExtent l="19050" t="0" r="3175" b="0"/>
            <wp:docPr id="78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srcRect/>
                    <a:stretch>
                      <a:fillRect/>
                    </a:stretch>
                  </pic:blipFill>
                  <pic:spPr bwMode="auto">
                    <a:xfrm>
                      <a:off x="0" y="0"/>
                      <a:ext cx="5940425" cy="3758260"/>
                    </a:xfrm>
                    <a:prstGeom prst="rect">
                      <a:avLst/>
                    </a:prstGeom>
                    <a:noFill/>
                    <a:ln w="9525">
                      <a:noFill/>
                      <a:miter lim="800000"/>
                      <a:headEnd/>
                      <a:tailEnd/>
                    </a:ln>
                  </pic:spPr>
                </pic:pic>
              </a:graphicData>
            </a:graphic>
          </wp:inline>
        </w:drawing>
      </w:r>
    </w:p>
    <w:p w:rsidR="00ED1F70" w:rsidRPr="007226D7" w:rsidRDefault="00376E84" w:rsidP="00ED1F70">
      <w:pPr>
        <w:jc w:val="left"/>
        <w:rPr>
          <w:rFonts w:cs="Arial"/>
          <w:lang w:val="es-ES"/>
        </w:rPr>
      </w:pPr>
      <w:r w:rsidRPr="00376E84">
        <w:rPr>
          <w:noProof/>
          <w:lang w:val="en-US" w:eastAsia="en-US"/>
        </w:rPr>
        <w:lastRenderedPageBreak/>
        <w:drawing>
          <wp:inline distT="0" distB="0" distL="0" distR="0" wp14:anchorId="0CF19E50" wp14:editId="2C5317E3">
            <wp:extent cx="5940425" cy="3758260"/>
            <wp:effectExtent l="19050" t="0" r="3175" b="0"/>
            <wp:docPr id="78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5940425" cy="3758260"/>
                    </a:xfrm>
                    <a:prstGeom prst="rect">
                      <a:avLst/>
                    </a:prstGeom>
                    <a:noFill/>
                    <a:ln w="9525">
                      <a:noFill/>
                      <a:miter lim="800000"/>
                      <a:headEnd/>
                      <a:tailEnd/>
                    </a:ln>
                  </pic:spPr>
                </pic:pic>
              </a:graphicData>
            </a:graphic>
          </wp:inline>
        </w:drawing>
      </w:r>
    </w:p>
    <w:p w:rsidR="00376E84" w:rsidRDefault="00376E84" w:rsidP="00376E84">
      <w:pPr>
        <w:pStyle w:val="Figuras"/>
        <w:rPr>
          <w:noProof/>
        </w:rPr>
      </w:pPr>
    </w:p>
    <w:p w:rsidR="00376E84" w:rsidRPr="007226D7" w:rsidRDefault="00376E84" w:rsidP="00376E84">
      <w:pPr>
        <w:pStyle w:val="Figuras"/>
        <w:rPr>
          <w:rFonts w:cs="Arial"/>
          <w:iCs/>
          <w:color w:val="333333"/>
        </w:rPr>
      </w:pPr>
      <w:r w:rsidRPr="007226D7">
        <w:rPr>
          <w:noProof/>
        </w:rPr>
        <w:t>Tabla 4.2 – 4 (serie): resultados del proceso de calibración – RED VIAL</w:t>
      </w:r>
      <w:r>
        <w:rPr>
          <w:noProof/>
        </w:rPr>
        <w:t xml:space="preserve"> HPT</w:t>
      </w:r>
    </w:p>
    <w:p w:rsidR="00ED1F70" w:rsidRPr="007226D7" w:rsidRDefault="00376E84" w:rsidP="00ED1F70">
      <w:pPr>
        <w:jc w:val="left"/>
        <w:rPr>
          <w:rFonts w:cs="Arial"/>
          <w:lang w:val="es-ES"/>
        </w:rPr>
      </w:pPr>
      <w:r w:rsidRPr="00376E84">
        <w:rPr>
          <w:rFonts w:cs="Arial"/>
          <w:noProof/>
          <w:lang w:val="en-US" w:eastAsia="en-US"/>
        </w:rPr>
        <w:drawing>
          <wp:inline distT="0" distB="0" distL="0" distR="0" wp14:anchorId="0AC83B7B" wp14:editId="3E9E9342">
            <wp:extent cx="5940425" cy="3721795"/>
            <wp:effectExtent l="19050" t="0" r="3175" b="0"/>
            <wp:docPr id="79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srcRect/>
                    <a:stretch>
                      <a:fillRect/>
                    </a:stretch>
                  </pic:blipFill>
                  <pic:spPr bwMode="auto">
                    <a:xfrm>
                      <a:off x="0" y="0"/>
                      <a:ext cx="5940425" cy="3721795"/>
                    </a:xfrm>
                    <a:prstGeom prst="rect">
                      <a:avLst/>
                    </a:prstGeom>
                    <a:noFill/>
                    <a:ln w="9525">
                      <a:noFill/>
                      <a:miter lim="800000"/>
                      <a:headEnd/>
                      <a:tailEnd/>
                    </a:ln>
                  </pic:spPr>
                </pic:pic>
              </a:graphicData>
            </a:graphic>
          </wp:inline>
        </w:drawing>
      </w:r>
    </w:p>
    <w:p w:rsidR="00ED1F70" w:rsidRPr="007226D7" w:rsidRDefault="00376E84" w:rsidP="00ED1F70">
      <w:pPr>
        <w:jc w:val="left"/>
        <w:rPr>
          <w:rFonts w:cs="Arial"/>
          <w:lang w:val="es-ES"/>
        </w:rPr>
      </w:pPr>
      <w:r w:rsidRPr="00376E84">
        <w:rPr>
          <w:noProof/>
          <w:lang w:val="en-US" w:eastAsia="en-US"/>
        </w:rPr>
        <w:lastRenderedPageBreak/>
        <w:drawing>
          <wp:inline distT="0" distB="0" distL="0" distR="0" wp14:anchorId="64841FF1" wp14:editId="3BCA6001">
            <wp:extent cx="5940425" cy="3720736"/>
            <wp:effectExtent l="19050" t="0" r="3175" b="0"/>
            <wp:docPr id="79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srcRect/>
                    <a:stretch>
                      <a:fillRect/>
                    </a:stretch>
                  </pic:blipFill>
                  <pic:spPr bwMode="auto">
                    <a:xfrm>
                      <a:off x="0" y="0"/>
                      <a:ext cx="5940425" cy="3720736"/>
                    </a:xfrm>
                    <a:prstGeom prst="rect">
                      <a:avLst/>
                    </a:prstGeom>
                    <a:noFill/>
                    <a:ln w="9525">
                      <a:noFill/>
                      <a:miter lim="800000"/>
                      <a:headEnd/>
                      <a:tailEnd/>
                    </a:ln>
                  </pic:spPr>
                </pic:pic>
              </a:graphicData>
            </a:graphic>
          </wp:inline>
        </w:drawing>
      </w:r>
    </w:p>
    <w:p w:rsidR="00ED1F70" w:rsidRDefault="00ED1F70" w:rsidP="00ED1F70">
      <w:pPr>
        <w:jc w:val="left"/>
        <w:rPr>
          <w:rFonts w:cs="Arial"/>
          <w:iCs/>
          <w:color w:val="333333"/>
          <w:lang w:val="es-ES"/>
        </w:rPr>
      </w:pPr>
    </w:p>
    <w:p w:rsidR="00376E84" w:rsidRDefault="00376E84" w:rsidP="00ED1F70">
      <w:pPr>
        <w:jc w:val="left"/>
        <w:rPr>
          <w:rFonts w:cs="Arial"/>
          <w:iCs/>
          <w:color w:val="333333"/>
          <w:lang w:val="es-ES"/>
        </w:rPr>
      </w:pPr>
    </w:p>
    <w:p w:rsidR="00376E84" w:rsidRPr="007226D7" w:rsidRDefault="00376E84" w:rsidP="00ED1F70">
      <w:pPr>
        <w:jc w:val="left"/>
        <w:rPr>
          <w:rFonts w:cs="Arial"/>
          <w:iCs/>
          <w:color w:val="333333"/>
          <w:lang w:val="es-ES"/>
        </w:rPr>
      </w:pPr>
      <w:r w:rsidRPr="00376E84">
        <w:rPr>
          <w:noProof/>
          <w:lang w:val="en-US" w:eastAsia="en-US"/>
        </w:rPr>
        <w:drawing>
          <wp:inline distT="0" distB="0" distL="0" distR="0" wp14:anchorId="5DD1DF14" wp14:editId="5767DE80">
            <wp:extent cx="5940425" cy="3720736"/>
            <wp:effectExtent l="19050" t="0" r="3175" b="0"/>
            <wp:docPr id="79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a:stretch>
                      <a:fillRect/>
                    </a:stretch>
                  </pic:blipFill>
                  <pic:spPr bwMode="auto">
                    <a:xfrm>
                      <a:off x="0" y="0"/>
                      <a:ext cx="5940425" cy="3720736"/>
                    </a:xfrm>
                    <a:prstGeom prst="rect">
                      <a:avLst/>
                    </a:prstGeom>
                    <a:noFill/>
                    <a:ln w="9525">
                      <a:noFill/>
                      <a:miter lim="800000"/>
                      <a:headEnd/>
                      <a:tailEnd/>
                    </a:ln>
                  </pic:spPr>
                </pic:pic>
              </a:graphicData>
            </a:graphic>
          </wp:inline>
        </w:drawing>
      </w:r>
    </w:p>
    <w:p w:rsidR="00376E84" w:rsidRDefault="00376E84">
      <w:pPr>
        <w:spacing w:after="0" w:line="240" w:lineRule="auto"/>
        <w:jc w:val="left"/>
        <w:rPr>
          <w:rFonts w:cs="Arial"/>
          <w:iCs/>
          <w:color w:val="333333"/>
          <w:lang w:val="es-ES"/>
        </w:rPr>
      </w:pPr>
    </w:p>
    <w:p w:rsidR="00376E84" w:rsidRPr="007226D7" w:rsidRDefault="00376E84" w:rsidP="00376E84">
      <w:pPr>
        <w:pStyle w:val="Figuras"/>
        <w:rPr>
          <w:rFonts w:cs="Arial"/>
          <w:iCs/>
          <w:color w:val="333333"/>
        </w:rPr>
      </w:pPr>
      <w:r w:rsidRPr="007226D7">
        <w:rPr>
          <w:noProof/>
        </w:rPr>
        <w:lastRenderedPageBreak/>
        <w:t>Tabla 4.2 – 4 (serie): resultados del proceso de calibración – RED VIAL</w:t>
      </w:r>
      <w:r>
        <w:rPr>
          <w:noProof/>
        </w:rPr>
        <w:t xml:space="preserve"> HV</w:t>
      </w:r>
    </w:p>
    <w:p w:rsidR="00376E84" w:rsidRDefault="00376E84">
      <w:pPr>
        <w:spacing w:after="0" w:line="240" w:lineRule="auto"/>
        <w:jc w:val="left"/>
        <w:rPr>
          <w:rFonts w:cs="Arial"/>
          <w:iCs/>
          <w:color w:val="333333"/>
          <w:lang w:val="es-ES"/>
        </w:rPr>
      </w:pPr>
      <w:r w:rsidRPr="00376E84">
        <w:rPr>
          <w:noProof/>
          <w:lang w:val="en-US" w:eastAsia="en-US"/>
        </w:rPr>
        <w:drawing>
          <wp:inline distT="0" distB="0" distL="0" distR="0" wp14:anchorId="46CFC558" wp14:editId="2BD28993">
            <wp:extent cx="5940425" cy="3720736"/>
            <wp:effectExtent l="19050" t="0" r="3175" b="0"/>
            <wp:docPr id="79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srcRect/>
                    <a:stretch>
                      <a:fillRect/>
                    </a:stretch>
                  </pic:blipFill>
                  <pic:spPr bwMode="auto">
                    <a:xfrm>
                      <a:off x="0" y="0"/>
                      <a:ext cx="5940425" cy="3720736"/>
                    </a:xfrm>
                    <a:prstGeom prst="rect">
                      <a:avLst/>
                    </a:prstGeom>
                    <a:noFill/>
                    <a:ln w="9525">
                      <a:noFill/>
                      <a:miter lim="800000"/>
                      <a:headEnd/>
                      <a:tailEnd/>
                    </a:ln>
                  </pic:spPr>
                </pic:pic>
              </a:graphicData>
            </a:graphic>
          </wp:inline>
        </w:drawing>
      </w:r>
    </w:p>
    <w:p w:rsidR="00376E84" w:rsidRDefault="00376E84">
      <w:pPr>
        <w:spacing w:after="0" w:line="240" w:lineRule="auto"/>
        <w:jc w:val="left"/>
        <w:rPr>
          <w:rFonts w:cs="Arial"/>
          <w:iCs/>
          <w:color w:val="333333"/>
          <w:lang w:val="es-ES"/>
        </w:rPr>
      </w:pPr>
    </w:p>
    <w:p w:rsidR="00376E84" w:rsidRDefault="00376E84">
      <w:pPr>
        <w:spacing w:after="0" w:line="240" w:lineRule="auto"/>
        <w:jc w:val="left"/>
        <w:rPr>
          <w:rFonts w:cs="Arial"/>
          <w:iCs/>
          <w:color w:val="333333"/>
          <w:lang w:val="es-ES"/>
        </w:rPr>
      </w:pPr>
    </w:p>
    <w:p w:rsidR="00376E84" w:rsidRDefault="00376E84">
      <w:pPr>
        <w:spacing w:after="0" w:line="240" w:lineRule="auto"/>
        <w:jc w:val="left"/>
        <w:rPr>
          <w:rFonts w:cs="Arial"/>
          <w:iCs/>
          <w:color w:val="333333"/>
          <w:lang w:val="es-ES"/>
        </w:rPr>
      </w:pPr>
    </w:p>
    <w:p w:rsidR="00376E84" w:rsidRDefault="00376E84">
      <w:pPr>
        <w:spacing w:after="0" w:line="240" w:lineRule="auto"/>
        <w:jc w:val="left"/>
        <w:rPr>
          <w:rFonts w:cs="Arial"/>
          <w:iCs/>
          <w:color w:val="333333"/>
          <w:lang w:val="es-ES"/>
        </w:rPr>
      </w:pPr>
      <w:r w:rsidRPr="00376E84">
        <w:rPr>
          <w:noProof/>
          <w:lang w:val="en-US" w:eastAsia="en-US"/>
        </w:rPr>
        <w:drawing>
          <wp:inline distT="0" distB="0" distL="0" distR="0" wp14:anchorId="46F4A69E" wp14:editId="32A8C98D">
            <wp:extent cx="5940425" cy="3720736"/>
            <wp:effectExtent l="19050" t="0" r="3175" b="0"/>
            <wp:docPr id="79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cstate="print"/>
                    <a:srcRect/>
                    <a:stretch>
                      <a:fillRect/>
                    </a:stretch>
                  </pic:blipFill>
                  <pic:spPr bwMode="auto">
                    <a:xfrm>
                      <a:off x="0" y="0"/>
                      <a:ext cx="5940425" cy="3720736"/>
                    </a:xfrm>
                    <a:prstGeom prst="rect">
                      <a:avLst/>
                    </a:prstGeom>
                    <a:noFill/>
                    <a:ln w="9525">
                      <a:noFill/>
                      <a:miter lim="800000"/>
                      <a:headEnd/>
                      <a:tailEnd/>
                    </a:ln>
                  </pic:spPr>
                </pic:pic>
              </a:graphicData>
            </a:graphic>
          </wp:inline>
        </w:drawing>
      </w:r>
    </w:p>
    <w:p w:rsidR="004E2786" w:rsidRDefault="004E2786">
      <w:pPr>
        <w:spacing w:after="0" w:line="240" w:lineRule="auto"/>
        <w:jc w:val="left"/>
        <w:rPr>
          <w:rFonts w:cs="Arial"/>
          <w:iCs/>
          <w:color w:val="333333"/>
          <w:lang w:val="es-ES"/>
        </w:rPr>
      </w:pPr>
    </w:p>
    <w:p w:rsidR="00376E84" w:rsidRDefault="00376E84">
      <w:pPr>
        <w:spacing w:after="0" w:line="240" w:lineRule="auto"/>
        <w:jc w:val="left"/>
        <w:rPr>
          <w:rFonts w:cs="Arial"/>
          <w:iCs/>
          <w:color w:val="333333"/>
          <w:lang w:val="es-ES"/>
        </w:rPr>
      </w:pPr>
      <w:r w:rsidRPr="00376E84">
        <w:rPr>
          <w:noProof/>
          <w:lang w:val="en-US" w:eastAsia="en-US"/>
        </w:rPr>
        <w:drawing>
          <wp:inline distT="0" distB="0" distL="0" distR="0" wp14:anchorId="1048EB03" wp14:editId="586C7BD3">
            <wp:extent cx="5940425" cy="3720736"/>
            <wp:effectExtent l="19050" t="0" r="3175" b="0"/>
            <wp:docPr id="79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srcRect/>
                    <a:stretch>
                      <a:fillRect/>
                    </a:stretch>
                  </pic:blipFill>
                  <pic:spPr bwMode="auto">
                    <a:xfrm>
                      <a:off x="0" y="0"/>
                      <a:ext cx="5940425" cy="3720736"/>
                    </a:xfrm>
                    <a:prstGeom prst="rect">
                      <a:avLst/>
                    </a:prstGeom>
                    <a:noFill/>
                    <a:ln w="9525">
                      <a:noFill/>
                      <a:miter lim="800000"/>
                      <a:headEnd/>
                      <a:tailEnd/>
                    </a:ln>
                  </pic:spPr>
                </pic:pic>
              </a:graphicData>
            </a:graphic>
          </wp:inline>
        </w:drawing>
      </w:r>
    </w:p>
    <w:p w:rsidR="00376E84" w:rsidRDefault="00376E84">
      <w:pPr>
        <w:spacing w:after="0" w:line="240" w:lineRule="auto"/>
        <w:jc w:val="left"/>
        <w:rPr>
          <w:rFonts w:cs="Arial"/>
          <w:iCs/>
          <w:color w:val="333333"/>
          <w:lang w:val="es-ES"/>
        </w:rPr>
      </w:pPr>
    </w:p>
    <w:p w:rsidR="00ED1F70" w:rsidRPr="007226D7" w:rsidRDefault="00ED1F70" w:rsidP="00ED1F70">
      <w:pPr>
        <w:jc w:val="left"/>
        <w:rPr>
          <w:rFonts w:cs="Arial"/>
          <w:iCs/>
          <w:color w:val="333333"/>
          <w:lang w:val="es-ES"/>
        </w:rPr>
      </w:pPr>
      <w:r w:rsidRPr="007226D7">
        <w:rPr>
          <w:rFonts w:cs="Arial"/>
          <w:iCs/>
          <w:color w:val="333333"/>
          <w:lang w:val="es-ES"/>
        </w:rPr>
        <w:t>En la siguiente imagen se recogen los datos correspondientes a los recuentos relativos a los flujos de pasajeros:</w:t>
      </w:r>
    </w:p>
    <w:p w:rsidR="00ED1F70" w:rsidRPr="007226D7" w:rsidRDefault="00ED1F70" w:rsidP="00ED1F70">
      <w:pPr>
        <w:spacing w:after="0" w:line="240" w:lineRule="auto"/>
        <w:jc w:val="left"/>
        <w:rPr>
          <w:lang w:val="es-ES"/>
        </w:rPr>
      </w:pPr>
      <w:r w:rsidRPr="007226D7">
        <w:rPr>
          <w:rFonts w:cs="Arial"/>
          <w:iCs/>
          <w:noProof/>
          <w:color w:val="333333"/>
          <w:lang w:val="en-US" w:eastAsia="en-US"/>
        </w:rPr>
        <w:drawing>
          <wp:inline distT="0" distB="0" distL="0" distR="0" wp14:anchorId="54D72E29" wp14:editId="5E12B2EF">
            <wp:extent cx="5871111" cy="3657600"/>
            <wp:effectExtent l="19050" t="0" r="0" b="0"/>
            <wp:docPr id="25" name="Immagine 219" descr="aforos_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foros_pub"/>
                    <pic:cNvPicPr>
                      <a:picLocks noChangeAspect="1" noChangeArrowheads="1"/>
                    </pic:cNvPicPr>
                  </pic:nvPicPr>
                  <pic:blipFill>
                    <a:blip r:embed="rId153" cstate="print"/>
                    <a:srcRect t="12000"/>
                    <a:stretch>
                      <a:fillRect/>
                    </a:stretch>
                  </pic:blipFill>
                  <pic:spPr bwMode="auto">
                    <a:xfrm>
                      <a:off x="0" y="0"/>
                      <a:ext cx="5871111" cy="3657600"/>
                    </a:xfrm>
                    <a:prstGeom prst="rect">
                      <a:avLst/>
                    </a:prstGeom>
                    <a:noFill/>
                    <a:ln w="9525">
                      <a:noFill/>
                      <a:miter lim="800000"/>
                      <a:headEnd/>
                      <a:tailEnd/>
                    </a:ln>
                  </pic:spPr>
                </pic:pic>
              </a:graphicData>
            </a:graphic>
          </wp:inline>
        </w:drawing>
      </w:r>
    </w:p>
    <w:p w:rsidR="00ED1F70" w:rsidRPr="007226D7" w:rsidRDefault="003D2AD2" w:rsidP="003D2AD2">
      <w:pPr>
        <w:pStyle w:val="Figuras"/>
        <w:rPr>
          <w:noProof/>
        </w:rPr>
      </w:pPr>
      <w:r w:rsidRPr="007226D7">
        <w:rPr>
          <w:noProof/>
        </w:rPr>
        <w:t xml:space="preserve">Figura 4.2 – </w:t>
      </w:r>
      <w:r w:rsidR="009563C7" w:rsidRPr="007226D7">
        <w:rPr>
          <w:noProof/>
        </w:rPr>
        <w:t>5</w:t>
      </w:r>
      <w:r w:rsidRPr="007226D7">
        <w:rPr>
          <w:noProof/>
        </w:rPr>
        <w:t>:</w:t>
      </w:r>
      <w:r w:rsidRPr="007226D7">
        <w:t xml:space="preserve"> D</w:t>
      </w:r>
      <w:r w:rsidRPr="007226D7">
        <w:rPr>
          <w:noProof/>
        </w:rPr>
        <w:t>atos correspondientes a los recuentos relativos a los flujos de pasajeros</w:t>
      </w:r>
    </w:p>
    <w:p w:rsidR="00ED1F70" w:rsidRDefault="00ED1F70" w:rsidP="00ED1F70">
      <w:pPr>
        <w:rPr>
          <w:rFonts w:cs="Arial"/>
          <w:iCs/>
          <w:color w:val="333333"/>
          <w:lang w:val="es-ES"/>
        </w:rPr>
      </w:pPr>
      <w:r w:rsidRPr="007226D7">
        <w:rPr>
          <w:rFonts w:cs="Arial"/>
          <w:iCs/>
          <w:color w:val="333333"/>
          <w:lang w:val="es-ES"/>
        </w:rPr>
        <w:lastRenderedPageBreak/>
        <w:t>Los resultados correspondientes han sido sinterizados en la tabla siguiente para cada período temporal:</w:t>
      </w:r>
    </w:p>
    <w:p w:rsidR="003A0F94" w:rsidRPr="007226D7" w:rsidRDefault="003A0F94" w:rsidP="00ED1F70">
      <w:pPr>
        <w:rPr>
          <w:rFonts w:cs="Arial"/>
          <w:iCs/>
          <w:color w:val="333333"/>
          <w:lang w:val="es-ES"/>
        </w:rPr>
      </w:pPr>
    </w:p>
    <w:p w:rsidR="00596F60" w:rsidRPr="007226D7" w:rsidRDefault="00596F60" w:rsidP="00596F60">
      <w:pPr>
        <w:pStyle w:val="Figuras"/>
        <w:rPr>
          <w:rFonts w:cs="Arial"/>
          <w:iCs/>
          <w:color w:val="333333"/>
        </w:rPr>
      </w:pPr>
      <w:r w:rsidRPr="007226D7">
        <w:rPr>
          <w:noProof/>
        </w:rPr>
        <w:t>Tabla 4.2 – 5 (serie): resultados del proceso de calibración – RED T.TE PÚBLICO</w:t>
      </w:r>
    </w:p>
    <w:p w:rsidR="00ED1F70" w:rsidRPr="007226D7" w:rsidRDefault="003A0F94" w:rsidP="00ED1F70">
      <w:pPr>
        <w:jc w:val="left"/>
        <w:rPr>
          <w:rFonts w:cs="Arial"/>
          <w:iCs/>
          <w:color w:val="333333"/>
          <w:lang w:val="es-ES"/>
        </w:rPr>
      </w:pPr>
      <w:r w:rsidRPr="003A0F94">
        <w:rPr>
          <w:noProof/>
          <w:lang w:val="en-US" w:eastAsia="en-US"/>
        </w:rPr>
        <w:drawing>
          <wp:inline distT="0" distB="0" distL="0" distR="0" wp14:anchorId="0E676513" wp14:editId="2F9D531C">
            <wp:extent cx="5940425" cy="3218603"/>
            <wp:effectExtent l="19050" t="0" r="3175" b="0"/>
            <wp:docPr id="16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srcRect/>
                    <a:stretch>
                      <a:fillRect/>
                    </a:stretch>
                  </pic:blipFill>
                  <pic:spPr bwMode="auto">
                    <a:xfrm>
                      <a:off x="0" y="0"/>
                      <a:ext cx="5940425" cy="3218603"/>
                    </a:xfrm>
                    <a:prstGeom prst="rect">
                      <a:avLst/>
                    </a:prstGeom>
                    <a:noFill/>
                    <a:ln w="9525">
                      <a:noFill/>
                      <a:miter lim="800000"/>
                      <a:headEnd/>
                      <a:tailEnd/>
                    </a:ln>
                  </pic:spPr>
                </pic:pic>
              </a:graphicData>
            </a:graphic>
          </wp:inline>
        </w:drawing>
      </w:r>
    </w:p>
    <w:p w:rsidR="00ED1F70" w:rsidRDefault="00ED1F70" w:rsidP="00ED1F70">
      <w:pPr>
        <w:jc w:val="left"/>
        <w:rPr>
          <w:rFonts w:cs="Arial"/>
          <w:lang w:val="es-ES"/>
        </w:rPr>
      </w:pPr>
    </w:p>
    <w:p w:rsidR="003A0F94" w:rsidRPr="007226D7" w:rsidRDefault="003A0F94" w:rsidP="00ED1F70">
      <w:pPr>
        <w:jc w:val="left"/>
        <w:rPr>
          <w:rFonts w:cs="Arial"/>
          <w:lang w:val="es-ES"/>
        </w:rPr>
      </w:pPr>
    </w:p>
    <w:p w:rsidR="00ED1F70" w:rsidRPr="007226D7" w:rsidRDefault="003A0F94" w:rsidP="00ED1F70">
      <w:pPr>
        <w:jc w:val="left"/>
        <w:rPr>
          <w:rFonts w:cs="Arial"/>
          <w:lang w:val="es-ES"/>
        </w:rPr>
      </w:pPr>
      <w:r w:rsidRPr="003A0F94">
        <w:rPr>
          <w:noProof/>
          <w:lang w:val="en-US" w:eastAsia="en-US"/>
        </w:rPr>
        <w:drawing>
          <wp:inline distT="0" distB="0" distL="0" distR="0" wp14:anchorId="418A1E68" wp14:editId="6ABD4F53">
            <wp:extent cx="5940425" cy="3323534"/>
            <wp:effectExtent l="19050" t="0" r="3175" b="0"/>
            <wp:docPr id="16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a:stretch>
                      <a:fillRect/>
                    </a:stretch>
                  </pic:blipFill>
                  <pic:spPr bwMode="auto">
                    <a:xfrm>
                      <a:off x="0" y="0"/>
                      <a:ext cx="5940425" cy="3323534"/>
                    </a:xfrm>
                    <a:prstGeom prst="rect">
                      <a:avLst/>
                    </a:prstGeom>
                    <a:noFill/>
                    <a:ln w="9525">
                      <a:noFill/>
                      <a:miter lim="800000"/>
                      <a:headEnd/>
                      <a:tailEnd/>
                    </a:ln>
                  </pic:spPr>
                </pic:pic>
              </a:graphicData>
            </a:graphic>
          </wp:inline>
        </w:drawing>
      </w:r>
    </w:p>
    <w:p w:rsidR="003A0F94" w:rsidRDefault="003A0F94" w:rsidP="00ED1F70">
      <w:pPr>
        <w:jc w:val="left"/>
        <w:rPr>
          <w:rFonts w:cs="Arial"/>
          <w:lang w:val="es-ES"/>
        </w:rPr>
      </w:pPr>
      <w:r w:rsidRPr="003A0F94">
        <w:rPr>
          <w:noProof/>
          <w:lang w:val="en-US" w:eastAsia="en-US"/>
        </w:rPr>
        <w:lastRenderedPageBreak/>
        <w:drawing>
          <wp:inline distT="0" distB="0" distL="0" distR="0" wp14:anchorId="7B99114B" wp14:editId="3A396AE6">
            <wp:extent cx="5940425" cy="3323534"/>
            <wp:effectExtent l="19050" t="0" r="3175" b="0"/>
            <wp:docPr id="16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srcRect/>
                    <a:stretch>
                      <a:fillRect/>
                    </a:stretch>
                  </pic:blipFill>
                  <pic:spPr bwMode="auto">
                    <a:xfrm>
                      <a:off x="0" y="0"/>
                      <a:ext cx="5940425" cy="3323534"/>
                    </a:xfrm>
                    <a:prstGeom prst="rect">
                      <a:avLst/>
                    </a:prstGeom>
                    <a:noFill/>
                    <a:ln w="9525">
                      <a:noFill/>
                      <a:miter lim="800000"/>
                      <a:headEnd/>
                      <a:tailEnd/>
                    </a:ln>
                  </pic:spPr>
                </pic:pic>
              </a:graphicData>
            </a:graphic>
          </wp:inline>
        </w:drawing>
      </w:r>
    </w:p>
    <w:p w:rsidR="003A0F94" w:rsidRPr="007226D7" w:rsidRDefault="003A0F94" w:rsidP="00ED1F70">
      <w:pPr>
        <w:jc w:val="left"/>
        <w:rPr>
          <w:rFonts w:cs="Arial"/>
          <w:lang w:val="es-ES"/>
        </w:rPr>
      </w:pPr>
    </w:p>
    <w:p w:rsidR="00ED1F70" w:rsidRPr="007226D7" w:rsidRDefault="00ED1F70" w:rsidP="00ED1F70">
      <w:pPr>
        <w:spacing w:after="0" w:line="240" w:lineRule="auto"/>
        <w:jc w:val="left"/>
        <w:rPr>
          <w:rFonts w:cs="Arial"/>
          <w:lang w:val="es-ES"/>
        </w:rPr>
      </w:pPr>
      <w:r w:rsidRPr="007226D7">
        <w:rPr>
          <w:rFonts w:cs="Arial"/>
          <w:lang w:val="es-ES"/>
        </w:rPr>
        <w:t>La última serie de investigaciones se ha realizado en las estaciones de la Línea 1 del metro y del Metropolitano. A continuación se recogen los valores de los pasajeros que han subido por estación:</w:t>
      </w:r>
    </w:p>
    <w:p w:rsidR="00ED1F70" w:rsidRPr="007226D7" w:rsidRDefault="00ED1F70" w:rsidP="00ED1F70">
      <w:pPr>
        <w:spacing w:after="0" w:line="240" w:lineRule="auto"/>
        <w:jc w:val="left"/>
        <w:rPr>
          <w:rFonts w:cs="Arial"/>
          <w:lang w:val="es-ES"/>
        </w:rPr>
      </w:pPr>
    </w:p>
    <w:p w:rsidR="00ED1F70" w:rsidRPr="007226D7" w:rsidRDefault="00ED1F70" w:rsidP="00ED1F70">
      <w:pPr>
        <w:jc w:val="left"/>
        <w:rPr>
          <w:rFonts w:cs="Arial"/>
          <w:iCs/>
          <w:color w:val="333333"/>
          <w:lang w:val="es-ES"/>
        </w:rPr>
      </w:pPr>
    </w:p>
    <w:p w:rsidR="00596F60" w:rsidRPr="007226D7" w:rsidRDefault="00596F60">
      <w:pPr>
        <w:spacing w:after="0" w:line="240" w:lineRule="auto"/>
        <w:jc w:val="left"/>
        <w:rPr>
          <w:b/>
          <w:noProof/>
          <w:sz w:val="16"/>
          <w:szCs w:val="16"/>
          <w:lang w:val="es-ES"/>
        </w:rPr>
      </w:pPr>
      <w:r w:rsidRPr="007226D7">
        <w:rPr>
          <w:noProof/>
          <w:lang w:val="es-ES"/>
        </w:rPr>
        <w:br w:type="page"/>
      </w:r>
    </w:p>
    <w:p w:rsidR="00596F60" w:rsidRPr="007226D7" w:rsidRDefault="00596F60" w:rsidP="00596F60">
      <w:pPr>
        <w:pStyle w:val="Figuras"/>
        <w:rPr>
          <w:rFonts w:cs="Arial"/>
          <w:iCs/>
          <w:color w:val="333333"/>
        </w:rPr>
      </w:pPr>
      <w:r w:rsidRPr="007226D7">
        <w:rPr>
          <w:noProof/>
        </w:rPr>
        <w:lastRenderedPageBreak/>
        <w:t>Tabla 4.2 – 6 (serie): resultados del proceso de calibración – LÍNEA 1 del Metro y METROPOLITANO</w:t>
      </w:r>
    </w:p>
    <w:p w:rsidR="00ED1F70" w:rsidRPr="007226D7" w:rsidRDefault="003A0F94" w:rsidP="00ED1F70">
      <w:pPr>
        <w:jc w:val="center"/>
        <w:rPr>
          <w:rFonts w:cs="Arial"/>
          <w:iCs/>
          <w:color w:val="333333"/>
          <w:lang w:val="es-ES"/>
        </w:rPr>
      </w:pPr>
      <w:r w:rsidRPr="003A0F94">
        <w:rPr>
          <w:noProof/>
          <w:lang w:val="en-US" w:eastAsia="en-US"/>
        </w:rPr>
        <w:drawing>
          <wp:inline distT="0" distB="0" distL="0" distR="0" wp14:anchorId="47C6CEBF" wp14:editId="30F66362">
            <wp:extent cx="3236907" cy="2508251"/>
            <wp:effectExtent l="19050" t="0" r="1593" b="0"/>
            <wp:docPr id="174"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srcRect/>
                    <a:stretch>
                      <a:fillRect/>
                    </a:stretch>
                  </pic:blipFill>
                  <pic:spPr bwMode="auto">
                    <a:xfrm>
                      <a:off x="0" y="0"/>
                      <a:ext cx="3236907" cy="2508251"/>
                    </a:xfrm>
                    <a:prstGeom prst="rect">
                      <a:avLst/>
                    </a:prstGeom>
                    <a:noFill/>
                    <a:ln w="9525">
                      <a:noFill/>
                      <a:miter lim="800000"/>
                      <a:headEnd/>
                      <a:tailEnd/>
                    </a:ln>
                  </pic:spPr>
                </pic:pic>
              </a:graphicData>
            </a:graphic>
          </wp:inline>
        </w:drawing>
      </w:r>
    </w:p>
    <w:p w:rsidR="00ED1F70" w:rsidRPr="003A0F94" w:rsidRDefault="003A0F94" w:rsidP="00596F60">
      <w:pPr>
        <w:jc w:val="center"/>
        <w:rPr>
          <w:rFonts w:cs="Arial"/>
          <w:iCs/>
          <w:color w:val="333333"/>
          <w:lang w:val="es-ES"/>
        </w:rPr>
      </w:pPr>
      <w:r w:rsidRPr="003A0F94">
        <w:rPr>
          <w:noProof/>
          <w:lang w:val="en-US" w:eastAsia="en-US"/>
        </w:rPr>
        <w:drawing>
          <wp:inline distT="0" distB="0" distL="0" distR="0" wp14:anchorId="774F72F3" wp14:editId="3DF9D800">
            <wp:extent cx="3236907" cy="2508251"/>
            <wp:effectExtent l="19050" t="0" r="1593" b="0"/>
            <wp:docPr id="629"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srcRect/>
                    <a:stretch>
                      <a:fillRect/>
                    </a:stretch>
                  </pic:blipFill>
                  <pic:spPr bwMode="auto">
                    <a:xfrm>
                      <a:off x="0" y="0"/>
                      <a:ext cx="3236907" cy="2508251"/>
                    </a:xfrm>
                    <a:prstGeom prst="rect">
                      <a:avLst/>
                    </a:prstGeom>
                    <a:noFill/>
                    <a:ln w="9525">
                      <a:noFill/>
                      <a:miter lim="800000"/>
                      <a:headEnd/>
                      <a:tailEnd/>
                    </a:ln>
                  </pic:spPr>
                </pic:pic>
              </a:graphicData>
            </a:graphic>
          </wp:inline>
        </w:drawing>
      </w:r>
    </w:p>
    <w:p w:rsidR="00ED1F70" w:rsidRDefault="003A0F94" w:rsidP="00ED1F70">
      <w:pPr>
        <w:jc w:val="center"/>
        <w:rPr>
          <w:rFonts w:cs="Arial"/>
          <w:iCs/>
          <w:color w:val="333333"/>
          <w:lang w:val="es-ES"/>
        </w:rPr>
      </w:pPr>
      <w:r w:rsidRPr="003A0F94">
        <w:rPr>
          <w:noProof/>
          <w:lang w:val="en-US" w:eastAsia="en-US"/>
        </w:rPr>
        <w:drawing>
          <wp:inline distT="0" distB="0" distL="0" distR="0" wp14:anchorId="34E05E47" wp14:editId="1E8DA150">
            <wp:extent cx="3236907" cy="2508251"/>
            <wp:effectExtent l="19050" t="0" r="1593" b="0"/>
            <wp:docPr id="63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srcRect/>
                    <a:stretch>
                      <a:fillRect/>
                    </a:stretch>
                  </pic:blipFill>
                  <pic:spPr bwMode="auto">
                    <a:xfrm>
                      <a:off x="0" y="0"/>
                      <a:ext cx="3236907" cy="2508251"/>
                    </a:xfrm>
                    <a:prstGeom prst="rect">
                      <a:avLst/>
                    </a:prstGeom>
                    <a:noFill/>
                    <a:ln w="9525">
                      <a:noFill/>
                      <a:miter lim="800000"/>
                      <a:headEnd/>
                      <a:tailEnd/>
                    </a:ln>
                  </pic:spPr>
                </pic:pic>
              </a:graphicData>
            </a:graphic>
          </wp:inline>
        </w:drawing>
      </w:r>
    </w:p>
    <w:p w:rsidR="003A0F94" w:rsidRDefault="003A0F94">
      <w:pPr>
        <w:spacing w:after="0" w:line="240" w:lineRule="auto"/>
        <w:jc w:val="left"/>
        <w:rPr>
          <w:rFonts w:cs="Arial"/>
          <w:iCs/>
          <w:color w:val="333333"/>
          <w:lang w:val="es-ES"/>
        </w:rPr>
      </w:pPr>
      <w:r>
        <w:rPr>
          <w:rFonts w:cs="Arial"/>
          <w:iCs/>
          <w:color w:val="333333"/>
          <w:lang w:val="es-ES"/>
        </w:rPr>
        <w:br w:type="page"/>
      </w:r>
    </w:p>
    <w:p w:rsidR="003A0F94" w:rsidRPr="007226D7" w:rsidRDefault="00F8334A" w:rsidP="00ED1F70">
      <w:pPr>
        <w:jc w:val="center"/>
        <w:rPr>
          <w:rFonts w:cs="Arial"/>
          <w:iCs/>
          <w:color w:val="333333"/>
          <w:lang w:val="es-ES"/>
        </w:rPr>
      </w:pPr>
      <w:r w:rsidRPr="00F8334A">
        <w:rPr>
          <w:noProof/>
          <w:lang w:val="en-US" w:eastAsia="en-US"/>
        </w:rPr>
        <w:lastRenderedPageBreak/>
        <w:drawing>
          <wp:inline distT="0" distB="0" distL="0" distR="0" wp14:anchorId="3A723388" wp14:editId="4A2FCE75">
            <wp:extent cx="5401310" cy="7942580"/>
            <wp:effectExtent l="19050" t="0" r="8890" b="0"/>
            <wp:docPr id="631"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cstate="print"/>
                    <a:srcRect/>
                    <a:stretch>
                      <a:fillRect/>
                    </a:stretch>
                  </pic:blipFill>
                  <pic:spPr bwMode="auto">
                    <a:xfrm>
                      <a:off x="0" y="0"/>
                      <a:ext cx="5401310" cy="7942580"/>
                    </a:xfrm>
                    <a:prstGeom prst="rect">
                      <a:avLst/>
                    </a:prstGeom>
                    <a:noFill/>
                    <a:ln w="9525">
                      <a:noFill/>
                      <a:miter lim="800000"/>
                      <a:headEnd/>
                      <a:tailEnd/>
                    </a:ln>
                  </pic:spPr>
                </pic:pic>
              </a:graphicData>
            </a:graphic>
          </wp:inline>
        </w:drawing>
      </w:r>
    </w:p>
    <w:p w:rsidR="00ED1F70" w:rsidRPr="007226D7" w:rsidRDefault="00ED1F70" w:rsidP="00ED1F70">
      <w:pPr>
        <w:jc w:val="left"/>
        <w:rPr>
          <w:rFonts w:cs="Arial"/>
          <w:lang w:val="es-ES"/>
        </w:rPr>
      </w:pPr>
    </w:p>
    <w:p w:rsidR="00ED1F70" w:rsidRPr="007226D7" w:rsidRDefault="00F8334A" w:rsidP="00F8334A">
      <w:pPr>
        <w:jc w:val="center"/>
        <w:rPr>
          <w:rFonts w:cs="Arial"/>
          <w:lang w:val="es-ES"/>
        </w:rPr>
      </w:pPr>
      <w:r w:rsidRPr="00F8334A">
        <w:rPr>
          <w:noProof/>
          <w:lang w:val="en-US" w:eastAsia="en-US"/>
        </w:rPr>
        <w:lastRenderedPageBreak/>
        <w:drawing>
          <wp:inline distT="0" distB="0" distL="0" distR="0" wp14:anchorId="2710477B" wp14:editId="3692FF85">
            <wp:extent cx="5401310" cy="7942580"/>
            <wp:effectExtent l="19050" t="0" r="8890" b="0"/>
            <wp:docPr id="632"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srcRect/>
                    <a:stretch>
                      <a:fillRect/>
                    </a:stretch>
                  </pic:blipFill>
                  <pic:spPr bwMode="auto">
                    <a:xfrm>
                      <a:off x="0" y="0"/>
                      <a:ext cx="5401310" cy="7942580"/>
                    </a:xfrm>
                    <a:prstGeom prst="rect">
                      <a:avLst/>
                    </a:prstGeom>
                    <a:noFill/>
                    <a:ln w="9525">
                      <a:noFill/>
                      <a:miter lim="800000"/>
                      <a:headEnd/>
                      <a:tailEnd/>
                    </a:ln>
                  </pic:spPr>
                </pic:pic>
              </a:graphicData>
            </a:graphic>
          </wp:inline>
        </w:drawing>
      </w:r>
    </w:p>
    <w:p w:rsidR="00ED1F70" w:rsidRPr="007226D7" w:rsidRDefault="00ED1F70" w:rsidP="00ED1F70">
      <w:pPr>
        <w:jc w:val="left"/>
        <w:rPr>
          <w:rFonts w:cs="Arial"/>
          <w:lang w:val="es-ES"/>
        </w:rPr>
      </w:pPr>
    </w:p>
    <w:p w:rsidR="00ED1F70" w:rsidRPr="007226D7" w:rsidRDefault="00F8334A" w:rsidP="00F8334A">
      <w:pPr>
        <w:jc w:val="center"/>
        <w:rPr>
          <w:rFonts w:cs="Arial"/>
          <w:lang w:val="es-ES"/>
        </w:rPr>
      </w:pPr>
      <w:r w:rsidRPr="00F8334A">
        <w:rPr>
          <w:noProof/>
          <w:lang w:val="en-US" w:eastAsia="en-US"/>
        </w:rPr>
        <w:lastRenderedPageBreak/>
        <w:drawing>
          <wp:inline distT="0" distB="0" distL="0" distR="0" wp14:anchorId="40614FE2" wp14:editId="70425E46">
            <wp:extent cx="5401310" cy="7942580"/>
            <wp:effectExtent l="19050" t="0" r="8890" b="0"/>
            <wp:docPr id="633"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cstate="print"/>
                    <a:srcRect/>
                    <a:stretch>
                      <a:fillRect/>
                    </a:stretch>
                  </pic:blipFill>
                  <pic:spPr bwMode="auto">
                    <a:xfrm>
                      <a:off x="0" y="0"/>
                      <a:ext cx="5401310" cy="7942580"/>
                    </a:xfrm>
                    <a:prstGeom prst="rect">
                      <a:avLst/>
                    </a:prstGeom>
                    <a:noFill/>
                    <a:ln w="9525">
                      <a:noFill/>
                      <a:miter lim="800000"/>
                      <a:headEnd/>
                      <a:tailEnd/>
                    </a:ln>
                  </pic:spPr>
                </pic:pic>
              </a:graphicData>
            </a:graphic>
          </wp:inline>
        </w:drawing>
      </w:r>
    </w:p>
    <w:p w:rsidR="00F8334A" w:rsidRDefault="00F8334A">
      <w:pPr>
        <w:spacing w:after="0" w:line="240" w:lineRule="auto"/>
        <w:jc w:val="left"/>
        <w:rPr>
          <w:rFonts w:cs="Arial"/>
          <w:lang w:val="es-ES"/>
        </w:rPr>
      </w:pPr>
      <w:r>
        <w:rPr>
          <w:rFonts w:cs="Arial"/>
          <w:lang w:val="es-ES"/>
        </w:rPr>
        <w:br w:type="page"/>
      </w:r>
    </w:p>
    <w:p w:rsidR="00ED1F70" w:rsidRPr="007226D7" w:rsidRDefault="00ED1F70" w:rsidP="00ED1F70">
      <w:pPr>
        <w:rPr>
          <w:rFonts w:cs="Arial"/>
          <w:iCs/>
          <w:color w:val="333333"/>
          <w:lang w:val="es-ES"/>
        </w:rPr>
      </w:pPr>
      <w:r w:rsidRPr="007226D7">
        <w:rPr>
          <w:rFonts w:cs="Arial"/>
          <w:iCs/>
          <w:color w:val="333333"/>
          <w:lang w:val="es-ES"/>
        </w:rPr>
        <w:lastRenderedPageBreak/>
        <w:t>La evaluación de la validez del trabajo realizado puede evidenciarse usando algunos indicadores estadísticos:</w:t>
      </w:r>
    </w:p>
    <w:p w:rsidR="00ED1F70" w:rsidRPr="007226D7" w:rsidRDefault="00ED1F70" w:rsidP="002132CC">
      <w:pPr>
        <w:pStyle w:val="ListParagraph"/>
        <w:numPr>
          <w:ilvl w:val="0"/>
          <w:numId w:val="69"/>
        </w:numPr>
        <w:rPr>
          <w:rFonts w:cs="Arial"/>
          <w:iCs/>
          <w:color w:val="333333"/>
          <w:lang w:val="es-ES"/>
        </w:rPr>
      </w:pPr>
      <w:r w:rsidRPr="007226D7">
        <w:rPr>
          <w:rFonts w:cs="Arial"/>
          <w:iCs/>
          <w:color w:val="333333"/>
          <w:lang w:val="es-ES"/>
        </w:rPr>
        <w:t>El indicador R2 siempre ha resultado superior a valores de 0.75 por cada serie de datos comparados.</w:t>
      </w:r>
    </w:p>
    <w:p w:rsidR="00AF7D44" w:rsidRPr="007226D7" w:rsidRDefault="00ED1F70" w:rsidP="002132CC">
      <w:pPr>
        <w:pStyle w:val="ListParagraph"/>
        <w:numPr>
          <w:ilvl w:val="0"/>
          <w:numId w:val="69"/>
        </w:numPr>
        <w:jc w:val="left"/>
        <w:rPr>
          <w:rFonts w:cs="Arial"/>
          <w:iCs/>
          <w:color w:val="333333"/>
          <w:lang w:val="es-ES"/>
        </w:rPr>
      </w:pPr>
      <w:r w:rsidRPr="007226D7">
        <w:rPr>
          <w:rFonts w:cs="Arial"/>
          <w:iCs/>
          <w:color w:val="333333"/>
          <w:lang w:val="es-ES"/>
        </w:rPr>
        <w:t>El error medio absoluto, calculado sumando entre sí las diferencias absolutas de las desviaciones entre valores observados y valores modelados en cada dato y dividiendo luego el resultado obtenido por el total de flujos observados, pudiendo de este modo evitar que las diferencias positivas y negativas evidenciadas por los flujos modelados se neutralicen mutuamente, ha dado siempre valores en torno al 20-25%.</w:t>
      </w:r>
    </w:p>
    <w:p w:rsidR="00ED1F70" w:rsidRPr="007226D7" w:rsidRDefault="00ED1F70" w:rsidP="002132CC">
      <w:pPr>
        <w:pStyle w:val="ListParagraph"/>
        <w:numPr>
          <w:ilvl w:val="0"/>
          <w:numId w:val="69"/>
        </w:numPr>
        <w:jc w:val="left"/>
        <w:rPr>
          <w:rFonts w:cs="Arial"/>
          <w:iCs/>
          <w:color w:val="333333"/>
          <w:lang w:val="es-ES"/>
        </w:rPr>
      </w:pPr>
      <w:r w:rsidRPr="007226D7">
        <w:rPr>
          <w:rFonts w:cs="Arial"/>
          <w:iCs/>
          <w:color w:val="333333"/>
          <w:lang w:val="es-ES"/>
        </w:rPr>
        <w:t>El último indicador utilizado es el GEH. La sustancial correspondencia entre valores de flujo observados y modelados hacen que consideremos aceptables los resultados obtenidos.</w:t>
      </w:r>
    </w:p>
    <w:p w:rsidR="00596F60" w:rsidRPr="007226D7" w:rsidRDefault="00ED1F70" w:rsidP="00AF7D44">
      <w:pPr>
        <w:rPr>
          <w:lang w:val="es-ES"/>
        </w:rPr>
      </w:pPr>
      <w:r w:rsidRPr="007226D7">
        <w:rPr>
          <w:lang w:val="es-ES"/>
        </w:rPr>
        <w:t>La</w:t>
      </w:r>
      <w:r w:rsidR="00AF7D44" w:rsidRPr="007226D7">
        <w:rPr>
          <w:lang w:val="es-ES"/>
        </w:rPr>
        <w:t>s</w:t>
      </w:r>
      <w:r w:rsidRPr="007226D7">
        <w:rPr>
          <w:lang w:val="es-ES"/>
        </w:rPr>
        <w:t xml:space="preserve"> </w:t>
      </w:r>
      <w:r w:rsidR="000B2336" w:rsidRPr="007226D7">
        <w:rPr>
          <w:lang w:val="es-ES"/>
        </w:rPr>
        <w:t>siguientes</w:t>
      </w:r>
      <w:r w:rsidRPr="007226D7">
        <w:rPr>
          <w:lang w:val="es-ES"/>
        </w:rPr>
        <w:t xml:space="preserve"> tabla</w:t>
      </w:r>
      <w:r w:rsidR="00AF7D44" w:rsidRPr="007226D7">
        <w:rPr>
          <w:lang w:val="es-ES"/>
        </w:rPr>
        <w:t>s</w:t>
      </w:r>
      <w:r w:rsidRPr="007226D7">
        <w:rPr>
          <w:lang w:val="es-ES"/>
        </w:rPr>
        <w:t xml:space="preserve"> muestra</w:t>
      </w:r>
      <w:r w:rsidR="00AF7D44" w:rsidRPr="007226D7">
        <w:rPr>
          <w:lang w:val="es-ES"/>
        </w:rPr>
        <w:t>n</w:t>
      </w:r>
      <w:r w:rsidRPr="007226D7">
        <w:rPr>
          <w:lang w:val="es-ES"/>
        </w:rPr>
        <w:t xml:space="preserve"> los resultados del modelo de demanda asignada por la situación por lo año 2012:</w:t>
      </w:r>
    </w:p>
    <w:p w:rsidR="00963155" w:rsidRPr="007226D7" w:rsidRDefault="00596F60" w:rsidP="00596F60">
      <w:pPr>
        <w:pStyle w:val="Figuras"/>
      </w:pPr>
      <w:r w:rsidRPr="007226D7">
        <w:rPr>
          <w:noProof/>
        </w:rPr>
        <w:t xml:space="preserve">Tabla 4.2 – </w:t>
      </w:r>
      <w:r w:rsidR="009563C7" w:rsidRPr="007226D7">
        <w:rPr>
          <w:noProof/>
        </w:rPr>
        <w:t>7</w:t>
      </w:r>
      <w:r w:rsidRPr="007226D7">
        <w:rPr>
          <w:noProof/>
        </w:rPr>
        <w:t xml:space="preserve"> (serie): resultados de la asignación del modelo por lo año 2012</w:t>
      </w:r>
    </w:p>
    <w:tbl>
      <w:tblPr>
        <w:tblW w:w="9400" w:type="dxa"/>
        <w:tblInd w:w="55" w:type="dxa"/>
        <w:tblCellMar>
          <w:left w:w="70" w:type="dxa"/>
          <w:right w:w="70" w:type="dxa"/>
        </w:tblCellMar>
        <w:tblLook w:val="04A0" w:firstRow="1" w:lastRow="0" w:firstColumn="1" w:lastColumn="0" w:noHBand="0" w:noVBand="1"/>
      </w:tblPr>
      <w:tblGrid>
        <w:gridCol w:w="1120"/>
        <w:gridCol w:w="3160"/>
        <w:gridCol w:w="1265"/>
        <w:gridCol w:w="1265"/>
        <w:gridCol w:w="1036"/>
        <w:gridCol w:w="1554"/>
      </w:tblGrid>
      <w:tr w:rsidR="001333AF" w:rsidRPr="007226D7" w:rsidTr="001333AF">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00</w:t>
            </w:r>
            <w:proofErr w:type="gramEnd"/>
          </w:p>
        </w:tc>
      </w:tr>
      <w:tr w:rsidR="001333AF" w:rsidRPr="007226D7" w:rsidTr="001333AF">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HPT</w:t>
            </w:r>
          </w:p>
        </w:tc>
        <w:tc>
          <w:tcPr>
            <w:tcW w:w="1036" w:type="dxa"/>
            <w:tcBorders>
              <w:top w:val="nil"/>
              <w:left w:val="nil"/>
              <w:bottom w:val="single" w:sz="8" w:space="0" w:color="auto"/>
              <w:right w:val="single" w:sz="4" w:space="0" w:color="auto"/>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HV</w:t>
            </w:r>
          </w:p>
        </w:tc>
        <w:tc>
          <w:tcPr>
            <w:tcW w:w="1554" w:type="dxa"/>
            <w:tcBorders>
              <w:top w:val="nil"/>
              <w:left w:val="nil"/>
              <w:bottom w:val="single" w:sz="8" w:space="0" w:color="auto"/>
              <w:right w:val="single" w:sz="4" w:space="0" w:color="auto"/>
            </w:tcBorders>
            <w:shd w:val="clear" w:color="171717" w:fill="FFFFFF"/>
            <w:noWrap/>
            <w:vAlign w:val="center"/>
            <w:hideMark/>
          </w:tcPr>
          <w:p w:rsidR="001333AF" w:rsidRPr="007226D7" w:rsidRDefault="001333AF" w:rsidP="001333AF">
            <w:pPr>
              <w:spacing w:after="0" w:line="240" w:lineRule="auto"/>
              <w:jc w:val="center"/>
              <w:rPr>
                <w:rFonts w:cs="Arial"/>
                <w:b/>
                <w:bCs/>
                <w:sz w:val="18"/>
                <w:szCs w:val="18"/>
              </w:rPr>
            </w:pPr>
            <w:r w:rsidRPr="007226D7">
              <w:rPr>
                <w:rFonts w:cs="Arial"/>
                <w:b/>
                <w:bCs/>
                <w:sz w:val="18"/>
                <w:szCs w:val="18"/>
              </w:rPr>
              <w:t>Total Dìario</w:t>
            </w:r>
          </w:p>
        </w:tc>
      </w:tr>
      <w:tr w:rsidR="001333AF" w:rsidRPr="007226D7" w:rsidTr="001333AF">
        <w:trPr>
          <w:trHeight w:val="240"/>
        </w:trPr>
        <w:tc>
          <w:tcPr>
            <w:tcW w:w="1120" w:type="dxa"/>
            <w:vMerge w:val="restart"/>
            <w:tcBorders>
              <w:top w:val="nil"/>
              <w:left w:val="single" w:sz="4" w:space="0" w:color="auto"/>
              <w:bottom w:val="single" w:sz="4" w:space="0" w:color="auto"/>
              <w:right w:val="single" w:sz="4" w:space="0" w:color="auto"/>
            </w:tcBorders>
            <w:shd w:val="clear" w:color="171717" w:fill="DBE5F1"/>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187,038</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106,891</w:t>
            </w:r>
          </w:p>
        </w:tc>
        <w:tc>
          <w:tcPr>
            <w:tcW w:w="1036"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82,527</w:t>
            </w:r>
          </w:p>
        </w:tc>
        <w:tc>
          <w:tcPr>
            <w:tcW w:w="1554"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1,660,710</w:t>
            </w:r>
          </w:p>
        </w:tc>
      </w:tr>
      <w:tr w:rsidR="001333AF" w:rsidRPr="007226D7" w:rsidTr="001333AF">
        <w:trPr>
          <w:trHeight w:val="240"/>
        </w:trPr>
        <w:tc>
          <w:tcPr>
            <w:tcW w:w="1120" w:type="dxa"/>
            <w:vMerge/>
            <w:tcBorders>
              <w:top w:val="nil"/>
              <w:left w:val="single" w:sz="4" w:space="0" w:color="auto"/>
              <w:bottom w:val="single" w:sz="4" w:space="0" w:color="auto"/>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116,307</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105,396</w:t>
            </w:r>
          </w:p>
        </w:tc>
        <w:tc>
          <w:tcPr>
            <w:tcW w:w="1036"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88,860</w:t>
            </w:r>
          </w:p>
        </w:tc>
        <w:tc>
          <w:tcPr>
            <w:tcW w:w="1554"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1,598,584</w:t>
            </w:r>
          </w:p>
        </w:tc>
      </w:tr>
      <w:tr w:rsidR="001333AF" w:rsidRPr="007226D7" w:rsidTr="001333AF">
        <w:trPr>
          <w:trHeight w:val="240"/>
        </w:trPr>
        <w:tc>
          <w:tcPr>
            <w:tcW w:w="1120" w:type="dxa"/>
            <w:vMerge/>
            <w:tcBorders>
              <w:top w:val="nil"/>
              <w:left w:val="single" w:sz="4" w:space="0" w:color="auto"/>
              <w:bottom w:val="single" w:sz="4" w:space="0" w:color="auto"/>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14,052</w:t>
            </w:r>
          </w:p>
        </w:tc>
        <w:tc>
          <w:tcPr>
            <w:tcW w:w="1265" w:type="dxa"/>
            <w:tcBorders>
              <w:top w:val="nil"/>
              <w:left w:val="nil"/>
              <w:bottom w:val="single" w:sz="4" w:space="0" w:color="auto"/>
              <w:right w:val="nil"/>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10,776</w:t>
            </w:r>
          </w:p>
        </w:tc>
        <w:tc>
          <w:tcPr>
            <w:tcW w:w="1036"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10,369</w:t>
            </w:r>
          </w:p>
        </w:tc>
        <w:tc>
          <w:tcPr>
            <w:tcW w:w="1554" w:type="dxa"/>
            <w:tcBorders>
              <w:top w:val="nil"/>
              <w:left w:val="nil"/>
              <w:bottom w:val="single" w:sz="4" w:space="0" w:color="auto"/>
              <w:right w:val="single" w:sz="4" w:space="0" w:color="auto"/>
            </w:tcBorders>
            <w:shd w:val="clear" w:color="171717" w:fill="DBE5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184,458</w:t>
            </w:r>
          </w:p>
        </w:tc>
      </w:tr>
      <w:tr w:rsidR="001333AF" w:rsidRPr="007226D7" w:rsidTr="001333AF">
        <w:trPr>
          <w:trHeight w:val="240"/>
        </w:trPr>
        <w:tc>
          <w:tcPr>
            <w:tcW w:w="1120" w:type="dxa"/>
            <w:vMerge w:val="restart"/>
            <w:tcBorders>
              <w:top w:val="nil"/>
              <w:left w:val="single" w:sz="4" w:space="0" w:color="auto"/>
              <w:bottom w:val="single" w:sz="4" w:space="0" w:color="auto"/>
              <w:right w:val="single" w:sz="4" w:space="0" w:color="auto"/>
            </w:tcBorders>
            <w:shd w:val="clear" w:color="171717" w:fill="C5D9F1"/>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1,359,013</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1,044,660</w:t>
            </w:r>
          </w:p>
        </w:tc>
        <w:tc>
          <w:tcPr>
            <w:tcW w:w="1036"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782,556</w:t>
            </w:r>
          </w:p>
        </w:tc>
        <w:tc>
          <w:tcPr>
            <w:tcW w:w="1554"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14,980,568</w:t>
            </w:r>
          </w:p>
        </w:tc>
      </w:tr>
      <w:tr w:rsidR="001333AF" w:rsidRPr="007226D7" w:rsidTr="001333AF">
        <w:trPr>
          <w:trHeight w:val="240"/>
        </w:trPr>
        <w:tc>
          <w:tcPr>
            <w:tcW w:w="1120" w:type="dxa"/>
            <w:vMerge/>
            <w:tcBorders>
              <w:top w:val="nil"/>
              <w:left w:val="single" w:sz="4" w:space="0" w:color="auto"/>
              <w:bottom w:val="single" w:sz="4" w:space="0" w:color="auto"/>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812,749</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873,241</w:t>
            </w:r>
          </w:p>
        </w:tc>
        <w:tc>
          <w:tcPr>
            <w:tcW w:w="1036"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642,711</w:t>
            </w:r>
          </w:p>
        </w:tc>
        <w:tc>
          <w:tcPr>
            <w:tcW w:w="1554"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11,727,228</w:t>
            </w:r>
          </w:p>
        </w:tc>
      </w:tr>
      <w:tr w:rsidR="001333AF" w:rsidRPr="007226D7" w:rsidTr="001333AF">
        <w:trPr>
          <w:trHeight w:val="240"/>
        </w:trPr>
        <w:tc>
          <w:tcPr>
            <w:tcW w:w="1120" w:type="dxa"/>
            <w:vMerge/>
            <w:tcBorders>
              <w:top w:val="nil"/>
              <w:left w:val="single" w:sz="4" w:space="0" w:color="auto"/>
              <w:bottom w:val="single" w:sz="4" w:space="0" w:color="auto"/>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316,155</w:t>
            </w:r>
          </w:p>
        </w:tc>
        <w:tc>
          <w:tcPr>
            <w:tcW w:w="1265" w:type="dxa"/>
            <w:tcBorders>
              <w:top w:val="nil"/>
              <w:left w:val="nil"/>
              <w:bottom w:val="single" w:sz="4" w:space="0" w:color="auto"/>
              <w:right w:val="nil"/>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275,454</w:t>
            </w:r>
          </w:p>
        </w:tc>
        <w:tc>
          <w:tcPr>
            <w:tcW w:w="1036"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265,719</w:t>
            </w:r>
          </w:p>
        </w:tc>
        <w:tc>
          <w:tcPr>
            <w:tcW w:w="1554" w:type="dxa"/>
            <w:tcBorders>
              <w:top w:val="nil"/>
              <w:left w:val="nil"/>
              <w:bottom w:val="single" w:sz="4" w:space="0" w:color="auto"/>
              <w:right w:val="single" w:sz="4" w:space="0" w:color="auto"/>
            </w:tcBorders>
            <w:shd w:val="clear" w:color="171717" w:fill="C5D9F1"/>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4,637,568</w:t>
            </w:r>
          </w:p>
        </w:tc>
      </w:tr>
      <w:tr w:rsidR="001333AF" w:rsidRPr="007226D7" w:rsidTr="001333AF">
        <w:trPr>
          <w:trHeight w:val="240"/>
        </w:trPr>
        <w:tc>
          <w:tcPr>
            <w:tcW w:w="1120" w:type="dxa"/>
            <w:vMerge w:val="restart"/>
            <w:tcBorders>
              <w:top w:val="nil"/>
              <w:left w:val="single" w:sz="4" w:space="0" w:color="auto"/>
              <w:bottom w:val="single" w:sz="8" w:space="0" w:color="000000"/>
              <w:right w:val="single" w:sz="4" w:space="0" w:color="auto"/>
            </w:tcBorders>
            <w:shd w:val="clear" w:color="171717" w:fill="95B3D7"/>
            <w:vAlign w:val="center"/>
            <w:hideMark/>
          </w:tcPr>
          <w:p w:rsidR="001333AF" w:rsidRPr="007226D7" w:rsidRDefault="001333AF" w:rsidP="001333AF">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96,515</w:t>
            </w:r>
          </w:p>
        </w:tc>
        <w:tc>
          <w:tcPr>
            <w:tcW w:w="1265" w:type="dxa"/>
            <w:tcBorders>
              <w:top w:val="nil"/>
              <w:left w:val="nil"/>
              <w:bottom w:val="single" w:sz="4"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58,056</w:t>
            </w:r>
          </w:p>
        </w:tc>
        <w:tc>
          <w:tcPr>
            <w:tcW w:w="1036"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40,960</w:t>
            </w:r>
          </w:p>
        </w:tc>
        <w:tc>
          <w:tcPr>
            <w:tcW w:w="1554"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841,620</w:t>
            </w:r>
          </w:p>
        </w:tc>
      </w:tr>
      <w:tr w:rsidR="001333AF" w:rsidRPr="007226D7" w:rsidTr="001333AF">
        <w:trPr>
          <w:trHeight w:val="240"/>
        </w:trPr>
        <w:tc>
          <w:tcPr>
            <w:tcW w:w="1120" w:type="dxa"/>
            <w:vMerge/>
            <w:tcBorders>
              <w:top w:val="nil"/>
              <w:left w:val="single" w:sz="4" w:space="0" w:color="auto"/>
              <w:bottom w:val="single" w:sz="8" w:space="0" w:color="000000"/>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54,164</w:t>
            </w:r>
          </w:p>
        </w:tc>
        <w:tc>
          <w:tcPr>
            <w:tcW w:w="1265" w:type="dxa"/>
            <w:tcBorders>
              <w:top w:val="nil"/>
              <w:left w:val="nil"/>
              <w:bottom w:val="single" w:sz="4"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47,595</w:t>
            </w:r>
          </w:p>
        </w:tc>
        <w:tc>
          <w:tcPr>
            <w:tcW w:w="1036"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34,360</w:t>
            </w:r>
          </w:p>
        </w:tc>
        <w:tc>
          <w:tcPr>
            <w:tcW w:w="1554" w:type="dxa"/>
            <w:tcBorders>
              <w:top w:val="nil"/>
              <w:left w:val="nil"/>
              <w:bottom w:val="single" w:sz="4"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650,202</w:t>
            </w:r>
          </w:p>
        </w:tc>
      </w:tr>
      <w:tr w:rsidR="001333AF" w:rsidRPr="007226D7" w:rsidTr="001333AF">
        <w:trPr>
          <w:trHeight w:val="255"/>
        </w:trPr>
        <w:tc>
          <w:tcPr>
            <w:tcW w:w="1120" w:type="dxa"/>
            <w:vMerge/>
            <w:tcBorders>
              <w:top w:val="nil"/>
              <w:left w:val="single" w:sz="4" w:space="0" w:color="auto"/>
              <w:bottom w:val="single" w:sz="8" w:space="0" w:color="000000"/>
              <w:right w:val="single" w:sz="4" w:space="0" w:color="auto"/>
            </w:tcBorders>
            <w:vAlign w:val="center"/>
            <w:hideMark/>
          </w:tcPr>
          <w:p w:rsidR="001333AF" w:rsidRPr="007226D7" w:rsidRDefault="001333AF" w:rsidP="001333AF">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14,178</w:t>
            </w:r>
          </w:p>
        </w:tc>
        <w:tc>
          <w:tcPr>
            <w:tcW w:w="1265" w:type="dxa"/>
            <w:tcBorders>
              <w:top w:val="nil"/>
              <w:left w:val="nil"/>
              <w:bottom w:val="single" w:sz="8" w:space="0" w:color="auto"/>
              <w:right w:val="nil"/>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11,688</w:t>
            </w:r>
          </w:p>
        </w:tc>
        <w:tc>
          <w:tcPr>
            <w:tcW w:w="1036" w:type="dxa"/>
            <w:tcBorders>
              <w:top w:val="nil"/>
              <w:left w:val="nil"/>
              <w:bottom w:val="single" w:sz="8"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sz w:val="18"/>
                <w:szCs w:val="18"/>
              </w:rPr>
            </w:pPr>
            <w:r w:rsidRPr="007226D7">
              <w:rPr>
                <w:rFonts w:cs="Arial"/>
                <w:sz w:val="18"/>
                <w:szCs w:val="18"/>
              </w:rPr>
              <w:t>10,251</w:t>
            </w:r>
          </w:p>
        </w:tc>
        <w:tc>
          <w:tcPr>
            <w:tcW w:w="1554" w:type="dxa"/>
            <w:tcBorders>
              <w:top w:val="nil"/>
              <w:left w:val="nil"/>
              <w:bottom w:val="single" w:sz="8" w:space="0" w:color="auto"/>
              <w:right w:val="single" w:sz="4" w:space="0" w:color="auto"/>
            </w:tcBorders>
            <w:shd w:val="clear" w:color="171717" w:fill="95B3D7"/>
            <w:noWrap/>
            <w:vAlign w:val="center"/>
            <w:hideMark/>
          </w:tcPr>
          <w:p w:rsidR="001333AF" w:rsidRPr="007226D7" w:rsidRDefault="001333AF" w:rsidP="001333AF">
            <w:pPr>
              <w:spacing w:after="0" w:line="240" w:lineRule="auto"/>
              <w:jc w:val="right"/>
              <w:rPr>
                <w:rFonts w:cs="Arial"/>
                <w:b/>
                <w:bCs/>
                <w:sz w:val="18"/>
                <w:szCs w:val="18"/>
              </w:rPr>
            </w:pPr>
            <w:r w:rsidRPr="007226D7">
              <w:rPr>
                <w:rFonts w:cs="Arial"/>
                <w:b/>
                <w:bCs/>
                <w:sz w:val="18"/>
                <w:szCs w:val="18"/>
              </w:rPr>
              <w:t>184,998</w:t>
            </w:r>
          </w:p>
        </w:tc>
      </w:tr>
    </w:tbl>
    <w:p w:rsidR="00963155" w:rsidRPr="007226D7" w:rsidRDefault="00963155" w:rsidP="00ED1F70">
      <w:pPr>
        <w:spacing w:after="0" w:line="240" w:lineRule="auto"/>
        <w:jc w:val="left"/>
        <w:rPr>
          <w:sz w:val="20"/>
          <w:lang w:val="es-ES"/>
        </w:rPr>
      </w:pPr>
    </w:p>
    <w:tbl>
      <w:tblPr>
        <w:tblW w:w="9400" w:type="dxa"/>
        <w:tblInd w:w="51" w:type="dxa"/>
        <w:tblCellMar>
          <w:left w:w="70" w:type="dxa"/>
          <w:right w:w="70" w:type="dxa"/>
        </w:tblCellMar>
        <w:tblLook w:val="04A0" w:firstRow="1" w:lastRow="0" w:firstColumn="1" w:lastColumn="0" w:noHBand="0" w:noVBand="1"/>
      </w:tblPr>
      <w:tblGrid>
        <w:gridCol w:w="1120"/>
        <w:gridCol w:w="3160"/>
        <w:gridCol w:w="1323"/>
        <w:gridCol w:w="1087"/>
        <w:gridCol w:w="1087"/>
        <w:gridCol w:w="1623"/>
      </w:tblGrid>
      <w:tr w:rsidR="00AF7D44" w:rsidRPr="007226D7" w:rsidTr="00AF7D4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00</w:t>
            </w:r>
            <w:proofErr w:type="gramEnd"/>
          </w:p>
        </w:tc>
      </w:tr>
      <w:tr w:rsidR="00AF7D44" w:rsidRPr="007226D7" w:rsidTr="00AF7D4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1323"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HPM</w:t>
            </w:r>
          </w:p>
        </w:tc>
        <w:tc>
          <w:tcPr>
            <w:tcW w:w="1087"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HPT</w:t>
            </w:r>
          </w:p>
        </w:tc>
        <w:tc>
          <w:tcPr>
            <w:tcW w:w="1087"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HV</w:t>
            </w:r>
          </w:p>
        </w:tc>
        <w:tc>
          <w:tcPr>
            <w:tcW w:w="1623"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Total Dìario</w:t>
            </w:r>
          </w:p>
        </w:tc>
      </w:tr>
      <w:tr w:rsidR="00AF7D44" w:rsidRPr="007226D7" w:rsidTr="00AF7D44">
        <w:trPr>
          <w:trHeight w:val="750"/>
        </w:trPr>
        <w:tc>
          <w:tcPr>
            <w:tcW w:w="1120" w:type="dxa"/>
            <w:tcBorders>
              <w:top w:val="nil"/>
              <w:left w:val="single" w:sz="4" w:space="0" w:color="auto"/>
              <w:bottom w:val="single" w:sz="4" w:space="0" w:color="auto"/>
              <w:right w:val="single" w:sz="4" w:space="0" w:color="auto"/>
            </w:tcBorders>
            <w:shd w:val="clear" w:color="171717" w:fill="D7E4BC"/>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Todos Modos</w:t>
            </w:r>
          </w:p>
        </w:tc>
        <w:tc>
          <w:tcPr>
            <w:tcW w:w="1323" w:type="dxa"/>
            <w:tcBorders>
              <w:top w:val="nil"/>
              <w:left w:val="nil"/>
              <w:bottom w:val="single" w:sz="4" w:space="0" w:color="auto"/>
              <w:right w:val="nil"/>
            </w:tcBorders>
            <w:shd w:val="clear" w:color="171717" w:fill="D7E4BC"/>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1,026,919</w:t>
            </w:r>
          </w:p>
        </w:tc>
        <w:tc>
          <w:tcPr>
            <w:tcW w:w="1087" w:type="dxa"/>
            <w:tcBorders>
              <w:top w:val="nil"/>
              <w:left w:val="nil"/>
              <w:bottom w:val="single" w:sz="4" w:space="0" w:color="auto"/>
              <w:right w:val="nil"/>
            </w:tcBorders>
            <w:shd w:val="clear" w:color="171717" w:fill="D7E4BC"/>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697,980</w:t>
            </w:r>
          </w:p>
        </w:tc>
        <w:tc>
          <w:tcPr>
            <w:tcW w:w="1087" w:type="dxa"/>
            <w:tcBorders>
              <w:top w:val="nil"/>
              <w:left w:val="nil"/>
              <w:bottom w:val="single" w:sz="4" w:space="0" w:color="auto"/>
              <w:right w:val="single" w:sz="4" w:space="0" w:color="auto"/>
            </w:tcBorders>
            <w:shd w:val="clear" w:color="171717" w:fill="D7E4BC"/>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481,503</w:t>
            </w:r>
          </w:p>
        </w:tc>
        <w:tc>
          <w:tcPr>
            <w:tcW w:w="1623" w:type="dxa"/>
            <w:tcBorders>
              <w:top w:val="nil"/>
              <w:left w:val="nil"/>
              <w:bottom w:val="single" w:sz="4" w:space="0" w:color="auto"/>
              <w:right w:val="single" w:sz="4" w:space="0" w:color="auto"/>
            </w:tcBorders>
            <w:shd w:val="clear" w:color="171717" w:fill="D7E4BC"/>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9,709,332</w:t>
            </w:r>
          </w:p>
        </w:tc>
      </w:tr>
      <w:tr w:rsidR="00AF7D44" w:rsidRPr="007226D7" w:rsidTr="00AF7D44">
        <w:trPr>
          <w:trHeight w:val="499"/>
        </w:trPr>
        <w:tc>
          <w:tcPr>
            <w:tcW w:w="1120" w:type="dxa"/>
            <w:vMerge w:val="restart"/>
            <w:tcBorders>
              <w:top w:val="single" w:sz="4" w:space="0" w:color="auto"/>
              <w:left w:val="single" w:sz="4" w:space="0" w:color="auto"/>
              <w:bottom w:val="single" w:sz="4" w:space="0" w:color="auto"/>
              <w:right w:val="single" w:sz="4" w:space="0" w:color="auto"/>
            </w:tcBorders>
            <w:shd w:val="clear" w:color="171717" w:fill="92D050"/>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168,065</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161,661</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125,233</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2,287,477</w:t>
            </w:r>
          </w:p>
        </w:tc>
      </w:tr>
      <w:tr w:rsidR="00AF7D44" w:rsidRPr="007226D7" w:rsidTr="00AF7D44">
        <w:trPr>
          <w:trHeight w:val="499"/>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136,136</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104,085</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106,239</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1,861,552</w:t>
            </w:r>
          </w:p>
        </w:tc>
      </w:tr>
      <w:tr w:rsidR="00AF7D44" w:rsidRPr="007226D7" w:rsidTr="00AF7D44">
        <w:trPr>
          <w:trHeight w:val="499"/>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52,659</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28,611</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29,114</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541,025</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4 - Alimentadoras</w:t>
            </w:r>
          </w:p>
        </w:tc>
        <w:tc>
          <w:tcPr>
            <w:tcW w:w="1323"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left w:val="single" w:sz="4" w:space="0" w:color="auto"/>
              <w:bottom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val="restart"/>
            <w:tcBorders>
              <w:top w:val="single" w:sz="4" w:space="0" w:color="auto"/>
              <w:left w:val="single" w:sz="4" w:space="0" w:color="auto"/>
              <w:right w:val="single" w:sz="4" w:space="0" w:color="auto"/>
            </w:tcBorders>
            <w:shd w:val="clear" w:color="171717" w:fill="92D050"/>
            <w:vAlign w:val="center"/>
            <w:hideMark/>
          </w:tcPr>
          <w:p w:rsidR="00AF7D44" w:rsidRPr="007226D7" w:rsidRDefault="00AF7D44" w:rsidP="00737E6E">
            <w:pPr>
              <w:spacing w:after="0" w:line="240" w:lineRule="auto"/>
              <w:jc w:val="left"/>
              <w:rPr>
                <w:rFonts w:cs="Arial"/>
                <w:b/>
                <w:bCs/>
                <w:sz w:val="18"/>
                <w:szCs w:val="18"/>
              </w:rPr>
            </w:pPr>
            <w:r w:rsidRPr="007226D7">
              <w:rPr>
                <w:rFonts w:cs="Arial"/>
                <w:b/>
                <w:bCs/>
                <w:sz w:val="18"/>
                <w:szCs w:val="18"/>
              </w:rPr>
              <w:lastRenderedPageBreak/>
              <w:t>Veh*Km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5 - Alimentadoras</w:t>
            </w:r>
          </w:p>
        </w:tc>
        <w:tc>
          <w:tcPr>
            <w:tcW w:w="1323"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499"/>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499"/>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L1</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133</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178</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178</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2,929</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L2</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L3</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L4</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Metropolitano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6,026</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4,465</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1,790</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44,252</w:t>
            </w:r>
          </w:p>
        </w:tc>
      </w:tr>
      <w:tr w:rsidR="00AF7D44" w:rsidRPr="007226D7" w:rsidTr="00737E6E">
        <w:trPr>
          <w:trHeight w:val="240"/>
        </w:trPr>
        <w:tc>
          <w:tcPr>
            <w:tcW w:w="1120" w:type="dxa"/>
            <w:vMerge/>
            <w:tcBorders>
              <w:left w:val="single" w:sz="4" w:space="0" w:color="auto"/>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Metropolitano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2,466</w:t>
            </w:r>
          </w:p>
        </w:tc>
        <w:tc>
          <w:tcPr>
            <w:tcW w:w="1087"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2,543</w:t>
            </w:r>
          </w:p>
        </w:tc>
        <w:tc>
          <w:tcPr>
            <w:tcW w:w="1087"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2,444</w:t>
            </w:r>
          </w:p>
        </w:tc>
        <w:tc>
          <w:tcPr>
            <w:tcW w:w="1623"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41,785</w:t>
            </w:r>
          </w:p>
        </w:tc>
      </w:tr>
      <w:tr w:rsidR="00AF7D44" w:rsidRPr="007226D7" w:rsidTr="00737E6E">
        <w:trPr>
          <w:trHeight w:val="499"/>
        </w:trPr>
        <w:tc>
          <w:tcPr>
            <w:tcW w:w="1120" w:type="dxa"/>
            <w:vMerge/>
            <w:tcBorders>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Total [veh*km]</w:t>
            </w:r>
          </w:p>
        </w:tc>
        <w:tc>
          <w:tcPr>
            <w:tcW w:w="1323" w:type="dxa"/>
            <w:tcBorders>
              <w:top w:val="nil"/>
              <w:left w:val="nil"/>
              <w:bottom w:val="single" w:sz="8" w:space="0" w:color="auto"/>
              <w:right w:val="nil"/>
            </w:tcBorders>
            <w:shd w:val="clear" w:color="171717" w:fill="92D05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365,485</w:t>
            </w:r>
          </w:p>
        </w:tc>
        <w:tc>
          <w:tcPr>
            <w:tcW w:w="1087" w:type="dxa"/>
            <w:tcBorders>
              <w:top w:val="nil"/>
              <w:left w:val="nil"/>
              <w:bottom w:val="single" w:sz="8" w:space="0" w:color="auto"/>
              <w:right w:val="nil"/>
            </w:tcBorders>
            <w:shd w:val="clear" w:color="171717" w:fill="92D05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301,542</w:t>
            </w:r>
          </w:p>
        </w:tc>
        <w:tc>
          <w:tcPr>
            <w:tcW w:w="1087" w:type="dxa"/>
            <w:tcBorders>
              <w:top w:val="nil"/>
              <w:left w:val="nil"/>
              <w:bottom w:val="single" w:sz="8" w:space="0" w:color="auto"/>
              <w:right w:val="single" w:sz="4" w:space="0" w:color="auto"/>
            </w:tcBorders>
            <w:shd w:val="clear" w:color="171717" w:fill="92D05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264,997</w:t>
            </w:r>
          </w:p>
        </w:tc>
        <w:tc>
          <w:tcPr>
            <w:tcW w:w="1623" w:type="dxa"/>
            <w:tcBorders>
              <w:top w:val="nil"/>
              <w:left w:val="nil"/>
              <w:bottom w:val="single" w:sz="8" w:space="0" w:color="auto"/>
              <w:right w:val="single" w:sz="4" w:space="0" w:color="auto"/>
            </w:tcBorders>
            <w:shd w:val="clear" w:color="171717" w:fill="92D05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4,779,019</w:t>
            </w:r>
          </w:p>
        </w:tc>
      </w:tr>
    </w:tbl>
    <w:p w:rsidR="001333AF" w:rsidRPr="007226D7" w:rsidRDefault="001333AF">
      <w:pPr>
        <w:spacing w:after="0" w:line="240" w:lineRule="auto"/>
        <w:jc w:val="left"/>
        <w:rPr>
          <w:sz w:val="20"/>
          <w:lang w:val="es-ES"/>
        </w:rPr>
      </w:pPr>
    </w:p>
    <w:p w:rsidR="00AF7D44" w:rsidRPr="007226D7" w:rsidRDefault="00AF7D44">
      <w:pPr>
        <w:spacing w:after="0" w:line="240" w:lineRule="auto"/>
        <w:jc w:val="left"/>
        <w:rPr>
          <w:sz w:val="20"/>
          <w:lang w:val="es-ES"/>
        </w:rPr>
      </w:pPr>
    </w:p>
    <w:p w:rsidR="00AF7D44" w:rsidRPr="007226D7" w:rsidRDefault="00AF7D44">
      <w:pPr>
        <w:spacing w:after="0" w:line="240" w:lineRule="auto"/>
        <w:jc w:val="left"/>
        <w:rPr>
          <w:sz w:val="20"/>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23"/>
        <w:gridCol w:w="1088"/>
        <w:gridCol w:w="1088"/>
        <w:gridCol w:w="1621"/>
      </w:tblGrid>
      <w:tr w:rsidR="00AF7D44" w:rsidRPr="007226D7" w:rsidTr="00AF7D4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00</w:t>
            </w:r>
            <w:proofErr w:type="gramEnd"/>
          </w:p>
        </w:tc>
      </w:tr>
      <w:tr w:rsidR="00AF7D44" w:rsidRPr="007226D7" w:rsidTr="00AF7D4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1323"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HV</w:t>
            </w:r>
          </w:p>
        </w:tc>
        <w:tc>
          <w:tcPr>
            <w:tcW w:w="1621"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Total Dìario</w:t>
            </w:r>
          </w:p>
        </w:tc>
      </w:tr>
      <w:tr w:rsidR="00AF7D44" w:rsidRPr="007226D7" w:rsidTr="00AF7D44">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AF7D44" w:rsidRPr="007226D7" w:rsidRDefault="00AF7D44" w:rsidP="00AF7D44">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3"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514,647</w:t>
            </w:r>
          </w:p>
        </w:tc>
        <w:tc>
          <w:tcPr>
            <w:tcW w:w="1088"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384,139</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240,380</w:t>
            </w:r>
          </w:p>
        </w:tc>
        <w:tc>
          <w:tcPr>
            <w:tcW w:w="1621"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4,922,512</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486,492</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362,317</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246,231</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4,898,621</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215,735</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140,830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97,848</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1,985,158</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L1</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6,090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6,455</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3,337</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68,471</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L2</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L3</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L4</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Metropolitano </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45,344</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37,212</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17,588</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393,754</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Metropolitano - Alimentadoras</w:t>
            </w:r>
          </w:p>
        </w:tc>
        <w:tc>
          <w:tcPr>
            <w:tcW w:w="1323"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10,521</w:t>
            </w:r>
          </w:p>
        </w:tc>
        <w:tc>
          <w:tcPr>
            <w:tcW w:w="108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8,602</w:t>
            </w:r>
          </w:p>
        </w:tc>
        <w:tc>
          <w:tcPr>
            <w:tcW w:w="108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4,213</w:t>
            </w:r>
          </w:p>
        </w:tc>
        <w:tc>
          <w:tcPr>
            <w:tcW w:w="1621"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93,015</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AF7D44" w:rsidRPr="007226D7" w:rsidRDefault="00AF7D44" w:rsidP="00AF7D44">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3" w:type="dxa"/>
            <w:tcBorders>
              <w:top w:val="nil"/>
              <w:left w:val="nil"/>
              <w:bottom w:val="single" w:sz="8" w:space="0" w:color="auto"/>
              <w:right w:val="nil"/>
            </w:tcBorders>
            <w:shd w:val="clear" w:color="171717" w:fill="75923C"/>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1,278,829</w:t>
            </w:r>
          </w:p>
        </w:tc>
        <w:tc>
          <w:tcPr>
            <w:tcW w:w="1088" w:type="dxa"/>
            <w:tcBorders>
              <w:top w:val="nil"/>
              <w:left w:val="nil"/>
              <w:bottom w:val="single" w:sz="8" w:space="0" w:color="auto"/>
              <w:right w:val="nil"/>
            </w:tcBorders>
            <w:shd w:val="clear" w:color="171717" w:fill="75923C"/>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939,555</w:t>
            </w:r>
          </w:p>
        </w:tc>
        <w:tc>
          <w:tcPr>
            <w:tcW w:w="1088" w:type="dxa"/>
            <w:tcBorders>
              <w:top w:val="nil"/>
              <w:left w:val="nil"/>
              <w:bottom w:val="single" w:sz="8" w:space="0" w:color="auto"/>
              <w:right w:val="single" w:sz="4" w:space="0" w:color="auto"/>
            </w:tcBorders>
            <w:shd w:val="clear" w:color="171717" w:fill="75923C"/>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609,597</w:t>
            </w:r>
          </w:p>
        </w:tc>
        <w:tc>
          <w:tcPr>
            <w:tcW w:w="1621" w:type="dxa"/>
            <w:tcBorders>
              <w:top w:val="nil"/>
              <w:left w:val="nil"/>
              <w:bottom w:val="single" w:sz="8" w:space="0" w:color="auto"/>
              <w:right w:val="single" w:sz="4" w:space="0" w:color="auto"/>
            </w:tcBorders>
            <w:shd w:val="clear" w:color="171717" w:fill="75923C"/>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12,361,531</w:t>
            </w:r>
          </w:p>
        </w:tc>
      </w:tr>
    </w:tbl>
    <w:p w:rsidR="00AF7D44" w:rsidRPr="007226D7" w:rsidRDefault="00AF7D44">
      <w:pPr>
        <w:spacing w:after="0" w:line="240" w:lineRule="auto"/>
        <w:jc w:val="left"/>
        <w:rPr>
          <w:sz w:val="20"/>
          <w:lang w:val="es-ES"/>
        </w:rPr>
      </w:pPr>
    </w:p>
    <w:p w:rsidR="00AF7D44" w:rsidRPr="007226D7" w:rsidRDefault="00AF7D44">
      <w:pPr>
        <w:spacing w:after="0" w:line="240" w:lineRule="auto"/>
        <w:jc w:val="left"/>
        <w:rPr>
          <w:sz w:val="20"/>
          <w:lang w:val="es-ES"/>
        </w:rPr>
      </w:pPr>
      <w:r w:rsidRPr="007226D7">
        <w:rPr>
          <w:sz w:val="20"/>
          <w:lang w:val="es-ES"/>
        </w:rPr>
        <w:t>*n</w:t>
      </w:r>
      <w:r w:rsidR="000B2336" w:rsidRPr="007226D7">
        <w:rPr>
          <w:sz w:val="20"/>
          <w:lang w:val="es-ES"/>
        </w:rPr>
        <w:t>ú</w:t>
      </w:r>
      <w:r w:rsidRPr="007226D7">
        <w:rPr>
          <w:sz w:val="20"/>
          <w:lang w:val="es-ES"/>
        </w:rPr>
        <w:t>mero total de segmentos de viaje realizado por todos los viajeros</w:t>
      </w:r>
    </w:p>
    <w:p w:rsidR="00AF7D44" w:rsidRPr="007226D7" w:rsidRDefault="00AF7D44">
      <w:pPr>
        <w:spacing w:after="0" w:line="240" w:lineRule="auto"/>
        <w:jc w:val="left"/>
        <w:rPr>
          <w:sz w:val="20"/>
          <w:lang w:val="es-ES"/>
        </w:rPr>
      </w:pPr>
    </w:p>
    <w:p w:rsidR="00963155" w:rsidRPr="007226D7" w:rsidRDefault="00963155">
      <w:pPr>
        <w:spacing w:after="0" w:line="240" w:lineRule="auto"/>
        <w:jc w:val="left"/>
        <w:rPr>
          <w:sz w:val="20"/>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09"/>
        <w:gridCol w:w="1208"/>
        <w:gridCol w:w="1208"/>
        <w:gridCol w:w="1495"/>
      </w:tblGrid>
      <w:tr w:rsidR="00AF7D44" w:rsidRPr="007226D7" w:rsidTr="00AF7D4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00</w:t>
            </w:r>
            <w:proofErr w:type="gramEnd"/>
          </w:p>
        </w:tc>
      </w:tr>
      <w:tr w:rsidR="00AF7D44" w:rsidRPr="007226D7" w:rsidTr="00AF7D4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1209"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HPM</w:t>
            </w:r>
          </w:p>
        </w:tc>
        <w:tc>
          <w:tcPr>
            <w:tcW w:w="1208"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HPT</w:t>
            </w:r>
          </w:p>
        </w:tc>
        <w:tc>
          <w:tcPr>
            <w:tcW w:w="1208"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HV</w:t>
            </w:r>
          </w:p>
        </w:tc>
        <w:tc>
          <w:tcPr>
            <w:tcW w:w="1495"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Total Dìario</w:t>
            </w:r>
          </w:p>
        </w:tc>
      </w:tr>
      <w:tr w:rsidR="00AF7D44" w:rsidRPr="007226D7" w:rsidTr="00AF7D44">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AF7D44" w:rsidRPr="007226D7" w:rsidRDefault="00AF7D44" w:rsidP="00AF7D44">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209"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3,380,155</w:t>
            </w:r>
          </w:p>
        </w:tc>
        <w:tc>
          <w:tcPr>
            <w:tcW w:w="1208" w:type="dxa"/>
            <w:tcBorders>
              <w:top w:val="single" w:sz="4" w:space="0" w:color="auto"/>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2,805,074</w:t>
            </w:r>
          </w:p>
        </w:tc>
        <w:tc>
          <w:tcPr>
            <w:tcW w:w="1208"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1,865,278</w:t>
            </w:r>
          </w:p>
        </w:tc>
        <w:tc>
          <w:tcPr>
            <w:tcW w:w="1495" w:type="dxa"/>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36,619,072</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3,839,255</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3,076,712</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2,205,312</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42,500,990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1,614,938</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1,172,418</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835,267</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16,433,183</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1</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2</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3</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4</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 5</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CORREDORES Interconexión</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L1</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82,763</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95,188</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46,301</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957,818</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L2</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L3</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Tren eléctrico L4</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color w:val="C5C5C5"/>
                <w:sz w:val="18"/>
                <w:szCs w:val="18"/>
              </w:rPr>
            </w:pPr>
            <w:r w:rsidRPr="007226D7">
              <w:rPr>
                <w:rFonts w:cs="Arial"/>
                <w:color w:val="C5C5C5"/>
                <w:sz w:val="18"/>
                <w:szCs w:val="18"/>
              </w:rPr>
              <w:t>0</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Metropolitano </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524,962</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442,081</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217,855</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4,766,201</w:t>
            </w:r>
          </w:p>
        </w:tc>
      </w:tr>
      <w:tr w:rsidR="00AF7D44" w:rsidRPr="007226D7" w:rsidTr="00AF7D4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Metropolitano - Alimentadoras</w:t>
            </w:r>
          </w:p>
        </w:tc>
        <w:tc>
          <w:tcPr>
            <w:tcW w:w="1209"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67,446</w:t>
            </w:r>
          </w:p>
        </w:tc>
        <w:tc>
          <w:tcPr>
            <w:tcW w:w="1208" w:type="dxa"/>
            <w:tcBorders>
              <w:top w:val="nil"/>
              <w:left w:val="nil"/>
              <w:bottom w:val="single" w:sz="4" w:space="0" w:color="auto"/>
              <w:right w:val="nil"/>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53,060</w:t>
            </w:r>
          </w:p>
        </w:tc>
        <w:tc>
          <w:tcPr>
            <w:tcW w:w="1208"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sz w:val="18"/>
                <w:szCs w:val="18"/>
              </w:rPr>
            </w:pPr>
            <w:r w:rsidRPr="007226D7">
              <w:rPr>
                <w:rFonts w:cs="Arial"/>
                <w:sz w:val="18"/>
                <w:szCs w:val="18"/>
              </w:rPr>
              <w:t>27,996</w:t>
            </w:r>
          </w:p>
        </w:tc>
        <w:tc>
          <w:tcPr>
            <w:tcW w:w="1495" w:type="dxa"/>
            <w:tcBorders>
              <w:top w:val="nil"/>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604,960</w:t>
            </w:r>
          </w:p>
        </w:tc>
      </w:tr>
      <w:tr w:rsidR="00AF7D44" w:rsidRPr="007226D7" w:rsidTr="00AF7D4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AF7D44" w:rsidRPr="007226D7" w:rsidRDefault="00AF7D44" w:rsidP="00AF7D44">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209" w:type="dxa"/>
            <w:tcBorders>
              <w:top w:val="nil"/>
              <w:left w:val="nil"/>
              <w:bottom w:val="single" w:sz="8" w:space="0" w:color="auto"/>
              <w:right w:val="nil"/>
            </w:tcBorders>
            <w:shd w:val="clear" w:color="171717" w:fill="4F6228"/>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9,509,519</w:t>
            </w:r>
          </w:p>
        </w:tc>
        <w:tc>
          <w:tcPr>
            <w:tcW w:w="1208" w:type="dxa"/>
            <w:tcBorders>
              <w:top w:val="nil"/>
              <w:left w:val="nil"/>
              <w:bottom w:val="single" w:sz="8" w:space="0" w:color="auto"/>
              <w:right w:val="nil"/>
            </w:tcBorders>
            <w:shd w:val="clear" w:color="171717" w:fill="4F6228"/>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7,644,533</w:t>
            </w:r>
          </w:p>
        </w:tc>
        <w:tc>
          <w:tcPr>
            <w:tcW w:w="1208" w:type="dxa"/>
            <w:tcBorders>
              <w:top w:val="nil"/>
              <w:left w:val="nil"/>
              <w:bottom w:val="single" w:sz="8" w:space="0" w:color="auto"/>
              <w:right w:val="single" w:sz="4" w:space="0" w:color="auto"/>
            </w:tcBorders>
            <w:shd w:val="clear" w:color="171717" w:fill="4F6228"/>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5,198,009</w:t>
            </w:r>
          </w:p>
        </w:tc>
        <w:tc>
          <w:tcPr>
            <w:tcW w:w="1495" w:type="dxa"/>
            <w:tcBorders>
              <w:top w:val="nil"/>
              <w:left w:val="nil"/>
              <w:bottom w:val="single" w:sz="8" w:space="0" w:color="auto"/>
              <w:right w:val="single" w:sz="4" w:space="0" w:color="auto"/>
            </w:tcBorders>
            <w:shd w:val="clear" w:color="171717" w:fill="4F6228"/>
            <w:noWrap/>
            <w:vAlign w:val="center"/>
            <w:hideMark/>
          </w:tcPr>
          <w:p w:rsidR="00AF7D44" w:rsidRPr="007226D7" w:rsidRDefault="00AF7D44" w:rsidP="00AF7D44">
            <w:pPr>
              <w:spacing w:after="0" w:line="240" w:lineRule="auto"/>
              <w:jc w:val="right"/>
              <w:rPr>
                <w:rFonts w:cs="Arial"/>
                <w:b/>
                <w:bCs/>
                <w:color w:val="FFFFFF"/>
                <w:sz w:val="18"/>
                <w:szCs w:val="18"/>
              </w:rPr>
            </w:pPr>
            <w:r w:rsidRPr="007226D7">
              <w:rPr>
                <w:rFonts w:cs="Arial"/>
                <w:b/>
                <w:bCs/>
                <w:color w:val="FFFFFF"/>
                <w:sz w:val="18"/>
                <w:szCs w:val="18"/>
              </w:rPr>
              <w:t>101,882,224</w:t>
            </w:r>
          </w:p>
        </w:tc>
      </w:tr>
    </w:tbl>
    <w:p w:rsidR="00AF7D44" w:rsidRPr="007226D7" w:rsidRDefault="00AF7D44">
      <w:pPr>
        <w:spacing w:after="0" w:line="240" w:lineRule="auto"/>
        <w:jc w:val="left"/>
        <w:rPr>
          <w:sz w:val="20"/>
          <w:lang w:val="es-ES"/>
        </w:rPr>
      </w:pPr>
    </w:p>
    <w:p w:rsidR="001333AF" w:rsidRPr="007226D7" w:rsidRDefault="001333AF">
      <w:pPr>
        <w:spacing w:after="0" w:line="240" w:lineRule="auto"/>
        <w:jc w:val="left"/>
        <w:rPr>
          <w:sz w:val="20"/>
          <w:lang w:val="es-ES"/>
        </w:rPr>
      </w:pPr>
    </w:p>
    <w:tbl>
      <w:tblPr>
        <w:tblW w:w="9400" w:type="dxa"/>
        <w:tblInd w:w="49" w:type="dxa"/>
        <w:tblCellMar>
          <w:left w:w="70" w:type="dxa"/>
          <w:right w:w="70" w:type="dxa"/>
        </w:tblCellMar>
        <w:tblLook w:val="04A0" w:firstRow="1" w:lastRow="0" w:firstColumn="1" w:lastColumn="0" w:noHBand="0" w:noVBand="1"/>
      </w:tblPr>
      <w:tblGrid>
        <w:gridCol w:w="1131"/>
        <w:gridCol w:w="3160"/>
        <w:gridCol w:w="1247"/>
        <w:gridCol w:w="1247"/>
        <w:gridCol w:w="1247"/>
        <w:gridCol w:w="1379"/>
      </w:tblGrid>
      <w:tr w:rsidR="00AF7D44" w:rsidRPr="007226D7" w:rsidTr="00AF7D4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00</w:t>
            </w:r>
            <w:proofErr w:type="gramEnd"/>
          </w:p>
        </w:tc>
      </w:tr>
      <w:tr w:rsidR="00AF7D44" w:rsidRPr="007226D7" w:rsidTr="00AF7D4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AF7D44" w:rsidRPr="007226D7" w:rsidRDefault="00AF7D44" w:rsidP="00AF7D44">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AF7D44" w:rsidRPr="007226D7" w:rsidRDefault="00AF7D44" w:rsidP="00AF7D44">
            <w:pPr>
              <w:spacing w:after="0" w:line="240" w:lineRule="auto"/>
              <w:jc w:val="center"/>
              <w:rPr>
                <w:rFonts w:cs="Arial"/>
                <w:b/>
                <w:bCs/>
                <w:sz w:val="18"/>
                <w:szCs w:val="18"/>
              </w:rPr>
            </w:pPr>
            <w:r w:rsidRPr="007226D7">
              <w:rPr>
                <w:rFonts w:cs="Arial"/>
                <w:b/>
                <w:bCs/>
                <w:sz w:val="18"/>
                <w:szCs w:val="18"/>
              </w:rPr>
              <w:t>Total Dìario</w:t>
            </w:r>
          </w:p>
        </w:tc>
      </w:tr>
      <w:tr w:rsidR="00AF7D44" w:rsidRPr="007226D7" w:rsidTr="00AF7D44">
        <w:trPr>
          <w:trHeight w:val="499"/>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40,206,323</w:t>
            </w:r>
          </w:p>
        </w:tc>
        <w:tc>
          <w:tcPr>
            <w:tcW w:w="1247" w:type="dxa"/>
            <w:tcBorders>
              <w:top w:val="single" w:sz="4" w:space="0" w:color="auto"/>
              <w:left w:val="nil"/>
              <w:bottom w:val="single" w:sz="4" w:space="0" w:color="auto"/>
              <w:right w:val="nil"/>
            </w:tcBorders>
            <w:shd w:val="clear" w:color="171717" w:fill="FFFF99"/>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38,478,427</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36,649,748</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633,816,232</w:t>
            </w:r>
          </w:p>
        </w:tc>
      </w:tr>
      <w:tr w:rsidR="00AF7D44" w:rsidRPr="007226D7" w:rsidTr="00AF7D44">
        <w:trPr>
          <w:trHeight w:val="499"/>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 xml:space="preserve">% Trasbordos </w:t>
            </w:r>
          </w:p>
        </w:tc>
        <w:tc>
          <w:tcPr>
            <w:tcW w:w="3160" w:type="dxa"/>
            <w:tcBorders>
              <w:top w:val="nil"/>
              <w:left w:val="nil"/>
              <w:bottom w:val="single" w:sz="4" w:space="0" w:color="auto"/>
              <w:right w:val="single" w:sz="4" w:space="0" w:color="auto"/>
            </w:tcBorders>
            <w:shd w:val="clear" w:color="171717" w:fill="FFFF00"/>
            <w:noWrap/>
            <w:vAlign w:val="center"/>
            <w:hideMark/>
          </w:tcPr>
          <w:p w:rsidR="00AF7D44" w:rsidRPr="007226D7" w:rsidRDefault="00AF7D44" w:rsidP="00AF7D44">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24.53%</w:t>
            </w:r>
          </w:p>
        </w:tc>
        <w:tc>
          <w:tcPr>
            <w:tcW w:w="1247" w:type="dxa"/>
            <w:tcBorders>
              <w:top w:val="nil"/>
              <w:left w:val="nil"/>
              <w:bottom w:val="single" w:sz="4" w:space="0" w:color="auto"/>
              <w:right w:val="nil"/>
            </w:tcBorders>
            <w:shd w:val="clear" w:color="171717" w:fill="FFFF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34.61%</w:t>
            </w:r>
          </w:p>
        </w:tc>
        <w:tc>
          <w:tcPr>
            <w:tcW w:w="1247" w:type="dxa"/>
            <w:tcBorders>
              <w:top w:val="nil"/>
              <w:left w:val="nil"/>
              <w:bottom w:val="single" w:sz="4" w:space="0" w:color="auto"/>
              <w:right w:val="single" w:sz="4" w:space="0" w:color="auto"/>
            </w:tcBorders>
            <w:shd w:val="clear" w:color="171717" w:fill="FFFF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26.60%</w:t>
            </w:r>
          </w:p>
        </w:tc>
        <w:tc>
          <w:tcPr>
            <w:tcW w:w="1379" w:type="dxa"/>
            <w:tcBorders>
              <w:top w:val="nil"/>
              <w:left w:val="nil"/>
              <w:bottom w:val="single" w:sz="4" w:space="0" w:color="auto"/>
              <w:right w:val="single" w:sz="4" w:space="0" w:color="auto"/>
            </w:tcBorders>
            <w:shd w:val="clear" w:color="171717" w:fill="FFFF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w:t>
            </w:r>
          </w:p>
        </w:tc>
      </w:tr>
      <w:tr w:rsidR="00AF7D44" w:rsidRPr="007226D7" w:rsidTr="00AF7D44">
        <w:trPr>
          <w:trHeight w:val="499"/>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AF7D44" w:rsidRPr="007226D7" w:rsidRDefault="00AF7D44" w:rsidP="00AF7D44">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44.92</w:t>
            </w:r>
          </w:p>
        </w:tc>
        <w:tc>
          <w:tcPr>
            <w:tcW w:w="1247" w:type="dxa"/>
            <w:tcBorders>
              <w:top w:val="nil"/>
              <w:left w:val="nil"/>
              <w:bottom w:val="single" w:sz="4" w:space="0" w:color="auto"/>
              <w:right w:val="nil"/>
            </w:tcBorders>
            <w:shd w:val="clear" w:color="171717" w:fill="FFC0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48.21</w:t>
            </w:r>
          </w:p>
        </w:tc>
        <w:tc>
          <w:tcPr>
            <w:tcW w:w="1247" w:type="dxa"/>
            <w:tcBorders>
              <w:top w:val="nil"/>
              <w:left w:val="nil"/>
              <w:bottom w:val="single" w:sz="4" w:space="0" w:color="auto"/>
              <w:right w:val="single" w:sz="4" w:space="0" w:color="auto"/>
            </w:tcBorders>
            <w:shd w:val="clear" w:color="171717" w:fill="FFC0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45.18</w:t>
            </w:r>
          </w:p>
        </w:tc>
        <w:tc>
          <w:tcPr>
            <w:tcW w:w="1379" w:type="dxa"/>
            <w:tcBorders>
              <w:top w:val="nil"/>
              <w:left w:val="nil"/>
              <w:bottom w:val="single" w:sz="4" w:space="0" w:color="auto"/>
              <w:right w:val="single" w:sz="4" w:space="0" w:color="auto"/>
            </w:tcBorders>
            <w:shd w:val="clear" w:color="171717" w:fill="FFC000"/>
            <w:noWrap/>
            <w:vAlign w:val="center"/>
            <w:hideMark/>
          </w:tcPr>
          <w:p w:rsidR="00AF7D44" w:rsidRPr="007226D7" w:rsidRDefault="00AF7D44" w:rsidP="00AF7D44">
            <w:pPr>
              <w:spacing w:after="0" w:line="240" w:lineRule="auto"/>
              <w:jc w:val="right"/>
              <w:rPr>
                <w:rFonts w:cs="Arial"/>
                <w:b/>
                <w:bCs/>
                <w:sz w:val="18"/>
                <w:szCs w:val="18"/>
              </w:rPr>
            </w:pPr>
            <w:r w:rsidRPr="007226D7">
              <w:rPr>
                <w:rFonts w:cs="Arial"/>
                <w:b/>
                <w:bCs/>
                <w:sz w:val="18"/>
                <w:szCs w:val="18"/>
              </w:rPr>
              <w:t>-</w:t>
            </w:r>
          </w:p>
        </w:tc>
      </w:tr>
    </w:tbl>
    <w:p w:rsidR="00AF7D44" w:rsidRPr="007226D7" w:rsidRDefault="00AF7D44" w:rsidP="00ED1F70">
      <w:pPr>
        <w:spacing w:after="0" w:line="240" w:lineRule="auto"/>
        <w:jc w:val="left"/>
        <w:rPr>
          <w:sz w:val="20"/>
          <w:lang w:val="es-ES"/>
        </w:rPr>
      </w:pPr>
    </w:p>
    <w:p w:rsidR="00AF7D44" w:rsidRPr="007226D7" w:rsidRDefault="00AF7D44" w:rsidP="00ED1F70">
      <w:pPr>
        <w:spacing w:after="0" w:line="240" w:lineRule="auto"/>
        <w:jc w:val="left"/>
        <w:rPr>
          <w:sz w:val="20"/>
          <w:lang w:val="es-ES"/>
        </w:rPr>
      </w:pPr>
      <w:r w:rsidRPr="007226D7">
        <w:rPr>
          <w:sz w:val="20"/>
          <w:lang w:val="es-ES"/>
        </w:rPr>
        <w:t>**incluye sólo el tiempo real de viaje y no considere el tiempo de parada.</w:t>
      </w:r>
    </w:p>
    <w:p w:rsidR="00AF7D44" w:rsidRPr="007226D7" w:rsidRDefault="00AF7D44" w:rsidP="00ED1F70">
      <w:pPr>
        <w:spacing w:after="0" w:line="240" w:lineRule="auto"/>
        <w:jc w:val="left"/>
        <w:rPr>
          <w:sz w:val="20"/>
          <w:lang w:val="es-ES"/>
        </w:rPr>
      </w:pPr>
    </w:p>
    <w:p w:rsidR="00AF7D44" w:rsidRPr="007226D7" w:rsidRDefault="00AF7D44" w:rsidP="00ED1F70">
      <w:pPr>
        <w:spacing w:after="0" w:line="240" w:lineRule="auto"/>
        <w:jc w:val="left"/>
        <w:rPr>
          <w:sz w:val="20"/>
          <w:lang w:val="es-ES"/>
        </w:rPr>
      </w:pPr>
    </w:p>
    <w:p w:rsidR="00ED1F70" w:rsidRPr="007226D7" w:rsidRDefault="00ED1F70" w:rsidP="00ED1F70">
      <w:pPr>
        <w:spacing w:after="0" w:line="240" w:lineRule="auto"/>
        <w:jc w:val="left"/>
        <w:rPr>
          <w:sz w:val="20"/>
          <w:lang w:val="es-ES"/>
        </w:rPr>
      </w:pPr>
      <w:r w:rsidRPr="007226D7">
        <w:rPr>
          <w:sz w:val="20"/>
          <w:lang w:val="es-ES"/>
        </w:rPr>
        <w:br w:type="page"/>
      </w:r>
    </w:p>
    <w:p w:rsidR="00ED1F70" w:rsidRPr="007226D7" w:rsidRDefault="00ED1F70" w:rsidP="00ED1F70">
      <w:pPr>
        <w:pStyle w:val="Heading2"/>
        <w:tabs>
          <w:tab w:val="num" w:pos="576"/>
        </w:tabs>
        <w:spacing w:before="60" w:after="120" w:line="240" w:lineRule="auto"/>
        <w:ind w:right="-2"/>
        <w:jc w:val="both"/>
      </w:pPr>
      <w:bookmarkStart w:id="102" w:name="_Toc342751275"/>
      <w:bookmarkStart w:id="103" w:name="_Toc346541927"/>
      <w:r w:rsidRPr="007226D7">
        <w:rPr>
          <w:lang w:val="es-ES"/>
        </w:rPr>
        <w:lastRenderedPageBreak/>
        <w:t>Escenarios</w:t>
      </w:r>
      <w:r w:rsidRPr="007226D7">
        <w:t xml:space="preserve"> de Modelación</w:t>
      </w:r>
      <w:bookmarkEnd w:id="101"/>
      <w:bookmarkEnd w:id="102"/>
      <w:bookmarkEnd w:id="103"/>
    </w:p>
    <w:p w:rsidR="00ED1F70" w:rsidRPr="007226D7" w:rsidRDefault="00ED1F70" w:rsidP="00ED1F70">
      <w:pPr>
        <w:rPr>
          <w:lang w:val="es-ES"/>
        </w:rPr>
      </w:pPr>
      <w:r w:rsidRPr="007226D7">
        <w:rPr>
          <w:lang w:val="es-ES"/>
        </w:rPr>
        <w:t>Una vez calibrado el modelo que representa la situación actual, ha sido posible definir el mapa de escenarios futuros. Los horizontes temporales han sido acordados conjuntamente entre PROINVERSION y AATE y se refieren a los años 2018, 2020 y 2030.</w:t>
      </w:r>
    </w:p>
    <w:p w:rsidR="00ED1F70" w:rsidRPr="007226D7" w:rsidRDefault="00ED1F70" w:rsidP="00ED1F70">
      <w:pPr>
        <w:rPr>
          <w:lang w:val="es-ES"/>
        </w:rPr>
      </w:pPr>
      <w:r w:rsidRPr="007226D7">
        <w:rPr>
          <w:lang w:val="es-ES"/>
        </w:rPr>
        <w:t xml:space="preserve">Para cada año se ha simulado el escenario de "NO INTERVENCIÓN”, el escenario “OPTIMIZADO” y el escenario de “PROYECTO”. </w:t>
      </w:r>
      <w:r w:rsidR="000B2336" w:rsidRPr="007226D7">
        <w:rPr>
          <w:lang w:val="es-ES"/>
        </w:rPr>
        <w:t>Más</w:t>
      </w:r>
      <w:r w:rsidRPr="007226D7">
        <w:rPr>
          <w:lang w:val="es-ES"/>
        </w:rPr>
        <w:t xml:space="preserve"> precisamente</w:t>
      </w:r>
    </w:p>
    <w:p w:rsidR="00ED1F70" w:rsidRPr="007226D7" w:rsidRDefault="00ED1F70" w:rsidP="00ED1F70">
      <w:pPr>
        <w:pStyle w:val="ListParagraph"/>
        <w:numPr>
          <w:ilvl w:val="0"/>
          <w:numId w:val="55"/>
        </w:numPr>
        <w:rPr>
          <w:lang w:val="es-ES"/>
        </w:rPr>
      </w:pPr>
      <w:r w:rsidRPr="007226D7">
        <w:rPr>
          <w:lang w:val="es-ES"/>
        </w:rPr>
        <w:t>El escenario de “NO INTERVENCIÓN” asigna la demanda de movilidad prevista para el año de referencia al sistema de transporte actual.</w:t>
      </w:r>
    </w:p>
    <w:p w:rsidR="00ED1F70" w:rsidRPr="007226D7" w:rsidRDefault="00ED1F70" w:rsidP="00ED1F70">
      <w:pPr>
        <w:pStyle w:val="ListParagraph"/>
        <w:numPr>
          <w:ilvl w:val="0"/>
          <w:numId w:val="55"/>
        </w:numPr>
        <w:rPr>
          <w:lang w:val="es-ES"/>
        </w:rPr>
      </w:pPr>
      <w:r w:rsidRPr="007226D7">
        <w:rPr>
          <w:lang w:val="es-ES"/>
        </w:rPr>
        <w:t>El escenario “OPTIMIZADO” asigna la demanda de movilidad prevista para el año de referencia al sistema de transporte planificado y previsto en completo funcionamiento para el año de referencia.</w:t>
      </w:r>
    </w:p>
    <w:p w:rsidR="00ED1F70" w:rsidRPr="007226D7" w:rsidRDefault="00ED1F70" w:rsidP="00ED1F70">
      <w:pPr>
        <w:pStyle w:val="ListParagraph"/>
        <w:numPr>
          <w:ilvl w:val="0"/>
          <w:numId w:val="55"/>
        </w:numPr>
        <w:rPr>
          <w:lang w:val="es-ES"/>
        </w:rPr>
      </w:pPr>
      <w:r w:rsidRPr="007226D7">
        <w:rPr>
          <w:lang w:val="es-ES"/>
        </w:rPr>
        <w:t>El escenario de “PROYECTO” se deriva del “OPTIMIZADO” con la entrada en funcionamiento del proyecto examinado para el año de referencia.</w:t>
      </w:r>
    </w:p>
    <w:p w:rsidR="00ED1F70" w:rsidRPr="007226D7" w:rsidRDefault="00ED1F70" w:rsidP="00ED1F70">
      <w:pPr>
        <w:rPr>
          <w:lang w:val="es-ES"/>
        </w:rPr>
      </w:pPr>
      <w:r w:rsidRPr="007226D7">
        <w:rPr>
          <w:lang w:val="es-ES"/>
        </w:rPr>
        <w:t xml:space="preserve">El Escenario “OPTIMIZADO” resulta fundamental puesto que las propuestas de proyecto se refieren a éste. Naturalmente, cada escenario debe considerarse en sus múltiples configuraciones: </w:t>
      </w:r>
    </w:p>
    <w:p w:rsidR="00ED1F70" w:rsidRPr="007226D7" w:rsidRDefault="00ED1F70" w:rsidP="00ED1F70">
      <w:pPr>
        <w:pStyle w:val="ListParagraph"/>
        <w:numPr>
          <w:ilvl w:val="0"/>
          <w:numId w:val="56"/>
        </w:numPr>
        <w:rPr>
          <w:lang w:val="es-ES"/>
        </w:rPr>
      </w:pPr>
      <w:r w:rsidRPr="007226D7">
        <w:rPr>
          <w:noProof/>
          <w:lang w:val="es-ES"/>
        </w:rPr>
        <w:t>Hora Punta de Mañana (HPM).</w:t>
      </w:r>
    </w:p>
    <w:p w:rsidR="00ED1F70" w:rsidRPr="007226D7" w:rsidRDefault="00ED1F70" w:rsidP="00ED1F70">
      <w:pPr>
        <w:pStyle w:val="ListParagraph"/>
        <w:numPr>
          <w:ilvl w:val="0"/>
          <w:numId w:val="56"/>
        </w:numPr>
        <w:rPr>
          <w:lang w:val="es-ES"/>
        </w:rPr>
      </w:pPr>
      <w:r w:rsidRPr="007226D7">
        <w:rPr>
          <w:noProof/>
          <w:lang w:val="es-ES"/>
        </w:rPr>
        <w:t>Hora Punta de Tarde (HPT).</w:t>
      </w:r>
    </w:p>
    <w:p w:rsidR="00ED1F70" w:rsidRPr="007226D7" w:rsidRDefault="00ED1F70" w:rsidP="00ED1F70">
      <w:pPr>
        <w:pStyle w:val="ListParagraph"/>
        <w:numPr>
          <w:ilvl w:val="0"/>
          <w:numId w:val="56"/>
        </w:numPr>
        <w:rPr>
          <w:lang w:val="es-ES"/>
        </w:rPr>
      </w:pPr>
      <w:r w:rsidRPr="007226D7">
        <w:rPr>
          <w:noProof/>
          <w:lang w:val="es-ES"/>
        </w:rPr>
        <w:t>Hora Valle (HV).</w:t>
      </w:r>
    </w:p>
    <w:p w:rsidR="00ED1F70" w:rsidRPr="007226D7" w:rsidRDefault="00ED1F70" w:rsidP="00ED1F70">
      <w:pPr>
        <w:spacing w:after="0" w:line="240" w:lineRule="auto"/>
        <w:jc w:val="left"/>
        <w:rPr>
          <w:b/>
        </w:rPr>
      </w:pPr>
      <w:r w:rsidRPr="007226D7">
        <w:br w:type="page"/>
      </w:r>
    </w:p>
    <w:p w:rsidR="00ED1F70" w:rsidRPr="007226D7" w:rsidRDefault="00ED1F70" w:rsidP="00ED1F70">
      <w:pPr>
        <w:pStyle w:val="Heading2"/>
        <w:tabs>
          <w:tab w:val="num" w:pos="576"/>
        </w:tabs>
        <w:spacing w:before="60" w:after="120" w:line="240" w:lineRule="auto"/>
        <w:ind w:right="-2"/>
        <w:jc w:val="both"/>
        <w:rPr>
          <w:lang w:val="es-ES"/>
        </w:rPr>
      </w:pPr>
      <w:bookmarkStart w:id="104" w:name="_Toc342751276"/>
      <w:bookmarkStart w:id="105" w:name="_Toc346541928"/>
      <w:r w:rsidRPr="007226D7">
        <w:rPr>
          <w:lang w:val="es-ES"/>
        </w:rPr>
        <w:lastRenderedPageBreak/>
        <w:t>Relaciones con instrumentos de planificación</w:t>
      </w:r>
      <w:bookmarkEnd w:id="104"/>
      <w:bookmarkEnd w:id="105"/>
    </w:p>
    <w:p w:rsidR="00ED1F70" w:rsidRPr="007226D7" w:rsidRDefault="00ED1F70" w:rsidP="00ED1F70">
      <w:pPr>
        <w:rPr>
          <w:lang w:val="es-ES"/>
        </w:rPr>
      </w:pPr>
      <w:r w:rsidRPr="007226D7">
        <w:rPr>
          <w:lang w:val="es-ES"/>
        </w:rPr>
        <w:t xml:space="preserve">La proyección de la intervención presupone el conocimiento del estado actual, en términos de demanda y oferta de transporte y las estrategias de desarrollo del sistema infraestructural previstas para la ciudad de Lima. </w:t>
      </w:r>
    </w:p>
    <w:p w:rsidR="00ED1F70" w:rsidRPr="007226D7" w:rsidRDefault="00ED1F70" w:rsidP="00ED1F70">
      <w:pPr>
        <w:rPr>
          <w:lang w:val="es-ES"/>
        </w:rPr>
      </w:pPr>
      <w:r w:rsidRPr="007226D7">
        <w:rPr>
          <w:lang w:val="es-ES"/>
        </w:rPr>
        <w:t>Las intervenciones barajadas a corto, medio y largo plazo nacen de las actividades de planificación y de las estrategias de referencia para una movilidad eficiente y sostenible.</w:t>
      </w:r>
    </w:p>
    <w:p w:rsidR="00ED1F70" w:rsidRPr="007226D7" w:rsidRDefault="00ED1F70" w:rsidP="00ED1F70">
      <w:pPr>
        <w:rPr>
          <w:noProof/>
          <w:lang w:val="es-ES"/>
        </w:rPr>
      </w:pPr>
      <w:r w:rsidRPr="007226D7">
        <w:rPr>
          <w:lang w:val="es-ES"/>
        </w:rPr>
        <w:t>Temas como la reducción de la congestión urbana y el incremento de la calidad del servicio del transporte público orientan la identificación de las decisiones estratégicas junto a la modernización del sistema infraestructural.</w:t>
      </w:r>
      <w:r w:rsidRPr="007226D7">
        <w:rPr>
          <w:noProof/>
          <w:lang w:val="es-ES"/>
        </w:rPr>
        <w:t xml:space="preserve"> </w:t>
      </w:r>
    </w:p>
    <w:p w:rsidR="00ED1F70" w:rsidRPr="007226D7" w:rsidRDefault="00ED1F70" w:rsidP="00ED1F70">
      <w:pPr>
        <w:rPr>
          <w:lang w:val="es-ES"/>
        </w:rPr>
      </w:pPr>
      <w:r w:rsidRPr="007226D7">
        <w:rPr>
          <w:lang w:val="es-ES"/>
        </w:rPr>
        <w:t>De los documentos y de los estudios analizados ha sido posible identificar las elecciones fundamentales de planificación de las redes de transporte y las interacciones con el proyecto estudiado.</w:t>
      </w:r>
    </w:p>
    <w:p w:rsidR="00ED1F70" w:rsidRPr="007226D7" w:rsidRDefault="00ED1F70" w:rsidP="00ED1F70">
      <w:pPr>
        <w:rPr>
          <w:lang w:val="es-ES"/>
        </w:rPr>
      </w:pPr>
      <w:r w:rsidRPr="007226D7">
        <w:rPr>
          <w:lang w:val="es-ES"/>
        </w:rPr>
        <w:t xml:space="preserve">En líneas generales, la filosofía de intervención persigue, a largo plazo, una potenciación y una racionalización del sistema de transporte público. </w:t>
      </w:r>
    </w:p>
    <w:p w:rsidR="00ED1F70" w:rsidRPr="007226D7" w:rsidRDefault="00ED1F70" w:rsidP="00ED1F70">
      <w:pPr>
        <w:rPr>
          <w:lang w:val="es-ES"/>
        </w:rPr>
      </w:pPr>
      <w:r w:rsidRPr="007226D7">
        <w:rPr>
          <w:lang w:val="es-ES"/>
        </w:rPr>
        <w:t>En este enfoque adquieren relevancia, en concreto, la realización por fases consecutivas de la Red Básica del metropolitano de Lima y la reorganización del sistema del transporte público de superficie mediante la implementación fundamental del sistema de Corredores Complementarios.</w:t>
      </w:r>
    </w:p>
    <w:p w:rsidR="00ED1F70" w:rsidRPr="007226D7" w:rsidRDefault="00ED1F70" w:rsidP="000E7923">
      <w:pPr>
        <w:pStyle w:val="Heading3"/>
        <w:rPr>
          <w:noProof/>
          <w:lang w:val="es-ES"/>
        </w:rPr>
      </w:pPr>
      <w:bookmarkStart w:id="106" w:name="_Toc346541929"/>
      <w:r w:rsidRPr="007226D7">
        <w:rPr>
          <w:noProof/>
          <w:lang w:val="es-ES"/>
        </w:rPr>
        <w:t>Red de Transporte Privado</w:t>
      </w:r>
      <w:bookmarkEnd w:id="106"/>
    </w:p>
    <w:p w:rsidR="00ED1F70" w:rsidRPr="007226D7" w:rsidRDefault="00ED1F70" w:rsidP="00ED1F70">
      <w:pPr>
        <w:rPr>
          <w:lang w:val="es-ES"/>
        </w:rPr>
      </w:pPr>
      <w:r w:rsidRPr="007226D7">
        <w:rPr>
          <w:noProof/>
          <w:lang w:val="es-ES"/>
        </w:rPr>
        <w:t>No existe un plan vial para la ciudad, las principales infraestructuras proyectadas están sujetas a iniciativas privadas, no hay calendario ni previsión de actuaciones estructurantes, si bien hay una relación de proyectos básicos que deberían contemplarse a futuro no es posible su programación temporal.</w:t>
      </w:r>
    </w:p>
    <w:p w:rsidR="00ED1F70" w:rsidRPr="007226D7" w:rsidRDefault="00ED1F70" w:rsidP="00ED1F70">
      <w:pPr>
        <w:rPr>
          <w:noProof/>
          <w:lang w:val="es-ES"/>
        </w:rPr>
      </w:pPr>
      <w:r w:rsidRPr="007226D7">
        <w:rPr>
          <w:noProof/>
          <w:lang w:val="es-ES"/>
        </w:rPr>
        <w:t>Los principales proyectos todavía en fase de definición son:</w:t>
      </w:r>
    </w:p>
    <w:p w:rsidR="00ED1F70" w:rsidRPr="007226D7" w:rsidRDefault="00ED1F70" w:rsidP="00ED1F70">
      <w:pPr>
        <w:pStyle w:val="ListParagraph"/>
        <w:numPr>
          <w:ilvl w:val="0"/>
          <w:numId w:val="42"/>
        </w:numPr>
        <w:rPr>
          <w:noProof/>
          <w:lang w:val="es-ES"/>
        </w:rPr>
      </w:pPr>
      <w:r w:rsidRPr="007226D7">
        <w:rPr>
          <w:noProof/>
          <w:lang w:val="es-ES"/>
        </w:rPr>
        <w:t>Proyecto Periférico Vial Norte;</w:t>
      </w:r>
    </w:p>
    <w:p w:rsidR="00ED1F70" w:rsidRPr="007226D7" w:rsidRDefault="00ED1F70" w:rsidP="00ED1F70">
      <w:pPr>
        <w:pStyle w:val="ListParagraph"/>
        <w:numPr>
          <w:ilvl w:val="0"/>
          <w:numId w:val="42"/>
        </w:numPr>
        <w:rPr>
          <w:noProof/>
          <w:lang w:val="es-ES"/>
        </w:rPr>
      </w:pPr>
      <w:r w:rsidRPr="007226D7">
        <w:rPr>
          <w:noProof/>
          <w:lang w:val="es-ES"/>
        </w:rPr>
        <w:t>Prolongación Ramiro Prialé;</w:t>
      </w:r>
    </w:p>
    <w:p w:rsidR="00ED1F70" w:rsidRPr="007226D7" w:rsidRDefault="00ED1F70" w:rsidP="00ED1F70">
      <w:pPr>
        <w:pStyle w:val="ListParagraph"/>
        <w:numPr>
          <w:ilvl w:val="0"/>
          <w:numId w:val="42"/>
        </w:numPr>
        <w:rPr>
          <w:noProof/>
          <w:lang w:val="es-ES"/>
        </w:rPr>
      </w:pPr>
      <w:r w:rsidRPr="007226D7">
        <w:rPr>
          <w:noProof/>
          <w:lang w:val="es-ES"/>
        </w:rPr>
        <w:t>Vía Expresa de Javier Prado;</w:t>
      </w:r>
    </w:p>
    <w:p w:rsidR="00ED1F70" w:rsidRPr="007226D7" w:rsidRDefault="00ED1F70" w:rsidP="00ED1F70">
      <w:pPr>
        <w:pStyle w:val="ListParagraph"/>
        <w:numPr>
          <w:ilvl w:val="0"/>
          <w:numId w:val="42"/>
        </w:numPr>
        <w:rPr>
          <w:noProof/>
          <w:lang w:val="es-ES"/>
        </w:rPr>
      </w:pPr>
      <w:r w:rsidRPr="007226D7">
        <w:rPr>
          <w:noProof/>
          <w:lang w:val="es-ES"/>
        </w:rPr>
        <w:t>Vía Costa Verde, Tramo Callao;</w:t>
      </w:r>
    </w:p>
    <w:p w:rsidR="00ED1F70" w:rsidRPr="007226D7" w:rsidRDefault="00ED1F70" w:rsidP="00ED1F70">
      <w:pPr>
        <w:pStyle w:val="ListParagraph"/>
        <w:numPr>
          <w:ilvl w:val="0"/>
          <w:numId w:val="42"/>
        </w:numPr>
        <w:rPr>
          <w:noProof/>
          <w:lang w:val="es-ES"/>
        </w:rPr>
      </w:pPr>
      <w:r w:rsidRPr="007226D7">
        <w:rPr>
          <w:noProof/>
          <w:lang w:val="es-ES"/>
        </w:rPr>
        <w:t>Extensión del Paseo de la República;</w:t>
      </w:r>
    </w:p>
    <w:p w:rsidR="00ED1F70" w:rsidRPr="007226D7" w:rsidRDefault="00ED1F70" w:rsidP="00ED1F70">
      <w:pPr>
        <w:pStyle w:val="ListParagraph"/>
        <w:numPr>
          <w:ilvl w:val="0"/>
          <w:numId w:val="42"/>
        </w:numPr>
        <w:rPr>
          <w:noProof/>
          <w:lang w:val="es-ES"/>
        </w:rPr>
      </w:pPr>
      <w:r w:rsidRPr="007226D7">
        <w:rPr>
          <w:noProof/>
          <w:lang w:val="es-ES"/>
        </w:rPr>
        <w:t>Vía Periférica</w:t>
      </w:r>
    </w:p>
    <w:p w:rsidR="00ED1F70" w:rsidRPr="007226D7" w:rsidRDefault="00ED1F70" w:rsidP="00ED1F70">
      <w:pPr>
        <w:rPr>
          <w:noProof/>
          <w:lang w:val="es-ES"/>
        </w:rPr>
      </w:pPr>
      <w:r w:rsidRPr="007226D7">
        <w:rPr>
          <w:noProof/>
          <w:lang w:val="es-ES"/>
        </w:rPr>
        <w:t>Dada la inseguridad que todavía acompaña estas intervenciones a largo plazo, no se han incluido en las redes de transporte que caracterizan los escenarios simulativos futuros.</w:t>
      </w:r>
    </w:p>
    <w:p w:rsidR="00ED1F70" w:rsidRPr="007226D7" w:rsidRDefault="00ED1F70" w:rsidP="00ED1F70">
      <w:pPr>
        <w:rPr>
          <w:lang w:val="es-ES"/>
        </w:rPr>
      </w:pPr>
      <w:r w:rsidRPr="007226D7">
        <w:rPr>
          <w:lang w:val="es-ES"/>
        </w:rPr>
        <w:t xml:space="preserve">Sin embargo, las intervenciones que deben considerarse prioritarias y básicas, en el estado actual de la información disponible, seguramente en ejercicio en los escenarios futuros sometidos a simulación son: </w:t>
      </w:r>
    </w:p>
    <w:p w:rsidR="00ED1F70" w:rsidRPr="007226D7" w:rsidRDefault="00ED1F70" w:rsidP="00ED1F70">
      <w:pPr>
        <w:pStyle w:val="ListParagraph"/>
        <w:numPr>
          <w:ilvl w:val="0"/>
          <w:numId w:val="46"/>
        </w:numPr>
        <w:rPr>
          <w:lang w:val="es-ES"/>
        </w:rPr>
      </w:pPr>
      <w:r w:rsidRPr="007226D7">
        <w:rPr>
          <w:noProof/>
          <w:lang w:val="es-ES"/>
        </w:rPr>
        <w:lastRenderedPageBreak/>
        <w:t xml:space="preserve">La </w:t>
      </w:r>
      <w:r w:rsidRPr="007226D7">
        <w:rPr>
          <w:lang w:val="es-ES"/>
        </w:rPr>
        <w:t>construcción</w:t>
      </w:r>
      <w:r w:rsidRPr="007226D7">
        <w:rPr>
          <w:noProof/>
          <w:lang w:val="es-ES"/>
        </w:rPr>
        <w:t xml:space="preserve"> de la carretera Vía Parque Rimac definida como una nueva autopista de peaje entre la vía de Evitamiento y el puente Huascar en el límite con Callao; </w:t>
      </w:r>
    </w:p>
    <w:p w:rsidR="00ED1F70" w:rsidRPr="007226D7" w:rsidRDefault="00ED1F70" w:rsidP="00ED1F70">
      <w:pPr>
        <w:pStyle w:val="ListParagraph"/>
        <w:numPr>
          <w:ilvl w:val="0"/>
          <w:numId w:val="46"/>
        </w:numPr>
        <w:rPr>
          <w:lang w:val="es-ES"/>
        </w:rPr>
      </w:pPr>
      <w:r w:rsidRPr="007226D7">
        <w:rPr>
          <w:noProof/>
          <w:lang w:val="es-ES"/>
        </w:rPr>
        <w:t>La construcción del Túnel Santa Rosa, entre la intersección de Tacna y Alcazar en Rímac y La intersección de Rímac y Perú en San Juan de Lurigancho;</w:t>
      </w:r>
    </w:p>
    <w:p w:rsidR="00ED1F70" w:rsidRPr="007226D7" w:rsidRDefault="00ED1F70" w:rsidP="00ED1F70">
      <w:pPr>
        <w:pStyle w:val="ListParagraph"/>
        <w:numPr>
          <w:ilvl w:val="0"/>
          <w:numId w:val="46"/>
        </w:numPr>
        <w:rPr>
          <w:lang w:val="es-ES"/>
        </w:rPr>
      </w:pPr>
      <w:r w:rsidRPr="007226D7">
        <w:rPr>
          <w:noProof/>
          <w:lang w:val="es-ES"/>
        </w:rPr>
        <w:t>La construcción del Túnel San Francisco, que conectaría los distritos de Surco - La Molina.</w:t>
      </w:r>
    </w:p>
    <w:p w:rsidR="00ED1F70" w:rsidRPr="007226D7" w:rsidRDefault="00ED1F70" w:rsidP="000E7923">
      <w:pPr>
        <w:pStyle w:val="Heading3"/>
        <w:rPr>
          <w:lang w:val="es-ES"/>
        </w:rPr>
      </w:pPr>
      <w:bookmarkStart w:id="107" w:name="_Ref346487452"/>
      <w:bookmarkStart w:id="108" w:name="_Toc346541930"/>
      <w:r w:rsidRPr="007226D7">
        <w:rPr>
          <w:lang w:val="es-ES"/>
        </w:rPr>
        <w:t>Red de Transporte Público</w:t>
      </w:r>
      <w:bookmarkEnd w:id="107"/>
      <w:bookmarkEnd w:id="108"/>
    </w:p>
    <w:p w:rsidR="00ED1F70" w:rsidRPr="007226D7" w:rsidRDefault="00ED1F70" w:rsidP="00ED1F70">
      <w:pPr>
        <w:rPr>
          <w:lang w:val="es-ES"/>
        </w:rPr>
      </w:pPr>
      <w:r w:rsidRPr="007226D7">
        <w:rPr>
          <w:lang w:val="es-ES"/>
        </w:rPr>
        <w:t xml:space="preserve">La potenciación y la transformación del transporte colectivo es el tema fundamental y estratégico de las políticas aplicadas actualmente. Conseguir un sistema de transporte colectivo muy competitivo constituye la intervención más significativa para garantizar en el futuro niveles de movilidad urbana de alta eficiencia y sostenibilidad. </w:t>
      </w:r>
    </w:p>
    <w:p w:rsidR="00ED1F70" w:rsidRPr="007226D7" w:rsidRDefault="00ED1F70" w:rsidP="00ED1F70">
      <w:pPr>
        <w:pStyle w:val="ListParagraph"/>
        <w:numPr>
          <w:ilvl w:val="0"/>
          <w:numId w:val="47"/>
        </w:numPr>
        <w:rPr>
          <w:lang w:val="es-ES"/>
        </w:rPr>
      </w:pPr>
      <w:r w:rsidRPr="007226D7">
        <w:rPr>
          <w:noProof/>
          <w:lang w:val="es-ES"/>
        </w:rPr>
        <w:t>La reorganización del transporte de Lima tiene como meta la conformación de un sistema integrado de transporte a través de reformas en 5 niveles de intervención:</w:t>
      </w:r>
    </w:p>
    <w:p w:rsidR="00ED1F70" w:rsidRPr="007226D7" w:rsidRDefault="00ED1F70" w:rsidP="00ED1F70">
      <w:pPr>
        <w:pStyle w:val="ListParagraph"/>
        <w:numPr>
          <w:ilvl w:val="0"/>
          <w:numId w:val="47"/>
        </w:numPr>
        <w:rPr>
          <w:lang w:val="es-ES"/>
        </w:rPr>
      </w:pPr>
      <w:r w:rsidRPr="007226D7">
        <w:rPr>
          <w:noProof/>
          <w:lang w:val="es-ES"/>
        </w:rPr>
        <w:t>Corredores Masivos:</w:t>
      </w:r>
      <w:r w:rsidRPr="007226D7">
        <w:rPr>
          <w:lang w:val="es-ES"/>
        </w:rPr>
        <w:t xml:space="preserve"> </w:t>
      </w:r>
      <w:r w:rsidRPr="007226D7">
        <w:rPr>
          <w:noProof/>
          <w:lang w:val="es-ES"/>
        </w:rPr>
        <w:t>Sistemas de gran capacidad en vías exclusivas con tecnología de buses articulados, bi-articulados y trenes.</w:t>
      </w:r>
      <w:r w:rsidRPr="007226D7">
        <w:rPr>
          <w:lang w:val="es-ES"/>
        </w:rPr>
        <w:t xml:space="preserve"> </w:t>
      </w:r>
      <w:r w:rsidRPr="007226D7">
        <w:rPr>
          <w:noProof/>
          <w:lang w:val="es-ES"/>
        </w:rPr>
        <w:t>Eliminación de rutas sobrepuestas.</w:t>
      </w:r>
    </w:p>
    <w:p w:rsidR="00ED1F70" w:rsidRPr="007226D7" w:rsidRDefault="00ED1F70" w:rsidP="00ED1F70">
      <w:pPr>
        <w:pStyle w:val="ListParagraph"/>
        <w:numPr>
          <w:ilvl w:val="0"/>
          <w:numId w:val="47"/>
        </w:numPr>
        <w:rPr>
          <w:lang w:val="es-ES"/>
        </w:rPr>
      </w:pPr>
      <w:r w:rsidRPr="007226D7">
        <w:rPr>
          <w:noProof/>
          <w:lang w:val="es-ES"/>
        </w:rPr>
        <w:t>Corredores Complementarios:</w:t>
      </w:r>
      <w:r w:rsidRPr="007226D7">
        <w:rPr>
          <w:lang w:val="es-ES"/>
        </w:rPr>
        <w:t xml:space="preserve"> </w:t>
      </w:r>
      <w:r w:rsidRPr="007226D7">
        <w:rPr>
          <w:noProof/>
          <w:lang w:val="es-ES"/>
        </w:rPr>
        <w:t>Sistemas de mediana capacidad en vías segregadas y mixtas con buses de 9,12 y 18 metros.</w:t>
      </w:r>
      <w:r w:rsidRPr="007226D7">
        <w:rPr>
          <w:lang w:val="es-ES"/>
        </w:rPr>
        <w:t xml:space="preserve"> </w:t>
      </w:r>
      <w:r w:rsidRPr="007226D7">
        <w:rPr>
          <w:noProof/>
          <w:lang w:val="es-ES"/>
        </w:rPr>
        <w:t>Fusión / modificación / eliminación de rutas de rutas sobrepuestas.</w:t>
      </w:r>
      <w:r w:rsidRPr="007226D7">
        <w:rPr>
          <w:lang w:val="es-ES"/>
        </w:rPr>
        <w:t xml:space="preserve"> </w:t>
      </w:r>
      <w:r w:rsidRPr="007226D7">
        <w:rPr>
          <w:noProof/>
          <w:lang w:val="es-ES"/>
        </w:rPr>
        <w:t>Medidas de reorganización del transito</w:t>
      </w:r>
    </w:p>
    <w:p w:rsidR="00ED1F70" w:rsidRPr="007226D7" w:rsidRDefault="00ED1F70" w:rsidP="00ED1F70">
      <w:pPr>
        <w:pStyle w:val="ListParagraph"/>
        <w:numPr>
          <w:ilvl w:val="0"/>
          <w:numId w:val="47"/>
        </w:numPr>
        <w:rPr>
          <w:lang w:val="es-ES"/>
        </w:rPr>
      </w:pPr>
      <w:r w:rsidRPr="007226D7">
        <w:rPr>
          <w:noProof/>
          <w:lang w:val="es-ES"/>
        </w:rPr>
        <w:t>Corredores de Integración:</w:t>
      </w:r>
      <w:r w:rsidRPr="007226D7">
        <w:rPr>
          <w:lang w:val="es-ES"/>
        </w:rPr>
        <w:t xml:space="preserve"> </w:t>
      </w:r>
      <w:r w:rsidRPr="007226D7">
        <w:rPr>
          <w:noProof/>
          <w:lang w:val="es-ES"/>
        </w:rPr>
        <w:t>Sistemas de mediana capacidad en vías mixtas con buses de 9 y12 metros.</w:t>
      </w:r>
      <w:r w:rsidRPr="007226D7">
        <w:rPr>
          <w:lang w:val="es-ES"/>
        </w:rPr>
        <w:t xml:space="preserve"> </w:t>
      </w:r>
      <w:r w:rsidRPr="007226D7">
        <w:rPr>
          <w:noProof/>
          <w:lang w:val="es-ES"/>
        </w:rPr>
        <w:t>Fusión / modificación / eliminación de rutas sobrepuestas</w:t>
      </w:r>
    </w:p>
    <w:p w:rsidR="00ED1F70" w:rsidRPr="007226D7" w:rsidRDefault="00ED1F70" w:rsidP="00ED1F70">
      <w:pPr>
        <w:pStyle w:val="ListParagraph"/>
        <w:numPr>
          <w:ilvl w:val="0"/>
          <w:numId w:val="47"/>
        </w:numPr>
        <w:rPr>
          <w:lang w:val="es-ES"/>
        </w:rPr>
      </w:pPr>
      <w:r w:rsidRPr="007226D7">
        <w:rPr>
          <w:noProof/>
          <w:lang w:val="es-ES"/>
        </w:rPr>
        <w:t>Red Convencional:</w:t>
      </w:r>
      <w:r w:rsidRPr="007226D7">
        <w:rPr>
          <w:lang w:val="es-ES"/>
        </w:rPr>
        <w:t xml:space="preserve"> </w:t>
      </w:r>
      <w:r w:rsidRPr="007226D7">
        <w:rPr>
          <w:noProof/>
          <w:lang w:val="es-ES"/>
        </w:rPr>
        <w:t>Sistemas de mediana y baja capacidad en vías mixtas con buses de 9 y 12 mt.</w:t>
      </w:r>
      <w:r w:rsidRPr="007226D7">
        <w:rPr>
          <w:lang w:val="es-ES"/>
        </w:rPr>
        <w:t xml:space="preserve"> </w:t>
      </w:r>
      <w:r w:rsidRPr="007226D7">
        <w:rPr>
          <w:noProof/>
          <w:lang w:val="es-ES"/>
        </w:rPr>
        <w:t>Modificación de rutas sobrepuestas</w:t>
      </w:r>
    </w:p>
    <w:p w:rsidR="00ED1F70" w:rsidRPr="007226D7" w:rsidRDefault="00ED1F70" w:rsidP="00ED1F70">
      <w:pPr>
        <w:pStyle w:val="ListParagraph"/>
        <w:numPr>
          <w:ilvl w:val="0"/>
          <w:numId w:val="47"/>
        </w:numPr>
        <w:rPr>
          <w:lang w:val="es-ES"/>
        </w:rPr>
      </w:pPr>
      <w:r w:rsidRPr="007226D7">
        <w:rPr>
          <w:noProof/>
          <w:lang w:val="es-ES"/>
        </w:rPr>
        <w:t>Red en Zonas No Atendidas:</w:t>
      </w:r>
      <w:r w:rsidRPr="007226D7">
        <w:rPr>
          <w:lang w:val="es-ES"/>
        </w:rPr>
        <w:t xml:space="preserve"> </w:t>
      </w:r>
      <w:r w:rsidRPr="007226D7">
        <w:rPr>
          <w:noProof/>
          <w:lang w:val="es-ES"/>
        </w:rPr>
        <w:t>Sistemas de baja capacidad en vías mixtas con microbuses y buses.</w:t>
      </w:r>
      <w:r w:rsidRPr="007226D7">
        <w:rPr>
          <w:lang w:val="es-ES"/>
        </w:rPr>
        <w:t xml:space="preserve"> </w:t>
      </w:r>
      <w:r w:rsidRPr="007226D7">
        <w:rPr>
          <w:noProof/>
          <w:lang w:val="es-ES"/>
        </w:rPr>
        <w:t>Implementación de nuevas rutas</w:t>
      </w:r>
    </w:p>
    <w:p w:rsidR="00ED1F70" w:rsidRPr="007226D7" w:rsidRDefault="00ED1F70" w:rsidP="00ED1F70">
      <w:pPr>
        <w:rPr>
          <w:lang w:val="es-ES"/>
        </w:rPr>
      </w:pPr>
      <w:r w:rsidRPr="007226D7">
        <w:rPr>
          <w:lang w:val="es-ES"/>
        </w:rPr>
        <w:t>Las intervenciones de transformación de la red de fuerza del transporte público que han determinado las estructuras para los escenarios de simulación futuros son las siguientes:</w:t>
      </w:r>
    </w:p>
    <w:p w:rsidR="00ED1F70" w:rsidRPr="007226D7" w:rsidRDefault="00ED1F70" w:rsidP="00ED1F70">
      <w:pPr>
        <w:pStyle w:val="ListParagraph"/>
        <w:numPr>
          <w:ilvl w:val="0"/>
          <w:numId w:val="48"/>
        </w:numPr>
        <w:rPr>
          <w:lang w:val="es-ES"/>
        </w:rPr>
      </w:pPr>
      <w:r w:rsidRPr="007226D7">
        <w:rPr>
          <w:lang w:val="es-ES"/>
        </w:rPr>
        <w:t>Red Básica del Metro de Lima</w:t>
      </w:r>
    </w:p>
    <w:p w:rsidR="00ED1F70" w:rsidRPr="007226D7" w:rsidRDefault="00ED1F70" w:rsidP="00ED1F70">
      <w:pPr>
        <w:pStyle w:val="ListParagraph"/>
        <w:numPr>
          <w:ilvl w:val="1"/>
          <w:numId w:val="48"/>
        </w:numPr>
        <w:rPr>
          <w:color w:val="333333"/>
          <w:lang w:val="es-ES"/>
        </w:rPr>
      </w:pPr>
      <w:r w:rsidRPr="007226D7">
        <w:rPr>
          <w:color w:val="333333"/>
          <w:lang w:val="es-ES"/>
        </w:rPr>
        <w:t xml:space="preserve">En cuanto a la Línea 1, hoy actualmente operativa, se prevé la completa realización y su entrada en funcionamiento seguramente antes del año 2016. Para la Línea 2 se prevé la realización del primer tramo (de la estación de Ate Vitarte a la de </w:t>
      </w:r>
      <w:r w:rsidR="000B2336" w:rsidRPr="007226D7">
        <w:rPr>
          <w:color w:val="333333"/>
          <w:lang w:val="es-ES"/>
        </w:rPr>
        <w:t>Estación</w:t>
      </w:r>
      <w:r w:rsidRPr="007226D7">
        <w:rPr>
          <w:color w:val="333333"/>
          <w:lang w:val="es-ES"/>
        </w:rPr>
        <w:t xml:space="preserve"> Central) y su entrada en ejercicio antes del año 2018, mientras que la Línea 2 entera y el tramo de Línea 4 (de la estación San José a la estación Néstor Gambeta) está previstas operativas para el año 2020. </w:t>
      </w:r>
    </w:p>
    <w:p w:rsidR="00ED1F70" w:rsidRPr="007226D7" w:rsidRDefault="00ED1F70" w:rsidP="00ED1F70">
      <w:pPr>
        <w:pStyle w:val="ListParagraph"/>
        <w:numPr>
          <w:ilvl w:val="1"/>
          <w:numId w:val="48"/>
        </w:numPr>
        <w:rPr>
          <w:color w:val="333333"/>
          <w:lang w:val="es-ES"/>
        </w:rPr>
      </w:pPr>
      <w:r w:rsidRPr="007226D7">
        <w:rPr>
          <w:color w:val="333333"/>
          <w:lang w:val="es-ES"/>
        </w:rPr>
        <w:t xml:space="preserve">A esta red se añadirán en el tiempo las líneas siguientes. </w:t>
      </w:r>
    </w:p>
    <w:p w:rsidR="00ED1F70" w:rsidRPr="007226D7" w:rsidRDefault="00ED1F70" w:rsidP="00ED1F70">
      <w:pPr>
        <w:pStyle w:val="ListParagraph"/>
        <w:numPr>
          <w:ilvl w:val="1"/>
          <w:numId w:val="48"/>
        </w:numPr>
        <w:rPr>
          <w:lang w:val="es-ES"/>
        </w:rPr>
      </w:pPr>
      <w:r w:rsidRPr="007226D7">
        <w:rPr>
          <w:color w:val="333333"/>
          <w:lang w:val="es-ES"/>
        </w:rPr>
        <w:t>En este estudio se ha asumido que para el escenario del año 2030 las Líneas 3 y 4 estarán completamente realizadas, integrando posteriormente la red de fuerza del primer nivel.</w:t>
      </w:r>
    </w:p>
    <w:p w:rsidR="00ED1F70" w:rsidRPr="007226D7" w:rsidRDefault="00ED1F70" w:rsidP="00ED1F70">
      <w:pPr>
        <w:rPr>
          <w:color w:val="000000" w:themeColor="text1"/>
          <w:lang w:val="es-ES"/>
        </w:rPr>
      </w:pPr>
      <w:r w:rsidRPr="007226D7">
        <w:rPr>
          <w:color w:val="000000" w:themeColor="text1"/>
          <w:lang w:val="es-ES"/>
        </w:rPr>
        <w:lastRenderedPageBreak/>
        <w:t>La siguiente imagen ilustra el sistema definido en el modelo de simulación:</w:t>
      </w:r>
    </w:p>
    <w:p w:rsidR="00ED1F70" w:rsidRPr="007226D7" w:rsidRDefault="00ED1F70" w:rsidP="00ED1F70">
      <w:r w:rsidRPr="007226D7">
        <w:rPr>
          <w:rFonts w:cs="Arial"/>
          <w:iCs/>
          <w:noProof/>
          <w:color w:val="333333"/>
          <w:lang w:val="en-US" w:eastAsia="en-US"/>
        </w:rPr>
        <w:drawing>
          <wp:inline distT="0" distB="0" distL="0" distR="0" wp14:anchorId="3D27A714" wp14:editId="354189A6">
            <wp:extent cx="5940425" cy="3264119"/>
            <wp:effectExtent l="19050" t="0" r="3175" b="0"/>
            <wp:docPr id="36" name="Immagine 1" descr="LIMA_ba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A_basica"/>
                    <pic:cNvPicPr>
                      <a:picLocks noChangeAspect="1" noChangeArrowheads="1"/>
                    </pic:cNvPicPr>
                  </pic:nvPicPr>
                  <pic:blipFill>
                    <a:blip r:embed="rId163" cstate="print"/>
                    <a:srcRect t="33823" b="27321"/>
                    <a:stretch>
                      <a:fillRect/>
                    </a:stretch>
                  </pic:blipFill>
                  <pic:spPr bwMode="auto">
                    <a:xfrm>
                      <a:off x="0" y="0"/>
                      <a:ext cx="5940425" cy="3264119"/>
                    </a:xfrm>
                    <a:prstGeom prst="rect">
                      <a:avLst/>
                    </a:prstGeom>
                    <a:noFill/>
                    <a:ln w="9525">
                      <a:noFill/>
                      <a:miter lim="800000"/>
                      <a:headEnd/>
                      <a:tailEnd/>
                    </a:ln>
                  </pic:spPr>
                </pic:pic>
              </a:graphicData>
            </a:graphic>
          </wp:inline>
        </w:drawing>
      </w:r>
    </w:p>
    <w:p w:rsidR="00ED1F70" w:rsidRPr="007226D7" w:rsidRDefault="00494891" w:rsidP="00494891">
      <w:pPr>
        <w:pStyle w:val="Figuras"/>
      </w:pPr>
      <w:r w:rsidRPr="007226D7">
        <w:rPr>
          <w:noProof/>
        </w:rPr>
        <w:t>Figura 4.4 – 1:</w:t>
      </w:r>
      <w:r w:rsidRPr="007226D7">
        <w:t xml:space="preserve"> esquema de la red </w:t>
      </w:r>
      <w:r w:rsidR="000B2336" w:rsidRPr="007226D7">
        <w:t>básica</w:t>
      </w:r>
      <w:r w:rsidRPr="007226D7">
        <w:t xml:space="preserve"> de metro definida en el modelo de simulación</w:t>
      </w:r>
    </w:p>
    <w:p w:rsidR="00ED1F70" w:rsidRPr="007226D7" w:rsidRDefault="00ED1F70" w:rsidP="00ED1F70">
      <w:pPr>
        <w:pStyle w:val="ListParagraph"/>
        <w:numPr>
          <w:ilvl w:val="0"/>
          <w:numId w:val="48"/>
        </w:numPr>
        <w:rPr>
          <w:color w:val="000000" w:themeColor="text1"/>
        </w:rPr>
      </w:pPr>
      <w:r w:rsidRPr="007226D7">
        <w:rPr>
          <w:color w:val="000000" w:themeColor="text1"/>
        </w:rPr>
        <w:t>Corredores Complementarios</w:t>
      </w:r>
    </w:p>
    <w:p w:rsidR="00ED1F70" w:rsidRPr="007226D7" w:rsidRDefault="00ED1F70" w:rsidP="00ED1F70">
      <w:pPr>
        <w:pStyle w:val="ListParagraph"/>
        <w:numPr>
          <w:ilvl w:val="1"/>
          <w:numId w:val="48"/>
        </w:numPr>
        <w:rPr>
          <w:color w:val="000000" w:themeColor="text1"/>
          <w:lang w:val="es-ES"/>
        </w:rPr>
      </w:pPr>
      <w:r w:rsidRPr="007226D7">
        <w:rPr>
          <w:color w:val="000000" w:themeColor="text1"/>
          <w:lang w:val="es-ES"/>
        </w:rPr>
        <w:t>El sistema de Corredores Complementarios identifica 5 corredores principales cada uno de los cuales está ligado a un sistema de alimentadores. Se ha considerado que los 5 corredores complementarios estarán totalmente implementados y operativos en el escenario 2018 OPTIMIZADO. El sistema de corredores complementarios será progresivamente desmantelado en su componente “Troncal” con la entrada en funcionamiento de la línea metropolitana correspondiente. Esta red se complementa con un ulterior sistema de fuerza representado por la línea que se desarrolla a lo largo de Avenida Universitaria – Avenida del Ejercito – Santa Cruz – Avenida Angamos Oeste – Avenida Primavera – El Polo.</w:t>
      </w:r>
    </w:p>
    <w:p w:rsidR="00ED1F70" w:rsidRPr="007226D7" w:rsidRDefault="00ED1F70" w:rsidP="00ED1F70">
      <w:pPr>
        <w:pStyle w:val="ListParagraph"/>
        <w:numPr>
          <w:ilvl w:val="1"/>
          <w:numId w:val="48"/>
        </w:numPr>
        <w:rPr>
          <w:color w:val="000000" w:themeColor="text1"/>
          <w:lang w:val="es-ES"/>
        </w:rPr>
      </w:pPr>
      <w:r w:rsidRPr="007226D7">
        <w:rPr>
          <w:color w:val="000000" w:themeColor="text1"/>
          <w:lang w:val="es-ES"/>
        </w:rPr>
        <w:t xml:space="preserve"> El sistema de transporte público en superficie se completa con un servicio de autobuses convencionales.</w:t>
      </w:r>
    </w:p>
    <w:p w:rsidR="00ED1F70" w:rsidRPr="007226D7" w:rsidRDefault="00ED1F70" w:rsidP="00ED1F70">
      <w:pPr>
        <w:pStyle w:val="ListParagraph"/>
        <w:numPr>
          <w:ilvl w:val="1"/>
          <w:numId w:val="48"/>
        </w:numPr>
        <w:rPr>
          <w:color w:val="000000" w:themeColor="text1"/>
          <w:lang w:val="es-ES"/>
        </w:rPr>
      </w:pPr>
      <w:r w:rsidRPr="007226D7">
        <w:rPr>
          <w:color w:val="000000" w:themeColor="text1"/>
          <w:lang w:val="es-ES"/>
        </w:rPr>
        <w:t>Desde un punto de vista simulativo, se han definido todos los nuevos servicios y sus frecuencias respectivas, y se han eliminado, según los datos proporcionados por Protransporte, muchas de las actuales líneas existentes.</w:t>
      </w:r>
    </w:p>
    <w:p w:rsidR="00ED1F70" w:rsidRPr="007226D7" w:rsidRDefault="00ED1F70" w:rsidP="00ED1F70">
      <w:pPr>
        <w:pStyle w:val="ListParagraph"/>
        <w:numPr>
          <w:ilvl w:val="1"/>
          <w:numId w:val="48"/>
        </w:numPr>
        <w:rPr>
          <w:color w:val="000000" w:themeColor="text1"/>
          <w:lang w:val="es-ES"/>
        </w:rPr>
      </w:pPr>
      <w:r w:rsidRPr="007226D7">
        <w:rPr>
          <w:color w:val="000000" w:themeColor="text1"/>
          <w:lang w:val="es-ES"/>
        </w:rPr>
        <w:t>El sistema así definido está constituido por 376 líneas (126 troncales + 250 alimentadoras) a las que se debe añadir 272 líneas que representan los servicios restantes.</w:t>
      </w:r>
    </w:p>
    <w:p w:rsidR="00ED1F70" w:rsidRPr="007226D7" w:rsidRDefault="00ED1F70" w:rsidP="00ED1F70">
      <w:pPr>
        <w:rPr>
          <w:color w:val="000000" w:themeColor="text1"/>
          <w:lang w:val="es-ES"/>
        </w:rPr>
      </w:pPr>
    </w:p>
    <w:p w:rsidR="00963155" w:rsidRPr="007226D7" w:rsidRDefault="00963155">
      <w:pPr>
        <w:spacing w:after="0" w:line="240" w:lineRule="auto"/>
        <w:jc w:val="left"/>
        <w:rPr>
          <w:color w:val="000000" w:themeColor="text1"/>
          <w:lang w:val="es-ES"/>
        </w:rPr>
      </w:pPr>
      <w:r w:rsidRPr="007226D7">
        <w:rPr>
          <w:color w:val="000000" w:themeColor="text1"/>
          <w:lang w:val="es-ES"/>
        </w:rPr>
        <w:br w:type="page"/>
      </w:r>
    </w:p>
    <w:p w:rsidR="00ED1F70" w:rsidRPr="007226D7" w:rsidRDefault="00ED1F70" w:rsidP="00ED1F70">
      <w:pPr>
        <w:rPr>
          <w:color w:val="000000" w:themeColor="text1"/>
          <w:lang w:val="es-ES"/>
        </w:rPr>
      </w:pPr>
      <w:r w:rsidRPr="007226D7">
        <w:rPr>
          <w:color w:val="000000" w:themeColor="text1"/>
          <w:lang w:val="es-ES"/>
        </w:rPr>
        <w:lastRenderedPageBreak/>
        <w:t>La imagen siguiente ilustra el sistema definido en el modelo de simulación:</w:t>
      </w:r>
    </w:p>
    <w:p w:rsidR="00ED1F70" w:rsidRPr="007226D7" w:rsidRDefault="00ED1F70" w:rsidP="00ED1F70">
      <w:pPr>
        <w:rPr>
          <w:color w:val="FF0000"/>
          <w:lang w:val="es-ES"/>
        </w:rPr>
      </w:pPr>
    </w:p>
    <w:p w:rsidR="00ED1F70" w:rsidRPr="007226D7" w:rsidRDefault="00ED1F70" w:rsidP="00ED1F70">
      <w:r w:rsidRPr="007226D7">
        <w:rPr>
          <w:noProof/>
          <w:lang w:val="en-US" w:eastAsia="en-US"/>
        </w:rPr>
        <w:drawing>
          <wp:inline distT="0" distB="0" distL="0" distR="0" wp14:anchorId="2E4A87E9" wp14:editId="7C4CD0FB">
            <wp:extent cx="5942640" cy="3859619"/>
            <wp:effectExtent l="19050" t="0" r="960" b="0"/>
            <wp:docPr id="51" name="Immagine 4" descr="re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C5"/>
                    <pic:cNvPicPr>
                      <a:picLocks noChangeAspect="1" noChangeArrowheads="1"/>
                    </pic:cNvPicPr>
                  </pic:nvPicPr>
                  <pic:blipFill>
                    <a:blip r:embed="rId164" cstate="print"/>
                    <a:srcRect t="33776" b="20261"/>
                    <a:stretch>
                      <a:fillRect/>
                    </a:stretch>
                  </pic:blipFill>
                  <pic:spPr bwMode="auto">
                    <a:xfrm>
                      <a:off x="0" y="0"/>
                      <a:ext cx="5942640" cy="3859619"/>
                    </a:xfrm>
                    <a:prstGeom prst="rect">
                      <a:avLst/>
                    </a:prstGeom>
                    <a:noFill/>
                    <a:ln w="9525">
                      <a:noFill/>
                      <a:miter lim="800000"/>
                      <a:headEnd/>
                      <a:tailEnd/>
                    </a:ln>
                  </pic:spPr>
                </pic:pic>
              </a:graphicData>
            </a:graphic>
          </wp:inline>
        </w:drawing>
      </w:r>
    </w:p>
    <w:p w:rsidR="00ED1F70" w:rsidRPr="007226D7" w:rsidRDefault="00494891" w:rsidP="00494891">
      <w:pPr>
        <w:pStyle w:val="Figuras"/>
      </w:pPr>
      <w:r w:rsidRPr="007226D7">
        <w:rPr>
          <w:noProof/>
        </w:rPr>
        <w:t>Figura 4.4 – 2:</w:t>
      </w:r>
      <w:r w:rsidRPr="007226D7">
        <w:t xml:space="preserve"> sistema de los corredores complementarios definido en el modelo de simulación</w:t>
      </w:r>
    </w:p>
    <w:p w:rsidR="00ED1F70" w:rsidRPr="007226D7" w:rsidRDefault="00ED1F70" w:rsidP="00ED1F70">
      <w:pPr>
        <w:pStyle w:val="Heading3"/>
        <w:rPr>
          <w:lang w:val="es-ES"/>
        </w:rPr>
      </w:pPr>
      <w:bookmarkStart w:id="109" w:name="_Toc342465479"/>
      <w:bookmarkStart w:id="110" w:name="_Toc342751277"/>
      <w:bookmarkStart w:id="111" w:name="_Toc346541931"/>
      <w:r w:rsidRPr="007226D7">
        <w:rPr>
          <w:lang w:val="es-ES"/>
        </w:rPr>
        <w:t>El proyecto</w:t>
      </w:r>
      <w:bookmarkEnd w:id="109"/>
      <w:bookmarkEnd w:id="110"/>
      <w:bookmarkEnd w:id="111"/>
    </w:p>
    <w:p w:rsidR="00ED1F70" w:rsidRPr="007226D7" w:rsidRDefault="00ED1F70" w:rsidP="00ED1F70">
      <w:pPr>
        <w:rPr>
          <w:lang w:val="es-ES"/>
        </w:rPr>
      </w:pPr>
      <w:r w:rsidRPr="007226D7">
        <w:rPr>
          <w:noProof/>
          <w:lang w:val="es-ES"/>
        </w:rPr>
        <w:t>El trazado seleccionado se desarrolla del siguiente modo:</w:t>
      </w:r>
      <w:r w:rsidRPr="007226D7">
        <w:rPr>
          <w:lang w:val="es-ES"/>
        </w:rPr>
        <w:t xml:space="preserve"> </w:t>
      </w:r>
      <w:r w:rsidRPr="007226D7">
        <w:rPr>
          <w:noProof/>
          <w:lang w:val="es-ES"/>
        </w:rPr>
        <w:t>Avenida Guardia Chalaca, Avenida Venezuela, Avenida Arica, Avenida Guzmán Blanco, Avenida 28 de julio, Avenida Nicolás Ayllón, Avenida Víctor Raúl Haya de la Torre (Carretera Central).</w:t>
      </w:r>
      <w:r w:rsidRPr="007226D7">
        <w:rPr>
          <w:lang w:val="es-ES"/>
        </w:rPr>
        <w:t xml:space="preserve"> </w:t>
      </w:r>
    </w:p>
    <w:p w:rsidR="00ED1F70" w:rsidRPr="007226D7" w:rsidRDefault="00ED1F70" w:rsidP="00ED1F70">
      <w:pPr>
        <w:rPr>
          <w:lang w:val="es-ES"/>
        </w:rPr>
      </w:pPr>
      <w:r w:rsidRPr="007226D7">
        <w:rPr>
          <w:lang w:val="es-ES"/>
        </w:rPr>
        <w:t xml:space="preserve">Su realización está prevista en dos etapas: </w:t>
      </w:r>
    </w:p>
    <w:p w:rsidR="00ED1F70" w:rsidRPr="007226D7" w:rsidRDefault="00CC6DD1" w:rsidP="00ED1F70">
      <w:pPr>
        <w:pStyle w:val="ListParagraph"/>
        <w:numPr>
          <w:ilvl w:val="0"/>
          <w:numId w:val="57"/>
        </w:numPr>
        <w:rPr>
          <w:lang w:val="es-ES"/>
        </w:rPr>
      </w:pPr>
      <w:r w:rsidRPr="007226D7">
        <w:rPr>
          <w:lang w:val="es-ES"/>
        </w:rPr>
        <w:t>E</w:t>
      </w:r>
      <w:r w:rsidR="00ED1F70" w:rsidRPr="007226D7">
        <w:rPr>
          <w:lang w:val="es-ES"/>
        </w:rPr>
        <w:t xml:space="preserve">n la primera etapa se realizará el tramo de Ate Vitarte a </w:t>
      </w:r>
      <w:r w:rsidR="000B2336" w:rsidRPr="007226D7">
        <w:rPr>
          <w:lang w:val="es-ES"/>
        </w:rPr>
        <w:t>Estación</w:t>
      </w:r>
      <w:r w:rsidR="00ED1F70" w:rsidRPr="007226D7">
        <w:rPr>
          <w:lang w:val="es-ES"/>
        </w:rPr>
        <w:t xml:space="preserve"> Central con un largo de 15 km y la inserción de15 estaciones. </w:t>
      </w:r>
    </w:p>
    <w:p w:rsidR="00ED1F70" w:rsidRPr="007226D7" w:rsidRDefault="00ED1F70" w:rsidP="00ED1F70">
      <w:pPr>
        <w:pStyle w:val="ListParagraph"/>
        <w:numPr>
          <w:ilvl w:val="0"/>
          <w:numId w:val="57"/>
        </w:numPr>
        <w:rPr>
          <w:color w:val="000000" w:themeColor="text1"/>
          <w:lang w:val="es-ES"/>
        </w:rPr>
      </w:pPr>
      <w:r w:rsidRPr="007226D7">
        <w:rPr>
          <w:color w:val="000000" w:themeColor="text1"/>
          <w:lang w:val="es-ES"/>
        </w:rPr>
        <w:t>La integración física con la Línea 1 se realiza en la estación 28 de Julio, ubicada entre las Avenidas 28 de Julio y Aviación, mientras que la integración física con el Metropolitano se realiza en la Estación Central mediante una conexión directa subterránea.</w:t>
      </w:r>
    </w:p>
    <w:p w:rsidR="00ED1F70" w:rsidRPr="007226D7" w:rsidRDefault="00ED1F70" w:rsidP="00ED1F70">
      <w:pPr>
        <w:pStyle w:val="ListParagraph"/>
        <w:numPr>
          <w:ilvl w:val="0"/>
          <w:numId w:val="57"/>
        </w:numPr>
        <w:rPr>
          <w:lang w:val="es-ES"/>
        </w:rPr>
      </w:pPr>
      <w:r w:rsidRPr="007226D7">
        <w:rPr>
          <w:lang w:val="es-ES"/>
        </w:rPr>
        <w:t xml:space="preserve">La segunda etapa prevé la finalización del tramo que va de </w:t>
      </w:r>
      <w:r w:rsidR="000B2336" w:rsidRPr="007226D7">
        <w:rPr>
          <w:lang w:val="es-ES"/>
        </w:rPr>
        <w:t>Estación</w:t>
      </w:r>
      <w:r w:rsidRPr="007226D7">
        <w:rPr>
          <w:lang w:val="es-ES"/>
        </w:rPr>
        <w:t xml:space="preserve"> Central a Callao y simultáneamente la construcción del primer tramo de la futura Línea 4 del metro de Lima. El intercambio entre las dos líneas se ha previsto en la estación de San José.</w:t>
      </w:r>
    </w:p>
    <w:p w:rsidR="00ED1F70" w:rsidRPr="007226D7" w:rsidRDefault="00ED1F70" w:rsidP="00ED1F70">
      <w:pPr>
        <w:rPr>
          <w:lang w:val="es-ES"/>
        </w:rPr>
      </w:pPr>
    </w:p>
    <w:p w:rsidR="00ED1F70" w:rsidRPr="007226D7" w:rsidRDefault="00ED1F70" w:rsidP="00ED1F70">
      <w:pPr>
        <w:rPr>
          <w:lang w:val="es-ES"/>
        </w:rPr>
      </w:pPr>
      <w:r w:rsidRPr="007226D7">
        <w:rPr>
          <w:noProof/>
          <w:lang w:val="en-US" w:eastAsia="en-US"/>
        </w:rPr>
        <w:lastRenderedPageBreak/>
        <w:drawing>
          <wp:inline distT="0" distB="0" distL="0" distR="0" wp14:anchorId="29FA1722" wp14:editId="7A56470B">
            <wp:extent cx="5940425" cy="2779929"/>
            <wp:effectExtent l="19050" t="0" r="3175" b="0"/>
            <wp:docPr id="52" name="Immagine 7" descr="LINEA2_L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EA2_L03"/>
                    <pic:cNvPicPr>
                      <a:picLocks noChangeAspect="1" noChangeArrowheads="1"/>
                    </pic:cNvPicPr>
                  </pic:nvPicPr>
                  <pic:blipFill>
                    <a:blip r:embed="rId165" cstate="print"/>
                    <a:srcRect t="33823" b="33047"/>
                    <a:stretch>
                      <a:fillRect/>
                    </a:stretch>
                  </pic:blipFill>
                  <pic:spPr bwMode="auto">
                    <a:xfrm>
                      <a:off x="0" y="0"/>
                      <a:ext cx="5940425" cy="2779929"/>
                    </a:xfrm>
                    <a:prstGeom prst="rect">
                      <a:avLst/>
                    </a:prstGeom>
                    <a:noFill/>
                    <a:ln w="9525">
                      <a:noFill/>
                      <a:miter lim="800000"/>
                      <a:headEnd/>
                      <a:tailEnd/>
                    </a:ln>
                  </pic:spPr>
                </pic:pic>
              </a:graphicData>
            </a:graphic>
          </wp:inline>
        </w:drawing>
      </w:r>
    </w:p>
    <w:p w:rsidR="00ED1F70" w:rsidRPr="007226D7" w:rsidRDefault="00494891" w:rsidP="00494891">
      <w:pPr>
        <w:pStyle w:val="Figuras"/>
      </w:pPr>
      <w:r w:rsidRPr="007226D7">
        <w:rPr>
          <w:noProof/>
        </w:rPr>
        <w:t xml:space="preserve">Figura 4.4 – </w:t>
      </w:r>
      <w:r w:rsidR="009563C7" w:rsidRPr="007226D7">
        <w:rPr>
          <w:noProof/>
        </w:rPr>
        <w:t>3</w:t>
      </w:r>
      <w:r w:rsidRPr="007226D7">
        <w:rPr>
          <w:noProof/>
        </w:rPr>
        <w:t>:</w:t>
      </w:r>
      <w:r w:rsidRPr="007226D7">
        <w:t xml:space="preserve"> esquema de la Línea 2 </w:t>
      </w:r>
      <w:r w:rsidR="000B2336" w:rsidRPr="007226D7">
        <w:t>según</w:t>
      </w:r>
      <w:r w:rsidRPr="007226D7">
        <w:t xml:space="preserve"> las etapas de construcción planteadas</w:t>
      </w:r>
    </w:p>
    <w:p w:rsidR="00ED1F70" w:rsidRPr="007226D7" w:rsidRDefault="00ED1F70" w:rsidP="00ED1F70">
      <w:pPr>
        <w:pStyle w:val="Heading4"/>
        <w:rPr>
          <w:lang w:val="es-ES"/>
        </w:rPr>
      </w:pPr>
      <w:bookmarkStart w:id="112" w:name="_Toc342465480"/>
      <w:r w:rsidRPr="007226D7">
        <w:rPr>
          <w:lang w:val="es-ES"/>
        </w:rPr>
        <w:t>Red infraestructural escenario de "NO INTERVENCIÓN” – (2018 – 2020- 2030)</w:t>
      </w:r>
      <w:bookmarkEnd w:id="112"/>
    </w:p>
    <w:p w:rsidR="00ED1F70" w:rsidRPr="007226D7" w:rsidRDefault="00ED1F70" w:rsidP="00ED1F70">
      <w:pPr>
        <w:rPr>
          <w:lang w:val="es-ES"/>
        </w:rPr>
      </w:pPr>
      <w:r w:rsidRPr="007226D7">
        <w:rPr>
          <w:lang w:val="es-ES"/>
        </w:rPr>
        <w:t>El escenario de “NO INTERVENCIÓN” prevé que la oferta de transporte, para los diversos horizontes temporales de referencia, se quede exactamente igual a la disponible a día de hoy.</w:t>
      </w:r>
    </w:p>
    <w:p w:rsidR="00ED1F70" w:rsidRPr="007226D7" w:rsidRDefault="00ED1F70" w:rsidP="00ED1F70">
      <w:pPr>
        <w:rPr>
          <w:lang w:val="es-ES"/>
        </w:rPr>
      </w:pPr>
    </w:p>
    <w:p w:rsidR="00ED1F70" w:rsidRPr="007226D7" w:rsidRDefault="00ED1F70" w:rsidP="00ED1F70">
      <w:pPr>
        <w:pStyle w:val="Heading4"/>
        <w:rPr>
          <w:lang w:val="es-ES"/>
        </w:rPr>
      </w:pPr>
      <w:bookmarkStart w:id="113" w:name="_Toc342465481"/>
      <w:r w:rsidRPr="007226D7">
        <w:rPr>
          <w:lang w:val="es-ES"/>
        </w:rPr>
        <w:t>Red infraestructural escenario "OPTIMIZADO” – (2018 – 2020- 2030)</w:t>
      </w:r>
      <w:bookmarkEnd w:id="113"/>
    </w:p>
    <w:p w:rsidR="00ED1F70" w:rsidRPr="007226D7" w:rsidRDefault="00ED1F70" w:rsidP="00ED1F70">
      <w:pPr>
        <w:rPr>
          <w:lang w:val="es-ES"/>
        </w:rPr>
      </w:pPr>
      <w:r w:rsidRPr="007226D7">
        <w:rPr>
          <w:lang w:val="es-ES"/>
        </w:rPr>
        <w:t>El escenario “OPTIMIZADO” prevé la realización, en relación a la red vial, de las siguientes intervenciones:</w:t>
      </w:r>
    </w:p>
    <w:p w:rsidR="00ED1F70" w:rsidRPr="007226D7" w:rsidRDefault="00ED1F70" w:rsidP="00ED1F70">
      <w:pPr>
        <w:pStyle w:val="ListParagraph"/>
        <w:numPr>
          <w:ilvl w:val="0"/>
          <w:numId w:val="58"/>
        </w:numPr>
        <w:rPr>
          <w:lang w:val="es-ES"/>
        </w:rPr>
      </w:pPr>
      <w:r w:rsidRPr="007226D7">
        <w:rPr>
          <w:noProof/>
          <w:lang w:val="es-ES"/>
        </w:rPr>
        <w:t>Vía Parque Rimac</w:t>
      </w:r>
    </w:p>
    <w:p w:rsidR="00ED1F70" w:rsidRPr="007226D7" w:rsidRDefault="00ED1F70" w:rsidP="00ED1F70">
      <w:pPr>
        <w:pStyle w:val="ListParagraph"/>
        <w:numPr>
          <w:ilvl w:val="0"/>
          <w:numId w:val="58"/>
        </w:numPr>
        <w:rPr>
          <w:lang w:val="es-ES"/>
        </w:rPr>
      </w:pPr>
      <w:r w:rsidRPr="007226D7">
        <w:rPr>
          <w:noProof/>
          <w:lang w:val="es-ES"/>
        </w:rPr>
        <w:t>Túnel Santa Rosa</w:t>
      </w:r>
    </w:p>
    <w:p w:rsidR="00ED1F70" w:rsidRPr="007226D7" w:rsidRDefault="00ED1F70" w:rsidP="00ED1F70">
      <w:pPr>
        <w:pStyle w:val="ListParagraph"/>
        <w:numPr>
          <w:ilvl w:val="0"/>
          <w:numId w:val="58"/>
        </w:numPr>
        <w:rPr>
          <w:lang w:val="es-ES"/>
        </w:rPr>
      </w:pPr>
      <w:r w:rsidRPr="007226D7">
        <w:rPr>
          <w:noProof/>
          <w:lang w:val="es-ES"/>
        </w:rPr>
        <w:t>Túnel San Francisco</w:t>
      </w:r>
    </w:p>
    <w:p w:rsidR="00ED1F70" w:rsidRPr="007226D7" w:rsidRDefault="00ED1F70" w:rsidP="00ED1F70">
      <w:pPr>
        <w:rPr>
          <w:lang w:val="es-ES"/>
        </w:rPr>
      </w:pPr>
      <w:r w:rsidRPr="007226D7">
        <w:rPr>
          <w:lang w:val="es-ES"/>
        </w:rPr>
        <w:t xml:space="preserve">En cuanto al sistema de transporte público, se ha previsto la finalización y ejercicio de la Línea 1 de la Red Básica del Metro de </w:t>
      </w:r>
      <w:r w:rsidR="00CC6DD1" w:rsidRPr="007226D7">
        <w:rPr>
          <w:lang w:val="es-ES"/>
        </w:rPr>
        <w:t>Lima</w:t>
      </w:r>
      <w:r w:rsidRPr="007226D7">
        <w:rPr>
          <w:lang w:val="es-ES"/>
        </w:rPr>
        <w:t xml:space="preserve"> y la completa implementación del sistema de Corredores Complementarios.</w:t>
      </w:r>
    </w:p>
    <w:p w:rsidR="00ED1F70" w:rsidRPr="007226D7" w:rsidRDefault="00ED1F70" w:rsidP="00ED1F70">
      <w:pPr>
        <w:spacing w:after="0" w:line="240" w:lineRule="auto"/>
        <w:jc w:val="left"/>
        <w:rPr>
          <w:lang w:val="es-ES"/>
        </w:rPr>
      </w:pPr>
      <w:r w:rsidRPr="007226D7">
        <w:rPr>
          <w:lang w:val="es-ES"/>
        </w:rPr>
        <w:br w:type="page"/>
      </w:r>
    </w:p>
    <w:p w:rsidR="00ED1F70" w:rsidRPr="007226D7" w:rsidRDefault="00ED1F70" w:rsidP="00ED1F70">
      <w:pPr>
        <w:pStyle w:val="Heading4"/>
        <w:rPr>
          <w:lang w:val="es-ES"/>
        </w:rPr>
      </w:pPr>
      <w:bookmarkStart w:id="114" w:name="_Toc342465482"/>
      <w:r w:rsidRPr="007226D7">
        <w:rPr>
          <w:lang w:val="es-ES"/>
        </w:rPr>
        <w:lastRenderedPageBreak/>
        <w:t>Red infraestructural escenario de “</w:t>
      </w:r>
      <w:r w:rsidR="000E7923" w:rsidRPr="007226D7">
        <w:rPr>
          <w:lang w:val="es-ES"/>
        </w:rPr>
        <w:t>PROYECTO</w:t>
      </w:r>
      <w:r w:rsidRPr="007226D7">
        <w:rPr>
          <w:lang w:val="es-ES"/>
        </w:rPr>
        <w:t>” – (2018)</w:t>
      </w:r>
      <w:bookmarkEnd w:id="114"/>
    </w:p>
    <w:p w:rsidR="00ED1F70" w:rsidRPr="007226D7" w:rsidRDefault="00ED1F70" w:rsidP="00ED1F70">
      <w:pPr>
        <w:rPr>
          <w:lang w:val="es-ES"/>
        </w:rPr>
      </w:pPr>
      <w:r w:rsidRPr="007226D7">
        <w:rPr>
          <w:lang w:val="es-ES"/>
        </w:rPr>
        <w:t xml:space="preserve">Este escenario prevé la realización y ejercicio de primer tramo de la nueva Línea 2 de la Red Básica del Metro de Lima. Naturalmente incluye todas las intervenciones incluidas en el escenario “Optimizado”, excepto algunos servicios pertenecientes al Corredor Complementario número 5. </w:t>
      </w:r>
    </w:p>
    <w:p w:rsidR="00ED1F70" w:rsidRPr="007226D7" w:rsidRDefault="00ED1F70" w:rsidP="00ED1F70">
      <w:pPr>
        <w:rPr>
          <w:lang w:val="es-ES"/>
        </w:rPr>
      </w:pPr>
      <w:r w:rsidRPr="007226D7">
        <w:rPr>
          <w:lang w:val="es-ES"/>
        </w:rPr>
        <w:t>En concreto se han eliminado los servicios que se superponen a la nueva infraestructura. En este escenario los elementos que caracterizan la línea objeto de estudio son:</w:t>
      </w:r>
    </w:p>
    <w:p w:rsidR="00ED1F70" w:rsidRPr="007226D7" w:rsidRDefault="00ED1F70" w:rsidP="00ED1F70">
      <w:pPr>
        <w:pStyle w:val="ListParagraph"/>
        <w:numPr>
          <w:ilvl w:val="0"/>
          <w:numId w:val="59"/>
        </w:numPr>
        <w:rPr>
          <w:lang w:val="es-ES"/>
        </w:rPr>
      </w:pPr>
      <w:r w:rsidRPr="007226D7">
        <w:rPr>
          <w:lang w:val="es-ES"/>
        </w:rPr>
        <w:t>Velocidad media entre estaciones: 40 km/h</w:t>
      </w:r>
    </w:p>
    <w:p w:rsidR="00ED1F70" w:rsidRPr="007226D7" w:rsidRDefault="00ED1F70" w:rsidP="00ED1F70">
      <w:pPr>
        <w:pStyle w:val="ListParagraph"/>
        <w:numPr>
          <w:ilvl w:val="0"/>
          <w:numId w:val="59"/>
        </w:numPr>
        <w:rPr>
          <w:lang w:val="es-ES"/>
        </w:rPr>
      </w:pPr>
      <w:r w:rsidRPr="007226D7">
        <w:rPr>
          <w:lang w:val="es-ES"/>
        </w:rPr>
        <w:t>Frecuencia: 3 min (HPM), 3 min (HPT) y 6 min (HV)</w:t>
      </w:r>
    </w:p>
    <w:p w:rsidR="00ED1F70" w:rsidRPr="007226D7" w:rsidRDefault="00ED1F70" w:rsidP="00ED1F70">
      <w:pPr>
        <w:pStyle w:val="ListParagraph"/>
        <w:numPr>
          <w:ilvl w:val="0"/>
          <w:numId w:val="59"/>
        </w:numPr>
        <w:rPr>
          <w:lang w:val="es-ES"/>
        </w:rPr>
      </w:pPr>
      <w:r w:rsidRPr="007226D7">
        <w:rPr>
          <w:lang w:val="es-ES"/>
        </w:rPr>
        <w:t>Tarifa: 2.0 Sol</w:t>
      </w:r>
    </w:p>
    <w:p w:rsidR="00ED1F70" w:rsidRPr="007226D7" w:rsidRDefault="00ED1F70" w:rsidP="00ED1F70">
      <w:pPr>
        <w:pStyle w:val="Heading4"/>
        <w:rPr>
          <w:lang w:val="es-ES"/>
        </w:rPr>
      </w:pPr>
      <w:bookmarkStart w:id="115" w:name="_Toc342465483"/>
      <w:r w:rsidRPr="007226D7">
        <w:rPr>
          <w:lang w:val="es-ES"/>
        </w:rPr>
        <w:t>Red infraestructural escenario de “</w:t>
      </w:r>
      <w:r w:rsidR="000E7923" w:rsidRPr="007226D7">
        <w:rPr>
          <w:lang w:val="es-ES"/>
        </w:rPr>
        <w:t>PROYECTO</w:t>
      </w:r>
      <w:r w:rsidRPr="007226D7">
        <w:rPr>
          <w:lang w:val="es-ES"/>
        </w:rPr>
        <w:t>” – (2020)</w:t>
      </w:r>
      <w:bookmarkEnd w:id="115"/>
    </w:p>
    <w:p w:rsidR="00ED1F70" w:rsidRPr="007226D7" w:rsidRDefault="00ED1F70" w:rsidP="00ED1F70">
      <w:pPr>
        <w:rPr>
          <w:lang w:val="es-ES"/>
        </w:rPr>
      </w:pPr>
      <w:r w:rsidRPr="007226D7">
        <w:rPr>
          <w:lang w:val="es-ES"/>
        </w:rPr>
        <w:t>Este escenario prevé la realización y el ejercicio de la Línea 2 entera de la Red Básica del Metro de Lima y el tramo de Línea 4 de San José a Gambeta. Naturalmente incluye todas las intervenciones incluidas en el escenario “Optimizado”, excepto todos los servicios del Corredor Complementario número 5. En este escenario los elementos que caracterizan la línea objeto de estudio son:</w:t>
      </w:r>
    </w:p>
    <w:p w:rsidR="00ED1F70" w:rsidRPr="007226D7" w:rsidRDefault="00ED1F70" w:rsidP="00ED1F70">
      <w:pPr>
        <w:pStyle w:val="ListParagraph"/>
        <w:numPr>
          <w:ilvl w:val="0"/>
          <w:numId w:val="60"/>
        </w:numPr>
        <w:rPr>
          <w:lang w:val="es-ES"/>
        </w:rPr>
      </w:pPr>
      <w:r w:rsidRPr="007226D7">
        <w:rPr>
          <w:lang w:val="es-ES"/>
        </w:rPr>
        <w:t>Velocidad media entre estaciones: 40 km/h</w:t>
      </w:r>
    </w:p>
    <w:p w:rsidR="00ED1F70" w:rsidRPr="007226D7" w:rsidRDefault="00ED1F70" w:rsidP="00ED1F70">
      <w:pPr>
        <w:pStyle w:val="ListParagraph"/>
        <w:numPr>
          <w:ilvl w:val="0"/>
          <w:numId w:val="60"/>
        </w:numPr>
        <w:rPr>
          <w:lang w:val="es-ES"/>
        </w:rPr>
      </w:pPr>
      <w:r w:rsidRPr="007226D7">
        <w:rPr>
          <w:lang w:val="es-ES"/>
        </w:rPr>
        <w:t>Frecuencia (Línea 2): 3 min (HPM), 3 min (HPT) y 6 min (HV)</w:t>
      </w:r>
    </w:p>
    <w:p w:rsidR="00ED1F70" w:rsidRPr="007226D7" w:rsidRDefault="00ED1F70" w:rsidP="00ED1F70">
      <w:pPr>
        <w:pStyle w:val="ListParagraph"/>
        <w:numPr>
          <w:ilvl w:val="0"/>
          <w:numId w:val="60"/>
        </w:numPr>
        <w:rPr>
          <w:lang w:val="es-ES"/>
        </w:rPr>
      </w:pPr>
      <w:r w:rsidRPr="007226D7">
        <w:rPr>
          <w:lang w:val="es-ES"/>
        </w:rPr>
        <w:t>Frecuencia (Línea 4): 6 min (HPM), 6 min (HPT) y 9 min (HV)</w:t>
      </w:r>
    </w:p>
    <w:p w:rsidR="00ED1F70" w:rsidRPr="007226D7" w:rsidRDefault="00ED1F70" w:rsidP="00ED1F70">
      <w:pPr>
        <w:pStyle w:val="ListParagraph"/>
        <w:numPr>
          <w:ilvl w:val="0"/>
          <w:numId w:val="60"/>
        </w:numPr>
        <w:rPr>
          <w:lang w:val="es-ES"/>
        </w:rPr>
      </w:pPr>
      <w:r w:rsidRPr="007226D7">
        <w:rPr>
          <w:lang w:val="es-ES"/>
        </w:rPr>
        <w:t>Tarifa: 2.5 Sol</w:t>
      </w:r>
    </w:p>
    <w:p w:rsidR="00ED1F70" w:rsidRPr="007226D7" w:rsidRDefault="00ED1F70" w:rsidP="00ED1F70">
      <w:pPr>
        <w:pStyle w:val="Heading4"/>
        <w:rPr>
          <w:lang w:val="es-ES"/>
        </w:rPr>
      </w:pPr>
      <w:bookmarkStart w:id="116" w:name="_Toc342465484"/>
      <w:r w:rsidRPr="007226D7">
        <w:rPr>
          <w:lang w:val="es-ES"/>
        </w:rPr>
        <w:t>Red infraestructural escenario de “</w:t>
      </w:r>
      <w:r w:rsidR="000E7923" w:rsidRPr="007226D7">
        <w:rPr>
          <w:lang w:val="es-ES"/>
        </w:rPr>
        <w:t>PROYECTO</w:t>
      </w:r>
      <w:r w:rsidRPr="007226D7">
        <w:rPr>
          <w:lang w:val="es-ES"/>
        </w:rPr>
        <w:t>” – (2030)</w:t>
      </w:r>
      <w:bookmarkEnd w:id="116"/>
    </w:p>
    <w:p w:rsidR="00ED1F70" w:rsidRPr="007226D7" w:rsidRDefault="00ED1F70" w:rsidP="00ED1F70">
      <w:pPr>
        <w:rPr>
          <w:lang w:val="es-ES"/>
        </w:rPr>
      </w:pPr>
      <w:r w:rsidRPr="007226D7">
        <w:rPr>
          <w:lang w:val="es-ES"/>
        </w:rPr>
        <w:t xml:space="preserve">Este escenario ha sido desarrollado en dos soluciones diferentes, la primera totalmente análoga a la implementada para el año de referencia 2020, la segunda en cambio potencia esta vez todavía más el sistema de las líneas de fuerza, previendo la realización de las nuevas Líneas 3 y 4 de la Red Básica del Metro de Lima. </w:t>
      </w:r>
    </w:p>
    <w:p w:rsidR="00ED1F70" w:rsidRPr="007226D7" w:rsidRDefault="00ED1F70" w:rsidP="00ED1F70">
      <w:pPr>
        <w:rPr>
          <w:lang w:val="es-ES"/>
        </w:rPr>
      </w:pPr>
    </w:p>
    <w:p w:rsidR="00ED1F70" w:rsidRPr="007226D7" w:rsidRDefault="00ED1F70" w:rsidP="00ED1F70">
      <w:pPr>
        <w:rPr>
          <w:lang w:val="es-ES"/>
        </w:rPr>
      </w:pPr>
      <w:r w:rsidRPr="007226D7">
        <w:rPr>
          <w:lang w:val="es-ES"/>
        </w:rPr>
        <w:t>Naturalmente incluye todas las intervenciones incluidas en el escenario “Optimizado”, excepto todos los servicios troncales de los Corredores Complementarios número 2, 3 y 5.</w:t>
      </w:r>
    </w:p>
    <w:p w:rsidR="00ED1F70" w:rsidRPr="007226D7" w:rsidRDefault="00ED1F70" w:rsidP="00ED1F70">
      <w:pPr>
        <w:rPr>
          <w:lang w:val="es-ES"/>
        </w:rPr>
      </w:pPr>
    </w:p>
    <w:p w:rsidR="00ED1F70" w:rsidRPr="007226D7" w:rsidRDefault="00ED1F70" w:rsidP="00ED1F70">
      <w:pPr>
        <w:rPr>
          <w:lang w:val="es-ES"/>
        </w:rPr>
      </w:pPr>
      <w:r w:rsidRPr="007226D7">
        <w:rPr>
          <w:lang w:val="es-ES"/>
        </w:rPr>
        <w:t>Las características para toda la red de metro son:</w:t>
      </w:r>
    </w:p>
    <w:p w:rsidR="00ED1F70" w:rsidRPr="007226D7" w:rsidRDefault="00ED1F70" w:rsidP="00ED1F70">
      <w:pPr>
        <w:pStyle w:val="ListParagraph"/>
        <w:numPr>
          <w:ilvl w:val="0"/>
          <w:numId w:val="61"/>
        </w:numPr>
        <w:rPr>
          <w:lang w:val="es-ES"/>
        </w:rPr>
      </w:pPr>
      <w:r w:rsidRPr="007226D7">
        <w:rPr>
          <w:lang w:val="es-ES"/>
        </w:rPr>
        <w:t>Velocidad media entre estaciones: 40 km/h</w:t>
      </w:r>
    </w:p>
    <w:p w:rsidR="00ED1F70" w:rsidRPr="007226D7" w:rsidRDefault="00ED1F70" w:rsidP="00ED1F70">
      <w:pPr>
        <w:pStyle w:val="ListParagraph"/>
        <w:numPr>
          <w:ilvl w:val="0"/>
          <w:numId w:val="61"/>
        </w:numPr>
        <w:rPr>
          <w:lang w:val="es-ES"/>
        </w:rPr>
      </w:pPr>
      <w:r w:rsidRPr="007226D7">
        <w:rPr>
          <w:lang w:val="es-ES"/>
        </w:rPr>
        <w:t>Frecuencia: 3 min (HPM), 3 min (HPT) y 6 min (HV)</w:t>
      </w:r>
    </w:p>
    <w:p w:rsidR="00ED1F70" w:rsidRPr="007226D7" w:rsidRDefault="00ED1F70" w:rsidP="00ED1F70">
      <w:pPr>
        <w:pStyle w:val="ListParagraph"/>
        <w:numPr>
          <w:ilvl w:val="0"/>
          <w:numId w:val="61"/>
        </w:numPr>
        <w:rPr>
          <w:lang w:val="es-ES"/>
        </w:rPr>
      </w:pPr>
      <w:r w:rsidRPr="007226D7">
        <w:rPr>
          <w:lang w:val="es-ES"/>
        </w:rPr>
        <w:t>Tarifa: 3.0 Sol</w:t>
      </w:r>
    </w:p>
    <w:p w:rsidR="00ED1F70" w:rsidRPr="007226D7" w:rsidRDefault="00ED1F70" w:rsidP="00ED1F70">
      <w:pPr>
        <w:rPr>
          <w:lang w:val="es-ES"/>
        </w:rPr>
      </w:pPr>
    </w:p>
    <w:p w:rsidR="00ED1F70" w:rsidRPr="007226D7" w:rsidRDefault="00ED1F70" w:rsidP="00ED1F70">
      <w:pPr>
        <w:rPr>
          <w:lang w:val="es-ES"/>
        </w:rPr>
      </w:pPr>
      <w:r w:rsidRPr="007226D7">
        <w:rPr>
          <w:lang w:val="es-ES"/>
        </w:rPr>
        <w:lastRenderedPageBreak/>
        <w:t>A continuación aparece un esquema sintético de todos los escenarios sometidos a simulación:</w:t>
      </w:r>
    </w:p>
    <w:p w:rsidR="00596F60" w:rsidRPr="007226D7" w:rsidRDefault="00596F60" w:rsidP="00ED1F70">
      <w:pPr>
        <w:rPr>
          <w:lang w:val="es-ES"/>
        </w:rPr>
      </w:pPr>
    </w:p>
    <w:p w:rsidR="00ED1F70" w:rsidRPr="007226D7" w:rsidRDefault="00B67938" w:rsidP="00596F60">
      <w:pPr>
        <w:pStyle w:val="Figuras"/>
      </w:pPr>
      <w:r w:rsidRPr="007226D7">
        <w:rPr>
          <w:noProof/>
          <w:lang w:val="en-US" w:eastAsia="en-US"/>
        </w:rPr>
        <w:drawing>
          <wp:inline distT="0" distB="0" distL="0" distR="0" wp14:anchorId="5AF06D13" wp14:editId="54956A50">
            <wp:extent cx="5940425" cy="6648321"/>
            <wp:effectExtent l="19050" t="0" r="3175" b="0"/>
            <wp:docPr id="16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a:stretch>
                      <a:fillRect/>
                    </a:stretch>
                  </pic:blipFill>
                  <pic:spPr bwMode="auto">
                    <a:xfrm>
                      <a:off x="0" y="0"/>
                      <a:ext cx="5940425" cy="6648321"/>
                    </a:xfrm>
                    <a:prstGeom prst="rect">
                      <a:avLst/>
                    </a:prstGeom>
                    <a:noFill/>
                    <a:ln w="9525">
                      <a:noFill/>
                      <a:miter lim="800000"/>
                      <a:headEnd/>
                      <a:tailEnd/>
                    </a:ln>
                  </pic:spPr>
                </pic:pic>
              </a:graphicData>
            </a:graphic>
          </wp:inline>
        </w:drawing>
      </w:r>
    </w:p>
    <w:p w:rsidR="00596F60" w:rsidRPr="007226D7" w:rsidRDefault="00596F60" w:rsidP="00596F60">
      <w:pPr>
        <w:pStyle w:val="Figuras"/>
        <w:rPr>
          <w:color w:val="000000" w:themeColor="text1"/>
        </w:rPr>
      </w:pPr>
      <w:r w:rsidRPr="007226D7">
        <w:rPr>
          <w:noProof/>
        </w:rPr>
        <w:t>Tabla 4.4 – 1</w:t>
      </w:r>
      <w:r w:rsidRPr="007226D7">
        <w:t>: esquema sintético de todos los escenarios sometidos a simulación</w:t>
      </w:r>
      <w:r w:rsidRPr="007226D7">
        <w:rPr>
          <w:color w:val="000000" w:themeColor="text1"/>
        </w:rPr>
        <w:t xml:space="preserve"> </w:t>
      </w:r>
    </w:p>
    <w:p w:rsidR="00E814F8" w:rsidRDefault="00E814F8" w:rsidP="00ED1F70">
      <w:pPr>
        <w:spacing w:after="0" w:line="240" w:lineRule="auto"/>
        <w:jc w:val="left"/>
        <w:rPr>
          <w:lang w:val="es-ES"/>
        </w:rPr>
      </w:pPr>
    </w:p>
    <w:p w:rsidR="00E814F8" w:rsidRDefault="00E814F8" w:rsidP="00ED1F70">
      <w:pPr>
        <w:spacing w:after="0" w:line="240" w:lineRule="auto"/>
        <w:jc w:val="left"/>
        <w:rPr>
          <w:lang w:val="es-ES"/>
        </w:rPr>
      </w:pPr>
    </w:p>
    <w:p w:rsidR="00E814F8" w:rsidRDefault="00E814F8" w:rsidP="00ED1F70">
      <w:pPr>
        <w:spacing w:after="0" w:line="240" w:lineRule="auto"/>
        <w:jc w:val="left"/>
        <w:rPr>
          <w:lang w:val="es-ES"/>
        </w:rPr>
      </w:pPr>
    </w:p>
    <w:p w:rsidR="00E814F8" w:rsidRDefault="00E814F8" w:rsidP="00ED1F70">
      <w:pPr>
        <w:spacing w:after="0" w:line="240" w:lineRule="auto"/>
        <w:jc w:val="left"/>
        <w:rPr>
          <w:lang w:val="es-ES"/>
        </w:rPr>
      </w:pPr>
    </w:p>
    <w:p w:rsidR="00E814F8" w:rsidRDefault="00E814F8" w:rsidP="00ED1F70">
      <w:pPr>
        <w:spacing w:after="0" w:line="240" w:lineRule="auto"/>
        <w:jc w:val="left"/>
        <w:rPr>
          <w:lang w:val="es-ES"/>
        </w:rPr>
      </w:pPr>
      <w:r w:rsidRPr="00E814F8">
        <w:rPr>
          <w:noProof/>
          <w:lang w:val="en-US" w:eastAsia="en-US"/>
        </w:rPr>
        <w:lastRenderedPageBreak/>
        <w:drawing>
          <wp:inline distT="0" distB="0" distL="0" distR="0" wp14:anchorId="031C54EF" wp14:editId="70F30E71">
            <wp:extent cx="5940425" cy="2139355"/>
            <wp:effectExtent l="19050" t="0" r="3175" b="0"/>
            <wp:docPr id="634"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cstate="print"/>
                    <a:srcRect/>
                    <a:stretch>
                      <a:fillRect/>
                    </a:stretch>
                  </pic:blipFill>
                  <pic:spPr bwMode="auto">
                    <a:xfrm>
                      <a:off x="0" y="0"/>
                      <a:ext cx="5940425" cy="2139355"/>
                    </a:xfrm>
                    <a:prstGeom prst="rect">
                      <a:avLst/>
                    </a:prstGeom>
                    <a:noFill/>
                    <a:ln w="9525">
                      <a:noFill/>
                      <a:miter lim="800000"/>
                      <a:headEnd/>
                      <a:tailEnd/>
                    </a:ln>
                  </pic:spPr>
                </pic:pic>
              </a:graphicData>
            </a:graphic>
          </wp:inline>
        </w:drawing>
      </w:r>
    </w:p>
    <w:p w:rsidR="00E814F8" w:rsidRDefault="00E814F8" w:rsidP="00E814F8">
      <w:pPr>
        <w:pStyle w:val="Figuras"/>
        <w:rPr>
          <w:color w:val="000000" w:themeColor="text1"/>
        </w:rPr>
      </w:pPr>
      <w:r w:rsidRPr="007226D7">
        <w:rPr>
          <w:noProof/>
        </w:rPr>
        <w:t>Tabla 4.4 –</w:t>
      </w:r>
      <w:r w:rsidR="00BE2416">
        <w:rPr>
          <w:noProof/>
        </w:rPr>
        <w:t xml:space="preserve"> 2</w:t>
      </w:r>
      <w:r w:rsidRPr="007226D7">
        <w:t xml:space="preserve">: esquema sintético de los escenarios </w:t>
      </w:r>
      <w:r>
        <w:t xml:space="preserve">PESIMISTAS </w:t>
      </w:r>
      <w:r w:rsidRPr="007226D7">
        <w:t>sometidos a simulación</w:t>
      </w:r>
      <w:r w:rsidRPr="007226D7">
        <w:rPr>
          <w:color w:val="000000" w:themeColor="text1"/>
        </w:rPr>
        <w:t xml:space="preserve"> </w:t>
      </w:r>
    </w:p>
    <w:p w:rsidR="00BE2416" w:rsidRPr="001F760E" w:rsidRDefault="00BE2416" w:rsidP="00BE2416">
      <w:pPr>
        <w:rPr>
          <w:color w:val="000000" w:themeColor="text1"/>
          <w:lang w:val="es-ES"/>
        </w:rPr>
      </w:pPr>
    </w:p>
    <w:p w:rsidR="00ED1F70" w:rsidRPr="007226D7" w:rsidRDefault="00ED1F70" w:rsidP="00ED1F70">
      <w:pPr>
        <w:pStyle w:val="Heading2"/>
      </w:pPr>
      <w:bookmarkStart w:id="117" w:name="_Toc342751278"/>
      <w:bookmarkStart w:id="118" w:name="_Toc346541932"/>
      <w:bookmarkStart w:id="119" w:name="_Toc334964423"/>
      <w:bookmarkStart w:id="120" w:name="_Toc341645012"/>
      <w:r w:rsidRPr="007226D7">
        <w:t>Análisis de la Demanda</w:t>
      </w:r>
      <w:bookmarkEnd w:id="117"/>
      <w:bookmarkEnd w:id="118"/>
    </w:p>
    <w:p w:rsidR="00ED1F70" w:rsidRPr="007226D7" w:rsidRDefault="00ED1F70" w:rsidP="00ED1F70">
      <w:pPr>
        <w:rPr>
          <w:bCs/>
          <w:color w:val="000000" w:themeColor="text1"/>
          <w:lang w:val="es-ES"/>
        </w:rPr>
      </w:pPr>
      <w:r w:rsidRPr="007226D7">
        <w:rPr>
          <w:color w:val="000000" w:themeColor="text1"/>
          <w:lang w:val="es-ES"/>
        </w:rPr>
        <w:t xml:space="preserve">Según lo requerido en los Términos de Referencia, el presente informe se basa en el análisis de la demanda actual estudiada en el documento “SERVICIO DE TOMA Y ANALISIS DE INFORMACION DE MOVILIDAD PARA LA ELABORACION DEL ESTUDIO DE DEMANDA </w:t>
      </w:r>
      <w:r w:rsidRPr="007226D7">
        <w:rPr>
          <w:bCs/>
          <w:color w:val="000000" w:themeColor="text1"/>
          <w:lang w:val="es-ES"/>
        </w:rPr>
        <w:t>DE LA LINEA 2 DEL METRO DE LIMA” y especialmente en el Informe n° 2. El documento ha sido preparado por la empresa TARYET para AATE.</w:t>
      </w:r>
    </w:p>
    <w:p w:rsidR="00BE2416" w:rsidRDefault="00BE2416" w:rsidP="00615767">
      <w:pPr>
        <w:rPr>
          <w:bCs/>
          <w:lang w:val="es-ES"/>
        </w:rPr>
      </w:pPr>
    </w:p>
    <w:p w:rsidR="00615767" w:rsidRPr="007226D7" w:rsidRDefault="00ED1F70" w:rsidP="00615767">
      <w:pPr>
        <w:rPr>
          <w:bCs/>
          <w:lang w:val="es-ES"/>
        </w:rPr>
      </w:pPr>
      <w:r w:rsidRPr="007226D7">
        <w:rPr>
          <w:bCs/>
          <w:lang w:val="es-ES"/>
        </w:rPr>
        <w:t>Del citado informe se ha extraído la siguiente información:</w:t>
      </w:r>
    </w:p>
    <w:p w:rsidR="00615767" w:rsidRPr="007226D7" w:rsidRDefault="00615767" w:rsidP="00615767">
      <w:pPr>
        <w:pStyle w:val="ListParagraph"/>
        <w:numPr>
          <w:ilvl w:val="0"/>
          <w:numId w:val="17"/>
        </w:numPr>
        <w:rPr>
          <w:lang w:val="es-ES"/>
        </w:rPr>
      </w:pPr>
      <w:r w:rsidRPr="007226D7">
        <w:rPr>
          <w:lang w:val="es-ES"/>
        </w:rPr>
        <w:t>Datos de aforo vehicular y ocupación visual en las Líneas Cortinas del Rio Rímac y la Panamericana Sur.</w:t>
      </w:r>
    </w:p>
    <w:p w:rsidR="00615767" w:rsidRPr="007226D7" w:rsidRDefault="00615767" w:rsidP="00615767">
      <w:pPr>
        <w:pStyle w:val="ListParagraph"/>
        <w:numPr>
          <w:ilvl w:val="0"/>
          <w:numId w:val="17"/>
        </w:numPr>
        <w:rPr>
          <w:lang w:val="es-ES"/>
        </w:rPr>
      </w:pPr>
      <w:r w:rsidRPr="007226D7">
        <w:rPr>
          <w:lang w:val="es-ES"/>
        </w:rPr>
        <w:t>Datos de aforo vehicular, ocupación visual y sube y baja en los corredores principales de la Ciudad.</w:t>
      </w:r>
    </w:p>
    <w:p w:rsidR="00615767" w:rsidRPr="007226D7" w:rsidRDefault="00615767" w:rsidP="00615767">
      <w:pPr>
        <w:pStyle w:val="ListParagraph"/>
        <w:numPr>
          <w:ilvl w:val="0"/>
          <w:numId w:val="17"/>
        </w:numPr>
        <w:rPr>
          <w:bCs/>
          <w:lang w:val="es-ES"/>
        </w:rPr>
      </w:pPr>
      <w:r w:rsidRPr="007226D7">
        <w:rPr>
          <w:lang w:val="es-ES"/>
        </w:rPr>
        <w:t>Las Matrices OD al 201</w:t>
      </w:r>
      <w:r w:rsidR="00C77A7A" w:rsidRPr="007226D7">
        <w:rPr>
          <w:lang w:val="es-ES"/>
        </w:rPr>
        <w:t>2, 2015, 2025 y 2030 desagregada</w:t>
      </w:r>
      <w:r w:rsidRPr="007226D7">
        <w:rPr>
          <w:lang w:val="es-ES"/>
        </w:rPr>
        <w:t xml:space="preserve">s por modo de transporte </w:t>
      </w:r>
      <w:r w:rsidR="000B2336" w:rsidRPr="007226D7">
        <w:rPr>
          <w:lang w:val="es-ES"/>
        </w:rPr>
        <w:t>público</w:t>
      </w:r>
      <w:r w:rsidRPr="007226D7">
        <w:rPr>
          <w:lang w:val="es-ES"/>
        </w:rPr>
        <w:t xml:space="preserve"> y privado así como por día y por cortes horarios HPM HPT y HV.</w:t>
      </w:r>
    </w:p>
    <w:p w:rsidR="00916F36" w:rsidRPr="00BE2416" w:rsidRDefault="00615767" w:rsidP="00916F36">
      <w:pPr>
        <w:pStyle w:val="ListParagraph"/>
        <w:numPr>
          <w:ilvl w:val="0"/>
          <w:numId w:val="17"/>
        </w:numPr>
        <w:rPr>
          <w:bCs/>
          <w:lang w:val="es-ES"/>
        </w:rPr>
      </w:pPr>
      <w:r w:rsidRPr="007226D7">
        <w:rPr>
          <w:lang w:val="es-ES"/>
        </w:rPr>
        <w:t xml:space="preserve">Modelo de Transporte por </w:t>
      </w:r>
      <w:r w:rsidR="00C77A7A" w:rsidRPr="007226D7">
        <w:rPr>
          <w:lang w:val="es-ES"/>
        </w:rPr>
        <w:t>el añ</w:t>
      </w:r>
      <w:r w:rsidRPr="007226D7">
        <w:rPr>
          <w:lang w:val="es-ES"/>
        </w:rPr>
        <w:t>o 2012 (Nueva Zonificación, Red Vial, Rutas de Trasporte, Modelo de Demanda).</w:t>
      </w:r>
    </w:p>
    <w:p w:rsidR="00BE2416" w:rsidRPr="00BE2416" w:rsidRDefault="00BE2416" w:rsidP="00BE2416">
      <w:pPr>
        <w:rPr>
          <w:bCs/>
          <w:lang w:val="es-ES"/>
        </w:rPr>
      </w:pPr>
    </w:p>
    <w:p w:rsidR="00ED1F70" w:rsidRPr="007226D7" w:rsidRDefault="000B2336" w:rsidP="00ED1F70">
      <w:pPr>
        <w:pStyle w:val="Heading3"/>
        <w:rPr>
          <w:lang w:val="es-ES"/>
        </w:rPr>
      </w:pPr>
      <w:bookmarkStart w:id="121" w:name="_Toc341645007"/>
      <w:bookmarkStart w:id="122" w:name="_Toc342751280"/>
      <w:bookmarkStart w:id="123" w:name="_Toc346541933"/>
      <w:r w:rsidRPr="007226D7">
        <w:rPr>
          <w:lang w:val="es-ES"/>
        </w:rPr>
        <w:t>Determinación</w:t>
      </w:r>
      <w:r w:rsidR="00ED1F70" w:rsidRPr="007226D7">
        <w:rPr>
          <w:lang w:val="es-ES"/>
        </w:rPr>
        <w:t xml:space="preserve"> de la demanda Actual 2012 “Situación Sin Proyecto”</w:t>
      </w:r>
      <w:r w:rsidR="00ED1F70" w:rsidRPr="007226D7">
        <w:rPr>
          <w:lang w:val="es-ES"/>
        </w:rPr>
        <w:tab/>
        <w:t>.</w:t>
      </w:r>
      <w:bookmarkEnd w:id="121"/>
      <w:bookmarkEnd w:id="122"/>
      <w:bookmarkEnd w:id="123"/>
    </w:p>
    <w:p w:rsidR="00596F60" w:rsidRDefault="00ED1F70" w:rsidP="007246E6">
      <w:pPr>
        <w:spacing w:after="0" w:line="240" w:lineRule="auto"/>
        <w:rPr>
          <w:color w:val="000000" w:themeColor="text1"/>
          <w:lang w:val="es-ES"/>
        </w:rPr>
      </w:pPr>
      <w:r w:rsidRPr="007226D7">
        <w:rPr>
          <w:color w:val="000000" w:themeColor="text1"/>
          <w:lang w:val="es-ES"/>
        </w:rPr>
        <w:t xml:space="preserve">La demanda actual (año 2012) se ha obtenido del antes citado estudio “SERVICIO DE TOMA Y ANALISIS DE INFORMACION DE MOVILIDAD PARA LA ELABORACION DEL ESTUDIO DE DEMANDA </w:t>
      </w:r>
      <w:r w:rsidRPr="007226D7">
        <w:rPr>
          <w:bCs/>
          <w:color w:val="000000" w:themeColor="text1"/>
          <w:lang w:val="es-ES"/>
        </w:rPr>
        <w:t>DE LA LINEA 2 DEL METRO DE LIMA” que ha producido las 4 matrices del año 2012 (Coches, Publico, Taxi y Camiones) además de archivos útiles para la determinación de las matrices en los años de referencia: 2018, 2020 y 2030.</w:t>
      </w:r>
      <w:r w:rsidR="007246E6" w:rsidRPr="007226D7">
        <w:rPr>
          <w:bCs/>
          <w:color w:val="000000" w:themeColor="text1"/>
          <w:lang w:val="es-ES"/>
        </w:rPr>
        <w:t xml:space="preserve"> </w:t>
      </w:r>
      <w:r w:rsidRPr="007226D7">
        <w:rPr>
          <w:color w:val="000000" w:themeColor="text1"/>
          <w:lang w:val="es-ES"/>
        </w:rPr>
        <w:t>Las matrices del año 2012 se resumen en la tabla siguiente:</w:t>
      </w:r>
    </w:p>
    <w:p w:rsidR="00BE2416" w:rsidRDefault="00BE2416" w:rsidP="007246E6">
      <w:pPr>
        <w:spacing w:after="0" w:line="240" w:lineRule="auto"/>
        <w:rPr>
          <w:color w:val="000000" w:themeColor="text1"/>
          <w:lang w:val="es-ES"/>
        </w:rPr>
      </w:pPr>
    </w:p>
    <w:p w:rsidR="007246E6" w:rsidRDefault="00596F60" w:rsidP="00596F60">
      <w:pPr>
        <w:pStyle w:val="Figuras"/>
        <w:rPr>
          <w:color w:val="000000" w:themeColor="text1"/>
        </w:rPr>
      </w:pPr>
      <w:r w:rsidRPr="007226D7">
        <w:rPr>
          <w:noProof/>
        </w:rPr>
        <w:lastRenderedPageBreak/>
        <w:t>Tabla 4.5 – 1</w:t>
      </w:r>
      <w:r w:rsidRPr="007226D7">
        <w:t xml:space="preserve">: Matrices Origen-Destino </w:t>
      </w:r>
      <w:r w:rsidRPr="007226D7">
        <w:rPr>
          <w:color w:val="000000" w:themeColor="text1"/>
        </w:rPr>
        <w:t>2012</w:t>
      </w:r>
    </w:p>
    <w:tbl>
      <w:tblPr>
        <w:tblW w:w="9060" w:type="dxa"/>
        <w:jc w:val="center"/>
        <w:tblInd w:w="55" w:type="dxa"/>
        <w:tblCellMar>
          <w:left w:w="70" w:type="dxa"/>
          <w:right w:w="70" w:type="dxa"/>
        </w:tblCellMar>
        <w:tblLook w:val="04A0" w:firstRow="1" w:lastRow="0" w:firstColumn="1" w:lastColumn="0" w:noHBand="0" w:noVBand="1"/>
      </w:tblPr>
      <w:tblGrid>
        <w:gridCol w:w="2420"/>
        <w:gridCol w:w="1660"/>
        <w:gridCol w:w="1660"/>
        <w:gridCol w:w="1660"/>
        <w:gridCol w:w="1660"/>
      </w:tblGrid>
      <w:tr w:rsidR="008A0021" w:rsidRPr="006C214F" w:rsidTr="00376E84">
        <w:trPr>
          <w:trHeight w:val="499"/>
          <w:jc w:val="center"/>
        </w:trPr>
        <w:tc>
          <w:tcPr>
            <w:tcW w:w="2420" w:type="dxa"/>
            <w:tcBorders>
              <w:top w:val="single" w:sz="4" w:space="0" w:color="auto"/>
              <w:left w:val="single" w:sz="4" w:space="0" w:color="auto"/>
              <w:bottom w:val="single" w:sz="4" w:space="0" w:color="auto"/>
              <w:right w:val="single" w:sz="4" w:space="0" w:color="auto"/>
            </w:tcBorders>
            <w:shd w:val="clear" w:color="171717" w:fill="C5C5C5"/>
            <w:vAlign w:val="center"/>
            <w:hideMark/>
          </w:tcPr>
          <w:p w:rsidR="008A0021" w:rsidRPr="006C214F" w:rsidRDefault="008A0021" w:rsidP="00376E84">
            <w:pPr>
              <w:spacing w:after="0" w:line="240" w:lineRule="auto"/>
              <w:jc w:val="left"/>
              <w:rPr>
                <w:rFonts w:cs="Arial"/>
                <w:b/>
                <w:bCs/>
                <w:color w:val="171717"/>
                <w:sz w:val="20"/>
              </w:rPr>
            </w:pPr>
            <w:r w:rsidRPr="006C214F">
              <w:rPr>
                <w:rFonts w:cs="Arial"/>
                <w:b/>
                <w:bCs/>
                <w:color w:val="171717"/>
                <w:sz w:val="20"/>
              </w:rPr>
              <w:t>Matriz O/D</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8A0021" w:rsidRPr="006C214F" w:rsidRDefault="008A0021" w:rsidP="00376E84">
            <w:pPr>
              <w:spacing w:after="0" w:line="240" w:lineRule="auto"/>
              <w:jc w:val="right"/>
              <w:rPr>
                <w:rFonts w:cs="Arial"/>
                <w:b/>
                <w:bCs/>
                <w:color w:val="171717"/>
                <w:sz w:val="20"/>
              </w:rPr>
            </w:pPr>
            <w:r w:rsidRPr="006C214F">
              <w:rPr>
                <w:rFonts w:cs="Arial"/>
                <w:b/>
                <w:bCs/>
                <w:color w:val="171717"/>
                <w:sz w:val="20"/>
              </w:rPr>
              <w:t xml:space="preserve">Viajes HPM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8A0021" w:rsidRPr="006C214F" w:rsidRDefault="008A0021" w:rsidP="00376E84">
            <w:pPr>
              <w:spacing w:after="0" w:line="240" w:lineRule="auto"/>
              <w:jc w:val="right"/>
              <w:rPr>
                <w:rFonts w:cs="Arial"/>
                <w:b/>
                <w:bCs/>
                <w:color w:val="171717"/>
                <w:sz w:val="20"/>
              </w:rPr>
            </w:pPr>
            <w:r w:rsidRPr="006C214F">
              <w:rPr>
                <w:rFonts w:cs="Arial"/>
                <w:b/>
                <w:bCs/>
                <w:color w:val="171717"/>
                <w:sz w:val="20"/>
              </w:rPr>
              <w:t xml:space="preserve">Viajes HPT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8A0021" w:rsidRPr="006C214F" w:rsidRDefault="008A0021" w:rsidP="00376E84">
            <w:pPr>
              <w:spacing w:after="0" w:line="240" w:lineRule="auto"/>
              <w:jc w:val="right"/>
              <w:rPr>
                <w:rFonts w:cs="Arial"/>
                <w:b/>
                <w:bCs/>
                <w:color w:val="171717"/>
                <w:sz w:val="20"/>
              </w:rPr>
            </w:pPr>
            <w:r w:rsidRPr="006C214F">
              <w:rPr>
                <w:rFonts w:cs="Arial"/>
                <w:b/>
                <w:bCs/>
                <w:color w:val="171717"/>
                <w:sz w:val="20"/>
              </w:rPr>
              <w:t xml:space="preserve">Viajes HV </w:t>
            </w:r>
          </w:p>
        </w:tc>
        <w:tc>
          <w:tcPr>
            <w:tcW w:w="1660" w:type="dxa"/>
            <w:tcBorders>
              <w:top w:val="single" w:sz="4" w:space="0" w:color="auto"/>
              <w:left w:val="nil"/>
              <w:bottom w:val="single" w:sz="4" w:space="0" w:color="auto"/>
              <w:right w:val="single" w:sz="4" w:space="0" w:color="auto"/>
            </w:tcBorders>
            <w:shd w:val="clear" w:color="171717" w:fill="C5C5C5"/>
            <w:vAlign w:val="center"/>
            <w:hideMark/>
          </w:tcPr>
          <w:p w:rsidR="008A0021" w:rsidRPr="006C214F" w:rsidRDefault="008A0021" w:rsidP="00376E84">
            <w:pPr>
              <w:spacing w:after="0" w:line="240" w:lineRule="auto"/>
              <w:jc w:val="right"/>
              <w:rPr>
                <w:rFonts w:cs="Arial"/>
                <w:b/>
                <w:bCs/>
                <w:color w:val="171717"/>
                <w:sz w:val="20"/>
              </w:rPr>
            </w:pPr>
            <w:r w:rsidRPr="006C214F">
              <w:rPr>
                <w:rFonts w:cs="Arial"/>
                <w:b/>
                <w:bCs/>
                <w:color w:val="171717"/>
                <w:sz w:val="20"/>
              </w:rPr>
              <w:t xml:space="preserve">Total diario </w:t>
            </w:r>
          </w:p>
        </w:tc>
      </w:tr>
      <w:tr w:rsidR="008A0021" w:rsidRPr="006C214F" w:rsidTr="00376E84">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rPr>
                <w:rFonts w:cs="Arial"/>
                <w:b/>
                <w:bCs/>
                <w:color w:val="171717"/>
                <w:sz w:val="20"/>
              </w:rPr>
            </w:pPr>
            <w:r w:rsidRPr="006C214F">
              <w:rPr>
                <w:rFonts w:cs="Arial"/>
                <w:b/>
                <w:bCs/>
                <w:color w:val="171717"/>
                <w:sz w:val="20"/>
              </w:rPr>
              <w:t xml:space="preserve">Auto particular </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187,038</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106,891</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82,557</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1,661,099</w:t>
            </w:r>
          </w:p>
        </w:tc>
      </w:tr>
      <w:tr w:rsidR="008A0021" w:rsidRPr="006C214F" w:rsidTr="00376E84">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rPr>
                <w:rFonts w:cs="Arial"/>
                <w:b/>
                <w:bCs/>
                <w:color w:val="171717"/>
                <w:sz w:val="20"/>
              </w:rPr>
            </w:pPr>
            <w:r w:rsidRPr="006C214F">
              <w:rPr>
                <w:rFonts w:cs="Arial"/>
                <w:b/>
                <w:bCs/>
                <w:color w:val="171717"/>
                <w:sz w:val="20"/>
              </w:rPr>
              <w:t xml:space="preserve">Taxi </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116,307</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105,396</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88,860</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1,598,586</w:t>
            </w:r>
          </w:p>
        </w:tc>
      </w:tr>
      <w:tr w:rsidR="008A0021" w:rsidRPr="006C214F" w:rsidTr="00376E84">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rPr>
                <w:rFonts w:cs="Arial"/>
                <w:b/>
                <w:bCs/>
                <w:color w:val="171717"/>
                <w:sz w:val="20"/>
              </w:rPr>
            </w:pPr>
            <w:r w:rsidRPr="006C214F">
              <w:rPr>
                <w:rFonts w:cs="Arial"/>
                <w:b/>
                <w:bCs/>
                <w:color w:val="171717"/>
                <w:sz w:val="20"/>
              </w:rPr>
              <w:t xml:space="preserve">Vehículos pesados </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14,052</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10,776</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10,369</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184,453</w:t>
            </w:r>
          </w:p>
        </w:tc>
      </w:tr>
      <w:tr w:rsidR="008A0021" w:rsidRPr="006C214F" w:rsidTr="00376E84">
        <w:trPr>
          <w:trHeight w:val="255"/>
          <w:jc w:val="center"/>
        </w:trPr>
        <w:tc>
          <w:tcPr>
            <w:tcW w:w="2420" w:type="dxa"/>
            <w:tcBorders>
              <w:top w:val="nil"/>
              <w:left w:val="single" w:sz="4" w:space="0" w:color="auto"/>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rPr>
                <w:rFonts w:cs="Arial"/>
                <w:b/>
                <w:bCs/>
                <w:color w:val="171717"/>
                <w:sz w:val="20"/>
              </w:rPr>
            </w:pPr>
            <w:r w:rsidRPr="006C214F">
              <w:rPr>
                <w:rFonts w:cs="Arial"/>
                <w:b/>
                <w:bCs/>
                <w:color w:val="171717"/>
                <w:sz w:val="20"/>
              </w:rPr>
              <w:t xml:space="preserve">Transporte público </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1,026,919</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697,980</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481,503</w:t>
            </w:r>
          </w:p>
        </w:tc>
        <w:tc>
          <w:tcPr>
            <w:tcW w:w="1660" w:type="dxa"/>
            <w:tcBorders>
              <w:top w:val="nil"/>
              <w:left w:val="nil"/>
              <w:bottom w:val="single" w:sz="4" w:space="0" w:color="auto"/>
              <w:right w:val="single" w:sz="4" w:space="0" w:color="auto"/>
            </w:tcBorders>
            <w:shd w:val="clear" w:color="auto" w:fill="auto"/>
            <w:vAlign w:val="center"/>
            <w:hideMark/>
          </w:tcPr>
          <w:p w:rsidR="008A0021" w:rsidRPr="006C214F" w:rsidRDefault="008A0021" w:rsidP="00376E84">
            <w:pPr>
              <w:spacing w:after="0" w:line="240" w:lineRule="auto"/>
              <w:jc w:val="right"/>
              <w:rPr>
                <w:rFonts w:cs="Arial"/>
                <w:color w:val="000000"/>
                <w:sz w:val="20"/>
              </w:rPr>
            </w:pPr>
            <w:r w:rsidRPr="006C214F">
              <w:rPr>
                <w:rFonts w:cs="Arial"/>
                <w:color w:val="000000"/>
                <w:sz w:val="20"/>
              </w:rPr>
              <w:t>9,708,931</w:t>
            </w:r>
          </w:p>
        </w:tc>
      </w:tr>
    </w:tbl>
    <w:p w:rsidR="008A0021" w:rsidRPr="007226D7" w:rsidRDefault="008A0021" w:rsidP="008A0021"/>
    <w:p w:rsidR="00ED1F70" w:rsidRPr="007226D7" w:rsidRDefault="00ED1F70" w:rsidP="007246E6">
      <w:pPr>
        <w:spacing w:after="0" w:line="240" w:lineRule="auto"/>
        <w:rPr>
          <w:lang w:val="es-ES"/>
        </w:rPr>
      </w:pPr>
      <w:r w:rsidRPr="007226D7">
        <w:rPr>
          <w:color w:val="000000" w:themeColor="text1"/>
          <w:lang w:val="es-ES"/>
        </w:rPr>
        <w:t xml:space="preserve">Estas </w:t>
      </w:r>
      <w:r w:rsidRPr="007226D7">
        <w:rPr>
          <w:lang w:val="es-ES"/>
        </w:rPr>
        <w:t xml:space="preserve">matrices han sido determinadas con las siguientes variables socio-económicas: </w:t>
      </w:r>
    </w:p>
    <w:p w:rsidR="00ED1F70" w:rsidRPr="007226D7" w:rsidRDefault="00596F60" w:rsidP="00616C7B">
      <w:pPr>
        <w:pStyle w:val="Figuras"/>
      </w:pPr>
      <w:r w:rsidRPr="007226D7">
        <w:rPr>
          <w:noProof/>
        </w:rPr>
        <w:t>Tabla 4.5 – 2</w:t>
      </w:r>
      <w:r w:rsidRPr="007226D7">
        <w:t xml:space="preserve">: </w:t>
      </w:r>
      <w:r w:rsidR="00ED1F70" w:rsidRPr="007226D7">
        <w:rPr>
          <w:noProof/>
        </w:rPr>
        <w:t>Datos socioeconómicos 2012</w:t>
      </w:r>
    </w:p>
    <w:tbl>
      <w:tblPr>
        <w:tblStyle w:val="TableClassic1"/>
        <w:tblW w:w="1951" w:type="pct"/>
        <w:jc w:val="center"/>
        <w:tblLayout w:type="fixed"/>
        <w:tblLook w:val="01E0" w:firstRow="1" w:lastRow="1" w:firstColumn="1" w:lastColumn="1" w:noHBand="0" w:noVBand="0"/>
      </w:tblPr>
      <w:tblGrid>
        <w:gridCol w:w="1809"/>
        <w:gridCol w:w="1926"/>
      </w:tblGrid>
      <w:tr w:rsidR="00ED1F70" w:rsidRPr="007226D7" w:rsidTr="009563C7">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2422" w:type="pct"/>
          </w:tcPr>
          <w:p w:rsidR="00ED1F70" w:rsidRPr="007226D7" w:rsidRDefault="00ED1F70" w:rsidP="00616C7B">
            <w:pPr>
              <w:spacing w:line="240" w:lineRule="auto"/>
              <w:jc w:val="left"/>
              <w:rPr>
                <w:b/>
                <w:bCs/>
                <w:sz w:val="18"/>
                <w:szCs w:val="16"/>
                <w:lang w:val="es-ES"/>
              </w:rPr>
            </w:pPr>
            <w:r w:rsidRPr="007226D7">
              <w:rPr>
                <w:b/>
                <w:bCs/>
                <w:noProof/>
                <w:sz w:val="18"/>
                <w:szCs w:val="16"/>
                <w:lang w:val="es-ES"/>
              </w:rPr>
              <w:t>Variable</w:t>
            </w:r>
          </w:p>
        </w:tc>
        <w:tc>
          <w:tcPr>
            <w:cnfStyle w:val="000000001000" w:firstRow="0" w:lastRow="0" w:firstColumn="0" w:lastColumn="0" w:oddVBand="0" w:evenVBand="0" w:oddHBand="0" w:evenHBand="0" w:firstRowFirstColumn="0" w:firstRowLastColumn="1" w:lastRowFirstColumn="0" w:lastRowLastColumn="0"/>
            <w:tcW w:w="2578" w:type="pct"/>
          </w:tcPr>
          <w:p w:rsidR="00ED1F70" w:rsidRPr="007226D7" w:rsidRDefault="00C10A84" w:rsidP="00616C7B">
            <w:pPr>
              <w:spacing w:line="240" w:lineRule="auto"/>
              <w:jc w:val="right"/>
              <w:rPr>
                <w:bCs w:val="0"/>
                <w:sz w:val="18"/>
                <w:szCs w:val="16"/>
                <w:lang w:val="es-ES"/>
              </w:rPr>
            </w:pPr>
            <w:r w:rsidRPr="007226D7">
              <w:rPr>
                <w:bCs w:val="0"/>
                <w:sz w:val="18"/>
                <w:szCs w:val="16"/>
                <w:lang w:val="es-ES"/>
              </w:rPr>
              <w:t>Año 2012</w:t>
            </w:r>
          </w:p>
        </w:tc>
      </w:tr>
      <w:tr w:rsidR="00ED1F70" w:rsidRPr="007226D7" w:rsidTr="009563C7">
        <w:trPr>
          <w:trHeight w:val="151"/>
          <w:jc w:val="center"/>
        </w:trPr>
        <w:tc>
          <w:tcPr>
            <w:cnfStyle w:val="001000000000" w:firstRow="0" w:lastRow="0" w:firstColumn="1" w:lastColumn="0" w:oddVBand="0" w:evenVBand="0" w:oddHBand="0" w:evenHBand="0" w:firstRowFirstColumn="0" w:firstRowLastColumn="0" w:lastRowFirstColumn="0" w:lastRowLastColumn="0"/>
            <w:tcW w:w="2422" w:type="pct"/>
          </w:tcPr>
          <w:p w:rsidR="00ED1F70" w:rsidRPr="007226D7" w:rsidRDefault="00ED1F70" w:rsidP="00616C7B">
            <w:pPr>
              <w:spacing w:line="240" w:lineRule="auto"/>
              <w:jc w:val="left"/>
              <w:rPr>
                <w:sz w:val="18"/>
                <w:szCs w:val="16"/>
                <w:lang w:val="es-ES"/>
              </w:rPr>
            </w:pPr>
            <w:r w:rsidRPr="007226D7">
              <w:rPr>
                <w:noProof/>
                <w:sz w:val="18"/>
                <w:szCs w:val="16"/>
                <w:lang w:val="es-ES"/>
              </w:rPr>
              <w:t>Población</w:t>
            </w:r>
          </w:p>
        </w:tc>
        <w:tc>
          <w:tcPr>
            <w:tcW w:w="2578" w:type="pct"/>
          </w:tcPr>
          <w:p w:rsidR="00ED1F70" w:rsidRPr="007226D7" w:rsidRDefault="00ED1F70" w:rsidP="00616C7B">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9,450,585</w:t>
            </w:r>
          </w:p>
        </w:tc>
      </w:tr>
      <w:tr w:rsidR="00ED1F70" w:rsidRPr="007226D7" w:rsidTr="009563C7">
        <w:trPr>
          <w:trHeight w:val="225"/>
          <w:jc w:val="center"/>
        </w:trPr>
        <w:tc>
          <w:tcPr>
            <w:cnfStyle w:val="001000000000" w:firstRow="0" w:lastRow="0" w:firstColumn="1" w:lastColumn="0" w:oddVBand="0" w:evenVBand="0" w:oddHBand="0" w:evenHBand="0" w:firstRowFirstColumn="0" w:firstRowLastColumn="0" w:lastRowFirstColumn="0" w:lastRowLastColumn="0"/>
            <w:tcW w:w="2422" w:type="pct"/>
          </w:tcPr>
          <w:p w:rsidR="00ED1F70" w:rsidRPr="007226D7" w:rsidRDefault="00ED1F70" w:rsidP="00616C7B">
            <w:pPr>
              <w:spacing w:line="240" w:lineRule="auto"/>
              <w:jc w:val="left"/>
              <w:rPr>
                <w:sz w:val="18"/>
                <w:szCs w:val="16"/>
                <w:lang w:val="es-ES"/>
              </w:rPr>
            </w:pPr>
            <w:r w:rsidRPr="007226D7">
              <w:rPr>
                <w:noProof/>
                <w:sz w:val="18"/>
                <w:szCs w:val="16"/>
                <w:lang w:val="es-ES"/>
              </w:rPr>
              <w:t>Empleo</w:t>
            </w:r>
          </w:p>
        </w:tc>
        <w:tc>
          <w:tcPr>
            <w:tcW w:w="2578" w:type="pct"/>
          </w:tcPr>
          <w:p w:rsidR="00ED1F70" w:rsidRPr="007226D7" w:rsidRDefault="00ED1F70" w:rsidP="00616C7B">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4,788,122</w:t>
            </w:r>
          </w:p>
        </w:tc>
      </w:tr>
      <w:tr w:rsidR="00ED1F70" w:rsidRPr="007226D7" w:rsidTr="009563C7">
        <w:trPr>
          <w:trHeight w:val="225"/>
          <w:jc w:val="center"/>
        </w:trPr>
        <w:tc>
          <w:tcPr>
            <w:cnfStyle w:val="001000000000" w:firstRow="0" w:lastRow="0" w:firstColumn="1" w:lastColumn="0" w:oddVBand="0" w:evenVBand="0" w:oddHBand="0" w:evenHBand="0" w:firstRowFirstColumn="0" w:firstRowLastColumn="0" w:lastRowFirstColumn="0" w:lastRowLastColumn="0"/>
            <w:tcW w:w="2422" w:type="pct"/>
          </w:tcPr>
          <w:p w:rsidR="00ED1F70" w:rsidRPr="007226D7" w:rsidRDefault="00ED1F70" w:rsidP="00616C7B">
            <w:pPr>
              <w:spacing w:line="240" w:lineRule="auto"/>
              <w:jc w:val="left"/>
              <w:rPr>
                <w:sz w:val="18"/>
                <w:szCs w:val="16"/>
                <w:lang w:val="es-ES"/>
              </w:rPr>
            </w:pPr>
            <w:r w:rsidRPr="007226D7">
              <w:rPr>
                <w:noProof/>
                <w:sz w:val="18"/>
                <w:szCs w:val="16"/>
                <w:lang w:val="es-ES"/>
              </w:rPr>
              <w:t>Plazas escolares</w:t>
            </w:r>
          </w:p>
        </w:tc>
        <w:tc>
          <w:tcPr>
            <w:tcW w:w="2578" w:type="pct"/>
          </w:tcPr>
          <w:p w:rsidR="00ED1F70" w:rsidRPr="007226D7" w:rsidRDefault="00ED1F70" w:rsidP="00616C7B">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2,796,383</w:t>
            </w:r>
          </w:p>
        </w:tc>
      </w:tr>
      <w:tr w:rsidR="00ED1F70" w:rsidRPr="007226D7" w:rsidTr="009563C7">
        <w:trPr>
          <w:cnfStyle w:val="010000000000" w:firstRow="0" w:lastRow="1" w:firstColumn="0" w:lastColumn="0" w:oddVBand="0" w:evenVBand="0" w:oddHBand="0" w:evenHBand="0" w:firstRowFirstColumn="0" w:firstRowLastColumn="0" w:lastRowFirstColumn="0" w:lastRowLastColumn="0"/>
          <w:trHeight w:val="225"/>
          <w:jc w:val="center"/>
        </w:trPr>
        <w:tc>
          <w:tcPr>
            <w:cnfStyle w:val="001000000001" w:firstRow="0" w:lastRow="0" w:firstColumn="1" w:lastColumn="0" w:oddVBand="0" w:evenVBand="0" w:oddHBand="0" w:evenHBand="0" w:firstRowFirstColumn="0" w:firstRowLastColumn="0" w:lastRowFirstColumn="1" w:lastRowLastColumn="0"/>
            <w:tcW w:w="2422" w:type="pct"/>
            <w:tcBorders>
              <w:top w:val="nil"/>
              <w:bottom w:val="single" w:sz="6" w:space="0" w:color="000000"/>
            </w:tcBorders>
          </w:tcPr>
          <w:p w:rsidR="00ED1F70" w:rsidRPr="007226D7" w:rsidRDefault="00ED1F70" w:rsidP="00616C7B">
            <w:pPr>
              <w:spacing w:line="240" w:lineRule="auto"/>
              <w:jc w:val="left"/>
              <w:rPr>
                <w:b w:val="0"/>
                <w:sz w:val="18"/>
                <w:szCs w:val="16"/>
                <w:lang w:val="es-ES"/>
              </w:rPr>
            </w:pPr>
            <w:r w:rsidRPr="007226D7">
              <w:rPr>
                <w:b w:val="0"/>
                <w:noProof/>
                <w:sz w:val="18"/>
                <w:szCs w:val="16"/>
                <w:lang w:val="es-ES"/>
              </w:rPr>
              <w:t>Nº vehículos</w:t>
            </w:r>
          </w:p>
        </w:tc>
        <w:tc>
          <w:tcPr>
            <w:tcW w:w="2578" w:type="pct"/>
            <w:tcBorders>
              <w:top w:val="nil"/>
              <w:bottom w:val="single" w:sz="6" w:space="0" w:color="000000"/>
            </w:tcBorders>
          </w:tcPr>
          <w:p w:rsidR="00ED1F70" w:rsidRPr="007226D7" w:rsidRDefault="00ED1F70" w:rsidP="00616C7B">
            <w:pPr>
              <w:jc w:val="right"/>
              <w:cnfStyle w:val="010000000000" w:firstRow="0" w:lastRow="1"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647,796</w:t>
            </w:r>
          </w:p>
        </w:tc>
      </w:tr>
    </w:tbl>
    <w:p w:rsidR="00ED1F70" w:rsidRPr="007226D7" w:rsidRDefault="00ED1F70" w:rsidP="00ED1F70">
      <w:pPr>
        <w:spacing w:after="0" w:line="240" w:lineRule="auto"/>
        <w:jc w:val="left"/>
        <w:rPr>
          <w:lang w:val="es-ES"/>
        </w:rPr>
      </w:pPr>
      <w:bookmarkStart w:id="124" w:name="_Toc341645008"/>
    </w:p>
    <w:p w:rsidR="00ED1F70" w:rsidRPr="007226D7" w:rsidRDefault="00ED1F70" w:rsidP="00ED1F70">
      <w:pPr>
        <w:pStyle w:val="Heading3"/>
        <w:rPr>
          <w:lang w:val="es-ES"/>
        </w:rPr>
      </w:pPr>
      <w:bookmarkStart w:id="125" w:name="_Toc342751281"/>
      <w:bookmarkStart w:id="126" w:name="_Toc346541934"/>
      <w:r w:rsidRPr="007226D7">
        <w:rPr>
          <w:lang w:val="es-ES"/>
        </w:rPr>
        <w:t>Demanda proyectada</w:t>
      </w:r>
      <w:bookmarkEnd w:id="124"/>
      <w:r w:rsidRPr="007226D7">
        <w:rPr>
          <w:lang w:val="es-ES"/>
        </w:rPr>
        <w:t xml:space="preserve"> a los años </w:t>
      </w:r>
      <w:bookmarkEnd w:id="125"/>
      <w:r w:rsidR="00C10A84" w:rsidRPr="007226D7">
        <w:rPr>
          <w:lang w:val="es-ES"/>
        </w:rPr>
        <w:t>horizonte</w:t>
      </w:r>
      <w:bookmarkEnd w:id="126"/>
      <w:r w:rsidRPr="007226D7">
        <w:rPr>
          <w:lang w:val="es-ES"/>
        </w:rPr>
        <w:t xml:space="preserve"> </w:t>
      </w:r>
    </w:p>
    <w:p w:rsidR="00ED1F70" w:rsidRPr="007226D7" w:rsidRDefault="007246E6" w:rsidP="00ED1F70">
      <w:pPr>
        <w:rPr>
          <w:color w:val="000000" w:themeColor="text1"/>
          <w:lang w:val="es-ES"/>
        </w:rPr>
      </w:pPr>
      <w:r w:rsidRPr="007226D7">
        <w:rPr>
          <w:lang w:val="es-ES"/>
        </w:rPr>
        <w:t>E</w:t>
      </w:r>
      <w:r w:rsidR="00ED1F70" w:rsidRPr="007226D7">
        <w:rPr>
          <w:lang w:val="es-ES"/>
        </w:rPr>
        <w:t>l proceso</w:t>
      </w:r>
      <w:r w:rsidR="00ED1F70" w:rsidRPr="007226D7">
        <w:rPr>
          <w:color w:val="000000" w:themeColor="text1"/>
          <w:lang w:val="es-ES"/>
        </w:rPr>
        <w:t xml:space="preserve"> de construcción de la demanda para los años de referencia se basa en un modelo de 4 etapas ya descrito en su funcionalidad en el apartado anterior. El método de cálculo para la estimación de las matrices se basa en los siguientes pasos:</w:t>
      </w:r>
    </w:p>
    <w:p w:rsidR="00ED1F70" w:rsidRPr="007226D7" w:rsidRDefault="00ED1F70" w:rsidP="00ED1F70">
      <w:pPr>
        <w:pStyle w:val="ListParagraph"/>
        <w:numPr>
          <w:ilvl w:val="0"/>
          <w:numId w:val="64"/>
        </w:numPr>
        <w:rPr>
          <w:noProof/>
          <w:lang w:val="es-ES"/>
        </w:rPr>
      </w:pPr>
      <w:bookmarkStart w:id="127" w:name="_Toc342465490"/>
      <w:r w:rsidRPr="007226D7">
        <w:rPr>
          <w:noProof/>
          <w:lang w:val="es-ES"/>
        </w:rPr>
        <w:t>Modelos de origen y destino de viajes</w:t>
      </w:r>
      <w:bookmarkEnd w:id="127"/>
    </w:p>
    <w:p w:rsidR="00ED1F70" w:rsidRPr="007226D7" w:rsidRDefault="00ED1F70" w:rsidP="00ED1F70">
      <w:pPr>
        <w:pStyle w:val="ListParagraph"/>
        <w:numPr>
          <w:ilvl w:val="0"/>
          <w:numId w:val="64"/>
        </w:numPr>
        <w:rPr>
          <w:noProof/>
          <w:lang w:val="es-ES"/>
        </w:rPr>
      </w:pPr>
      <w:bookmarkStart w:id="128" w:name="_Toc342465492"/>
      <w:r w:rsidRPr="007226D7">
        <w:rPr>
          <w:noProof/>
          <w:lang w:val="es-ES"/>
        </w:rPr>
        <w:t>Modelo de distribución de viajes</w:t>
      </w:r>
      <w:bookmarkEnd w:id="128"/>
    </w:p>
    <w:p w:rsidR="00ED1F70" w:rsidRPr="007226D7" w:rsidRDefault="00ED1F70" w:rsidP="00ED1F70">
      <w:pPr>
        <w:pStyle w:val="ListParagraph"/>
        <w:numPr>
          <w:ilvl w:val="0"/>
          <w:numId w:val="64"/>
        </w:numPr>
        <w:rPr>
          <w:noProof/>
          <w:lang w:val="es-ES"/>
        </w:rPr>
      </w:pPr>
      <w:bookmarkStart w:id="129" w:name="_Toc342465493"/>
      <w:r w:rsidRPr="007226D7">
        <w:rPr>
          <w:noProof/>
          <w:lang w:val="es-ES"/>
        </w:rPr>
        <w:t>Modelo de reparto modal</w:t>
      </w:r>
      <w:bookmarkEnd w:id="129"/>
    </w:p>
    <w:p w:rsidR="00ED1F70" w:rsidRPr="007226D7" w:rsidRDefault="00ED1F70" w:rsidP="00ED1F70">
      <w:pPr>
        <w:rPr>
          <w:color w:val="000000" w:themeColor="text1"/>
          <w:lang w:val="es-ES"/>
        </w:rPr>
      </w:pPr>
      <w:r w:rsidRPr="007226D7">
        <w:rPr>
          <w:color w:val="000000" w:themeColor="text1"/>
          <w:lang w:val="es-ES"/>
        </w:rPr>
        <w:t>Para los detalles se debe consultar el estudio específico, aquí se resumen los parámetros numéricos útiles para el cálculo de las matrices.</w:t>
      </w:r>
    </w:p>
    <w:p w:rsidR="00ED1F70" w:rsidRPr="007226D7" w:rsidRDefault="00ED1F70" w:rsidP="00ED1F70">
      <w:pPr>
        <w:pStyle w:val="Heading4"/>
        <w:rPr>
          <w:noProof/>
          <w:lang w:val="es-ES"/>
        </w:rPr>
      </w:pPr>
      <w:r w:rsidRPr="007226D7">
        <w:rPr>
          <w:noProof/>
          <w:lang w:val="es-ES"/>
        </w:rPr>
        <w:t>Modelos de origen y destino de viajes</w:t>
      </w:r>
    </w:p>
    <w:p w:rsidR="006541CB" w:rsidRPr="007226D7" w:rsidRDefault="00ED1F70" w:rsidP="00ED1F70">
      <w:pPr>
        <w:rPr>
          <w:noProof/>
          <w:lang w:val="es-ES"/>
        </w:rPr>
      </w:pPr>
      <w:r w:rsidRPr="007226D7">
        <w:rPr>
          <w:noProof/>
          <w:lang w:val="es-ES"/>
        </w:rPr>
        <w:t xml:space="preserve">El modelo matemático es capaz de pronosticar con cierto grado de confianza el número de viajes según la unidad de </w:t>
      </w:r>
      <w:r w:rsidRPr="007226D7">
        <w:rPr>
          <w:noProof/>
          <w:color w:val="000000" w:themeColor="text1"/>
          <w:lang w:val="es-ES"/>
        </w:rPr>
        <w:t>análisis consideradas:</w:t>
      </w:r>
      <w:r w:rsidR="007246E6" w:rsidRPr="007226D7">
        <w:rPr>
          <w:noProof/>
          <w:color w:val="000000" w:themeColor="text1"/>
          <w:lang w:val="es-ES"/>
        </w:rPr>
        <w:t xml:space="preserve"> </w:t>
      </w:r>
      <w:r w:rsidR="007246E6" w:rsidRPr="007226D7">
        <w:rPr>
          <w:noProof/>
          <w:lang w:val="es-ES"/>
        </w:rPr>
        <w:t xml:space="preserve">Población, Empleo, Plazas escolares, Número de vehículos. </w:t>
      </w:r>
    </w:p>
    <w:p w:rsidR="00ED1F70" w:rsidRPr="007226D7" w:rsidRDefault="007246E6" w:rsidP="00ED1F70">
      <w:pPr>
        <w:rPr>
          <w:lang w:val="es-ES"/>
        </w:rPr>
      </w:pPr>
      <w:r w:rsidRPr="007226D7">
        <w:rPr>
          <w:noProof/>
          <w:lang w:val="es-ES"/>
        </w:rPr>
        <w:t>L</w:t>
      </w:r>
      <w:r w:rsidR="00ED1F70" w:rsidRPr="007226D7">
        <w:rPr>
          <w:noProof/>
          <w:lang w:val="es-ES"/>
        </w:rPr>
        <w:t>os modelos utilizados serán de tipo lineal con la siguiente formulación:</w:t>
      </w:r>
    </w:p>
    <w:p w:rsidR="00ED1F70" w:rsidRPr="007226D7" w:rsidRDefault="00ED1F70" w:rsidP="00ED1F70">
      <w:pPr>
        <w:pStyle w:val="ListParagraph"/>
        <w:numPr>
          <w:ilvl w:val="0"/>
          <w:numId w:val="63"/>
        </w:numPr>
        <w:jc w:val="center"/>
        <w:rPr>
          <w:b/>
          <w:bCs/>
        </w:rPr>
      </w:pPr>
      <w:r w:rsidRPr="007226D7">
        <w:rPr>
          <w:b/>
          <w:bCs/>
          <w:noProof/>
        </w:rPr>
        <w:t>O</w:t>
      </w:r>
      <w:r w:rsidRPr="007226D7">
        <w:rPr>
          <w:b/>
          <w:bCs/>
          <w:noProof/>
          <w:vertAlign w:val="subscript"/>
        </w:rPr>
        <w:t>i</w:t>
      </w:r>
      <w:r w:rsidRPr="007226D7">
        <w:rPr>
          <w:b/>
          <w:bCs/>
          <w:noProof/>
        </w:rPr>
        <w:t>= a+(b*V</w:t>
      </w:r>
      <w:r w:rsidRPr="007226D7">
        <w:rPr>
          <w:b/>
          <w:bCs/>
          <w:noProof/>
          <w:vertAlign w:val="subscript"/>
        </w:rPr>
        <w:t>i</w:t>
      </w:r>
      <w:r w:rsidRPr="007226D7">
        <w:rPr>
          <w:b/>
          <w:bCs/>
          <w:noProof/>
          <w:vertAlign w:val="superscript"/>
        </w:rPr>
        <w:t>1</w:t>
      </w:r>
      <w:r w:rsidRPr="007226D7">
        <w:rPr>
          <w:b/>
          <w:bCs/>
          <w:noProof/>
        </w:rPr>
        <w:t>)+(c*V</w:t>
      </w:r>
      <w:r w:rsidRPr="007226D7">
        <w:rPr>
          <w:b/>
          <w:bCs/>
          <w:noProof/>
          <w:vertAlign w:val="subscript"/>
        </w:rPr>
        <w:t>i</w:t>
      </w:r>
      <w:r w:rsidRPr="007226D7">
        <w:rPr>
          <w:b/>
          <w:bCs/>
          <w:noProof/>
          <w:vertAlign w:val="superscript"/>
        </w:rPr>
        <w:t>2</w:t>
      </w:r>
      <w:r w:rsidRPr="007226D7">
        <w:rPr>
          <w:b/>
          <w:bCs/>
          <w:noProof/>
        </w:rPr>
        <w:t>)+…+ (n*V</w:t>
      </w:r>
      <w:r w:rsidRPr="007226D7">
        <w:rPr>
          <w:b/>
          <w:bCs/>
          <w:noProof/>
          <w:vertAlign w:val="subscript"/>
        </w:rPr>
        <w:t>i</w:t>
      </w:r>
      <w:r w:rsidRPr="007226D7">
        <w:rPr>
          <w:b/>
          <w:bCs/>
          <w:noProof/>
          <w:vertAlign w:val="superscript"/>
        </w:rPr>
        <w:t>n</w:t>
      </w:r>
      <w:r w:rsidRPr="007226D7">
        <w:rPr>
          <w:b/>
          <w:bCs/>
          <w:noProof/>
        </w:rPr>
        <w:t>)</w:t>
      </w:r>
    </w:p>
    <w:p w:rsidR="00ED1F70" w:rsidRPr="007226D7" w:rsidRDefault="00ED1F70" w:rsidP="00ED1F70">
      <w:pPr>
        <w:pStyle w:val="ListParagraph"/>
        <w:numPr>
          <w:ilvl w:val="0"/>
          <w:numId w:val="63"/>
        </w:numPr>
        <w:jc w:val="center"/>
        <w:rPr>
          <w:lang w:val="es-ES"/>
        </w:rPr>
      </w:pPr>
      <w:r w:rsidRPr="007226D7">
        <w:rPr>
          <w:b/>
          <w:bCs/>
          <w:noProof/>
          <w:lang w:val="es-ES"/>
        </w:rPr>
        <w:t>D</w:t>
      </w:r>
      <w:r w:rsidRPr="007226D7">
        <w:rPr>
          <w:b/>
          <w:bCs/>
          <w:noProof/>
          <w:vertAlign w:val="subscript"/>
          <w:lang w:val="es-ES"/>
        </w:rPr>
        <w:t>j</w:t>
      </w:r>
      <w:r w:rsidRPr="007226D7">
        <w:rPr>
          <w:b/>
          <w:bCs/>
          <w:noProof/>
          <w:lang w:val="es-ES"/>
        </w:rPr>
        <w:t>= a+(b*V</w:t>
      </w:r>
      <w:r w:rsidRPr="007226D7">
        <w:rPr>
          <w:b/>
          <w:bCs/>
          <w:noProof/>
          <w:vertAlign w:val="subscript"/>
          <w:lang w:val="es-ES"/>
        </w:rPr>
        <w:t>j</w:t>
      </w:r>
      <w:r w:rsidRPr="007226D7">
        <w:rPr>
          <w:b/>
          <w:bCs/>
          <w:noProof/>
          <w:vertAlign w:val="superscript"/>
          <w:lang w:val="es-ES"/>
        </w:rPr>
        <w:t>1</w:t>
      </w:r>
      <w:r w:rsidRPr="007226D7">
        <w:rPr>
          <w:b/>
          <w:bCs/>
          <w:noProof/>
          <w:lang w:val="es-ES"/>
        </w:rPr>
        <w:t>)+(c*V</w:t>
      </w:r>
      <w:r w:rsidRPr="007226D7">
        <w:rPr>
          <w:b/>
          <w:bCs/>
          <w:noProof/>
          <w:vertAlign w:val="subscript"/>
          <w:lang w:val="es-ES"/>
        </w:rPr>
        <w:t>j</w:t>
      </w:r>
      <w:r w:rsidRPr="007226D7">
        <w:rPr>
          <w:b/>
          <w:bCs/>
          <w:noProof/>
          <w:vertAlign w:val="superscript"/>
          <w:lang w:val="es-ES"/>
        </w:rPr>
        <w:t>2</w:t>
      </w:r>
      <w:r w:rsidRPr="007226D7">
        <w:rPr>
          <w:b/>
          <w:bCs/>
          <w:noProof/>
          <w:lang w:val="es-ES"/>
        </w:rPr>
        <w:t>)+…+ (n*V</w:t>
      </w:r>
      <w:r w:rsidRPr="007226D7">
        <w:rPr>
          <w:b/>
          <w:bCs/>
          <w:noProof/>
          <w:vertAlign w:val="subscript"/>
          <w:lang w:val="es-ES"/>
        </w:rPr>
        <w:t>j</w:t>
      </w:r>
      <w:r w:rsidRPr="007226D7">
        <w:rPr>
          <w:b/>
          <w:bCs/>
          <w:noProof/>
          <w:vertAlign w:val="superscript"/>
          <w:lang w:val="es-ES"/>
        </w:rPr>
        <w:t>n</w:t>
      </w:r>
      <w:r w:rsidRPr="007226D7">
        <w:rPr>
          <w:b/>
          <w:bCs/>
          <w:noProof/>
          <w:lang w:val="es-ES"/>
        </w:rPr>
        <w:t>)</w:t>
      </w:r>
    </w:p>
    <w:p w:rsidR="00ED1F70" w:rsidRPr="007226D7" w:rsidRDefault="00ED1F70" w:rsidP="007246E6">
      <w:pPr>
        <w:rPr>
          <w:lang w:val="es-ES"/>
        </w:rPr>
      </w:pPr>
      <w:r w:rsidRPr="007226D7">
        <w:rPr>
          <w:noProof/>
          <w:lang w:val="es-ES"/>
        </w:rPr>
        <w:t>donde:</w:t>
      </w:r>
    </w:p>
    <w:p w:rsidR="00ED1F70" w:rsidRPr="007226D7" w:rsidRDefault="00ED1F70" w:rsidP="00ED1F70">
      <w:pPr>
        <w:pStyle w:val="ListParagraph"/>
        <w:numPr>
          <w:ilvl w:val="0"/>
          <w:numId w:val="63"/>
        </w:numPr>
        <w:rPr>
          <w:lang w:val="es-ES"/>
        </w:rPr>
      </w:pPr>
      <w:r w:rsidRPr="007226D7">
        <w:rPr>
          <w:noProof/>
          <w:lang w:val="es-ES"/>
        </w:rPr>
        <w:t>O</w:t>
      </w:r>
      <w:r w:rsidRPr="007226D7">
        <w:rPr>
          <w:noProof/>
          <w:vertAlign w:val="subscript"/>
          <w:lang w:val="es-ES"/>
        </w:rPr>
        <w:t>i</w:t>
      </w:r>
      <w:r w:rsidRPr="007226D7">
        <w:rPr>
          <w:lang w:val="es-ES"/>
        </w:rPr>
        <w:t xml:space="preserve"> </w:t>
      </w:r>
      <w:r w:rsidRPr="007226D7">
        <w:rPr>
          <w:lang w:val="es-ES"/>
        </w:rPr>
        <w:tab/>
      </w:r>
      <w:r w:rsidRPr="007226D7">
        <w:rPr>
          <w:lang w:val="es-ES"/>
        </w:rPr>
        <w:tab/>
      </w:r>
      <w:r w:rsidRPr="007226D7">
        <w:rPr>
          <w:noProof/>
          <w:lang w:val="es-ES"/>
        </w:rPr>
        <w:t>Número de viajes con origen en la zona i</w:t>
      </w:r>
    </w:p>
    <w:p w:rsidR="00ED1F70" w:rsidRPr="007226D7" w:rsidRDefault="00ED1F70" w:rsidP="00ED1F70">
      <w:pPr>
        <w:pStyle w:val="ListParagraph"/>
        <w:numPr>
          <w:ilvl w:val="0"/>
          <w:numId w:val="63"/>
        </w:numPr>
        <w:rPr>
          <w:lang w:val="es-ES"/>
        </w:rPr>
      </w:pPr>
      <w:r w:rsidRPr="007226D7">
        <w:rPr>
          <w:noProof/>
          <w:lang w:val="es-ES"/>
        </w:rPr>
        <w:t>D</w:t>
      </w:r>
      <w:r w:rsidRPr="007226D7">
        <w:rPr>
          <w:noProof/>
          <w:vertAlign w:val="subscript"/>
          <w:lang w:val="es-ES"/>
        </w:rPr>
        <w:t>j</w:t>
      </w:r>
      <w:r w:rsidRPr="007226D7">
        <w:rPr>
          <w:lang w:val="es-ES"/>
        </w:rPr>
        <w:t xml:space="preserve"> </w:t>
      </w:r>
      <w:r w:rsidRPr="007226D7">
        <w:rPr>
          <w:lang w:val="es-ES"/>
        </w:rPr>
        <w:tab/>
      </w:r>
      <w:r w:rsidRPr="007226D7">
        <w:rPr>
          <w:lang w:val="es-ES"/>
        </w:rPr>
        <w:tab/>
      </w:r>
      <w:r w:rsidRPr="007226D7">
        <w:rPr>
          <w:noProof/>
          <w:lang w:val="es-ES"/>
        </w:rPr>
        <w:t>Número de viajes con destino en la zona j</w:t>
      </w:r>
    </w:p>
    <w:p w:rsidR="00ED1F70" w:rsidRPr="007226D7" w:rsidRDefault="00ED1F70" w:rsidP="00ED1F70">
      <w:pPr>
        <w:pStyle w:val="ListParagraph"/>
        <w:numPr>
          <w:ilvl w:val="0"/>
          <w:numId w:val="63"/>
        </w:numPr>
        <w:rPr>
          <w:lang w:val="es-ES"/>
        </w:rPr>
      </w:pPr>
      <w:r w:rsidRPr="007226D7">
        <w:rPr>
          <w:noProof/>
          <w:lang w:val="es-ES"/>
        </w:rPr>
        <w:lastRenderedPageBreak/>
        <w:t>V</w:t>
      </w:r>
      <w:r w:rsidRPr="007226D7">
        <w:rPr>
          <w:noProof/>
          <w:vertAlign w:val="subscript"/>
          <w:lang w:val="es-ES"/>
        </w:rPr>
        <w:t>i</w:t>
      </w:r>
      <w:r w:rsidRPr="007226D7">
        <w:rPr>
          <w:noProof/>
          <w:vertAlign w:val="superscript"/>
          <w:lang w:val="es-ES"/>
        </w:rPr>
        <w:t>1</w:t>
      </w:r>
      <w:r w:rsidRPr="007226D7">
        <w:rPr>
          <w:lang w:val="es-ES"/>
        </w:rPr>
        <w:tab/>
      </w:r>
      <w:r w:rsidRPr="007226D7">
        <w:rPr>
          <w:lang w:val="es-ES"/>
        </w:rPr>
        <w:tab/>
      </w:r>
      <w:r w:rsidRPr="007226D7">
        <w:rPr>
          <w:noProof/>
          <w:lang w:val="es-ES"/>
        </w:rPr>
        <w:t>Variable socioeconómica de la zona i</w:t>
      </w:r>
    </w:p>
    <w:p w:rsidR="00ED1F70" w:rsidRPr="008C61F3" w:rsidRDefault="00ED1F70" w:rsidP="00ED1F70">
      <w:pPr>
        <w:pStyle w:val="ListParagraph"/>
        <w:numPr>
          <w:ilvl w:val="0"/>
          <w:numId w:val="63"/>
        </w:numPr>
        <w:rPr>
          <w:lang w:val="pt-BR"/>
        </w:rPr>
      </w:pPr>
      <w:r w:rsidRPr="008C61F3">
        <w:rPr>
          <w:noProof/>
          <w:lang w:val="pt-BR"/>
        </w:rPr>
        <w:t>a,b,c,n</w:t>
      </w:r>
      <w:r w:rsidRPr="008C61F3">
        <w:rPr>
          <w:lang w:val="pt-BR"/>
        </w:rPr>
        <w:t xml:space="preserve"> </w:t>
      </w:r>
      <w:r w:rsidRPr="008C61F3">
        <w:rPr>
          <w:lang w:val="pt-BR"/>
        </w:rPr>
        <w:tab/>
      </w:r>
      <w:r w:rsidRPr="008C61F3">
        <w:rPr>
          <w:noProof/>
          <w:lang w:val="pt-BR"/>
        </w:rPr>
        <w:t>Parámetros de ajuste</w:t>
      </w:r>
    </w:p>
    <w:p w:rsidR="00ED1F70" w:rsidRPr="007226D7" w:rsidRDefault="00ED1F70" w:rsidP="00ED1F70">
      <w:pPr>
        <w:rPr>
          <w:noProof/>
          <w:lang w:val="es-ES"/>
        </w:rPr>
      </w:pPr>
      <w:r w:rsidRPr="007226D7">
        <w:rPr>
          <w:noProof/>
          <w:lang w:val="es-ES"/>
        </w:rPr>
        <w:t>A continuación se presentan los modelos y estadísticos obtenidos para los tres períodos horarios:</w:t>
      </w:r>
    </w:p>
    <w:p w:rsidR="00ED1F70" w:rsidRPr="007226D7" w:rsidRDefault="00ED1F70" w:rsidP="00ED1F70">
      <w:pPr>
        <w:pStyle w:val="ListParagraph"/>
        <w:numPr>
          <w:ilvl w:val="0"/>
          <w:numId w:val="65"/>
        </w:numPr>
        <w:rPr>
          <w:lang w:val="es-ES"/>
        </w:rPr>
      </w:pPr>
      <w:r w:rsidRPr="007226D7">
        <w:rPr>
          <w:noProof/>
          <w:lang w:val="es-ES"/>
        </w:rPr>
        <w:t>Modelos de HPM</w:t>
      </w:r>
    </w:p>
    <w:p w:rsidR="00ED1F70" w:rsidRPr="007226D7" w:rsidRDefault="00596F60" w:rsidP="00ED1F70">
      <w:pPr>
        <w:pStyle w:val="Figuras"/>
      </w:pPr>
      <w:r w:rsidRPr="007226D7">
        <w:rPr>
          <w:noProof/>
        </w:rPr>
        <w:t>Tabla 4.5 – 3</w:t>
      </w:r>
      <w:r w:rsidRPr="007226D7">
        <w:t xml:space="preserve">: </w:t>
      </w:r>
      <w:r w:rsidR="00ED1F70" w:rsidRPr="007226D7">
        <w:rPr>
          <w:noProof/>
        </w:rPr>
        <w:t>Modelo de origen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Coeficiente</w:t>
            </w:r>
          </w:p>
        </w:tc>
        <w:tc>
          <w:tcPr>
            <w:tcW w:w="1332" w:type="pct"/>
            <w:tcBorders>
              <w:top w:val="single" w:sz="12" w:space="0" w:color="000000"/>
              <w:bottom w:val="single" w:sz="4" w:space="0" w:color="000000"/>
            </w:tcBorders>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T Estadístico</w:t>
            </w:r>
          </w:p>
        </w:tc>
        <w:tc>
          <w:tcPr>
            <w:tcW w:w="1035" w:type="pct"/>
            <w:tcBorders>
              <w:top w:val="single" w:sz="12" w:space="0" w:color="000000"/>
              <w:bottom w:val="single" w:sz="4" w:space="0" w:color="000000"/>
            </w:tcBorders>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R2</w:t>
            </w:r>
          </w:p>
        </w:tc>
      </w:tr>
      <w:tr w:rsidR="00ED1F70" w:rsidRPr="007226D7" w:rsidTr="009563C7">
        <w:trPr>
          <w:trHeight w:val="225"/>
          <w:jc w:val="center"/>
        </w:trPr>
        <w:tc>
          <w:tcPr>
            <w:tcW w:w="1372" w:type="pct"/>
            <w:tcBorders>
              <w:top w:val="single" w:sz="4" w:space="0" w:color="000000"/>
              <w:bottom w:val="nil"/>
              <w:right w:val="single" w:sz="4" w:space="0" w:color="000000"/>
            </w:tcBorders>
            <w:noWrap/>
          </w:tcPr>
          <w:p w:rsidR="00ED1F70" w:rsidRPr="007226D7" w:rsidRDefault="00ED1F70" w:rsidP="00F2075F">
            <w:pPr>
              <w:spacing w:line="240" w:lineRule="auto"/>
              <w:jc w:val="left"/>
              <w:rPr>
                <w:b/>
                <w:bCs/>
                <w:noProof/>
                <w:sz w:val="18"/>
                <w:szCs w:val="16"/>
                <w:lang w:val="es-ES"/>
              </w:rPr>
            </w:pPr>
            <w:r w:rsidRPr="007226D7">
              <w:rPr>
                <w:b/>
                <w:bCs/>
                <w:noProof/>
                <w:sz w:val="18"/>
                <w:szCs w:val="16"/>
                <w:lang w:val="es-ES"/>
              </w:rPr>
              <w:t>Población</w:t>
            </w:r>
          </w:p>
        </w:tc>
        <w:tc>
          <w:tcPr>
            <w:tcW w:w="1261" w:type="pct"/>
            <w:tcBorders>
              <w:top w:val="single" w:sz="4" w:space="0" w:color="000000"/>
              <w:left w:val="single" w:sz="4" w:space="0" w:color="000000"/>
            </w:tcBorders>
            <w:noWrap/>
            <w:vAlign w:val="center"/>
          </w:tcPr>
          <w:p w:rsidR="00ED1F70" w:rsidRPr="007226D7" w:rsidRDefault="00ED1F70" w:rsidP="00F044B0">
            <w:pPr>
              <w:jc w:val="right"/>
              <w:rPr>
                <w:bCs/>
                <w:i/>
                <w:noProof/>
                <w:sz w:val="18"/>
                <w:szCs w:val="16"/>
                <w:lang w:val="es-ES"/>
              </w:rPr>
            </w:pPr>
            <w:r w:rsidRPr="007226D7">
              <w:rPr>
                <w:bCs/>
                <w:i/>
                <w:noProof/>
                <w:sz w:val="18"/>
                <w:szCs w:val="16"/>
                <w:lang w:val="es-ES"/>
              </w:rPr>
              <w:t>0.0846</w:t>
            </w:r>
          </w:p>
        </w:tc>
        <w:tc>
          <w:tcPr>
            <w:tcW w:w="1332" w:type="pct"/>
            <w:tcBorders>
              <w:top w:val="single" w:sz="4" w:space="0" w:color="000000"/>
            </w:tcBorders>
            <w:vAlign w:val="center"/>
          </w:tcPr>
          <w:p w:rsidR="00ED1F70" w:rsidRPr="007226D7" w:rsidRDefault="00ED1F70" w:rsidP="00F044B0">
            <w:pPr>
              <w:jc w:val="right"/>
              <w:rPr>
                <w:bCs/>
                <w:i/>
                <w:noProof/>
                <w:sz w:val="18"/>
                <w:szCs w:val="16"/>
                <w:lang w:val="es-ES"/>
              </w:rPr>
            </w:pPr>
            <w:r w:rsidRPr="007226D7">
              <w:rPr>
                <w:bCs/>
                <w:i/>
                <w:noProof/>
                <w:sz w:val="18"/>
                <w:szCs w:val="16"/>
                <w:lang w:val="es-ES"/>
              </w:rPr>
              <w:t>15.10</w:t>
            </w:r>
          </w:p>
        </w:tc>
        <w:tc>
          <w:tcPr>
            <w:tcW w:w="1035" w:type="pct"/>
            <w:vMerge w:val="restart"/>
            <w:tcBorders>
              <w:top w:val="single" w:sz="4" w:space="0" w:color="000000"/>
            </w:tcBorders>
            <w:vAlign w:val="center"/>
          </w:tcPr>
          <w:p w:rsidR="00ED1F70" w:rsidRPr="007226D7" w:rsidRDefault="00ED1F70" w:rsidP="00F044B0">
            <w:pPr>
              <w:jc w:val="right"/>
              <w:rPr>
                <w:bCs/>
                <w:i/>
                <w:noProof/>
                <w:sz w:val="18"/>
                <w:szCs w:val="16"/>
                <w:lang w:val="es-ES"/>
              </w:rPr>
            </w:pPr>
            <w:r w:rsidRPr="007226D7">
              <w:rPr>
                <w:bCs/>
                <w:i/>
                <w:noProof/>
                <w:sz w:val="18"/>
                <w:szCs w:val="16"/>
                <w:lang w:val="es-ES"/>
              </w:rPr>
              <w:t>0.84</w:t>
            </w:r>
          </w:p>
        </w:tc>
      </w:tr>
      <w:tr w:rsidR="00ED1F70" w:rsidRPr="007226D7" w:rsidTr="009563C7">
        <w:trPr>
          <w:trHeight w:val="225"/>
          <w:jc w:val="center"/>
        </w:trPr>
        <w:tc>
          <w:tcPr>
            <w:tcW w:w="1372" w:type="pct"/>
            <w:tcBorders>
              <w:top w:val="nil"/>
              <w:bottom w:val="single" w:sz="12" w:space="0" w:color="000000"/>
              <w:right w:val="single" w:sz="4" w:space="0" w:color="000000"/>
            </w:tcBorders>
            <w:noWrap/>
          </w:tcPr>
          <w:p w:rsidR="00ED1F70" w:rsidRPr="007226D7" w:rsidRDefault="00ED1F70" w:rsidP="00F2075F">
            <w:pPr>
              <w:spacing w:line="240" w:lineRule="auto"/>
              <w:jc w:val="left"/>
              <w:rPr>
                <w:b/>
                <w:bCs/>
                <w:noProof/>
                <w:sz w:val="18"/>
                <w:szCs w:val="16"/>
                <w:lang w:val="es-ES"/>
              </w:rPr>
            </w:pPr>
            <w:r w:rsidRPr="007226D7">
              <w:rPr>
                <w:b/>
                <w:bCs/>
                <w:noProof/>
                <w:sz w:val="18"/>
                <w:szCs w:val="16"/>
                <w:lang w:val="es-ES"/>
              </w:rPr>
              <w:t>Vehículos</w:t>
            </w:r>
          </w:p>
        </w:tc>
        <w:tc>
          <w:tcPr>
            <w:tcW w:w="1261" w:type="pct"/>
            <w:tcBorders>
              <w:left w:val="single" w:sz="4" w:space="0" w:color="000000"/>
            </w:tcBorders>
            <w:noWrap/>
            <w:vAlign w:val="center"/>
          </w:tcPr>
          <w:p w:rsidR="00ED1F70" w:rsidRPr="007226D7" w:rsidRDefault="00ED1F70" w:rsidP="00F044B0">
            <w:pPr>
              <w:jc w:val="right"/>
              <w:rPr>
                <w:bCs/>
                <w:i/>
                <w:noProof/>
                <w:sz w:val="18"/>
                <w:szCs w:val="16"/>
                <w:lang w:val="es-ES"/>
              </w:rPr>
            </w:pPr>
            <w:r w:rsidRPr="007226D7">
              <w:rPr>
                <w:bCs/>
                <w:i/>
                <w:noProof/>
                <w:sz w:val="18"/>
                <w:szCs w:val="16"/>
                <w:lang w:val="es-ES"/>
              </w:rPr>
              <w:t>0.6431</w:t>
            </w:r>
          </w:p>
        </w:tc>
        <w:tc>
          <w:tcPr>
            <w:tcW w:w="1332" w:type="pct"/>
            <w:vAlign w:val="center"/>
          </w:tcPr>
          <w:p w:rsidR="00ED1F70" w:rsidRPr="007226D7" w:rsidRDefault="00ED1F70" w:rsidP="00F044B0">
            <w:pPr>
              <w:jc w:val="right"/>
              <w:rPr>
                <w:bCs/>
                <w:i/>
                <w:noProof/>
                <w:sz w:val="18"/>
                <w:szCs w:val="16"/>
                <w:lang w:val="es-ES"/>
              </w:rPr>
            </w:pPr>
            <w:r w:rsidRPr="007226D7">
              <w:rPr>
                <w:bCs/>
                <w:i/>
                <w:noProof/>
                <w:sz w:val="18"/>
                <w:szCs w:val="16"/>
                <w:lang w:val="es-ES"/>
              </w:rPr>
              <w:t>8.17</w:t>
            </w:r>
          </w:p>
        </w:tc>
        <w:tc>
          <w:tcPr>
            <w:tcW w:w="1035" w:type="pct"/>
            <w:vMerge/>
          </w:tcPr>
          <w:p w:rsidR="00ED1F70" w:rsidRPr="007226D7" w:rsidRDefault="00ED1F70" w:rsidP="00F2075F">
            <w:pPr>
              <w:spacing w:line="240" w:lineRule="auto"/>
              <w:jc w:val="right"/>
              <w:rPr>
                <w:b/>
                <w:bCs/>
                <w:noProof/>
                <w:sz w:val="18"/>
                <w:szCs w:val="16"/>
                <w:lang w:val="es-ES"/>
              </w:rPr>
            </w:pPr>
          </w:p>
        </w:tc>
      </w:tr>
    </w:tbl>
    <w:p w:rsidR="00ED1F70" w:rsidRPr="007226D7" w:rsidRDefault="00596F60" w:rsidP="00ED1F70">
      <w:pPr>
        <w:pStyle w:val="Figuras"/>
      </w:pPr>
      <w:r w:rsidRPr="007226D7">
        <w:rPr>
          <w:noProof/>
        </w:rPr>
        <w:t>Tabla 4.5 – 4</w:t>
      </w:r>
      <w:r w:rsidRPr="007226D7">
        <w:t xml:space="preserve">: </w:t>
      </w:r>
      <w:r w:rsidR="00ED1F70" w:rsidRPr="007226D7">
        <w:rPr>
          <w:noProof/>
        </w:rPr>
        <w:t>Modelo de destino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Coeficiente</w:t>
            </w:r>
          </w:p>
        </w:tc>
        <w:tc>
          <w:tcPr>
            <w:tcW w:w="1332" w:type="pct"/>
            <w:tcBorders>
              <w:top w:val="single" w:sz="12" w:space="0" w:color="000000"/>
              <w:bottom w:val="single" w:sz="4" w:space="0" w:color="000000"/>
            </w:tcBorders>
          </w:tcPr>
          <w:p w:rsidR="00ED1F70" w:rsidRPr="007226D7" w:rsidRDefault="00ED1F70" w:rsidP="00F044B0">
            <w:pPr>
              <w:spacing w:line="240" w:lineRule="auto"/>
              <w:jc w:val="left"/>
              <w:rPr>
                <w:b/>
                <w:bCs/>
                <w:i/>
                <w:noProof/>
                <w:sz w:val="18"/>
                <w:szCs w:val="16"/>
                <w:lang w:val="es-ES"/>
              </w:rPr>
            </w:pPr>
            <w:r w:rsidRPr="007226D7">
              <w:rPr>
                <w:b/>
                <w:bCs/>
                <w:i/>
                <w:noProof/>
                <w:sz w:val="18"/>
                <w:szCs w:val="16"/>
                <w:lang w:val="es-ES"/>
              </w:rPr>
              <w:t>T Estadístico</w:t>
            </w:r>
          </w:p>
        </w:tc>
        <w:tc>
          <w:tcPr>
            <w:tcW w:w="1035" w:type="pct"/>
            <w:tcBorders>
              <w:top w:val="single" w:sz="12" w:space="0" w:color="000000"/>
              <w:bottom w:val="single" w:sz="4" w:space="0" w:color="000000"/>
            </w:tcBorders>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R2</w:t>
            </w:r>
          </w:p>
        </w:tc>
      </w:tr>
      <w:tr w:rsidR="00ED1F70" w:rsidRPr="007226D7" w:rsidTr="009563C7">
        <w:trPr>
          <w:trHeight w:val="415"/>
          <w:jc w:val="center"/>
        </w:trPr>
        <w:tc>
          <w:tcPr>
            <w:tcW w:w="1372" w:type="pct"/>
            <w:tcBorders>
              <w:top w:val="single" w:sz="4" w:space="0" w:color="000000"/>
              <w:right w:val="single" w:sz="4" w:space="0" w:color="000000"/>
            </w:tcBorders>
            <w:noWrap/>
          </w:tcPr>
          <w:p w:rsidR="00ED1F70" w:rsidRPr="007226D7" w:rsidRDefault="00ED1F70" w:rsidP="00F2075F">
            <w:pPr>
              <w:spacing w:line="240" w:lineRule="auto"/>
              <w:jc w:val="left"/>
              <w:rPr>
                <w:b/>
                <w:bCs/>
                <w:i/>
                <w:noProof/>
                <w:sz w:val="18"/>
                <w:szCs w:val="16"/>
                <w:lang w:val="es-ES"/>
              </w:rPr>
            </w:pPr>
            <w:r w:rsidRPr="007226D7">
              <w:rPr>
                <w:b/>
                <w:bCs/>
                <w:i/>
                <w:noProof/>
                <w:sz w:val="18"/>
                <w:szCs w:val="16"/>
                <w:lang w:val="es-ES"/>
              </w:rPr>
              <w:t>Empleo</w:t>
            </w:r>
          </w:p>
        </w:tc>
        <w:tc>
          <w:tcPr>
            <w:tcW w:w="1261" w:type="pct"/>
            <w:tcBorders>
              <w:top w:val="single" w:sz="4" w:space="0" w:color="000000"/>
              <w:left w:val="single" w:sz="4" w:space="0" w:color="000000"/>
            </w:tcBorders>
            <w:noWrap/>
            <w:vAlign w:val="center"/>
          </w:tcPr>
          <w:p w:rsidR="00ED1F70" w:rsidRPr="007226D7" w:rsidRDefault="00ED1F70" w:rsidP="00F044B0">
            <w:pPr>
              <w:jc w:val="right"/>
              <w:rPr>
                <w:bCs/>
                <w:i/>
                <w:noProof/>
                <w:sz w:val="18"/>
                <w:szCs w:val="16"/>
                <w:lang w:val="es-ES"/>
              </w:rPr>
            </w:pPr>
            <w:r w:rsidRPr="007226D7">
              <w:rPr>
                <w:bCs/>
                <w:i/>
                <w:noProof/>
                <w:sz w:val="18"/>
                <w:szCs w:val="16"/>
                <w:lang w:val="es-ES"/>
              </w:rPr>
              <w:t>0,1679</w:t>
            </w:r>
          </w:p>
        </w:tc>
        <w:tc>
          <w:tcPr>
            <w:tcW w:w="1332" w:type="pct"/>
            <w:tcBorders>
              <w:top w:val="single" w:sz="4" w:space="0" w:color="000000"/>
            </w:tcBorders>
            <w:vAlign w:val="center"/>
          </w:tcPr>
          <w:p w:rsidR="00ED1F70" w:rsidRPr="007226D7" w:rsidRDefault="00ED1F70" w:rsidP="00F044B0">
            <w:pPr>
              <w:jc w:val="right"/>
              <w:rPr>
                <w:bCs/>
                <w:i/>
                <w:noProof/>
                <w:sz w:val="18"/>
                <w:szCs w:val="16"/>
                <w:lang w:val="es-ES"/>
              </w:rPr>
            </w:pPr>
            <w:r w:rsidRPr="007226D7">
              <w:rPr>
                <w:bCs/>
                <w:i/>
                <w:noProof/>
                <w:sz w:val="18"/>
                <w:szCs w:val="16"/>
                <w:lang w:val="es-ES"/>
              </w:rPr>
              <w:t>8,49</w:t>
            </w:r>
          </w:p>
        </w:tc>
        <w:tc>
          <w:tcPr>
            <w:tcW w:w="1035" w:type="pct"/>
            <w:vMerge w:val="restart"/>
            <w:tcBorders>
              <w:top w:val="single" w:sz="4" w:space="0" w:color="000000"/>
            </w:tcBorders>
            <w:vAlign w:val="center"/>
          </w:tcPr>
          <w:p w:rsidR="00ED1F70" w:rsidRPr="007226D7" w:rsidRDefault="00ED1F70" w:rsidP="00F044B0">
            <w:pPr>
              <w:jc w:val="right"/>
              <w:rPr>
                <w:bCs/>
                <w:i/>
                <w:noProof/>
                <w:sz w:val="18"/>
                <w:szCs w:val="16"/>
                <w:lang w:val="es-ES"/>
              </w:rPr>
            </w:pPr>
            <w:r w:rsidRPr="007226D7">
              <w:rPr>
                <w:bCs/>
                <w:i/>
                <w:noProof/>
                <w:sz w:val="18"/>
                <w:szCs w:val="16"/>
                <w:lang w:val="es-ES"/>
              </w:rPr>
              <w:t>0,75</w:t>
            </w:r>
          </w:p>
        </w:tc>
      </w:tr>
      <w:tr w:rsidR="00ED1F70" w:rsidRPr="007226D7" w:rsidTr="009563C7">
        <w:trPr>
          <w:trHeight w:val="225"/>
          <w:jc w:val="center"/>
        </w:trPr>
        <w:tc>
          <w:tcPr>
            <w:tcW w:w="1372" w:type="pct"/>
            <w:tcBorders>
              <w:bottom w:val="single" w:sz="12" w:space="0" w:color="000000"/>
              <w:right w:val="single" w:sz="4" w:space="0" w:color="000000"/>
            </w:tcBorders>
            <w:noWrap/>
          </w:tcPr>
          <w:p w:rsidR="00ED1F70" w:rsidRPr="007226D7" w:rsidRDefault="00ED1F70" w:rsidP="00F2075F">
            <w:pPr>
              <w:spacing w:line="240" w:lineRule="auto"/>
              <w:jc w:val="left"/>
              <w:rPr>
                <w:b/>
                <w:bCs/>
                <w:i/>
                <w:noProof/>
                <w:sz w:val="18"/>
                <w:szCs w:val="16"/>
                <w:lang w:val="es-ES"/>
              </w:rPr>
            </w:pPr>
            <w:r w:rsidRPr="007226D7">
              <w:rPr>
                <w:b/>
                <w:bCs/>
                <w:i/>
                <w:noProof/>
                <w:sz w:val="18"/>
                <w:szCs w:val="16"/>
                <w:lang w:val="es-ES"/>
              </w:rPr>
              <w:t>Plazas escolares</w:t>
            </w:r>
          </w:p>
        </w:tc>
        <w:tc>
          <w:tcPr>
            <w:tcW w:w="1261" w:type="pct"/>
            <w:tcBorders>
              <w:left w:val="single" w:sz="4" w:space="0" w:color="000000"/>
            </w:tcBorders>
            <w:noWrap/>
            <w:vAlign w:val="center"/>
          </w:tcPr>
          <w:p w:rsidR="00ED1F70" w:rsidRPr="007226D7" w:rsidRDefault="00ED1F70" w:rsidP="00F044B0">
            <w:pPr>
              <w:jc w:val="right"/>
              <w:rPr>
                <w:bCs/>
                <w:i/>
                <w:noProof/>
                <w:sz w:val="18"/>
                <w:szCs w:val="16"/>
                <w:lang w:val="es-ES"/>
              </w:rPr>
            </w:pPr>
            <w:r w:rsidRPr="007226D7">
              <w:rPr>
                <w:bCs/>
                <w:i/>
                <w:noProof/>
                <w:sz w:val="18"/>
                <w:szCs w:val="16"/>
                <w:lang w:val="es-ES"/>
              </w:rPr>
              <w:t>0,1702</w:t>
            </w:r>
          </w:p>
        </w:tc>
        <w:tc>
          <w:tcPr>
            <w:tcW w:w="1332" w:type="pct"/>
            <w:vAlign w:val="center"/>
          </w:tcPr>
          <w:p w:rsidR="00ED1F70" w:rsidRPr="007226D7" w:rsidRDefault="00ED1F70" w:rsidP="00F044B0">
            <w:pPr>
              <w:jc w:val="right"/>
              <w:rPr>
                <w:bCs/>
                <w:i/>
                <w:noProof/>
                <w:sz w:val="18"/>
                <w:szCs w:val="16"/>
                <w:lang w:val="es-ES"/>
              </w:rPr>
            </w:pPr>
            <w:r w:rsidRPr="007226D7">
              <w:rPr>
                <w:bCs/>
                <w:i/>
                <w:noProof/>
                <w:sz w:val="18"/>
                <w:szCs w:val="16"/>
                <w:lang w:val="es-ES"/>
              </w:rPr>
              <w:t>5,31</w:t>
            </w:r>
          </w:p>
        </w:tc>
        <w:tc>
          <w:tcPr>
            <w:tcW w:w="1035" w:type="pct"/>
            <w:vMerge/>
          </w:tcPr>
          <w:p w:rsidR="00ED1F70" w:rsidRPr="007226D7" w:rsidRDefault="00ED1F70" w:rsidP="00F2075F">
            <w:pPr>
              <w:spacing w:line="240" w:lineRule="auto"/>
              <w:jc w:val="right"/>
              <w:rPr>
                <w:lang w:val="es-ES"/>
              </w:rPr>
            </w:pPr>
          </w:p>
        </w:tc>
      </w:tr>
    </w:tbl>
    <w:p w:rsidR="007246E6" w:rsidRDefault="007246E6">
      <w:pPr>
        <w:spacing w:after="0" w:line="240" w:lineRule="auto"/>
        <w:jc w:val="left"/>
        <w:rPr>
          <w:lang w:val="es-ES"/>
        </w:rPr>
      </w:pPr>
    </w:p>
    <w:p w:rsidR="00BE2416" w:rsidRPr="007226D7" w:rsidRDefault="00BE2416">
      <w:pPr>
        <w:spacing w:after="0" w:line="240" w:lineRule="auto"/>
        <w:jc w:val="left"/>
        <w:rPr>
          <w:lang w:val="es-ES"/>
        </w:rPr>
      </w:pPr>
    </w:p>
    <w:p w:rsidR="00ED1F70" w:rsidRPr="007226D7" w:rsidRDefault="00ED1F70" w:rsidP="00ED1F70">
      <w:pPr>
        <w:pStyle w:val="ListParagraph"/>
        <w:numPr>
          <w:ilvl w:val="0"/>
          <w:numId w:val="65"/>
        </w:numPr>
        <w:rPr>
          <w:lang w:val="es-ES"/>
        </w:rPr>
      </w:pPr>
      <w:r w:rsidRPr="007226D7">
        <w:rPr>
          <w:noProof/>
          <w:lang w:val="es-ES"/>
        </w:rPr>
        <w:t>Modelos de HPT</w:t>
      </w:r>
    </w:p>
    <w:p w:rsidR="00ED1F70" w:rsidRPr="007226D7" w:rsidRDefault="00596F60" w:rsidP="00ED1F70">
      <w:pPr>
        <w:pStyle w:val="Figuras"/>
      </w:pPr>
      <w:r w:rsidRPr="007226D7">
        <w:rPr>
          <w:noProof/>
        </w:rPr>
        <w:t>Tabla 4.5 – 5</w:t>
      </w:r>
      <w:r w:rsidRPr="007226D7">
        <w:t xml:space="preserve">: </w:t>
      </w:r>
      <w:r w:rsidR="00ED1F70" w:rsidRPr="007226D7">
        <w:rPr>
          <w:noProof/>
        </w:rPr>
        <w:t>Modelo de origen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044B0">
            <w:pPr>
              <w:spacing w:line="240" w:lineRule="auto"/>
              <w:jc w:val="left"/>
              <w:rPr>
                <w:b/>
                <w:bCs/>
                <w:i/>
                <w:noProof/>
                <w:sz w:val="18"/>
                <w:szCs w:val="18"/>
                <w:lang w:val="es-ES"/>
              </w:rPr>
            </w:pPr>
            <w:r w:rsidRPr="007226D7">
              <w:rPr>
                <w:b/>
                <w:bCs/>
                <w:i/>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044B0">
            <w:pPr>
              <w:spacing w:line="240" w:lineRule="auto"/>
              <w:jc w:val="left"/>
              <w:rPr>
                <w:b/>
                <w:bCs/>
                <w:i/>
                <w:noProof/>
                <w:sz w:val="18"/>
                <w:szCs w:val="18"/>
                <w:lang w:val="es-ES"/>
              </w:rPr>
            </w:pPr>
            <w:r w:rsidRPr="007226D7">
              <w:rPr>
                <w:b/>
                <w:bCs/>
                <w:i/>
                <w:noProof/>
                <w:sz w:val="18"/>
                <w:szCs w:val="18"/>
                <w:lang w:val="es-ES"/>
              </w:rPr>
              <w:t>Coeficiente</w:t>
            </w:r>
          </w:p>
        </w:tc>
        <w:tc>
          <w:tcPr>
            <w:tcW w:w="1332" w:type="pct"/>
            <w:tcBorders>
              <w:top w:val="single" w:sz="12" w:space="0" w:color="000000"/>
              <w:bottom w:val="single" w:sz="4" w:space="0" w:color="000000"/>
            </w:tcBorders>
          </w:tcPr>
          <w:p w:rsidR="00ED1F70" w:rsidRPr="007226D7" w:rsidRDefault="00ED1F70" w:rsidP="00F044B0">
            <w:pPr>
              <w:spacing w:line="240" w:lineRule="auto"/>
              <w:jc w:val="left"/>
              <w:rPr>
                <w:b/>
                <w:bCs/>
                <w:i/>
                <w:noProof/>
                <w:sz w:val="18"/>
                <w:szCs w:val="18"/>
                <w:lang w:val="es-ES"/>
              </w:rPr>
            </w:pPr>
            <w:r w:rsidRPr="007226D7">
              <w:rPr>
                <w:b/>
                <w:bCs/>
                <w:i/>
                <w:noProof/>
                <w:sz w:val="18"/>
                <w:szCs w:val="18"/>
                <w:lang w:val="es-ES"/>
              </w:rPr>
              <w:t>T Estadístico</w:t>
            </w:r>
          </w:p>
        </w:tc>
        <w:tc>
          <w:tcPr>
            <w:tcW w:w="1035" w:type="pct"/>
            <w:tcBorders>
              <w:top w:val="single" w:sz="12" w:space="0" w:color="000000"/>
              <w:bottom w:val="single" w:sz="4" w:space="0" w:color="000000"/>
            </w:tcBorders>
          </w:tcPr>
          <w:p w:rsidR="00ED1F70" w:rsidRPr="007226D7" w:rsidRDefault="00ED1F70" w:rsidP="00F044B0">
            <w:pPr>
              <w:spacing w:line="240" w:lineRule="auto"/>
              <w:jc w:val="left"/>
              <w:rPr>
                <w:b/>
                <w:bCs/>
                <w:i/>
                <w:noProof/>
                <w:sz w:val="18"/>
                <w:szCs w:val="18"/>
                <w:lang w:val="es-ES"/>
              </w:rPr>
            </w:pPr>
            <w:r w:rsidRPr="007226D7">
              <w:rPr>
                <w:b/>
                <w:bCs/>
                <w:i/>
                <w:noProof/>
                <w:sz w:val="18"/>
                <w:szCs w:val="18"/>
                <w:lang w:val="es-ES"/>
              </w:rPr>
              <w:t>R2</w:t>
            </w:r>
          </w:p>
        </w:tc>
      </w:tr>
      <w:tr w:rsidR="00ED1F70" w:rsidRPr="007226D7" w:rsidTr="009563C7">
        <w:trPr>
          <w:trHeight w:val="421"/>
          <w:jc w:val="center"/>
        </w:trPr>
        <w:tc>
          <w:tcPr>
            <w:tcW w:w="1372" w:type="pct"/>
            <w:tcBorders>
              <w:top w:val="single" w:sz="4" w:space="0" w:color="000000"/>
              <w:right w:val="single" w:sz="4" w:space="0" w:color="000000"/>
            </w:tcBorders>
            <w:noWrap/>
          </w:tcPr>
          <w:p w:rsidR="00ED1F70" w:rsidRPr="007226D7" w:rsidRDefault="00ED1F70" w:rsidP="00F2075F">
            <w:pPr>
              <w:spacing w:line="240" w:lineRule="auto"/>
              <w:jc w:val="left"/>
              <w:rPr>
                <w:b/>
                <w:bCs/>
                <w:i/>
                <w:noProof/>
                <w:sz w:val="18"/>
                <w:szCs w:val="18"/>
                <w:lang w:val="es-ES"/>
              </w:rPr>
            </w:pPr>
            <w:r w:rsidRPr="007226D7">
              <w:rPr>
                <w:b/>
                <w:bCs/>
                <w:i/>
                <w:noProof/>
                <w:sz w:val="18"/>
                <w:szCs w:val="18"/>
                <w:lang w:val="es-ES"/>
              </w:rPr>
              <w:t>Población</w:t>
            </w:r>
          </w:p>
        </w:tc>
        <w:tc>
          <w:tcPr>
            <w:tcW w:w="1261" w:type="pct"/>
            <w:tcBorders>
              <w:top w:val="single" w:sz="4" w:space="0" w:color="000000"/>
              <w:left w:val="single" w:sz="4" w:space="0" w:color="000000"/>
            </w:tcBorders>
            <w:noWrap/>
            <w:vAlign w:val="center"/>
          </w:tcPr>
          <w:p w:rsidR="00ED1F70" w:rsidRPr="007226D7" w:rsidRDefault="00ED1F70" w:rsidP="00F044B0">
            <w:pPr>
              <w:jc w:val="right"/>
              <w:rPr>
                <w:bCs/>
                <w:i/>
                <w:noProof/>
                <w:sz w:val="18"/>
                <w:szCs w:val="18"/>
                <w:lang w:val="es-ES"/>
              </w:rPr>
            </w:pPr>
            <w:r w:rsidRPr="007226D7">
              <w:rPr>
                <w:bCs/>
                <w:i/>
                <w:noProof/>
                <w:sz w:val="18"/>
                <w:szCs w:val="18"/>
                <w:lang w:val="es-ES"/>
              </w:rPr>
              <w:t>0.1638</w:t>
            </w:r>
          </w:p>
        </w:tc>
        <w:tc>
          <w:tcPr>
            <w:tcW w:w="1332" w:type="pct"/>
            <w:tcBorders>
              <w:top w:val="single" w:sz="4" w:space="0" w:color="000000"/>
            </w:tcBorders>
            <w:vAlign w:val="center"/>
          </w:tcPr>
          <w:p w:rsidR="00ED1F70" w:rsidRPr="007226D7" w:rsidRDefault="00ED1F70" w:rsidP="00F044B0">
            <w:pPr>
              <w:jc w:val="right"/>
              <w:rPr>
                <w:bCs/>
                <w:i/>
                <w:noProof/>
                <w:sz w:val="18"/>
                <w:szCs w:val="18"/>
                <w:lang w:val="es-ES"/>
              </w:rPr>
            </w:pPr>
            <w:r w:rsidRPr="007226D7">
              <w:rPr>
                <w:bCs/>
                <w:i/>
                <w:noProof/>
                <w:sz w:val="18"/>
                <w:szCs w:val="18"/>
                <w:lang w:val="es-ES"/>
              </w:rPr>
              <w:t>13.14</w:t>
            </w:r>
          </w:p>
        </w:tc>
        <w:tc>
          <w:tcPr>
            <w:tcW w:w="1035" w:type="pct"/>
            <w:vMerge w:val="restart"/>
            <w:tcBorders>
              <w:top w:val="single" w:sz="4" w:space="0" w:color="000000"/>
            </w:tcBorders>
            <w:vAlign w:val="center"/>
          </w:tcPr>
          <w:p w:rsidR="00ED1F70" w:rsidRPr="007226D7" w:rsidRDefault="00ED1F70" w:rsidP="00F044B0">
            <w:pPr>
              <w:jc w:val="right"/>
              <w:rPr>
                <w:bCs/>
                <w:i/>
                <w:noProof/>
                <w:sz w:val="18"/>
                <w:szCs w:val="18"/>
                <w:lang w:val="es-ES"/>
              </w:rPr>
            </w:pPr>
            <w:r w:rsidRPr="007226D7">
              <w:rPr>
                <w:bCs/>
                <w:i/>
                <w:noProof/>
                <w:sz w:val="18"/>
                <w:szCs w:val="18"/>
                <w:lang w:val="es-ES"/>
              </w:rPr>
              <w:t>0.79</w:t>
            </w:r>
          </w:p>
        </w:tc>
      </w:tr>
      <w:tr w:rsidR="00ED1F70" w:rsidRPr="007226D7" w:rsidTr="009563C7">
        <w:trPr>
          <w:trHeight w:val="225"/>
          <w:jc w:val="center"/>
        </w:trPr>
        <w:tc>
          <w:tcPr>
            <w:tcW w:w="1372" w:type="pct"/>
            <w:tcBorders>
              <w:bottom w:val="single" w:sz="12" w:space="0" w:color="000000"/>
              <w:right w:val="single" w:sz="4" w:space="0" w:color="000000"/>
            </w:tcBorders>
            <w:noWrap/>
          </w:tcPr>
          <w:p w:rsidR="00ED1F70" w:rsidRPr="007226D7" w:rsidRDefault="00ED1F70" w:rsidP="00F2075F">
            <w:pPr>
              <w:spacing w:line="240" w:lineRule="auto"/>
              <w:jc w:val="left"/>
              <w:rPr>
                <w:b/>
                <w:bCs/>
                <w:i/>
                <w:noProof/>
                <w:sz w:val="18"/>
                <w:szCs w:val="18"/>
                <w:lang w:val="es-ES"/>
              </w:rPr>
            </w:pPr>
            <w:r w:rsidRPr="007226D7">
              <w:rPr>
                <w:b/>
                <w:bCs/>
                <w:i/>
                <w:noProof/>
                <w:sz w:val="18"/>
                <w:szCs w:val="18"/>
                <w:lang w:val="es-ES"/>
              </w:rPr>
              <w:t>Vehículos</w:t>
            </w:r>
          </w:p>
        </w:tc>
        <w:tc>
          <w:tcPr>
            <w:tcW w:w="1261" w:type="pct"/>
            <w:tcBorders>
              <w:left w:val="single" w:sz="4" w:space="0" w:color="000000"/>
            </w:tcBorders>
            <w:noWrap/>
            <w:vAlign w:val="center"/>
          </w:tcPr>
          <w:p w:rsidR="00ED1F70" w:rsidRPr="007226D7" w:rsidRDefault="00ED1F70" w:rsidP="00F044B0">
            <w:pPr>
              <w:jc w:val="right"/>
              <w:rPr>
                <w:bCs/>
                <w:i/>
                <w:noProof/>
                <w:sz w:val="18"/>
                <w:szCs w:val="18"/>
                <w:lang w:val="es-ES"/>
              </w:rPr>
            </w:pPr>
            <w:r w:rsidRPr="007226D7">
              <w:rPr>
                <w:bCs/>
                <w:i/>
                <w:noProof/>
                <w:sz w:val="18"/>
                <w:szCs w:val="18"/>
                <w:lang w:val="es-ES"/>
              </w:rPr>
              <w:t>0.0447</w:t>
            </w:r>
          </w:p>
        </w:tc>
        <w:tc>
          <w:tcPr>
            <w:tcW w:w="1332" w:type="pct"/>
            <w:vAlign w:val="center"/>
          </w:tcPr>
          <w:p w:rsidR="00ED1F70" w:rsidRPr="007226D7" w:rsidRDefault="00ED1F70" w:rsidP="00F044B0">
            <w:pPr>
              <w:jc w:val="right"/>
              <w:rPr>
                <w:bCs/>
                <w:i/>
                <w:noProof/>
                <w:sz w:val="18"/>
                <w:szCs w:val="18"/>
                <w:lang w:val="es-ES"/>
              </w:rPr>
            </w:pPr>
            <w:r w:rsidRPr="007226D7">
              <w:rPr>
                <w:bCs/>
                <w:i/>
                <w:noProof/>
                <w:sz w:val="18"/>
                <w:szCs w:val="18"/>
                <w:lang w:val="es-ES"/>
              </w:rPr>
              <w:t>2.20</w:t>
            </w:r>
          </w:p>
        </w:tc>
        <w:tc>
          <w:tcPr>
            <w:tcW w:w="1035" w:type="pct"/>
            <w:vMerge/>
          </w:tcPr>
          <w:p w:rsidR="00ED1F70" w:rsidRPr="007226D7" w:rsidRDefault="00ED1F70" w:rsidP="00F2075F">
            <w:pPr>
              <w:spacing w:line="240" w:lineRule="auto"/>
              <w:jc w:val="right"/>
              <w:rPr>
                <w:b/>
                <w:bCs/>
                <w:i/>
                <w:noProof/>
                <w:sz w:val="18"/>
                <w:szCs w:val="18"/>
                <w:lang w:val="es-ES"/>
              </w:rPr>
            </w:pPr>
          </w:p>
        </w:tc>
      </w:tr>
    </w:tbl>
    <w:p w:rsidR="00ED1F70" w:rsidRPr="007226D7" w:rsidRDefault="00596F60" w:rsidP="00ED1F70">
      <w:pPr>
        <w:pStyle w:val="Figuras"/>
      </w:pPr>
      <w:r w:rsidRPr="007226D7">
        <w:rPr>
          <w:noProof/>
        </w:rPr>
        <w:t>Tabla 4.5 – 6</w:t>
      </w:r>
      <w:r w:rsidRPr="007226D7">
        <w:t xml:space="preserve">: </w:t>
      </w:r>
      <w:r w:rsidR="00ED1F70" w:rsidRPr="007226D7">
        <w:rPr>
          <w:noProof/>
        </w:rPr>
        <w:t>Modelo de destino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R2</w:t>
            </w:r>
          </w:p>
        </w:tc>
      </w:tr>
      <w:tr w:rsidR="00ED1F70" w:rsidRPr="007226D7" w:rsidTr="009563C7">
        <w:trPr>
          <w:trHeight w:val="506"/>
          <w:jc w:val="center"/>
        </w:trPr>
        <w:tc>
          <w:tcPr>
            <w:tcW w:w="1372" w:type="pct"/>
            <w:tcBorders>
              <w:top w:val="single" w:sz="4" w:space="0" w:color="000000"/>
              <w:bottom w:val="nil"/>
              <w:right w:val="single" w:sz="4" w:space="0" w:color="000000"/>
            </w:tcBorders>
            <w:noWrap/>
            <w:vAlign w:val="center"/>
          </w:tcPr>
          <w:p w:rsidR="00ED1F70" w:rsidRPr="007226D7" w:rsidRDefault="00ED1F70" w:rsidP="00F044B0">
            <w:pPr>
              <w:spacing w:line="240" w:lineRule="auto"/>
              <w:jc w:val="left"/>
              <w:rPr>
                <w:b/>
                <w:i/>
                <w:sz w:val="18"/>
                <w:szCs w:val="18"/>
                <w:lang w:val="es-ES"/>
              </w:rPr>
            </w:pPr>
            <w:r w:rsidRPr="007226D7">
              <w:rPr>
                <w:b/>
                <w:i/>
                <w:noProof/>
                <w:sz w:val="18"/>
                <w:szCs w:val="18"/>
                <w:lang w:val="es-ES"/>
              </w:rPr>
              <w:t>Empleo</w:t>
            </w:r>
          </w:p>
        </w:tc>
        <w:tc>
          <w:tcPr>
            <w:tcW w:w="1261" w:type="pct"/>
            <w:tcBorders>
              <w:top w:val="single" w:sz="4" w:space="0" w:color="000000"/>
              <w:left w:val="single" w:sz="4" w:space="0" w:color="000000"/>
            </w:tcBorders>
            <w:noWrap/>
            <w:vAlign w:val="center"/>
          </w:tcPr>
          <w:p w:rsidR="00ED1F70" w:rsidRPr="007226D7" w:rsidRDefault="00ED1F70" w:rsidP="00F044B0">
            <w:pPr>
              <w:jc w:val="right"/>
              <w:rPr>
                <w:i/>
                <w:color w:val="000000"/>
                <w:sz w:val="18"/>
                <w:szCs w:val="18"/>
                <w:lang w:val="es-ES"/>
              </w:rPr>
            </w:pPr>
            <w:r w:rsidRPr="007226D7">
              <w:rPr>
                <w:i/>
                <w:color w:val="000000"/>
                <w:sz w:val="18"/>
                <w:szCs w:val="18"/>
                <w:lang w:val="es-ES"/>
              </w:rPr>
              <w:t>0.0627</w:t>
            </w:r>
          </w:p>
        </w:tc>
        <w:tc>
          <w:tcPr>
            <w:tcW w:w="1332" w:type="pct"/>
            <w:tcBorders>
              <w:top w:val="single" w:sz="4" w:space="0" w:color="000000"/>
            </w:tcBorders>
            <w:vAlign w:val="center"/>
          </w:tcPr>
          <w:p w:rsidR="00ED1F70" w:rsidRPr="007226D7" w:rsidRDefault="00ED1F70" w:rsidP="00F044B0">
            <w:pPr>
              <w:jc w:val="right"/>
              <w:rPr>
                <w:i/>
                <w:color w:val="000000"/>
                <w:sz w:val="18"/>
                <w:szCs w:val="18"/>
                <w:lang w:val="es-ES"/>
              </w:rPr>
            </w:pPr>
            <w:r w:rsidRPr="007226D7">
              <w:rPr>
                <w:i/>
                <w:color w:val="000000"/>
                <w:sz w:val="18"/>
                <w:szCs w:val="18"/>
                <w:lang w:val="es-ES"/>
              </w:rPr>
              <w:t>13.56</w:t>
            </w:r>
          </w:p>
        </w:tc>
        <w:tc>
          <w:tcPr>
            <w:tcW w:w="1035" w:type="pct"/>
            <w:vMerge w:val="restart"/>
            <w:tcBorders>
              <w:top w:val="single" w:sz="4" w:space="0" w:color="000000"/>
            </w:tcBorders>
            <w:vAlign w:val="center"/>
          </w:tcPr>
          <w:p w:rsidR="00ED1F70" w:rsidRPr="007226D7" w:rsidRDefault="00ED1F70" w:rsidP="00F044B0">
            <w:pPr>
              <w:jc w:val="right"/>
              <w:rPr>
                <w:i/>
                <w:sz w:val="18"/>
                <w:szCs w:val="18"/>
                <w:lang w:val="es-ES"/>
              </w:rPr>
            </w:pPr>
            <w:r w:rsidRPr="007226D7">
              <w:rPr>
                <w:i/>
                <w:sz w:val="18"/>
                <w:szCs w:val="18"/>
                <w:lang w:val="es-ES"/>
              </w:rPr>
              <w:t>0.78</w:t>
            </w:r>
          </w:p>
        </w:tc>
      </w:tr>
      <w:tr w:rsidR="00ED1F70" w:rsidRPr="007226D7" w:rsidTr="009563C7">
        <w:trPr>
          <w:trHeight w:val="225"/>
          <w:jc w:val="center"/>
        </w:trPr>
        <w:tc>
          <w:tcPr>
            <w:tcW w:w="1372" w:type="pct"/>
            <w:tcBorders>
              <w:top w:val="nil"/>
              <w:bottom w:val="single" w:sz="12" w:space="0" w:color="000000"/>
              <w:right w:val="single" w:sz="4" w:space="0" w:color="000000"/>
            </w:tcBorders>
            <w:noWrap/>
            <w:vAlign w:val="center"/>
          </w:tcPr>
          <w:p w:rsidR="00ED1F70" w:rsidRPr="007226D7" w:rsidRDefault="00ED1F70" w:rsidP="00F044B0">
            <w:pPr>
              <w:spacing w:line="240" w:lineRule="auto"/>
              <w:jc w:val="left"/>
              <w:rPr>
                <w:b/>
                <w:i/>
                <w:sz w:val="18"/>
                <w:szCs w:val="18"/>
                <w:lang w:val="es-ES"/>
              </w:rPr>
            </w:pPr>
            <w:r w:rsidRPr="007226D7">
              <w:rPr>
                <w:b/>
                <w:i/>
                <w:noProof/>
                <w:sz w:val="18"/>
                <w:szCs w:val="18"/>
                <w:lang w:val="es-ES"/>
              </w:rPr>
              <w:t>Plazas escolares</w:t>
            </w:r>
          </w:p>
        </w:tc>
        <w:tc>
          <w:tcPr>
            <w:tcW w:w="1261" w:type="pct"/>
            <w:tcBorders>
              <w:left w:val="single" w:sz="4" w:space="0" w:color="000000"/>
            </w:tcBorders>
            <w:noWrap/>
            <w:vAlign w:val="center"/>
          </w:tcPr>
          <w:p w:rsidR="00ED1F70" w:rsidRPr="007226D7" w:rsidRDefault="00ED1F70" w:rsidP="00F044B0">
            <w:pPr>
              <w:jc w:val="right"/>
              <w:rPr>
                <w:i/>
                <w:color w:val="000000"/>
                <w:sz w:val="18"/>
                <w:szCs w:val="18"/>
                <w:lang w:val="es-ES"/>
              </w:rPr>
            </w:pPr>
            <w:r w:rsidRPr="007226D7">
              <w:rPr>
                <w:i/>
                <w:color w:val="000000"/>
                <w:sz w:val="18"/>
                <w:szCs w:val="18"/>
                <w:lang w:val="es-ES"/>
              </w:rPr>
              <w:t>0.3439</w:t>
            </w:r>
          </w:p>
        </w:tc>
        <w:tc>
          <w:tcPr>
            <w:tcW w:w="1332" w:type="pct"/>
            <w:vAlign w:val="center"/>
          </w:tcPr>
          <w:p w:rsidR="00ED1F70" w:rsidRPr="007226D7" w:rsidRDefault="00ED1F70" w:rsidP="00F044B0">
            <w:pPr>
              <w:jc w:val="right"/>
              <w:rPr>
                <w:i/>
                <w:color w:val="000000"/>
                <w:sz w:val="18"/>
                <w:szCs w:val="18"/>
                <w:lang w:val="es-ES"/>
              </w:rPr>
            </w:pPr>
            <w:r w:rsidRPr="007226D7">
              <w:rPr>
                <w:i/>
                <w:color w:val="000000"/>
                <w:sz w:val="18"/>
                <w:szCs w:val="18"/>
                <w:lang w:val="es-ES"/>
              </w:rPr>
              <w:t>5.29</w:t>
            </w:r>
          </w:p>
        </w:tc>
        <w:tc>
          <w:tcPr>
            <w:tcW w:w="1035" w:type="pct"/>
            <w:vMerge/>
          </w:tcPr>
          <w:p w:rsidR="00ED1F70" w:rsidRPr="007226D7" w:rsidRDefault="00ED1F70" w:rsidP="00F2075F">
            <w:pPr>
              <w:spacing w:line="240" w:lineRule="auto"/>
              <w:jc w:val="right"/>
              <w:rPr>
                <w:sz w:val="18"/>
                <w:szCs w:val="18"/>
                <w:lang w:val="es-ES"/>
              </w:rPr>
            </w:pPr>
          </w:p>
        </w:tc>
      </w:tr>
    </w:tbl>
    <w:p w:rsidR="00ED1F70" w:rsidRDefault="00ED1F70" w:rsidP="00ED1F70">
      <w:pPr>
        <w:rPr>
          <w:lang w:val="es-ES"/>
        </w:rPr>
      </w:pPr>
    </w:p>
    <w:p w:rsidR="00BE2416" w:rsidRPr="007226D7" w:rsidRDefault="00BE2416" w:rsidP="00ED1F70">
      <w:pPr>
        <w:rPr>
          <w:lang w:val="es-ES"/>
        </w:rPr>
      </w:pPr>
    </w:p>
    <w:p w:rsidR="00ED1F70" w:rsidRPr="007226D7" w:rsidRDefault="00ED1F70" w:rsidP="00ED1F70">
      <w:pPr>
        <w:pStyle w:val="ListParagraph"/>
        <w:numPr>
          <w:ilvl w:val="0"/>
          <w:numId w:val="65"/>
        </w:numPr>
        <w:rPr>
          <w:lang w:val="es-ES"/>
        </w:rPr>
      </w:pPr>
      <w:r w:rsidRPr="007226D7">
        <w:rPr>
          <w:noProof/>
          <w:lang w:val="es-ES"/>
        </w:rPr>
        <w:t>Modelos de HV</w:t>
      </w:r>
    </w:p>
    <w:p w:rsidR="00ED1F70" w:rsidRPr="007226D7" w:rsidRDefault="00596F60" w:rsidP="00ED1F70">
      <w:pPr>
        <w:pStyle w:val="Figuras"/>
      </w:pPr>
      <w:r w:rsidRPr="007226D7">
        <w:rPr>
          <w:noProof/>
        </w:rPr>
        <w:t>Tabla 4.5 – 7</w:t>
      </w:r>
      <w:r w:rsidRPr="007226D7">
        <w:t xml:space="preserve">: </w:t>
      </w:r>
      <w:r w:rsidR="00ED1F70" w:rsidRPr="007226D7">
        <w:rPr>
          <w:noProof/>
        </w:rPr>
        <w:t>Modelo de origen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R2</w:t>
            </w:r>
          </w:p>
        </w:tc>
      </w:tr>
      <w:tr w:rsidR="00ED1F70" w:rsidRPr="007226D7" w:rsidTr="009563C7">
        <w:trPr>
          <w:trHeight w:val="225"/>
          <w:jc w:val="center"/>
        </w:trPr>
        <w:tc>
          <w:tcPr>
            <w:tcW w:w="1372" w:type="pct"/>
            <w:tcBorders>
              <w:top w:val="single" w:sz="4" w:space="0" w:color="000000"/>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Empleos</w:t>
            </w:r>
          </w:p>
        </w:tc>
        <w:tc>
          <w:tcPr>
            <w:tcW w:w="1261" w:type="pct"/>
            <w:tcBorders>
              <w:top w:val="single" w:sz="4" w:space="0" w:color="000000"/>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0.0869</w:t>
            </w:r>
          </w:p>
        </w:tc>
        <w:tc>
          <w:tcPr>
            <w:tcW w:w="1332" w:type="pct"/>
            <w:tcBorders>
              <w:top w:val="single" w:sz="4" w:space="0" w:color="000000"/>
            </w:tcBorders>
          </w:tcPr>
          <w:p w:rsidR="00ED1F70" w:rsidRPr="007226D7" w:rsidRDefault="00ED1F70" w:rsidP="00F2075F">
            <w:pPr>
              <w:jc w:val="right"/>
              <w:rPr>
                <w:i/>
                <w:color w:val="000000"/>
                <w:sz w:val="18"/>
                <w:szCs w:val="18"/>
                <w:lang w:val="es-ES"/>
              </w:rPr>
            </w:pPr>
            <w:r w:rsidRPr="007226D7">
              <w:rPr>
                <w:i/>
                <w:color w:val="000000"/>
                <w:sz w:val="18"/>
                <w:szCs w:val="18"/>
                <w:lang w:val="es-ES"/>
              </w:rPr>
              <w:t>11.66</w:t>
            </w:r>
          </w:p>
        </w:tc>
        <w:tc>
          <w:tcPr>
            <w:tcW w:w="1035" w:type="pct"/>
            <w:vMerge w:val="restart"/>
            <w:tcBorders>
              <w:top w:val="single" w:sz="4" w:space="0" w:color="000000"/>
            </w:tcBorders>
          </w:tcPr>
          <w:p w:rsidR="00ED1F70" w:rsidRPr="007226D7" w:rsidRDefault="00ED1F70" w:rsidP="00F2075F">
            <w:pPr>
              <w:jc w:val="right"/>
              <w:rPr>
                <w:i/>
                <w:sz w:val="18"/>
                <w:szCs w:val="18"/>
                <w:lang w:val="es-ES"/>
              </w:rPr>
            </w:pPr>
            <w:r w:rsidRPr="007226D7">
              <w:rPr>
                <w:i/>
                <w:sz w:val="18"/>
                <w:szCs w:val="18"/>
                <w:lang w:val="es-ES"/>
              </w:rPr>
              <w:t>0,84</w:t>
            </w:r>
          </w:p>
        </w:tc>
      </w:tr>
      <w:tr w:rsidR="00ED1F70" w:rsidRPr="007226D7" w:rsidTr="009563C7">
        <w:trPr>
          <w:trHeight w:val="225"/>
          <w:jc w:val="center"/>
        </w:trPr>
        <w:tc>
          <w:tcPr>
            <w:tcW w:w="1372" w:type="pct"/>
            <w:tcBorders>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Vehículos</w:t>
            </w:r>
          </w:p>
        </w:tc>
        <w:tc>
          <w:tcPr>
            <w:tcW w:w="1261" w:type="pct"/>
            <w:tcBorders>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0.1195</w:t>
            </w:r>
          </w:p>
        </w:tc>
        <w:tc>
          <w:tcPr>
            <w:tcW w:w="1332" w:type="pct"/>
          </w:tcPr>
          <w:p w:rsidR="00ED1F70" w:rsidRPr="007226D7" w:rsidRDefault="00ED1F70" w:rsidP="00F2075F">
            <w:pPr>
              <w:jc w:val="right"/>
              <w:rPr>
                <w:i/>
                <w:color w:val="000000"/>
                <w:sz w:val="18"/>
                <w:szCs w:val="18"/>
                <w:lang w:val="es-ES"/>
              </w:rPr>
            </w:pPr>
            <w:r w:rsidRPr="007226D7">
              <w:rPr>
                <w:i/>
                <w:color w:val="000000"/>
                <w:sz w:val="18"/>
                <w:szCs w:val="18"/>
                <w:lang w:val="es-ES"/>
              </w:rPr>
              <w:t>2.81</w:t>
            </w:r>
          </w:p>
        </w:tc>
        <w:tc>
          <w:tcPr>
            <w:tcW w:w="1035" w:type="pct"/>
            <w:vMerge/>
          </w:tcPr>
          <w:p w:rsidR="00ED1F70" w:rsidRPr="007226D7" w:rsidRDefault="00ED1F70" w:rsidP="00F2075F">
            <w:pPr>
              <w:spacing w:line="240" w:lineRule="auto"/>
              <w:jc w:val="right"/>
              <w:rPr>
                <w:sz w:val="18"/>
                <w:szCs w:val="18"/>
                <w:lang w:val="es-ES"/>
              </w:rPr>
            </w:pPr>
          </w:p>
        </w:tc>
      </w:tr>
      <w:tr w:rsidR="00ED1F70" w:rsidRPr="007226D7" w:rsidTr="009563C7">
        <w:trPr>
          <w:trHeight w:val="225"/>
          <w:jc w:val="center"/>
        </w:trPr>
        <w:tc>
          <w:tcPr>
            <w:tcW w:w="1372" w:type="pct"/>
            <w:tcBorders>
              <w:bottom w:val="single" w:sz="12" w:space="0" w:color="000000"/>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Plazas escolares</w:t>
            </w:r>
          </w:p>
        </w:tc>
        <w:tc>
          <w:tcPr>
            <w:tcW w:w="1261" w:type="pct"/>
            <w:tcBorders>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0.0572</w:t>
            </w:r>
          </w:p>
        </w:tc>
        <w:tc>
          <w:tcPr>
            <w:tcW w:w="1332" w:type="pct"/>
          </w:tcPr>
          <w:p w:rsidR="00ED1F70" w:rsidRPr="007226D7" w:rsidRDefault="00ED1F70" w:rsidP="00F2075F">
            <w:pPr>
              <w:jc w:val="right"/>
              <w:rPr>
                <w:i/>
                <w:color w:val="000000"/>
                <w:sz w:val="18"/>
                <w:szCs w:val="18"/>
                <w:lang w:val="es-ES"/>
              </w:rPr>
            </w:pPr>
            <w:r w:rsidRPr="007226D7">
              <w:rPr>
                <w:i/>
                <w:color w:val="000000"/>
                <w:sz w:val="18"/>
                <w:szCs w:val="18"/>
                <w:lang w:val="es-ES"/>
              </w:rPr>
              <w:t>4.44</w:t>
            </w:r>
          </w:p>
        </w:tc>
        <w:tc>
          <w:tcPr>
            <w:tcW w:w="1035" w:type="pct"/>
            <w:vMerge/>
          </w:tcPr>
          <w:p w:rsidR="00ED1F70" w:rsidRPr="007226D7" w:rsidRDefault="00ED1F70" w:rsidP="00F2075F">
            <w:pPr>
              <w:spacing w:line="240" w:lineRule="auto"/>
              <w:jc w:val="right"/>
              <w:rPr>
                <w:sz w:val="18"/>
                <w:szCs w:val="18"/>
                <w:lang w:val="es-ES"/>
              </w:rPr>
            </w:pPr>
          </w:p>
        </w:tc>
      </w:tr>
    </w:tbl>
    <w:p w:rsidR="00BE2416" w:rsidRDefault="00BE2416" w:rsidP="00ED1F70">
      <w:pPr>
        <w:pStyle w:val="Figuras"/>
        <w:rPr>
          <w:noProof/>
        </w:rPr>
      </w:pPr>
    </w:p>
    <w:p w:rsidR="00ED1F70" w:rsidRPr="007226D7" w:rsidRDefault="00596F60" w:rsidP="00ED1F70">
      <w:pPr>
        <w:pStyle w:val="Figuras"/>
      </w:pPr>
      <w:r w:rsidRPr="007226D7">
        <w:rPr>
          <w:noProof/>
        </w:rPr>
        <w:lastRenderedPageBreak/>
        <w:t>Tabla 4.5 – 8</w:t>
      </w:r>
      <w:r w:rsidRPr="007226D7">
        <w:t xml:space="preserve">: </w:t>
      </w:r>
      <w:r w:rsidR="00ED1F70" w:rsidRPr="007226D7">
        <w:rPr>
          <w:noProof/>
        </w:rPr>
        <w:t>Modelo de destino de viajes</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ED1F7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R2</w:t>
            </w:r>
          </w:p>
        </w:tc>
      </w:tr>
      <w:tr w:rsidR="00ED1F70" w:rsidRPr="007226D7" w:rsidTr="009563C7">
        <w:trPr>
          <w:trHeight w:val="225"/>
          <w:jc w:val="center"/>
        </w:trPr>
        <w:tc>
          <w:tcPr>
            <w:tcW w:w="1372" w:type="pct"/>
            <w:tcBorders>
              <w:top w:val="single" w:sz="4" w:space="0" w:color="000000"/>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Empleos</w:t>
            </w:r>
          </w:p>
        </w:tc>
        <w:tc>
          <w:tcPr>
            <w:tcW w:w="1261" w:type="pct"/>
            <w:tcBorders>
              <w:top w:val="single" w:sz="4" w:space="0" w:color="000000"/>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0.0766</w:t>
            </w:r>
          </w:p>
        </w:tc>
        <w:tc>
          <w:tcPr>
            <w:tcW w:w="1332" w:type="pct"/>
            <w:tcBorders>
              <w:top w:val="single" w:sz="4" w:space="0" w:color="000000"/>
            </w:tcBorders>
          </w:tcPr>
          <w:p w:rsidR="00ED1F70" w:rsidRPr="007226D7" w:rsidRDefault="00ED1F70" w:rsidP="00F2075F">
            <w:pPr>
              <w:jc w:val="right"/>
              <w:rPr>
                <w:i/>
                <w:color w:val="000000"/>
                <w:sz w:val="18"/>
                <w:szCs w:val="18"/>
                <w:lang w:val="es-ES"/>
              </w:rPr>
            </w:pPr>
            <w:r w:rsidRPr="007226D7">
              <w:rPr>
                <w:i/>
                <w:color w:val="000000"/>
                <w:sz w:val="18"/>
                <w:szCs w:val="18"/>
                <w:lang w:val="es-ES"/>
              </w:rPr>
              <w:t>10.76</w:t>
            </w:r>
          </w:p>
        </w:tc>
        <w:tc>
          <w:tcPr>
            <w:tcW w:w="1035" w:type="pct"/>
            <w:vMerge w:val="restart"/>
            <w:tcBorders>
              <w:top w:val="single" w:sz="4" w:space="0" w:color="000000"/>
            </w:tcBorders>
          </w:tcPr>
          <w:p w:rsidR="00ED1F70" w:rsidRPr="007226D7" w:rsidRDefault="00ED1F70" w:rsidP="00F2075F">
            <w:pPr>
              <w:jc w:val="right"/>
              <w:rPr>
                <w:i/>
                <w:sz w:val="18"/>
                <w:szCs w:val="18"/>
                <w:lang w:val="es-ES"/>
              </w:rPr>
            </w:pPr>
            <w:r w:rsidRPr="007226D7">
              <w:rPr>
                <w:i/>
                <w:sz w:val="18"/>
                <w:szCs w:val="18"/>
                <w:lang w:val="es-ES"/>
              </w:rPr>
              <w:t>0.85</w:t>
            </w:r>
          </w:p>
        </w:tc>
      </w:tr>
      <w:tr w:rsidR="00ED1F70" w:rsidRPr="007226D7" w:rsidTr="009563C7">
        <w:trPr>
          <w:trHeight w:val="225"/>
          <w:jc w:val="center"/>
        </w:trPr>
        <w:tc>
          <w:tcPr>
            <w:tcW w:w="1372" w:type="pct"/>
            <w:tcBorders>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Vehículos</w:t>
            </w:r>
          </w:p>
        </w:tc>
        <w:tc>
          <w:tcPr>
            <w:tcW w:w="1261" w:type="pct"/>
            <w:tcBorders>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0.1692</w:t>
            </w:r>
          </w:p>
        </w:tc>
        <w:tc>
          <w:tcPr>
            <w:tcW w:w="1332" w:type="pct"/>
          </w:tcPr>
          <w:p w:rsidR="00ED1F70" w:rsidRPr="007226D7" w:rsidRDefault="00ED1F70" w:rsidP="00F2075F">
            <w:pPr>
              <w:jc w:val="right"/>
              <w:rPr>
                <w:i/>
                <w:color w:val="000000"/>
                <w:sz w:val="18"/>
                <w:szCs w:val="18"/>
                <w:lang w:val="es-ES"/>
              </w:rPr>
            </w:pPr>
            <w:r w:rsidRPr="007226D7">
              <w:rPr>
                <w:i/>
                <w:color w:val="000000"/>
                <w:sz w:val="18"/>
                <w:szCs w:val="18"/>
                <w:lang w:val="es-ES"/>
              </w:rPr>
              <w:t>4.17</w:t>
            </w:r>
          </w:p>
        </w:tc>
        <w:tc>
          <w:tcPr>
            <w:tcW w:w="1035" w:type="pct"/>
            <w:vMerge/>
          </w:tcPr>
          <w:p w:rsidR="00ED1F70" w:rsidRPr="007226D7" w:rsidRDefault="00ED1F70" w:rsidP="00F2075F">
            <w:pPr>
              <w:spacing w:line="240" w:lineRule="auto"/>
              <w:jc w:val="right"/>
              <w:rPr>
                <w:i/>
                <w:sz w:val="18"/>
                <w:szCs w:val="18"/>
                <w:lang w:val="es-ES"/>
              </w:rPr>
            </w:pPr>
          </w:p>
        </w:tc>
      </w:tr>
      <w:tr w:rsidR="00ED1F70" w:rsidRPr="007226D7" w:rsidTr="009563C7">
        <w:trPr>
          <w:trHeight w:val="225"/>
          <w:jc w:val="center"/>
        </w:trPr>
        <w:tc>
          <w:tcPr>
            <w:tcW w:w="1372" w:type="pct"/>
            <w:tcBorders>
              <w:bottom w:val="single" w:sz="12" w:space="0" w:color="000000"/>
              <w:right w:val="single" w:sz="4" w:space="0" w:color="000000"/>
            </w:tcBorders>
            <w:noWrap/>
          </w:tcPr>
          <w:p w:rsidR="00ED1F70" w:rsidRPr="007226D7" w:rsidRDefault="00ED1F70" w:rsidP="00F2075F">
            <w:pPr>
              <w:spacing w:line="240" w:lineRule="auto"/>
              <w:jc w:val="left"/>
              <w:rPr>
                <w:b/>
                <w:i/>
                <w:sz w:val="18"/>
                <w:szCs w:val="18"/>
                <w:lang w:val="es-ES"/>
              </w:rPr>
            </w:pPr>
            <w:r w:rsidRPr="007226D7">
              <w:rPr>
                <w:b/>
                <w:i/>
                <w:noProof/>
                <w:sz w:val="18"/>
                <w:szCs w:val="18"/>
                <w:lang w:val="es-ES"/>
              </w:rPr>
              <w:t>Plazas escolares</w:t>
            </w:r>
          </w:p>
        </w:tc>
        <w:tc>
          <w:tcPr>
            <w:tcW w:w="1261" w:type="pct"/>
            <w:tcBorders>
              <w:left w:val="single" w:sz="4" w:space="0" w:color="000000"/>
            </w:tcBorders>
            <w:noWrap/>
          </w:tcPr>
          <w:p w:rsidR="00ED1F70" w:rsidRPr="007226D7" w:rsidRDefault="00ED1F70" w:rsidP="00F2075F">
            <w:pPr>
              <w:jc w:val="right"/>
              <w:rPr>
                <w:i/>
                <w:color w:val="000000"/>
                <w:sz w:val="18"/>
                <w:szCs w:val="18"/>
                <w:lang w:val="es-ES"/>
              </w:rPr>
            </w:pPr>
            <w:r w:rsidRPr="007226D7">
              <w:rPr>
                <w:i/>
                <w:color w:val="000000"/>
                <w:sz w:val="18"/>
                <w:szCs w:val="18"/>
                <w:lang w:val="es-ES"/>
              </w:rPr>
              <w:t>0.0584</w:t>
            </w:r>
          </w:p>
        </w:tc>
        <w:tc>
          <w:tcPr>
            <w:tcW w:w="1332" w:type="pct"/>
          </w:tcPr>
          <w:p w:rsidR="00ED1F70" w:rsidRPr="007226D7" w:rsidRDefault="00ED1F70" w:rsidP="00F2075F">
            <w:pPr>
              <w:jc w:val="right"/>
              <w:rPr>
                <w:i/>
                <w:color w:val="000000"/>
                <w:sz w:val="18"/>
                <w:szCs w:val="18"/>
                <w:lang w:val="es-ES"/>
              </w:rPr>
            </w:pPr>
            <w:r w:rsidRPr="007226D7">
              <w:rPr>
                <w:i/>
                <w:color w:val="000000"/>
                <w:sz w:val="18"/>
                <w:szCs w:val="18"/>
                <w:lang w:val="es-ES"/>
              </w:rPr>
              <w:t>4.75</w:t>
            </w:r>
          </w:p>
        </w:tc>
        <w:tc>
          <w:tcPr>
            <w:tcW w:w="1035" w:type="pct"/>
            <w:vMerge/>
          </w:tcPr>
          <w:p w:rsidR="00ED1F70" w:rsidRPr="007226D7" w:rsidRDefault="00ED1F70" w:rsidP="00F2075F">
            <w:pPr>
              <w:spacing w:line="240" w:lineRule="auto"/>
              <w:jc w:val="right"/>
              <w:rPr>
                <w:i/>
                <w:sz w:val="18"/>
                <w:szCs w:val="18"/>
                <w:lang w:val="es-ES"/>
              </w:rPr>
            </w:pPr>
          </w:p>
        </w:tc>
      </w:tr>
    </w:tbl>
    <w:p w:rsidR="00ED1F70" w:rsidRPr="007226D7" w:rsidRDefault="00ED1F70" w:rsidP="00ED1F70">
      <w:pPr>
        <w:rPr>
          <w:i/>
          <w:lang w:val="es-ES"/>
        </w:rPr>
      </w:pPr>
    </w:p>
    <w:p w:rsidR="007246E6" w:rsidRPr="007226D7" w:rsidRDefault="009D3DFD" w:rsidP="007246E6">
      <w:pPr>
        <w:pStyle w:val="Heading5"/>
        <w:rPr>
          <w:noProof/>
          <w:lang w:val="es-ES"/>
        </w:rPr>
      </w:pPr>
      <w:r w:rsidRPr="007226D7">
        <w:rPr>
          <w:noProof/>
          <w:lang w:val="es-ES"/>
        </w:rPr>
        <w:t>Variables socio-economicas par</w:t>
      </w:r>
      <w:r w:rsidR="007246E6" w:rsidRPr="007226D7">
        <w:rPr>
          <w:noProof/>
          <w:lang w:val="es-ES"/>
        </w:rPr>
        <w:t>a el Año 2012</w:t>
      </w:r>
    </w:p>
    <w:p w:rsidR="007246E6" w:rsidRPr="007226D7" w:rsidRDefault="00272955" w:rsidP="007246E6">
      <w:pPr>
        <w:rPr>
          <w:bCs/>
          <w:color w:val="000000" w:themeColor="text1"/>
          <w:lang w:val="es-ES"/>
        </w:rPr>
      </w:pPr>
      <w:r w:rsidRPr="007226D7">
        <w:rPr>
          <w:lang w:val="es-ES"/>
        </w:rPr>
        <w:t>La deter</w:t>
      </w:r>
      <w:r w:rsidR="00300951" w:rsidRPr="007226D7">
        <w:rPr>
          <w:lang w:val="es-ES"/>
        </w:rPr>
        <w:t>minación de las variables socioeconó</w:t>
      </w:r>
      <w:r w:rsidRPr="007226D7">
        <w:rPr>
          <w:lang w:val="es-ES"/>
        </w:rPr>
        <w:t>micas en el año 2012 se asume válida por el estudio</w:t>
      </w:r>
      <w:r w:rsidRPr="007226D7">
        <w:rPr>
          <w:color w:val="FF0000"/>
          <w:lang w:val="es-ES"/>
        </w:rPr>
        <w:t xml:space="preserve"> </w:t>
      </w:r>
      <w:r w:rsidR="007246E6" w:rsidRPr="007226D7">
        <w:rPr>
          <w:color w:val="000000" w:themeColor="text1"/>
          <w:lang w:val="es-ES"/>
        </w:rPr>
        <w:t xml:space="preserve">“SERVICIO DE TOMA Y ANALISIS DE INFORMACION DE MOVILIDAD PARA LA ELABORACION DEL ESTUDIO DE DEMANDA </w:t>
      </w:r>
      <w:r w:rsidR="007246E6" w:rsidRPr="007226D7">
        <w:rPr>
          <w:bCs/>
          <w:color w:val="000000" w:themeColor="text1"/>
          <w:lang w:val="es-ES"/>
        </w:rPr>
        <w:t>DE LA LINEA 2 DEL METRO DE LIMA”.</w:t>
      </w:r>
    </w:p>
    <w:p w:rsidR="00272955" w:rsidRPr="007226D7" w:rsidRDefault="00272955" w:rsidP="007246E6">
      <w:pPr>
        <w:rPr>
          <w:bCs/>
          <w:lang w:val="es-ES"/>
        </w:rPr>
      </w:pPr>
      <w:r w:rsidRPr="007226D7">
        <w:rPr>
          <w:bCs/>
          <w:lang w:val="es-ES"/>
        </w:rPr>
        <w:t>Abajo se muestra la formulación</w:t>
      </w:r>
      <w:r w:rsidR="00300951" w:rsidRPr="007226D7">
        <w:rPr>
          <w:bCs/>
          <w:lang w:val="es-ES"/>
        </w:rPr>
        <w:t xml:space="preserve"> del texto original</w:t>
      </w:r>
      <w:r w:rsidRPr="007226D7">
        <w:rPr>
          <w:bCs/>
          <w:lang w:val="es-ES"/>
        </w:rPr>
        <w:t xml:space="preserve"> en apo</w:t>
      </w:r>
      <w:r w:rsidR="00300951" w:rsidRPr="007226D7">
        <w:rPr>
          <w:bCs/>
          <w:lang w:val="es-ES"/>
        </w:rPr>
        <w:t>yo a la determinación de las va</w:t>
      </w:r>
      <w:r w:rsidRPr="007226D7">
        <w:rPr>
          <w:bCs/>
          <w:lang w:val="es-ES"/>
        </w:rPr>
        <w:t>ri</w:t>
      </w:r>
      <w:r w:rsidR="00300951" w:rsidRPr="007226D7">
        <w:rPr>
          <w:bCs/>
          <w:lang w:val="es-ES"/>
        </w:rPr>
        <w:t>ables socioeconó</w:t>
      </w:r>
      <w:r w:rsidRPr="007226D7">
        <w:rPr>
          <w:bCs/>
          <w:lang w:val="es-ES"/>
        </w:rPr>
        <w:t>micas:</w:t>
      </w:r>
      <w:r w:rsidRPr="007226D7">
        <w:rPr>
          <w:bCs/>
          <w:color w:val="FF0000"/>
          <w:lang w:val="es-ES"/>
        </w:rPr>
        <w:t xml:space="preserve"> </w:t>
      </w:r>
    </w:p>
    <w:p w:rsidR="007246E6" w:rsidRPr="007226D7" w:rsidRDefault="007246E6" w:rsidP="007246E6">
      <w:pPr>
        <w:pStyle w:val="ListParagraph"/>
        <w:numPr>
          <w:ilvl w:val="0"/>
          <w:numId w:val="63"/>
        </w:numPr>
        <w:rPr>
          <w:lang w:val="es-ES"/>
        </w:rPr>
      </w:pPr>
      <w:r w:rsidRPr="007226D7">
        <w:rPr>
          <w:noProof/>
          <w:lang w:val="es-ES"/>
        </w:rPr>
        <w:t>Población:</w:t>
      </w:r>
      <w:r w:rsidRPr="007226D7">
        <w:rPr>
          <w:lang w:val="es-ES"/>
        </w:rPr>
        <w:t xml:space="preserve"> </w:t>
      </w:r>
      <w:r w:rsidRPr="007226D7">
        <w:rPr>
          <w:noProof/>
          <w:lang w:val="es-ES"/>
        </w:rPr>
        <w:t>Variable básica de cualquier modelo de la que existen predicciones globales en organismos oficiales (INEI).</w:t>
      </w:r>
      <w:r w:rsidRPr="007226D7">
        <w:rPr>
          <w:lang w:val="es-ES"/>
        </w:rPr>
        <w:t xml:space="preserve"> </w:t>
      </w:r>
      <w:r w:rsidRPr="007226D7">
        <w:rPr>
          <w:noProof/>
          <w:lang w:val="es-ES"/>
        </w:rPr>
        <w:t>Se han adoptado los datos del SIT, interpolados para el año 2012, y ajustados a los datos oficiales de población por distritos del INEI del año 2012.</w:t>
      </w:r>
    </w:p>
    <w:p w:rsidR="007246E6" w:rsidRPr="007226D7" w:rsidRDefault="007246E6" w:rsidP="007246E6">
      <w:pPr>
        <w:pStyle w:val="ListParagraph"/>
        <w:numPr>
          <w:ilvl w:val="0"/>
          <w:numId w:val="63"/>
        </w:numPr>
        <w:rPr>
          <w:lang w:val="es-ES"/>
        </w:rPr>
      </w:pPr>
      <w:r w:rsidRPr="007226D7">
        <w:rPr>
          <w:noProof/>
          <w:lang w:val="es-ES"/>
        </w:rPr>
        <w:t>Empleo:</w:t>
      </w:r>
      <w:r w:rsidRPr="007226D7">
        <w:rPr>
          <w:lang w:val="es-ES"/>
        </w:rPr>
        <w:t xml:space="preserve"> </w:t>
      </w:r>
      <w:r w:rsidRPr="007226D7">
        <w:rPr>
          <w:noProof/>
          <w:lang w:val="es-ES"/>
        </w:rPr>
        <w:t>Variable más difícil de obtener pero básica para evaluar el componente atractor de cada zona.</w:t>
      </w:r>
      <w:r w:rsidRPr="007226D7">
        <w:rPr>
          <w:lang w:val="es-ES"/>
        </w:rPr>
        <w:t xml:space="preserve"> </w:t>
      </w:r>
      <w:r w:rsidRPr="007226D7">
        <w:rPr>
          <w:noProof/>
          <w:lang w:val="es-ES"/>
        </w:rPr>
        <w:t>Se han utilizado los datos del SIT, interpolados para el año 2012. Para contrastar la cifra resultante se ha seguido el siguiente procedimiento:</w:t>
      </w:r>
    </w:p>
    <w:p w:rsidR="007246E6" w:rsidRPr="007226D7" w:rsidRDefault="007246E6" w:rsidP="007246E6">
      <w:pPr>
        <w:pStyle w:val="ListParagraph"/>
        <w:numPr>
          <w:ilvl w:val="1"/>
          <w:numId w:val="63"/>
        </w:numPr>
        <w:rPr>
          <w:lang w:val="es-ES"/>
        </w:rPr>
      </w:pPr>
      <w:r w:rsidRPr="007226D7">
        <w:rPr>
          <w:noProof/>
          <w:lang w:val="es-ES"/>
        </w:rPr>
        <w:t>El INEI no cuenta con datos de empleos, pero sí de número de ocupados activos, detectando que el ratio activos/población se ha ido incrementado en los últimos años.</w:t>
      </w:r>
    </w:p>
    <w:p w:rsidR="007246E6" w:rsidRPr="007226D7" w:rsidRDefault="007246E6" w:rsidP="007246E6">
      <w:pPr>
        <w:pStyle w:val="ListParagraph"/>
        <w:numPr>
          <w:ilvl w:val="1"/>
          <w:numId w:val="63"/>
        </w:numPr>
        <w:rPr>
          <w:lang w:val="es-ES"/>
        </w:rPr>
      </w:pPr>
      <w:r w:rsidRPr="007226D7">
        <w:rPr>
          <w:noProof/>
          <w:lang w:val="es-ES"/>
        </w:rPr>
        <w:t>Se asume que el total de ocupados activos es igual a los empleos de Lima Metropolitana y Callao ya que casi la totalidad de la población trabajará en este entorno.</w:t>
      </w:r>
    </w:p>
    <w:p w:rsidR="007246E6" w:rsidRPr="007226D7" w:rsidRDefault="007246E6" w:rsidP="007246E6">
      <w:pPr>
        <w:pStyle w:val="ListParagraph"/>
        <w:numPr>
          <w:ilvl w:val="1"/>
          <w:numId w:val="63"/>
        </w:numPr>
        <w:rPr>
          <w:lang w:val="es-ES"/>
        </w:rPr>
      </w:pPr>
      <w:r w:rsidRPr="007226D7">
        <w:rPr>
          <w:noProof/>
          <w:lang w:val="es-ES"/>
        </w:rPr>
        <w:t>Con el ratio de activos/población del año 2010 y la población del 2012 se obtiene la cifra global de empleos para el año 2012, ajustando los valores zonales.</w:t>
      </w:r>
    </w:p>
    <w:p w:rsidR="007246E6" w:rsidRPr="007226D7" w:rsidRDefault="007246E6" w:rsidP="007246E6">
      <w:pPr>
        <w:pStyle w:val="ListParagraph"/>
        <w:numPr>
          <w:ilvl w:val="0"/>
          <w:numId w:val="63"/>
        </w:numPr>
        <w:rPr>
          <w:lang w:val="es-ES"/>
        </w:rPr>
      </w:pPr>
      <w:r w:rsidRPr="007226D7">
        <w:rPr>
          <w:noProof/>
          <w:lang w:val="es-ES"/>
        </w:rPr>
        <w:t>Plazas escolares:</w:t>
      </w:r>
      <w:r w:rsidRPr="007226D7">
        <w:rPr>
          <w:lang w:val="es-ES"/>
        </w:rPr>
        <w:t xml:space="preserve"> </w:t>
      </w:r>
      <w:r w:rsidRPr="007226D7">
        <w:rPr>
          <w:noProof/>
          <w:lang w:val="es-ES"/>
        </w:rPr>
        <w:t>Variable con un importante carácter atractor que puede obtenerse de datos estadísticos y proyectarse en función de ratios relacionados con el crecimiento de la población.</w:t>
      </w:r>
      <w:r w:rsidRPr="007226D7">
        <w:rPr>
          <w:lang w:val="es-ES"/>
        </w:rPr>
        <w:t xml:space="preserve"> </w:t>
      </w:r>
      <w:r w:rsidRPr="007226D7">
        <w:rPr>
          <w:noProof/>
          <w:lang w:val="es-ES"/>
        </w:rPr>
        <w:t>Se adoptan los datos del SIT, interpolados al año 2012, y la cifra resultante se incrementa ligeramente al aumentar las tasas de escolarización de un 27% de la población al 30%.</w:t>
      </w:r>
    </w:p>
    <w:p w:rsidR="007246E6" w:rsidRPr="007226D7" w:rsidRDefault="007246E6" w:rsidP="009D3DFD">
      <w:pPr>
        <w:pStyle w:val="ListParagraph"/>
        <w:numPr>
          <w:ilvl w:val="0"/>
          <w:numId w:val="63"/>
        </w:numPr>
        <w:rPr>
          <w:noProof/>
          <w:lang w:val="es-ES"/>
        </w:rPr>
      </w:pPr>
      <w:r w:rsidRPr="007226D7">
        <w:rPr>
          <w:noProof/>
          <w:lang w:val="es-ES"/>
        </w:rPr>
        <w:t>Número de vehículos:</w:t>
      </w:r>
      <w:r w:rsidRPr="007226D7">
        <w:rPr>
          <w:lang w:val="es-ES"/>
        </w:rPr>
        <w:t xml:space="preserve"> </w:t>
      </w:r>
      <w:r w:rsidRPr="007226D7">
        <w:rPr>
          <w:noProof/>
          <w:lang w:val="es-ES"/>
        </w:rPr>
        <w:t>Variable con un importante efecto en el reparto modal que puede obtenerse a partir de datos estadísticos y proyectarse con ratios relacionados con el crecimiento de población.</w:t>
      </w:r>
      <w:r w:rsidRPr="007226D7">
        <w:rPr>
          <w:lang w:val="es-ES"/>
        </w:rPr>
        <w:t xml:space="preserve"> </w:t>
      </w:r>
      <w:r w:rsidRPr="007226D7">
        <w:rPr>
          <w:noProof/>
          <w:lang w:val="es-ES"/>
        </w:rPr>
        <w:t>Los datos de esta variable se obtienen, a partir de SIT, utilizando las tasas de crecimiento globales hasta el año 2012 de la Oficina de Estadística del Ministerio.</w:t>
      </w:r>
    </w:p>
    <w:p w:rsidR="00BE2416" w:rsidRDefault="00BE2416">
      <w:pPr>
        <w:spacing w:after="0" w:line="240" w:lineRule="auto"/>
        <w:jc w:val="left"/>
        <w:rPr>
          <w:noProof/>
          <w:lang w:val="es-ES"/>
        </w:rPr>
      </w:pPr>
      <w:r>
        <w:rPr>
          <w:noProof/>
          <w:lang w:val="es-ES"/>
        </w:rPr>
        <w:br w:type="page"/>
      </w:r>
    </w:p>
    <w:p w:rsidR="009D3DFD" w:rsidRPr="007226D7" w:rsidRDefault="009D3DFD" w:rsidP="009D3DFD">
      <w:pPr>
        <w:pStyle w:val="Heading5"/>
        <w:rPr>
          <w:noProof/>
          <w:lang w:val="es-ES"/>
        </w:rPr>
      </w:pPr>
      <w:r w:rsidRPr="007226D7">
        <w:rPr>
          <w:noProof/>
          <w:lang w:val="es-ES"/>
        </w:rPr>
        <w:lastRenderedPageBreak/>
        <w:t>Variables socio-economicas para los Años horizonte 2018, 2020 y 2030</w:t>
      </w:r>
    </w:p>
    <w:p w:rsidR="00ED1F70" w:rsidRPr="007226D7" w:rsidRDefault="00ED1F70" w:rsidP="00ED1F70">
      <w:pPr>
        <w:rPr>
          <w:lang w:val="es-ES"/>
        </w:rPr>
      </w:pPr>
      <w:r w:rsidRPr="007226D7">
        <w:rPr>
          <w:noProof/>
          <w:lang w:val="es-ES"/>
        </w:rPr>
        <w:t>La proyección futura de las variables socioeconómicas del área de estudio es un elemento clave para la construcción de las matrices futuras.</w:t>
      </w:r>
      <w:r w:rsidRPr="007226D7">
        <w:rPr>
          <w:lang w:val="es-ES"/>
        </w:rPr>
        <w:t xml:space="preserve"> </w:t>
      </w:r>
      <w:r w:rsidRPr="007226D7">
        <w:rPr>
          <w:noProof/>
          <w:lang w:val="es-ES"/>
        </w:rPr>
        <w:t>El procedimiento adoptado para esta tarea ha sido el siguiente:</w:t>
      </w:r>
    </w:p>
    <w:p w:rsidR="00714723" w:rsidRPr="007226D7" w:rsidRDefault="00ED1F70" w:rsidP="00A30808">
      <w:pPr>
        <w:pStyle w:val="ListParagraph"/>
        <w:numPr>
          <w:ilvl w:val="0"/>
          <w:numId w:val="65"/>
        </w:numPr>
        <w:rPr>
          <w:lang w:val="es-ES"/>
        </w:rPr>
      </w:pPr>
      <w:r w:rsidRPr="007226D7">
        <w:rPr>
          <w:noProof/>
          <w:lang w:val="es-ES"/>
        </w:rPr>
        <w:t>Población:</w:t>
      </w:r>
      <w:r w:rsidRPr="007226D7">
        <w:rPr>
          <w:lang w:val="es-ES"/>
        </w:rPr>
        <w:t xml:space="preserve"> </w:t>
      </w:r>
      <w:r w:rsidRPr="007226D7">
        <w:rPr>
          <w:noProof/>
          <w:lang w:val="es-ES"/>
        </w:rPr>
        <w:t>Para estimar la población del año 201</w:t>
      </w:r>
      <w:r w:rsidR="00AD0BB4" w:rsidRPr="007226D7">
        <w:rPr>
          <w:noProof/>
          <w:lang w:val="es-ES"/>
        </w:rPr>
        <w:t>5</w:t>
      </w:r>
      <w:r w:rsidRPr="007226D7">
        <w:rPr>
          <w:noProof/>
          <w:lang w:val="es-ES"/>
        </w:rPr>
        <w:t xml:space="preserve"> se han utilizado los datos de crecimiento del INEI a nivel de distritos.</w:t>
      </w:r>
      <w:r w:rsidRPr="007226D7">
        <w:rPr>
          <w:lang w:val="es-ES"/>
        </w:rPr>
        <w:t xml:space="preserve"> </w:t>
      </w:r>
      <w:r w:rsidRPr="007226D7">
        <w:rPr>
          <w:noProof/>
          <w:lang w:val="es-ES"/>
        </w:rPr>
        <w:t>Para el año 2025, el INEI solo cuenta con una proyección global y por tanto se ha adoptado esta cifra, distribuyendo los crecimientos por distrito según las previsiones del estudio de JICA.</w:t>
      </w:r>
      <w:r w:rsidR="00272955" w:rsidRPr="007226D7">
        <w:rPr>
          <w:lang w:val="es-ES"/>
        </w:rPr>
        <w:t xml:space="preserve"> </w:t>
      </w:r>
      <w:r w:rsidR="00272955" w:rsidRPr="007226D7">
        <w:rPr>
          <w:noProof/>
          <w:lang w:val="es-ES"/>
        </w:rPr>
        <w:t>De la comparación entre los valores de los distritos en 2015 y 2025 se da una tasa de crecimiento anual por distrito, útil para determinar los valores de la población para 2018 y 2020. La tasa de crecimiento global</w:t>
      </w:r>
      <w:r w:rsidR="00A30808" w:rsidRPr="007226D7">
        <w:rPr>
          <w:noProof/>
          <w:lang w:val="es-ES"/>
        </w:rPr>
        <w:t xml:space="preserve"> entre 2015 y 2025 fue </w:t>
      </w:r>
      <w:r w:rsidR="00300951" w:rsidRPr="007226D7">
        <w:rPr>
          <w:noProof/>
          <w:lang w:val="es-ES"/>
        </w:rPr>
        <w:t>reducida</w:t>
      </w:r>
      <w:r w:rsidR="00272955" w:rsidRPr="007226D7">
        <w:rPr>
          <w:noProof/>
          <w:lang w:val="es-ES"/>
        </w:rPr>
        <w:t xml:space="preserve"> </w:t>
      </w:r>
      <w:r w:rsidR="00300951" w:rsidRPr="007226D7">
        <w:rPr>
          <w:noProof/>
          <w:lang w:val="es-ES"/>
        </w:rPr>
        <w:t>de</w:t>
      </w:r>
      <w:r w:rsidR="00272955" w:rsidRPr="007226D7">
        <w:rPr>
          <w:noProof/>
          <w:lang w:val="es-ES"/>
        </w:rPr>
        <w:t xml:space="preserve"> un 25% y </w:t>
      </w:r>
      <w:r w:rsidR="00A30808" w:rsidRPr="007226D7">
        <w:rPr>
          <w:noProof/>
          <w:lang w:val="es-ES"/>
        </w:rPr>
        <w:t>aplicada</w:t>
      </w:r>
      <w:r w:rsidR="00272955" w:rsidRPr="007226D7">
        <w:rPr>
          <w:noProof/>
          <w:lang w:val="es-ES"/>
        </w:rPr>
        <w:t xml:space="preserve"> de manera uniforme a los valores de la población del distrito entre los años 2025 y 2030.</w:t>
      </w:r>
      <w:r w:rsidR="00AD0BB4" w:rsidRPr="007226D7">
        <w:rPr>
          <w:noProof/>
          <w:lang w:val="es-ES"/>
        </w:rPr>
        <w:t xml:space="preserve"> </w:t>
      </w:r>
    </w:p>
    <w:p w:rsidR="00ED1F70" w:rsidRPr="007226D7" w:rsidRDefault="00ED1F70" w:rsidP="00714723">
      <w:pPr>
        <w:pStyle w:val="ListParagraph"/>
        <w:numPr>
          <w:ilvl w:val="0"/>
          <w:numId w:val="65"/>
        </w:numPr>
        <w:rPr>
          <w:lang w:val="es-ES"/>
        </w:rPr>
      </w:pPr>
      <w:r w:rsidRPr="007226D7">
        <w:rPr>
          <w:noProof/>
          <w:lang w:val="es-ES"/>
        </w:rPr>
        <w:t>Empleo: Para esta variable, dado que el INEI no cuenta con ningún tipo de dato de proyección, se han utilizado los crecimientos, a nivel de distrito,</w:t>
      </w:r>
      <w:r w:rsidR="00AD0BB4" w:rsidRPr="007226D7">
        <w:rPr>
          <w:noProof/>
          <w:lang w:val="es-ES"/>
        </w:rPr>
        <w:t xml:space="preserve"> previsto</w:t>
      </w:r>
      <w:r w:rsidR="00A30808" w:rsidRPr="007226D7">
        <w:rPr>
          <w:noProof/>
          <w:lang w:val="es-ES"/>
        </w:rPr>
        <w:t>s</w:t>
      </w:r>
      <w:r w:rsidR="00AD0BB4" w:rsidRPr="007226D7">
        <w:rPr>
          <w:noProof/>
          <w:lang w:val="es-ES"/>
        </w:rPr>
        <w:t xml:space="preserve"> en el estudio de JICA</w:t>
      </w:r>
      <w:r w:rsidR="00A30808" w:rsidRPr="007226D7">
        <w:rPr>
          <w:noProof/>
          <w:lang w:val="es-ES"/>
        </w:rPr>
        <w:t xml:space="preserve"> para determinar el valor de 2015. Una vez que tenga la matriz de valores de 2015, se determinó por comparación con la JICA retroalimentación a 2025 la tasa de crecimiento anual fue aplicada para obtener los valores correspondientes a los años 2018 y 2020. Es la misma reducción en la tasa de crecimiento anual para el período 2025-2030 hasta la determinación del valor de 2015. Una vez obtenido el vector de los valores 2015 fue determinado mediante comparación con los resultados JICA 2025 una tasa de crecimiento anual que fue aplicada</w:t>
      </w:r>
      <w:r w:rsidR="00300951" w:rsidRPr="007226D7">
        <w:rPr>
          <w:noProof/>
          <w:lang w:val="es-ES"/>
        </w:rPr>
        <w:t xml:space="preserve"> </w:t>
      </w:r>
      <w:r w:rsidR="00A30808" w:rsidRPr="007226D7">
        <w:rPr>
          <w:noProof/>
          <w:lang w:val="es-ES"/>
        </w:rPr>
        <w:t>para obtener los valores correspondientes a los años 2018 y 2020. Para el periodo 2025-2030 se utiliza la misma reducción e</w:t>
      </w:r>
      <w:r w:rsidR="00714723" w:rsidRPr="007226D7">
        <w:rPr>
          <w:noProof/>
          <w:lang w:val="es-ES"/>
        </w:rPr>
        <w:t>n la tasa de crecimiento anual.</w:t>
      </w:r>
    </w:p>
    <w:p w:rsidR="00ED1F70" w:rsidRPr="007226D7" w:rsidRDefault="00ED1F70" w:rsidP="00ED1F70">
      <w:pPr>
        <w:pStyle w:val="ListParagraph"/>
        <w:numPr>
          <w:ilvl w:val="0"/>
          <w:numId w:val="65"/>
        </w:numPr>
        <w:rPr>
          <w:lang w:val="es-ES"/>
        </w:rPr>
      </w:pPr>
      <w:r w:rsidRPr="007226D7">
        <w:rPr>
          <w:noProof/>
          <w:lang w:val="es-ES"/>
        </w:rPr>
        <w:t>Plazas escolares:</w:t>
      </w:r>
      <w:r w:rsidRPr="007226D7">
        <w:rPr>
          <w:lang w:val="es-ES"/>
        </w:rPr>
        <w:t xml:space="preserve"> </w:t>
      </w:r>
      <w:r w:rsidRPr="007226D7">
        <w:rPr>
          <w:noProof/>
          <w:lang w:val="es-ES"/>
        </w:rPr>
        <w:t>Se ha mantenido el ratio de población/plazas escolares del año base, lo que supone que el crecimiento de esta variable es similar al crecimiento de la población.</w:t>
      </w:r>
    </w:p>
    <w:p w:rsidR="00C10A84" w:rsidRPr="007226D7" w:rsidRDefault="00ED1F70" w:rsidP="005D5A41">
      <w:pPr>
        <w:pStyle w:val="ListParagraph"/>
        <w:numPr>
          <w:ilvl w:val="0"/>
          <w:numId w:val="65"/>
        </w:numPr>
        <w:spacing w:after="0" w:line="240" w:lineRule="auto"/>
        <w:jc w:val="left"/>
        <w:rPr>
          <w:lang w:val="es-ES"/>
        </w:rPr>
      </w:pPr>
      <w:r w:rsidRPr="007226D7">
        <w:rPr>
          <w:noProof/>
          <w:lang w:val="es-ES"/>
        </w:rPr>
        <w:t>Número de vehículos:</w:t>
      </w:r>
      <w:r w:rsidRPr="007226D7">
        <w:rPr>
          <w:lang w:val="es-ES"/>
        </w:rPr>
        <w:t xml:space="preserve"> </w:t>
      </w:r>
      <w:r w:rsidRPr="007226D7">
        <w:rPr>
          <w:noProof/>
          <w:lang w:val="es-ES"/>
        </w:rPr>
        <w:t>Para esta variable, dado que el INEI no cuenta con ningún tipo de dato de proyección, se han utilizado</w:t>
      </w:r>
      <w:r w:rsidR="00365FB5" w:rsidRPr="007226D7">
        <w:rPr>
          <w:noProof/>
          <w:lang w:val="es-ES"/>
        </w:rPr>
        <w:t>s</w:t>
      </w:r>
      <w:r w:rsidRPr="007226D7">
        <w:rPr>
          <w:noProof/>
          <w:lang w:val="es-ES"/>
        </w:rPr>
        <w:t xml:space="preserve"> los crecimientos, a nivel de distrito, previsto</w:t>
      </w:r>
      <w:r w:rsidR="00365FB5" w:rsidRPr="007226D7">
        <w:rPr>
          <w:noProof/>
          <w:lang w:val="es-ES"/>
        </w:rPr>
        <w:t>s</w:t>
      </w:r>
      <w:r w:rsidRPr="007226D7">
        <w:rPr>
          <w:noProof/>
          <w:lang w:val="es-ES"/>
        </w:rPr>
        <w:t xml:space="preserve"> en el estudio de JICA</w:t>
      </w:r>
      <w:r w:rsidR="00365FB5" w:rsidRPr="007226D7">
        <w:rPr>
          <w:noProof/>
          <w:lang w:val="es-ES"/>
        </w:rPr>
        <w:t xml:space="preserve"> ajustados a un limite superior igual a un crecimiento anual en el parque vehicular de 2.5% entre 2015 y 2025 y de 1.87% entre 2025 y 2030.</w:t>
      </w:r>
    </w:p>
    <w:p w:rsidR="00714723" w:rsidRPr="007226D7" w:rsidRDefault="00714723" w:rsidP="00714723">
      <w:pPr>
        <w:pStyle w:val="ListParagraph"/>
        <w:spacing w:after="0" w:line="240" w:lineRule="auto"/>
        <w:ind w:left="720"/>
        <w:jc w:val="left"/>
        <w:rPr>
          <w:lang w:val="es-ES"/>
        </w:rPr>
      </w:pPr>
    </w:p>
    <w:p w:rsidR="00C10A84" w:rsidRPr="007226D7" w:rsidRDefault="00FC103B" w:rsidP="00C10A84">
      <w:pPr>
        <w:pStyle w:val="Figuras"/>
      </w:pPr>
      <w:r w:rsidRPr="007226D7">
        <w:rPr>
          <w:noProof/>
        </w:rPr>
        <w:t>Tabla 4.5 – 9</w:t>
      </w:r>
      <w:r w:rsidRPr="007226D7">
        <w:t>:</w:t>
      </w:r>
      <w:r w:rsidR="000B2336" w:rsidRPr="007226D7">
        <w:t xml:space="preserve"> </w:t>
      </w:r>
      <w:r w:rsidR="005D5A41" w:rsidRPr="007226D7">
        <w:rPr>
          <w:noProof/>
        </w:rPr>
        <w:t xml:space="preserve">Datos socioeconómicos para los </w:t>
      </w:r>
      <w:r w:rsidR="005D5A41" w:rsidRPr="007226D7">
        <w:t>años horizonte</w:t>
      </w:r>
    </w:p>
    <w:tbl>
      <w:tblPr>
        <w:tblStyle w:val="TableClassic1"/>
        <w:tblW w:w="4969" w:type="pct"/>
        <w:tblLayout w:type="fixed"/>
        <w:tblLook w:val="01E0" w:firstRow="1" w:lastRow="1" w:firstColumn="1" w:lastColumn="1" w:noHBand="0" w:noVBand="0"/>
      </w:tblPr>
      <w:tblGrid>
        <w:gridCol w:w="1812"/>
        <w:gridCol w:w="1927"/>
        <w:gridCol w:w="1925"/>
        <w:gridCol w:w="1925"/>
        <w:gridCol w:w="1923"/>
      </w:tblGrid>
      <w:tr w:rsidR="00C10A84" w:rsidRPr="007226D7" w:rsidTr="00C10A84">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52" w:type="pct"/>
          </w:tcPr>
          <w:p w:rsidR="00C10A84" w:rsidRPr="007226D7" w:rsidRDefault="00C10A84" w:rsidP="00FC2B71">
            <w:pPr>
              <w:spacing w:line="240" w:lineRule="auto"/>
              <w:jc w:val="left"/>
              <w:rPr>
                <w:b/>
                <w:bCs/>
                <w:sz w:val="18"/>
                <w:szCs w:val="16"/>
                <w:lang w:val="es-ES"/>
              </w:rPr>
            </w:pPr>
            <w:r w:rsidRPr="007226D7">
              <w:rPr>
                <w:b/>
                <w:bCs/>
                <w:noProof/>
                <w:sz w:val="18"/>
                <w:szCs w:val="16"/>
                <w:lang w:val="es-ES"/>
              </w:rPr>
              <w:t>Variable</w:t>
            </w:r>
          </w:p>
        </w:tc>
        <w:tc>
          <w:tcPr>
            <w:tcW w:w="1013" w:type="pct"/>
          </w:tcPr>
          <w:p w:rsidR="00C10A84" w:rsidRPr="007226D7" w:rsidRDefault="00C10A84" w:rsidP="00FC2B71">
            <w:pPr>
              <w:spacing w:line="240" w:lineRule="auto"/>
              <w:jc w:val="right"/>
              <w:cnfStyle w:val="100000000000" w:firstRow="1" w:lastRow="0" w:firstColumn="0" w:lastColumn="0" w:oddVBand="0" w:evenVBand="0" w:oddHBand="0" w:evenHBand="0" w:firstRowFirstColumn="0" w:firstRowLastColumn="0" w:lastRowFirstColumn="0" w:lastRowLastColumn="0"/>
              <w:rPr>
                <w:b/>
                <w:bCs/>
                <w:sz w:val="18"/>
                <w:szCs w:val="16"/>
                <w:lang w:val="es-ES"/>
              </w:rPr>
            </w:pPr>
            <w:r w:rsidRPr="007226D7">
              <w:rPr>
                <w:b/>
                <w:bCs/>
                <w:sz w:val="18"/>
                <w:szCs w:val="16"/>
                <w:lang w:val="es-ES"/>
              </w:rPr>
              <w:t>Año 2012</w:t>
            </w:r>
          </w:p>
        </w:tc>
        <w:tc>
          <w:tcPr>
            <w:tcW w:w="1012" w:type="pct"/>
          </w:tcPr>
          <w:p w:rsidR="00C10A84" w:rsidRPr="007226D7" w:rsidRDefault="00C10A84" w:rsidP="00C10A84">
            <w:pPr>
              <w:spacing w:line="240" w:lineRule="auto"/>
              <w:jc w:val="right"/>
              <w:cnfStyle w:val="100000000000" w:firstRow="1" w:lastRow="0" w:firstColumn="0" w:lastColumn="0" w:oddVBand="0" w:evenVBand="0" w:oddHBand="0" w:evenHBand="0" w:firstRowFirstColumn="0" w:firstRowLastColumn="0" w:lastRowFirstColumn="0" w:lastRowLastColumn="0"/>
              <w:rPr>
                <w:b/>
                <w:bCs/>
                <w:sz w:val="18"/>
                <w:szCs w:val="16"/>
                <w:lang w:val="es-ES"/>
              </w:rPr>
            </w:pPr>
            <w:r w:rsidRPr="007226D7">
              <w:rPr>
                <w:b/>
                <w:bCs/>
                <w:sz w:val="18"/>
                <w:szCs w:val="16"/>
                <w:lang w:val="es-ES"/>
              </w:rPr>
              <w:t>Año 2018</w:t>
            </w:r>
          </w:p>
        </w:tc>
        <w:tc>
          <w:tcPr>
            <w:tcW w:w="1012" w:type="pct"/>
          </w:tcPr>
          <w:p w:rsidR="00C10A84" w:rsidRPr="007226D7" w:rsidRDefault="00C10A84" w:rsidP="00C10A84">
            <w:pPr>
              <w:spacing w:line="240" w:lineRule="auto"/>
              <w:jc w:val="right"/>
              <w:cnfStyle w:val="100000000000" w:firstRow="1" w:lastRow="0" w:firstColumn="0" w:lastColumn="0" w:oddVBand="0" w:evenVBand="0" w:oddHBand="0" w:evenHBand="0" w:firstRowFirstColumn="0" w:firstRowLastColumn="0" w:lastRowFirstColumn="0" w:lastRowLastColumn="0"/>
              <w:rPr>
                <w:b/>
                <w:bCs/>
                <w:sz w:val="18"/>
                <w:szCs w:val="16"/>
                <w:lang w:val="es-ES"/>
              </w:rPr>
            </w:pPr>
            <w:r w:rsidRPr="007226D7">
              <w:rPr>
                <w:b/>
                <w:bCs/>
                <w:sz w:val="18"/>
                <w:szCs w:val="16"/>
                <w:lang w:val="es-ES"/>
              </w:rPr>
              <w:t>Año 2020</w:t>
            </w:r>
          </w:p>
        </w:tc>
        <w:tc>
          <w:tcPr>
            <w:cnfStyle w:val="000000001000" w:firstRow="0" w:lastRow="0" w:firstColumn="0" w:lastColumn="0" w:oddVBand="0" w:evenVBand="0" w:oddHBand="0" w:evenHBand="0" w:firstRowFirstColumn="0" w:firstRowLastColumn="1" w:lastRowFirstColumn="0" w:lastRowLastColumn="0"/>
            <w:tcW w:w="1011" w:type="pct"/>
          </w:tcPr>
          <w:p w:rsidR="00C10A84" w:rsidRPr="007226D7" w:rsidRDefault="00C10A84" w:rsidP="00C10A84">
            <w:pPr>
              <w:spacing w:line="240" w:lineRule="auto"/>
              <w:jc w:val="right"/>
              <w:rPr>
                <w:bCs w:val="0"/>
                <w:sz w:val="18"/>
                <w:szCs w:val="16"/>
                <w:lang w:val="es-ES"/>
              </w:rPr>
            </w:pPr>
            <w:r w:rsidRPr="007226D7">
              <w:rPr>
                <w:bCs w:val="0"/>
                <w:sz w:val="18"/>
                <w:szCs w:val="16"/>
                <w:lang w:val="es-ES"/>
              </w:rPr>
              <w:t>Año 2030</w:t>
            </w:r>
          </w:p>
        </w:tc>
      </w:tr>
      <w:tr w:rsidR="00C10A84" w:rsidRPr="007226D7" w:rsidTr="00FC2B71">
        <w:trPr>
          <w:trHeight w:val="151"/>
        </w:trPr>
        <w:tc>
          <w:tcPr>
            <w:cnfStyle w:val="001000000000" w:firstRow="0" w:lastRow="0" w:firstColumn="1" w:lastColumn="0" w:oddVBand="0" w:evenVBand="0" w:oddHBand="0" w:evenHBand="0" w:firstRowFirstColumn="0" w:firstRowLastColumn="0" w:lastRowFirstColumn="0" w:lastRowLastColumn="0"/>
            <w:tcW w:w="952" w:type="pct"/>
          </w:tcPr>
          <w:p w:rsidR="00C10A84" w:rsidRPr="007226D7" w:rsidRDefault="00C10A84" w:rsidP="00FC2B71">
            <w:pPr>
              <w:spacing w:line="240" w:lineRule="auto"/>
              <w:jc w:val="left"/>
              <w:rPr>
                <w:sz w:val="18"/>
                <w:szCs w:val="16"/>
                <w:lang w:val="es-ES"/>
              </w:rPr>
            </w:pPr>
            <w:r w:rsidRPr="007226D7">
              <w:rPr>
                <w:noProof/>
                <w:sz w:val="18"/>
                <w:szCs w:val="16"/>
                <w:lang w:val="es-ES"/>
              </w:rPr>
              <w:t>Población</w:t>
            </w:r>
          </w:p>
        </w:tc>
        <w:tc>
          <w:tcPr>
            <w:tcW w:w="1013" w:type="pct"/>
          </w:tcPr>
          <w:p w:rsidR="00C10A84" w:rsidRPr="007226D7" w:rsidRDefault="00C10A84" w:rsidP="00FC2B71">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9,450,585</w:t>
            </w:r>
          </w:p>
        </w:tc>
        <w:tc>
          <w:tcPr>
            <w:tcW w:w="1012" w:type="pct"/>
          </w:tcPr>
          <w:p w:rsidR="00C10A84" w:rsidRPr="007226D7" w:rsidRDefault="00C10A84" w:rsidP="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10,231,931</w:t>
            </w:r>
          </w:p>
        </w:tc>
        <w:tc>
          <w:tcPr>
            <w:tcW w:w="1012"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10,503,512</w:t>
            </w:r>
          </w:p>
        </w:tc>
        <w:tc>
          <w:tcPr>
            <w:tcW w:w="1011"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12,083,190</w:t>
            </w:r>
          </w:p>
        </w:tc>
      </w:tr>
      <w:tr w:rsidR="00C10A84" w:rsidRPr="007226D7" w:rsidTr="00FC2B71">
        <w:trPr>
          <w:trHeight w:val="225"/>
        </w:trPr>
        <w:tc>
          <w:tcPr>
            <w:cnfStyle w:val="001000000000" w:firstRow="0" w:lastRow="0" w:firstColumn="1" w:lastColumn="0" w:oddVBand="0" w:evenVBand="0" w:oddHBand="0" w:evenHBand="0" w:firstRowFirstColumn="0" w:firstRowLastColumn="0" w:lastRowFirstColumn="0" w:lastRowLastColumn="0"/>
            <w:tcW w:w="952" w:type="pct"/>
          </w:tcPr>
          <w:p w:rsidR="00C10A84" w:rsidRPr="007226D7" w:rsidRDefault="00C10A84" w:rsidP="00FC2B71">
            <w:pPr>
              <w:spacing w:line="240" w:lineRule="auto"/>
              <w:jc w:val="left"/>
              <w:rPr>
                <w:sz w:val="18"/>
                <w:szCs w:val="16"/>
                <w:lang w:val="es-ES"/>
              </w:rPr>
            </w:pPr>
            <w:r w:rsidRPr="007226D7">
              <w:rPr>
                <w:noProof/>
                <w:sz w:val="18"/>
                <w:szCs w:val="16"/>
                <w:lang w:val="es-ES"/>
              </w:rPr>
              <w:t>Empleo</w:t>
            </w:r>
          </w:p>
        </w:tc>
        <w:tc>
          <w:tcPr>
            <w:tcW w:w="1013" w:type="pct"/>
          </w:tcPr>
          <w:p w:rsidR="00C10A84" w:rsidRPr="007226D7" w:rsidRDefault="00C10A84" w:rsidP="00FC2B71">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4,788,122</w:t>
            </w:r>
          </w:p>
        </w:tc>
        <w:tc>
          <w:tcPr>
            <w:tcW w:w="1012" w:type="pct"/>
          </w:tcPr>
          <w:p w:rsidR="00C10A84" w:rsidRPr="007226D7" w:rsidRDefault="00C10A84" w:rsidP="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5,509,527</w:t>
            </w:r>
          </w:p>
        </w:tc>
        <w:tc>
          <w:tcPr>
            <w:tcW w:w="1012"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5,798,807</w:t>
            </w:r>
          </w:p>
        </w:tc>
        <w:tc>
          <w:tcPr>
            <w:tcW w:w="1011"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7,355,056</w:t>
            </w:r>
          </w:p>
        </w:tc>
      </w:tr>
      <w:tr w:rsidR="00C10A84" w:rsidRPr="007226D7" w:rsidTr="00FC2B71">
        <w:trPr>
          <w:trHeight w:val="225"/>
        </w:trPr>
        <w:tc>
          <w:tcPr>
            <w:cnfStyle w:val="001000000000" w:firstRow="0" w:lastRow="0" w:firstColumn="1" w:lastColumn="0" w:oddVBand="0" w:evenVBand="0" w:oddHBand="0" w:evenHBand="0" w:firstRowFirstColumn="0" w:firstRowLastColumn="0" w:lastRowFirstColumn="0" w:lastRowLastColumn="0"/>
            <w:tcW w:w="952" w:type="pct"/>
          </w:tcPr>
          <w:p w:rsidR="00C10A84" w:rsidRPr="007226D7" w:rsidRDefault="00C10A84" w:rsidP="00FC2B71">
            <w:pPr>
              <w:spacing w:line="240" w:lineRule="auto"/>
              <w:jc w:val="left"/>
              <w:rPr>
                <w:sz w:val="18"/>
                <w:szCs w:val="16"/>
                <w:lang w:val="es-ES"/>
              </w:rPr>
            </w:pPr>
            <w:r w:rsidRPr="007226D7">
              <w:rPr>
                <w:noProof/>
                <w:sz w:val="18"/>
                <w:szCs w:val="16"/>
                <w:lang w:val="es-ES"/>
              </w:rPr>
              <w:t>Plazas escolares</w:t>
            </w:r>
          </w:p>
        </w:tc>
        <w:tc>
          <w:tcPr>
            <w:tcW w:w="1013" w:type="pct"/>
          </w:tcPr>
          <w:p w:rsidR="00C10A84" w:rsidRPr="007226D7" w:rsidRDefault="00C10A84" w:rsidP="00FC2B71">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2,796,383</w:t>
            </w:r>
          </w:p>
        </w:tc>
        <w:tc>
          <w:tcPr>
            <w:tcW w:w="1012" w:type="pct"/>
          </w:tcPr>
          <w:p w:rsidR="00C10A84" w:rsidRPr="007226D7" w:rsidRDefault="00C10A84" w:rsidP="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3,036,458</w:t>
            </w:r>
          </w:p>
        </w:tc>
        <w:tc>
          <w:tcPr>
            <w:tcW w:w="1012"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3,139,319</w:t>
            </w:r>
          </w:p>
        </w:tc>
        <w:tc>
          <w:tcPr>
            <w:tcW w:w="1011" w:type="pct"/>
            <w:vAlign w:val="bottom"/>
          </w:tcPr>
          <w:p w:rsidR="00C10A84" w:rsidRPr="007226D7" w:rsidRDefault="00C10A84">
            <w:pPr>
              <w:jc w:val="right"/>
              <w:cnfStyle w:val="000000000000" w:firstRow="0" w:lastRow="0"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3,717,277</w:t>
            </w:r>
          </w:p>
        </w:tc>
      </w:tr>
      <w:tr w:rsidR="00C10A84" w:rsidRPr="007226D7" w:rsidTr="00FC2B71">
        <w:trPr>
          <w:cnfStyle w:val="010000000000" w:firstRow="0" w:lastRow="1" w:firstColumn="0" w:lastColumn="0" w:oddVBand="0" w:evenVBand="0" w:oddHBand="0" w:evenHBand="0" w:firstRowFirstColumn="0" w:firstRowLastColumn="0" w:lastRowFirstColumn="0" w:lastRowLastColumn="0"/>
          <w:trHeight w:val="225"/>
        </w:trPr>
        <w:tc>
          <w:tcPr>
            <w:cnfStyle w:val="001000000001" w:firstRow="0" w:lastRow="0" w:firstColumn="1" w:lastColumn="0" w:oddVBand="0" w:evenVBand="0" w:oddHBand="0" w:evenHBand="0" w:firstRowFirstColumn="0" w:firstRowLastColumn="0" w:lastRowFirstColumn="1" w:lastRowLastColumn="0"/>
            <w:tcW w:w="952" w:type="pct"/>
            <w:tcBorders>
              <w:top w:val="nil"/>
              <w:bottom w:val="single" w:sz="6" w:space="0" w:color="000000"/>
            </w:tcBorders>
          </w:tcPr>
          <w:p w:rsidR="00C10A84" w:rsidRPr="007226D7" w:rsidRDefault="00C10A84" w:rsidP="00FC2B71">
            <w:pPr>
              <w:spacing w:line="240" w:lineRule="auto"/>
              <w:jc w:val="left"/>
              <w:rPr>
                <w:b w:val="0"/>
                <w:sz w:val="18"/>
                <w:szCs w:val="16"/>
                <w:lang w:val="es-ES"/>
              </w:rPr>
            </w:pPr>
            <w:r w:rsidRPr="007226D7">
              <w:rPr>
                <w:b w:val="0"/>
                <w:noProof/>
                <w:sz w:val="18"/>
                <w:szCs w:val="16"/>
                <w:lang w:val="es-ES"/>
              </w:rPr>
              <w:t>Nº vehículos</w:t>
            </w:r>
          </w:p>
        </w:tc>
        <w:tc>
          <w:tcPr>
            <w:tcW w:w="1013" w:type="pct"/>
            <w:tcBorders>
              <w:top w:val="nil"/>
              <w:bottom w:val="single" w:sz="6" w:space="0" w:color="000000"/>
            </w:tcBorders>
          </w:tcPr>
          <w:p w:rsidR="00C10A84" w:rsidRPr="007226D7" w:rsidRDefault="00C10A84" w:rsidP="00FC2B71">
            <w:pPr>
              <w:jc w:val="right"/>
              <w:cnfStyle w:val="010000000000" w:firstRow="0" w:lastRow="1"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647,796</w:t>
            </w:r>
          </w:p>
        </w:tc>
        <w:tc>
          <w:tcPr>
            <w:tcW w:w="1012" w:type="pct"/>
            <w:tcBorders>
              <w:top w:val="nil"/>
              <w:bottom w:val="single" w:sz="6" w:space="0" w:color="000000"/>
            </w:tcBorders>
          </w:tcPr>
          <w:p w:rsidR="00C10A84" w:rsidRPr="007226D7" w:rsidRDefault="00C10A84" w:rsidP="00C10A84">
            <w:pPr>
              <w:jc w:val="right"/>
              <w:cnfStyle w:val="010000000000" w:firstRow="0" w:lastRow="1"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785,067</w:t>
            </w:r>
          </w:p>
        </w:tc>
        <w:tc>
          <w:tcPr>
            <w:tcW w:w="1012" w:type="pct"/>
            <w:tcBorders>
              <w:top w:val="nil"/>
              <w:bottom w:val="single" w:sz="6" w:space="0" w:color="000000"/>
            </w:tcBorders>
            <w:vAlign w:val="bottom"/>
          </w:tcPr>
          <w:p w:rsidR="00C10A84" w:rsidRPr="007226D7" w:rsidRDefault="00C10A84">
            <w:pPr>
              <w:jc w:val="right"/>
              <w:cnfStyle w:val="010000000000" w:firstRow="0" w:lastRow="1"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823,069</w:t>
            </w:r>
          </w:p>
        </w:tc>
        <w:tc>
          <w:tcPr>
            <w:tcW w:w="1011" w:type="pct"/>
            <w:tcBorders>
              <w:top w:val="nil"/>
              <w:bottom w:val="single" w:sz="6" w:space="0" w:color="000000"/>
            </w:tcBorders>
            <w:vAlign w:val="bottom"/>
          </w:tcPr>
          <w:p w:rsidR="00C10A84" w:rsidRPr="007226D7" w:rsidRDefault="00C10A84">
            <w:pPr>
              <w:jc w:val="right"/>
              <w:cnfStyle w:val="010000000000" w:firstRow="0" w:lastRow="1" w:firstColumn="0" w:lastColumn="0" w:oddVBand="0" w:evenVBand="0" w:oddHBand="0" w:evenHBand="0" w:firstRowFirstColumn="0" w:firstRowLastColumn="0" w:lastRowFirstColumn="0" w:lastRowLastColumn="0"/>
              <w:rPr>
                <w:sz w:val="18"/>
                <w:szCs w:val="16"/>
                <w:lang w:val="es-ES"/>
              </w:rPr>
            </w:pPr>
            <w:r w:rsidRPr="007226D7">
              <w:rPr>
                <w:sz w:val="18"/>
                <w:szCs w:val="16"/>
                <w:lang w:val="es-ES"/>
              </w:rPr>
              <w:t>1,021,195</w:t>
            </w:r>
          </w:p>
        </w:tc>
      </w:tr>
    </w:tbl>
    <w:p w:rsidR="00714723" w:rsidRPr="007226D7" w:rsidRDefault="00714723" w:rsidP="00714723">
      <w:pPr>
        <w:rPr>
          <w:noProof/>
          <w:lang w:val="es-ES"/>
        </w:rPr>
      </w:pPr>
    </w:p>
    <w:p w:rsidR="00BE2416" w:rsidRDefault="00BE2416">
      <w:pPr>
        <w:spacing w:after="0" w:line="240" w:lineRule="auto"/>
        <w:jc w:val="left"/>
        <w:rPr>
          <w:noProof/>
          <w:lang w:val="es-ES"/>
        </w:rPr>
      </w:pPr>
      <w:r>
        <w:rPr>
          <w:noProof/>
          <w:lang w:val="es-ES"/>
        </w:rPr>
        <w:br w:type="page"/>
      </w:r>
    </w:p>
    <w:p w:rsidR="00ED1F70" w:rsidRPr="007226D7" w:rsidRDefault="00ED1F70" w:rsidP="00ED1F70">
      <w:pPr>
        <w:pStyle w:val="Heading4"/>
        <w:rPr>
          <w:noProof/>
          <w:lang w:val="es-ES"/>
        </w:rPr>
      </w:pPr>
      <w:r w:rsidRPr="007226D7">
        <w:rPr>
          <w:noProof/>
          <w:lang w:val="es-ES"/>
        </w:rPr>
        <w:lastRenderedPageBreak/>
        <w:t>Modelo de distribución de viajes</w:t>
      </w:r>
    </w:p>
    <w:p w:rsidR="00ED1F70" w:rsidRPr="007226D7" w:rsidRDefault="00ED1F70" w:rsidP="00ED1F70">
      <w:pPr>
        <w:rPr>
          <w:lang w:val="es-ES"/>
        </w:rPr>
      </w:pPr>
      <w:r w:rsidRPr="007226D7">
        <w:rPr>
          <w:lang w:val="es-ES"/>
        </w:rPr>
        <w:t>Los modelos de distribución permiten reproducir el número de viajes motorizados (público+privado) entre cada par origen/destino mediante modelos matemáticos basados en las variables de origen/destino entre cada zona de transporte y el coste generalizado del viaje entre ellas</w:t>
      </w:r>
      <w:r w:rsidR="00714723" w:rsidRPr="007226D7">
        <w:rPr>
          <w:lang w:val="es-ES"/>
        </w:rPr>
        <w:t>.</w:t>
      </w:r>
    </w:p>
    <w:p w:rsidR="00ED1F70" w:rsidRPr="007226D7" w:rsidRDefault="00ED1F70" w:rsidP="00ED1F70">
      <w:pPr>
        <w:rPr>
          <w:lang w:val="es-ES"/>
        </w:rPr>
      </w:pPr>
      <w:r w:rsidRPr="007226D7">
        <w:rPr>
          <w:lang w:val="es-ES"/>
        </w:rPr>
        <w:t>Los tiempos y costes de viaje se obtienen mediante la asignación de las matrices  del año existente en las redes de transporte del año horizonte a evaluar.</w:t>
      </w:r>
      <w:r w:rsidR="00714723" w:rsidRPr="007226D7">
        <w:rPr>
          <w:lang w:val="es-ES"/>
        </w:rPr>
        <w:t xml:space="preserve"> </w:t>
      </w:r>
      <w:r w:rsidRPr="007226D7">
        <w:rPr>
          <w:noProof/>
          <w:lang w:val="es-ES"/>
        </w:rPr>
        <w:t>El modelo utilizado será de tipo gravitatorio con la siguiente formulación:</w:t>
      </w:r>
    </w:p>
    <w:p w:rsidR="00ED1F70" w:rsidRPr="007226D7" w:rsidRDefault="00ED1F70" w:rsidP="00ED1F70">
      <w:pPr>
        <w:jc w:val="center"/>
        <w:rPr>
          <w:b/>
          <w:bCs/>
          <w:vertAlign w:val="superscript"/>
          <w:lang w:val="es-ES"/>
        </w:rPr>
      </w:pPr>
      <w:r w:rsidRPr="007226D7">
        <w:rPr>
          <w:b/>
          <w:bCs/>
          <w:noProof/>
          <w:lang w:val="es-ES"/>
        </w:rPr>
        <w:t>V</w:t>
      </w:r>
      <w:r w:rsidRPr="007226D7">
        <w:rPr>
          <w:b/>
          <w:bCs/>
          <w:noProof/>
          <w:vertAlign w:val="subscript"/>
          <w:lang w:val="es-ES"/>
        </w:rPr>
        <w:t>ij</w:t>
      </w:r>
      <w:r w:rsidRPr="007226D7">
        <w:rPr>
          <w:b/>
          <w:bCs/>
          <w:noProof/>
          <w:lang w:val="es-ES"/>
        </w:rPr>
        <w:t>= a</w:t>
      </w:r>
      <w:r w:rsidRPr="007226D7">
        <w:rPr>
          <w:b/>
          <w:bCs/>
          <w:noProof/>
          <w:vertAlign w:val="superscript"/>
          <w:lang w:val="es-ES"/>
        </w:rPr>
        <w:t xml:space="preserve"> </w:t>
      </w:r>
      <w:r w:rsidRPr="007226D7">
        <w:rPr>
          <w:b/>
          <w:bCs/>
          <w:noProof/>
          <w:lang w:val="es-ES"/>
        </w:rPr>
        <w:t>* O</w:t>
      </w:r>
      <w:r w:rsidRPr="007226D7">
        <w:rPr>
          <w:b/>
          <w:bCs/>
          <w:noProof/>
          <w:vertAlign w:val="subscript"/>
          <w:lang w:val="es-ES"/>
        </w:rPr>
        <w:t>i</w:t>
      </w:r>
      <w:r w:rsidRPr="007226D7">
        <w:rPr>
          <w:b/>
          <w:bCs/>
          <w:noProof/>
          <w:vertAlign w:val="superscript"/>
          <w:lang w:val="es-ES"/>
        </w:rPr>
        <w:t>b</w:t>
      </w:r>
      <w:r w:rsidRPr="007226D7">
        <w:rPr>
          <w:b/>
          <w:bCs/>
          <w:noProof/>
          <w:lang w:val="es-ES"/>
        </w:rPr>
        <w:t xml:space="preserve"> * D</w:t>
      </w:r>
      <w:r w:rsidRPr="007226D7">
        <w:rPr>
          <w:b/>
          <w:bCs/>
          <w:noProof/>
          <w:vertAlign w:val="subscript"/>
          <w:lang w:val="es-ES"/>
        </w:rPr>
        <w:t>j</w:t>
      </w:r>
      <w:r w:rsidRPr="007226D7">
        <w:rPr>
          <w:b/>
          <w:bCs/>
          <w:noProof/>
          <w:vertAlign w:val="superscript"/>
          <w:lang w:val="es-ES"/>
        </w:rPr>
        <w:t>c</w:t>
      </w:r>
      <w:r w:rsidRPr="007226D7">
        <w:rPr>
          <w:b/>
          <w:bCs/>
          <w:noProof/>
          <w:lang w:val="es-ES"/>
        </w:rPr>
        <w:t xml:space="preserve"> * CG</w:t>
      </w:r>
      <w:r w:rsidRPr="007226D7">
        <w:rPr>
          <w:b/>
          <w:bCs/>
          <w:noProof/>
          <w:vertAlign w:val="subscript"/>
          <w:lang w:val="es-ES"/>
        </w:rPr>
        <w:t>ij</w:t>
      </w:r>
      <w:r w:rsidRPr="007226D7">
        <w:rPr>
          <w:b/>
          <w:bCs/>
          <w:noProof/>
          <w:vertAlign w:val="superscript"/>
          <w:lang w:val="es-ES"/>
        </w:rPr>
        <w:t>d</w:t>
      </w:r>
    </w:p>
    <w:p w:rsidR="00ED1F70" w:rsidRPr="007226D7" w:rsidRDefault="00ED1F70" w:rsidP="00ED1F70">
      <w:pPr>
        <w:rPr>
          <w:lang w:val="es-ES"/>
        </w:rPr>
      </w:pPr>
      <w:r w:rsidRPr="007226D7">
        <w:rPr>
          <w:noProof/>
          <w:lang w:val="es-ES"/>
        </w:rPr>
        <w:t>donde:</w:t>
      </w:r>
    </w:p>
    <w:p w:rsidR="00ED1F70" w:rsidRPr="007226D7" w:rsidRDefault="00ED1F70" w:rsidP="00ED1F70">
      <w:pPr>
        <w:rPr>
          <w:lang w:val="es-ES"/>
        </w:rPr>
      </w:pPr>
      <w:r w:rsidRPr="007226D7">
        <w:rPr>
          <w:noProof/>
          <w:lang w:val="es-ES"/>
        </w:rPr>
        <w:t>V</w:t>
      </w:r>
      <w:r w:rsidRPr="007226D7">
        <w:rPr>
          <w:noProof/>
          <w:vertAlign w:val="subscript"/>
          <w:lang w:val="es-ES"/>
        </w:rPr>
        <w:t>ij</w:t>
      </w:r>
      <w:r w:rsidRPr="007226D7">
        <w:rPr>
          <w:vertAlign w:val="subscript"/>
          <w:lang w:val="es-ES"/>
        </w:rPr>
        <w:t xml:space="preserve"> </w:t>
      </w:r>
      <w:r w:rsidRPr="007226D7">
        <w:rPr>
          <w:lang w:val="es-ES"/>
        </w:rPr>
        <w:t xml:space="preserve"> </w:t>
      </w:r>
      <w:r w:rsidRPr="007226D7">
        <w:rPr>
          <w:lang w:val="es-ES"/>
        </w:rPr>
        <w:tab/>
      </w:r>
      <w:r w:rsidRPr="007226D7">
        <w:rPr>
          <w:lang w:val="es-ES"/>
        </w:rPr>
        <w:tab/>
      </w:r>
      <w:r w:rsidRPr="007226D7">
        <w:rPr>
          <w:noProof/>
          <w:lang w:val="es-ES"/>
        </w:rPr>
        <w:t>Número de viajes entre las zonas i y j</w:t>
      </w:r>
    </w:p>
    <w:p w:rsidR="00ED1F70" w:rsidRPr="007226D7" w:rsidRDefault="00ED1F70" w:rsidP="00ED1F70">
      <w:pPr>
        <w:rPr>
          <w:lang w:val="es-ES"/>
        </w:rPr>
      </w:pPr>
      <w:r w:rsidRPr="007226D7">
        <w:rPr>
          <w:noProof/>
          <w:lang w:val="es-ES"/>
        </w:rPr>
        <w:t>O</w:t>
      </w:r>
      <w:r w:rsidRPr="007226D7">
        <w:rPr>
          <w:noProof/>
          <w:vertAlign w:val="subscript"/>
          <w:lang w:val="es-ES"/>
        </w:rPr>
        <w:t>i</w:t>
      </w:r>
      <w:r w:rsidRPr="007226D7">
        <w:rPr>
          <w:vertAlign w:val="subscript"/>
          <w:lang w:val="es-ES"/>
        </w:rPr>
        <w:t xml:space="preserve"> </w:t>
      </w:r>
      <w:r w:rsidRPr="007226D7">
        <w:rPr>
          <w:lang w:val="es-ES"/>
        </w:rPr>
        <w:tab/>
      </w:r>
      <w:r w:rsidRPr="007226D7">
        <w:rPr>
          <w:lang w:val="es-ES"/>
        </w:rPr>
        <w:tab/>
      </w:r>
      <w:r w:rsidRPr="007226D7">
        <w:rPr>
          <w:noProof/>
          <w:lang w:val="es-ES"/>
        </w:rPr>
        <w:t>Viajes en zona de origen i</w:t>
      </w:r>
    </w:p>
    <w:p w:rsidR="00ED1F70" w:rsidRPr="007226D7" w:rsidRDefault="00ED1F70" w:rsidP="00ED1F70">
      <w:pPr>
        <w:rPr>
          <w:lang w:val="es-ES"/>
        </w:rPr>
      </w:pPr>
      <w:r w:rsidRPr="007226D7">
        <w:rPr>
          <w:noProof/>
          <w:lang w:val="es-ES"/>
        </w:rPr>
        <w:t>D</w:t>
      </w:r>
      <w:r w:rsidRPr="007226D7">
        <w:rPr>
          <w:noProof/>
          <w:vertAlign w:val="subscript"/>
          <w:lang w:val="es-ES"/>
        </w:rPr>
        <w:t>j</w:t>
      </w:r>
      <w:r w:rsidRPr="007226D7">
        <w:rPr>
          <w:lang w:val="es-ES"/>
        </w:rPr>
        <w:t xml:space="preserve"> </w:t>
      </w:r>
      <w:r w:rsidRPr="007226D7">
        <w:rPr>
          <w:lang w:val="es-ES"/>
        </w:rPr>
        <w:tab/>
      </w:r>
      <w:r w:rsidRPr="007226D7">
        <w:rPr>
          <w:lang w:val="es-ES"/>
        </w:rPr>
        <w:tab/>
      </w:r>
      <w:r w:rsidRPr="007226D7">
        <w:rPr>
          <w:noProof/>
          <w:lang w:val="es-ES"/>
        </w:rPr>
        <w:t>Viajes en zona de destino j</w:t>
      </w:r>
    </w:p>
    <w:p w:rsidR="00ED1F70" w:rsidRPr="007226D7" w:rsidRDefault="00ED1F70" w:rsidP="009D3DFD">
      <w:pPr>
        <w:ind w:left="1418" w:hanging="1418"/>
        <w:rPr>
          <w:lang w:val="es-ES"/>
        </w:rPr>
      </w:pPr>
      <w:r w:rsidRPr="007226D7">
        <w:rPr>
          <w:noProof/>
          <w:lang w:val="es-ES"/>
        </w:rPr>
        <w:t>CG</w:t>
      </w:r>
      <w:r w:rsidRPr="007226D7">
        <w:rPr>
          <w:noProof/>
          <w:vertAlign w:val="subscript"/>
          <w:lang w:val="es-ES"/>
        </w:rPr>
        <w:t>ij</w:t>
      </w:r>
      <w:r w:rsidRPr="007226D7">
        <w:rPr>
          <w:vertAlign w:val="subscript"/>
          <w:lang w:val="es-ES"/>
        </w:rPr>
        <w:t xml:space="preserve"> </w:t>
      </w:r>
      <w:r w:rsidRPr="007226D7">
        <w:rPr>
          <w:lang w:val="es-ES"/>
        </w:rPr>
        <w:t xml:space="preserve"> </w:t>
      </w:r>
      <w:r w:rsidRPr="007226D7">
        <w:rPr>
          <w:lang w:val="es-ES"/>
        </w:rPr>
        <w:tab/>
      </w:r>
      <w:r w:rsidR="009D3DFD" w:rsidRPr="007226D7">
        <w:rPr>
          <w:lang w:val="es-ES"/>
        </w:rPr>
        <w:t>C</w:t>
      </w:r>
      <w:r w:rsidRPr="007226D7">
        <w:rPr>
          <w:noProof/>
          <w:lang w:val="es-ES"/>
        </w:rPr>
        <w:t xml:space="preserve">oste generalizado entre cada par de zonas ij - </w:t>
      </w:r>
      <w:r w:rsidRPr="007226D7">
        <w:rPr>
          <w:lang w:val="es-ES"/>
        </w:rPr>
        <w:t>Como coste generalizado del viaje se adoptaran los datos procedentes del modelo de asignación en transporte público y privado, ponderando en función de la demanda de estos modos</w:t>
      </w:r>
    </w:p>
    <w:p w:rsidR="009D3DFD" w:rsidRPr="007226D7" w:rsidRDefault="00ED1F70" w:rsidP="00714723">
      <w:pPr>
        <w:rPr>
          <w:noProof/>
          <w:lang w:val="es-ES"/>
        </w:rPr>
      </w:pPr>
      <w:r w:rsidRPr="007226D7">
        <w:rPr>
          <w:noProof/>
          <w:lang w:val="es-ES"/>
        </w:rPr>
        <w:t>a,b,c,d</w:t>
      </w:r>
      <w:r w:rsidRPr="007226D7">
        <w:rPr>
          <w:lang w:val="es-ES"/>
        </w:rPr>
        <w:t xml:space="preserve"> </w:t>
      </w:r>
      <w:r w:rsidRPr="007226D7">
        <w:rPr>
          <w:lang w:val="es-ES"/>
        </w:rPr>
        <w:tab/>
      </w:r>
      <w:r w:rsidRPr="007226D7">
        <w:rPr>
          <w:noProof/>
          <w:lang w:val="es-ES"/>
        </w:rPr>
        <w:t>Parámetros de ajuste</w:t>
      </w:r>
      <w:r w:rsidR="009D3DFD" w:rsidRPr="007226D7">
        <w:rPr>
          <w:noProof/>
          <w:lang w:val="es-ES"/>
        </w:rPr>
        <w:br w:type="page"/>
      </w:r>
    </w:p>
    <w:p w:rsidR="00ED1F70" w:rsidRPr="007226D7" w:rsidRDefault="00ED1F70" w:rsidP="00ED1F70">
      <w:pPr>
        <w:rPr>
          <w:lang w:val="es-ES"/>
        </w:rPr>
      </w:pPr>
      <w:r w:rsidRPr="007226D7">
        <w:rPr>
          <w:noProof/>
          <w:lang w:val="es-ES"/>
        </w:rPr>
        <w:lastRenderedPageBreak/>
        <w:t>A continuación se presentan los modelos obtenidos en los períodos de análisis, así como sus estadísticos</w:t>
      </w:r>
    </w:p>
    <w:p w:rsidR="00ED1F70" w:rsidRPr="007226D7" w:rsidRDefault="00FC103B" w:rsidP="00ED1F70">
      <w:pPr>
        <w:pStyle w:val="Figuras"/>
        <w:rPr>
          <w:noProof/>
        </w:rPr>
      </w:pPr>
      <w:r w:rsidRPr="007226D7">
        <w:rPr>
          <w:noProof/>
        </w:rPr>
        <w:t>Tabla 4.5 – 10</w:t>
      </w:r>
      <w:r w:rsidRPr="007226D7">
        <w:t xml:space="preserve">: </w:t>
      </w:r>
      <w:r w:rsidR="00ED1F70" w:rsidRPr="007226D7">
        <w:rPr>
          <w:noProof/>
        </w:rPr>
        <w:t>Modelo de distribución de viajes HPM</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F044B0"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F044B0" w:rsidRPr="007226D7" w:rsidRDefault="00F044B0" w:rsidP="00FC2B71">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F044B0" w:rsidRPr="007226D7" w:rsidRDefault="00F044B0" w:rsidP="00FC2B71">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F044B0" w:rsidRPr="007226D7" w:rsidRDefault="00F044B0" w:rsidP="00FC2B71">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F044B0" w:rsidRPr="007226D7" w:rsidRDefault="00F044B0" w:rsidP="00FC2B71">
            <w:pPr>
              <w:spacing w:line="240" w:lineRule="auto"/>
              <w:jc w:val="center"/>
              <w:rPr>
                <w:b/>
                <w:bCs/>
                <w:sz w:val="18"/>
                <w:szCs w:val="18"/>
                <w:lang w:val="es-ES"/>
              </w:rPr>
            </w:pPr>
            <w:r w:rsidRPr="007226D7">
              <w:rPr>
                <w:b/>
                <w:bCs/>
                <w:noProof/>
                <w:sz w:val="18"/>
                <w:szCs w:val="18"/>
                <w:lang w:val="es-ES"/>
              </w:rPr>
              <w:t>R2</w:t>
            </w:r>
          </w:p>
        </w:tc>
      </w:tr>
      <w:tr w:rsidR="00FE4CF5" w:rsidRPr="007226D7" w:rsidTr="009563C7">
        <w:trPr>
          <w:trHeight w:val="225"/>
          <w:jc w:val="center"/>
        </w:trPr>
        <w:tc>
          <w:tcPr>
            <w:tcW w:w="1372" w:type="pct"/>
            <w:tcBorders>
              <w:top w:val="single" w:sz="4"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Origen</w:t>
            </w:r>
          </w:p>
        </w:tc>
        <w:tc>
          <w:tcPr>
            <w:tcW w:w="1261" w:type="pct"/>
            <w:tcBorders>
              <w:top w:val="single" w:sz="4" w:space="0" w:color="000000"/>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0.4284</w:t>
            </w:r>
          </w:p>
        </w:tc>
        <w:tc>
          <w:tcPr>
            <w:tcW w:w="1332" w:type="pct"/>
            <w:tcBorders>
              <w:top w:val="single" w:sz="4" w:space="0" w:color="000000"/>
            </w:tcBorders>
          </w:tcPr>
          <w:p w:rsidR="00FE4CF5" w:rsidRPr="007226D7" w:rsidRDefault="00FE4CF5" w:rsidP="00FC2B71">
            <w:pPr>
              <w:jc w:val="right"/>
              <w:rPr>
                <w:i/>
                <w:color w:val="000000"/>
                <w:sz w:val="18"/>
                <w:szCs w:val="18"/>
                <w:lang w:val="es-ES"/>
              </w:rPr>
            </w:pPr>
            <w:r w:rsidRPr="007226D7">
              <w:rPr>
                <w:i/>
                <w:color w:val="000000"/>
                <w:sz w:val="18"/>
                <w:szCs w:val="18"/>
                <w:lang w:val="es-ES"/>
              </w:rPr>
              <w:t>33.87</w:t>
            </w:r>
          </w:p>
        </w:tc>
        <w:tc>
          <w:tcPr>
            <w:tcW w:w="1035" w:type="pct"/>
            <w:vMerge w:val="restart"/>
            <w:tcBorders>
              <w:top w:val="single" w:sz="4" w:space="0" w:color="000000"/>
            </w:tcBorders>
            <w:vAlign w:val="center"/>
          </w:tcPr>
          <w:p w:rsidR="00FE4CF5" w:rsidRPr="007226D7" w:rsidRDefault="00FE4CF5" w:rsidP="00FC2B71">
            <w:pPr>
              <w:jc w:val="right"/>
              <w:rPr>
                <w:i/>
                <w:sz w:val="18"/>
                <w:szCs w:val="18"/>
                <w:lang w:val="es-ES"/>
              </w:rPr>
            </w:pPr>
            <w:r w:rsidRPr="007226D7">
              <w:rPr>
                <w:i/>
                <w:sz w:val="18"/>
                <w:szCs w:val="18"/>
                <w:lang w:val="es-ES"/>
              </w:rPr>
              <w:t>0.94</w:t>
            </w:r>
          </w:p>
        </w:tc>
      </w:tr>
      <w:tr w:rsidR="00FE4CF5" w:rsidRPr="007226D7" w:rsidTr="009563C7">
        <w:trPr>
          <w:trHeight w:val="225"/>
          <w:jc w:val="center"/>
        </w:trPr>
        <w:tc>
          <w:tcPr>
            <w:tcW w:w="1372" w:type="pct"/>
            <w:tcBorders>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Destino</w:t>
            </w:r>
          </w:p>
        </w:tc>
        <w:tc>
          <w:tcPr>
            <w:tcW w:w="1261" w:type="pct"/>
            <w:tcBorders>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0.4471</w:t>
            </w:r>
          </w:p>
        </w:tc>
        <w:tc>
          <w:tcPr>
            <w:tcW w:w="1332" w:type="pct"/>
          </w:tcPr>
          <w:p w:rsidR="00FE4CF5" w:rsidRPr="007226D7" w:rsidRDefault="00FE4CF5" w:rsidP="00FC2B71">
            <w:pPr>
              <w:jc w:val="right"/>
              <w:rPr>
                <w:i/>
                <w:color w:val="000000"/>
                <w:sz w:val="18"/>
                <w:szCs w:val="18"/>
                <w:lang w:val="es-ES"/>
              </w:rPr>
            </w:pPr>
            <w:r w:rsidRPr="007226D7">
              <w:rPr>
                <w:i/>
                <w:color w:val="000000"/>
                <w:sz w:val="18"/>
                <w:szCs w:val="18"/>
                <w:lang w:val="es-ES"/>
              </w:rPr>
              <w:t>37.61</w:t>
            </w:r>
          </w:p>
        </w:tc>
        <w:tc>
          <w:tcPr>
            <w:tcW w:w="1035" w:type="pct"/>
            <w:vMerge/>
          </w:tcPr>
          <w:p w:rsidR="00FE4CF5" w:rsidRPr="007226D7" w:rsidRDefault="00FE4CF5" w:rsidP="00FC2B71">
            <w:pPr>
              <w:spacing w:line="240" w:lineRule="auto"/>
              <w:jc w:val="right"/>
              <w:rPr>
                <w:sz w:val="18"/>
                <w:szCs w:val="18"/>
                <w:lang w:val="es-ES"/>
              </w:rPr>
            </w:pPr>
          </w:p>
        </w:tc>
      </w:tr>
      <w:tr w:rsidR="00FE4CF5" w:rsidRPr="007226D7" w:rsidTr="009563C7">
        <w:trPr>
          <w:trHeight w:val="225"/>
          <w:jc w:val="center"/>
        </w:trPr>
        <w:tc>
          <w:tcPr>
            <w:tcW w:w="1372" w:type="pct"/>
            <w:tcBorders>
              <w:bottom w:val="single" w:sz="12"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Coste generalizado</w:t>
            </w:r>
          </w:p>
        </w:tc>
        <w:tc>
          <w:tcPr>
            <w:tcW w:w="1261" w:type="pct"/>
            <w:tcBorders>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-0.8917</w:t>
            </w:r>
          </w:p>
        </w:tc>
        <w:tc>
          <w:tcPr>
            <w:tcW w:w="1332" w:type="pct"/>
          </w:tcPr>
          <w:p w:rsidR="00FE4CF5" w:rsidRPr="007226D7" w:rsidRDefault="00FE4CF5" w:rsidP="00FC2B71">
            <w:pPr>
              <w:jc w:val="right"/>
              <w:rPr>
                <w:i/>
                <w:color w:val="000000"/>
                <w:sz w:val="18"/>
                <w:szCs w:val="18"/>
                <w:lang w:val="es-ES"/>
              </w:rPr>
            </w:pPr>
            <w:r w:rsidRPr="007226D7">
              <w:rPr>
                <w:i/>
                <w:color w:val="000000"/>
                <w:sz w:val="18"/>
                <w:szCs w:val="18"/>
                <w:lang w:val="es-ES"/>
              </w:rPr>
              <w:t>-47.83</w:t>
            </w:r>
          </w:p>
        </w:tc>
        <w:tc>
          <w:tcPr>
            <w:tcW w:w="1035" w:type="pct"/>
            <w:vMerge/>
          </w:tcPr>
          <w:p w:rsidR="00FE4CF5" w:rsidRPr="007226D7" w:rsidRDefault="00FE4CF5" w:rsidP="00FC2B71">
            <w:pPr>
              <w:spacing w:line="240" w:lineRule="auto"/>
              <w:jc w:val="right"/>
              <w:rPr>
                <w:sz w:val="18"/>
                <w:szCs w:val="18"/>
                <w:lang w:val="es-ES"/>
              </w:rPr>
            </w:pPr>
          </w:p>
        </w:tc>
      </w:tr>
    </w:tbl>
    <w:p w:rsidR="00ED1F70" w:rsidRPr="007226D7" w:rsidRDefault="00ED1F70" w:rsidP="00ED1F70">
      <w:pPr>
        <w:rPr>
          <w:lang w:val="es-ES"/>
        </w:rPr>
      </w:pPr>
    </w:p>
    <w:p w:rsidR="00ED1F70" w:rsidRPr="007226D7" w:rsidRDefault="00FC103B" w:rsidP="00ED1F70">
      <w:pPr>
        <w:pStyle w:val="Figuras"/>
        <w:rPr>
          <w:noProof/>
        </w:rPr>
      </w:pPr>
      <w:r w:rsidRPr="007226D7">
        <w:rPr>
          <w:noProof/>
        </w:rPr>
        <w:t>Tabla 4.5 – 11</w:t>
      </w:r>
      <w:r w:rsidRPr="007226D7">
        <w:t xml:space="preserve">: </w:t>
      </w:r>
      <w:r w:rsidR="00ED1F70" w:rsidRPr="007226D7">
        <w:rPr>
          <w:noProof/>
        </w:rPr>
        <w:t>Modelo de distribución de viajes HPT</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FE4CF5"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R2</w:t>
            </w:r>
          </w:p>
        </w:tc>
      </w:tr>
      <w:tr w:rsidR="00FE4CF5" w:rsidRPr="007226D7" w:rsidTr="009563C7">
        <w:trPr>
          <w:trHeight w:val="225"/>
          <w:jc w:val="center"/>
        </w:trPr>
        <w:tc>
          <w:tcPr>
            <w:tcW w:w="1372" w:type="pct"/>
            <w:tcBorders>
              <w:top w:val="single" w:sz="4"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Origen</w:t>
            </w:r>
          </w:p>
        </w:tc>
        <w:tc>
          <w:tcPr>
            <w:tcW w:w="1261" w:type="pct"/>
            <w:tcBorders>
              <w:top w:val="single" w:sz="4" w:space="0" w:color="000000"/>
              <w:left w:val="single" w:sz="4" w:space="0" w:color="000000"/>
            </w:tcBorders>
            <w:noWrap/>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0.3391</w:t>
            </w:r>
          </w:p>
        </w:tc>
        <w:tc>
          <w:tcPr>
            <w:tcW w:w="1332" w:type="pct"/>
            <w:tcBorders>
              <w:top w:val="single" w:sz="4" w:space="0" w:color="000000"/>
            </w:tcBorders>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33.32</w:t>
            </w:r>
          </w:p>
        </w:tc>
        <w:tc>
          <w:tcPr>
            <w:tcW w:w="1035" w:type="pct"/>
            <w:vMerge w:val="restart"/>
            <w:tcBorders>
              <w:top w:val="single" w:sz="4" w:space="0" w:color="000000"/>
            </w:tcBorders>
            <w:vAlign w:val="center"/>
          </w:tcPr>
          <w:p w:rsidR="00FE4CF5" w:rsidRPr="007226D7" w:rsidRDefault="00FE4CF5" w:rsidP="00FE4CF5">
            <w:pPr>
              <w:jc w:val="right"/>
              <w:rPr>
                <w:i/>
                <w:sz w:val="18"/>
                <w:szCs w:val="18"/>
                <w:lang w:val="es-ES"/>
              </w:rPr>
            </w:pPr>
            <w:r w:rsidRPr="007226D7">
              <w:rPr>
                <w:i/>
                <w:sz w:val="18"/>
                <w:szCs w:val="18"/>
                <w:lang w:val="es-ES"/>
              </w:rPr>
              <w:t>0.95</w:t>
            </w:r>
          </w:p>
        </w:tc>
      </w:tr>
      <w:tr w:rsidR="00FE4CF5" w:rsidRPr="007226D7" w:rsidTr="009563C7">
        <w:trPr>
          <w:trHeight w:val="225"/>
          <w:jc w:val="center"/>
        </w:trPr>
        <w:tc>
          <w:tcPr>
            <w:tcW w:w="1372" w:type="pct"/>
            <w:tcBorders>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Destino</w:t>
            </w:r>
          </w:p>
        </w:tc>
        <w:tc>
          <w:tcPr>
            <w:tcW w:w="1261" w:type="pct"/>
            <w:tcBorders>
              <w:left w:val="single" w:sz="4" w:space="0" w:color="000000"/>
            </w:tcBorders>
            <w:noWrap/>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0.4539</w:t>
            </w:r>
          </w:p>
        </w:tc>
        <w:tc>
          <w:tcPr>
            <w:tcW w:w="1332" w:type="pct"/>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41.33</w:t>
            </w:r>
          </w:p>
        </w:tc>
        <w:tc>
          <w:tcPr>
            <w:tcW w:w="1035" w:type="pct"/>
            <w:vMerge/>
          </w:tcPr>
          <w:p w:rsidR="00FE4CF5" w:rsidRPr="007226D7" w:rsidRDefault="00FE4CF5" w:rsidP="00FC2B71">
            <w:pPr>
              <w:spacing w:line="240" w:lineRule="auto"/>
              <w:jc w:val="right"/>
              <w:rPr>
                <w:sz w:val="18"/>
                <w:szCs w:val="18"/>
                <w:lang w:val="es-ES"/>
              </w:rPr>
            </w:pPr>
          </w:p>
        </w:tc>
      </w:tr>
      <w:tr w:rsidR="00FE4CF5" w:rsidRPr="007226D7" w:rsidTr="009563C7">
        <w:trPr>
          <w:trHeight w:val="225"/>
          <w:jc w:val="center"/>
        </w:trPr>
        <w:tc>
          <w:tcPr>
            <w:tcW w:w="1372" w:type="pct"/>
            <w:tcBorders>
              <w:bottom w:val="single" w:sz="12"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Coste generalizado</w:t>
            </w:r>
          </w:p>
        </w:tc>
        <w:tc>
          <w:tcPr>
            <w:tcW w:w="1261" w:type="pct"/>
            <w:tcBorders>
              <w:left w:val="single" w:sz="4" w:space="0" w:color="000000"/>
            </w:tcBorders>
            <w:noWrap/>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-0.6722</w:t>
            </w:r>
          </w:p>
        </w:tc>
        <w:tc>
          <w:tcPr>
            <w:tcW w:w="1332" w:type="pct"/>
            <w:vAlign w:val="center"/>
          </w:tcPr>
          <w:p w:rsidR="00FE4CF5" w:rsidRPr="007226D7" w:rsidRDefault="00FE4CF5" w:rsidP="00FE4CF5">
            <w:pPr>
              <w:jc w:val="right"/>
              <w:rPr>
                <w:i/>
                <w:color w:val="000000"/>
                <w:sz w:val="18"/>
                <w:szCs w:val="18"/>
                <w:lang w:val="es-ES"/>
              </w:rPr>
            </w:pPr>
            <w:r w:rsidRPr="007226D7">
              <w:rPr>
                <w:i/>
                <w:color w:val="000000"/>
                <w:sz w:val="18"/>
                <w:szCs w:val="18"/>
                <w:lang w:val="es-ES"/>
              </w:rPr>
              <w:t>-43.03</w:t>
            </w:r>
          </w:p>
        </w:tc>
        <w:tc>
          <w:tcPr>
            <w:tcW w:w="1035" w:type="pct"/>
            <w:vMerge/>
          </w:tcPr>
          <w:p w:rsidR="00FE4CF5" w:rsidRPr="007226D7" w:rsidRDefault="00FE4CF5" w:rsidP="00FC2B71">
            <w:pPr>
              <w:spacing w:line="240" w:lineRule="auto"/>
              <w:jc w:val="right"/>
              <w:rPr>
                <w:sz w:val="18"/>
                <w:szCs w:val="18"/>
                <w:lang w:val="es-ES"/>
              </w:rPr>
            </w:pPr>
          </w:p>
        </w:tc>
      </w:tr>
    </w:tbl>
    <w:p w:rsidR="009F2DC8" w:rsidRPr="007226D7" w:rsidRDefault="009F2DC8">
      <w:pPr>
        <w:spacing w:after="0" w:line="240" w:lineRule="auto"/>
        <w:jc w:val="left"/>
        <w:rPr>
          <w:b/>
          <w:noProof/>
          <w:sz w:val="16"/>
          <w:szCs w:val="16"/>
          <w:lang w:val="es-ES"/>
        </w:rPr>
      </w:pPr>
    </w:p>
    <w:p w:rsidR="00ED1F70" w:rsidRPr="007226D7" w:rsidRDefault="00FC103B" w:rsidP="00FE4CF5">
      <w:pPr>
        <w:pStyle w:val="Figuras"/>
      </w:pPr>
      <w:r w:rsidRPr="007226D7">
        <w:rPr>
          <w:noProof/>
        </w:rPr>
        <w:t>Tabla 4.5 – 12</w:t>
      </w:r>
      <w:r w:rsidRPr="007226D7">
        <w:t xml:space="preserve">: </w:t>
      </w:r>
      <w:r w:rsidR="00ED1F70" w:rsidRPr="007226D7">
        <w:rPr>
          <w:noProof/>
        </w:rPr>
        <w:t>Modelo de distribución de viajes HV</w:t>
      </w:r>
    </w:p>
    <w:tbl>
      <w:tblPr>
        <w:tblStyle w:val="TableClassic1"/>
        <w:tblW w:w="3407" w:type="pct"/>
        <w:jc w:val="center"/>
        <w:tblLayout w:type="fixed"/>
        <w:tblLook w:val="0000" w:firstRow="0" w:lastRow="0" w:firstColumn="0" w:lastColumn="0" w:noHBand="0" w:noVBand="0"/>
      </w:tblPr>
      <w:tblGrid>
        <w:gridCol w:w="1790"/>
        <w:gridCol w:w="1645"/>
        <w:gridCol w:w="1737"/>
        <w:gridCol w:w="1350"/>
      </w:tblGrid>
      <w:tr w:rsidR="00FE4CF5" w:rsidRPr="007226D7" w:rsidTr="009563C7">
        <w:trPr>
          <w:trHeight w:val="240"/>
          <w:jc w:val="center"/>
        </w:trPr>
        <w:tc>
          <w:tcPr>
            <w:tcW w:w="1372" w:type="pct"/>
            <w:tcBorders>
              <w:top w:val="single" w:sz="12" w:space="0" w:color="000000"/>
              <w:bottom w:val="single" w:sz="4" w:space="0" w:color="000000"/>
              <w:right w:val="single" w:sz="4" w:space="0" w:color="000000"/>
            </w:tcBorders>
            <w:noWrap/>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Variable</w:t>
            </w:r>
          </w:p>
        </w:tc>
        <w:tc>
          <w:tcPr>
            <w:tcW w:w="1261" w:type="pct"/>
            <w:tcBorders>
              <w:top w:val="single" w:sz="12" w:space="0" w:color="000000"/>
              <w:left w:val="single" w:sz="4" w:space="0" w:color="000000"/>
              <w:bottom w:val="single" w:sz="4" w:space="0" w:color="000000"/>
            </w:tcBorders>
            <w:noWrap/>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Coeficiente</w:t>
            </w:r>
          </w:p>
        </w:tc>
        <w:tc>
          <w:tcPr>
            <w:tcW w:w="1332" w:type="pct"/>
            <w:tcBorders>
              <w:top w:val="single" w:sz="12" w:space="0" w:color="000000"/>
              <w:bottom w:val="single" w:sz="4" w:space="0" w:color="000000"/>
            </w:tcBorders>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T Estadístico</w:t>
            </w:r>
          </w:p>
        </w:tc>
        <w:tc>
          <w:tcPr>
            <w:tcW w:w="1035" w:type="pct"/>
            <w:tcBorders>
              <w:top w:val="single" w:sz="12" w:space="0" w:color="000000"/>
              <w:bottom w:val="single" w:sz="4" w:space="0" w:color="000000"/>
            </w:tcBorders>
          </w:tcPr>
          <w:p w:rsidR="00FE4CF5" w:rsidRPr="007226D7" w:rsidRDefault="00FE4CF5" w:rsidP="00FC2B71">
            <w:pPr>
              <w:spacing w:line="240" w:lineRule="auto"/>
              <w:jc w:val="center"/>
              <w:rPr>
                <w:b/>
                <w:bCs/>
                <w:sz w:val="18"/>
                <w:szCs w:val="18"/>
                <w:lang w:val="es-ES"/>
              </w:rPr>
            </w:pPr>
            <w:r w:rsidRPr="007226D7">
              <w:rPr>
                <w:b/>
                <w:bCs/>
                <w:noProof/>
                <w:sz w:val="18"/>
                <w:szCs w:val="18"/>
                <w:lang w:val="es-ES"/>
              </w:rPr>
              <w:t>R2</w:t>
            </w:r>
          </w:p>
        </w:tc>
      </w:tr>
      <w:tr w:rsidR="00FE4CF5" w:rsidRPr="007226D7" w:rsidTr="009563C7">
        <w:trPr>
          <w:trHeight w:val="225"/>
          <w:jc w:val="center"/>
        </w:trPr>
        <w:tc>
          <w:tcPr>
            <w:tcW w:w="1372" w:type="pct"/>
            <w:tcBorders>
              <w:top w:val="single" w:sz="4"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Origen</w:t>
            </w:r>
          </w:p>
        </w:tc>
        <w:tc>
          <w:tcPr>
            <w:tcW w:w="1261" w:type="pct"/>
            <w:tcBorders>
              <w:top w:val="single" w:sz="4" w:space="0" w:color="000000"/>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0.4202</w:t>
            </w:r>
          </w:p>
        </w:tc>
        <w:tc>
          <w:tcPr>
            <w:tcW w:w="1332" w:type="pct"/>
            <w:tcBorders>
              <w:top w:val="single" w:sz="4" w:space="0" w:color="000000"/>
            </w:tcBorders>
          </w:tcPr>
          <w:p w:rsidR="00FE4CF5" w:rsidRPr="007226D7" w:rsidRDefault="00FE4CF5" w:rsidP="00FC2B71">
            <w:pPr>
              <w:jc w:val="right"/>
              <w:rPr>
                <w:i/>
                <w:color w:val="000000"/>
                <w:sz w:val="18"/>
                <w:szCs w:val="18"/>
                <w:lang w:val="es-ES"/>
              </w:rPr>
            </w:pPr>
            <w:r w:rsidRPr="007226D7">
              <w:rPr>
                <w:i/>
                <w:color w:val="000000"/>
                <w:sz w:val="18"/>
                <w:szCs w:val="18"/>
                <w:lang w:val="es-ES"/>
              </w:rPr>
              <w:t>52.07</w:t>
            </w:r>
          </w:p>
        </w:tc>
        <w:tc>
          <w:tcPr>
            <w:tcW w:w="1035" w:type="pct"/>
            <w:vMerge w:val="restart"/>
            <w:tcBorders>
              <w:top w:val="single" w:sz="4" w:space="0" w:color="000000"/>
            </w:tcBorders>
            <w:vAlign w:val="center"/>
          </w:tcPr>
          <w:p w:rsidR="00FE4CF5" w:rsidRPr="007226D7" w:rsidRDefault="00FE4CF5" w:rsidP="00FE4CF5">
            <w:pPr>
              <w:jc w:val="right"/>
              <w:rPr>
                <w:i/>
                <w:sz w:val="18"/>
                <w:szCs w:val="18"/>
                <w:lang w:val="es-ES"/>
              </w:rPr>
            </w:pPr>
            <w:r w:rsidRPr="007226D7">
              <w:rPr>
                <w:i/>
                <w:sz w:val="18"/>
                <w:szCs w:val="18"/>
                <w:lang w:val="es-ES"/>
              </w:rPr>
              <w:t>0.90</w:t>
            </w:r>
          </w:p>
        </w:tc>
      </w:tr>
      <w:tr w:rsidR="00FE4CF5" w:rsidRPr="007226D7" w:rsidTr="009563C7">
        <w:trPr>
          <w:trHeight w:val="225"/>
          <w:jc w:val="center"/>
        </w:trPr>
        <w:tc>
          <w:tcPr>
            <w:tcW w:w="1372" w:type="pct"/>
            <w:tcBorders>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Destino</w:t>
            </w:r>
          </w:p>
        </w:tc>
        <w:tc>
          <w:tcPr>
            <w:tcW w:w="1261" w:type="pct"/>
            <w:tcBorders>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0.4451</w:t>
            </w:r>
          </w:p>
        </w:tc>
        <w:tc>
          <w:tcPr>
            <w:tcW w:w="1332" w:type="pct"/>
          </w:tcPr>
          <w:p w:rsidR="00FE4CF5" w:rsidRPr="007226D7" w:rsidRDefault="00FE4CF5" w:rsidP="00FC2B71">
            <w:pPr>
              <w:jc w:val="right"/>
              <w:rPr>
                <w:i/>
                <w:color w:val="000000"/>
                <w:sz w:val="18"/>
                <w:szCs w:val="18"/>
                <w:lang w:val="es-ES"/>
              </w:rPr>
            </w:pPr>
            <w:r w:rsidRPr="007226D7">
              <w:rPr>
                <w:i/>
                <w:color w:val="000000"/>
                <w:sz w:val="18"/>
                <w:szCs w:val="18"/>
                <w:lang w:val="es-ES"/>
              </w:rPr>
              <w:t>55.63</w:t>
            </w:r>
          </w:p>
        </w:tc>
        <w:tc>
          <w:tcPr>
            <w:tcW w:w="1035" w:type="pct"/>
            <w:vMerge/>
          </w:tcPr>
          <w:p w:rsidR="00FE4CF5" w:rsidRPr="007226D7" w:rsidRDefault="00FE4CF5" w:rsidP="00FC2B71">
            <w:pPr>
              <w:spacing w:line="240" w:lineRule="auto"/>
              <w:jc w:val="right"/>
              <w:rPr>
                <w:sz w:val="18"/>
                <w:szCs w:val="18"/>
                <w:lang w:val="es-ES"/>
              </w:rPr>
            </w:pPr>
          </w:p>
        </w:tc>
      </w:tr>
      <w:tr w:rsidR="00FE4CF5" w:rsidRPr="007226D7" w:rsidTr="009563C7">
        <w:trPr>
          <w:trHeight w:val="225"/>
          <w:jc w:val="center"/>
        </w:trPr>
        <w:tc>
          <w:tcPr>
            <w:tcW w:w="1372" w:type="pct"/>
            <w:tcBorders>
              <w:bottom w:val="single" w:sz="12" w:space="0" w:color="000000"/>
              <w:right w:val="single" w:sz="4" w:space="0" w:color="000000"/>
            </w:tcBorders>
            <w:noWrap/>
            <w:vAlign w:val="center"/>
          </w:tcPr>
          <w:p w:rsidR="00FE4CF5" w:rsidRPr="007226D7" w:rsidRDefault="00FE4CF5" w:rsidP="00FC2B71">
            <w:pPr>
              <w:spacing w:line="240" w:lineRule="auto"/>
              <w:jc w:val="left"/>
              <w:rPr>
                <w:b/>
                <w:sz w:val="18"/>
                <w:szCs w:val="18"/>
                <w:lang w:val="es-ES"/>
              </w:rPr>
            </w:pPr>
            <w:r w:rsidRPr="007226D7">
              <w:rPr>
                <w:b/>
                <w:noProof/>
                <w:sz w:val="18"/>
                <w:szCs w:val="18"/>
                <w:lang w:val="es-ES"/>
              </w:rPr>
              <w:t>Coste generalizado</w:t>
            </w:r>
          </w:p>
        </w:tc>
        <w:tc>
          <w:tcPr>
            <w:tcW w:w="1261" w:type="pct"/>
            <w:tcBorders>
              <w:left w:val="single" w:sz="4" w:space="0" w:color="000000"/>
            </w:tcBorders>
            <w:noWrap/>
          </w:tcPr>
          <w:p w:rsidR="00FE4CF5" w:rsidRPr="007226D7" w:rsidRDefault="00FE4CF5" w:rsidP="00FC2B71">
            <w:pPr>
              <w:jc w:val="right"/>
              <w:rPr>
                <w:i/>
                <w:color w:val="000000"/>
                <w:sz w:val="18"/>
                <w:szCs w:val="18"/>
                <w:lang w:val="es-ES"/>
              </w:rPr>
            </w:pPr>
            <w:r w:rsidRPr="007226D7">
              <w:rPr>
                <w:i/>
                <w:color w:val="000000"/>
                <w:sz w:val="18"/>
                <w:szCs w:val="18"/>
                <w:lang w:val="es-ES"/>
              </w:rPr>
              <w:t>-1.0028</w:t>
            </w:r>
          </w:p>
        </w:tc>
        <w:tc>
          <w:tcPr>
            <w:tcW w:w="1332" w:type="pct"/>
          </w:tcPr>
          <w:p w:rsidR="00FE4CF5" w:rsidRPr="007226D7" w:rsidRDefault="00FE4CF5" w:rsidP="00FC2B71">
            <w:pPr>
              <w:jc w:val="right"/>
              <w:rPr>
                <w:i/>
                <w:color w:val="000000"/>
                <w:sz w:val="18"/>
                <w:szCs w:val="18"/>
                <w:lang w:val="es-ES"/>
              </w:rPr>
            </w:pPr>
            <w:r w:rsidRPr="007226D7">
              <w:rPr>
                <w:i/>
                <w:color w:val="000000"/>
                <w:sz w:val="18"/>
                <w:szCs w:val="18"/>
                <w:lang w:val="es-ES"/>
              </w:rPr>
              <w:t>-86.18</w:t>
            </w:r>
          </w:p>
        </w:tc>
        <w:tc>
          <w:tcPr>
            <w:tcW w:w="1035" w:type="pct"/>
            <w:vMerge/>
          </w:tcPr>
          <w:p w:rsidR="00FE4CF5" w:rsidRPr="007226D7" w:rsidRDefault="00FE4CF5" w:rsidP="00FC2B71">
            <w:pPr>
              <w:spacing w:line="240" w:lineRule="auto"/>
              <w:jc w:val="right"/>
              <w:rPr>
                <w:sz w:val="18"/>
                <w:szCs w:val="18"/>
                <w:lang w:val="es-ES"/>
              </w:rPr>
            </w:pPr>
          </w:p>
        </w:tc>
      </w:tr>
    </w:tbl>
    <w:p w:rsidR="00FE4CF5" w:rsidRPr="007226D7" w:rsidRDefault="00FE4CF5" w:rsidP="00ED1F70">
      <w:pPr>
        <w:rPr>
          <w:lang w:val="es-ES"/>
        </w:rPr>
      </w:pPr>
    </w:p>
    <w:p w:rsidR="00ED1F70" w:rsidRPr="007226D7" w:rsidRDefault="00ED1F70" w:rsidP="00ED1F70">
      <w:pPr>
        <w:pStyle w:val="Heading4"/>
        <w:rPr>
          <w:lang w:val="es-ES"/>
        </w:rPr>
      </w:pPr>
      <w:r w:rsidRPr="007226D7">
        <w:rPr>
          <w:noProof/>
          <w:lang w:val="es-ES"/>
        </w:rPr>
        <w:t>Modelo de reparto modal</w:t>
      </w:r>
    </w:p>
    <w:p w:rsidR="00ED1F70" w:rsidRPr="007226D7" w:rsidRDefault="00ED1F70" w:rsidP="00ED1F70">
      <w:pPr>
        <w:rPr>
          <w:lang w:val="es-ES"/>
        </w:rPr>
      </w:pPr>
      <w:r w:rsidRPr="007226D7">
        <w:rPr>
          <w:noProof/>
          <w:lang w:val="es-ES"/>
        </w:rPr>
        <w:t>La formulación tipo adoptada es la siguiente:</w:t>
      </w:r>
    </w:p>
    <w:p w:rsidR="00ED1F70" w:rsidRPr="007226D7" w:rsidRDefault="00ED1F70" w:rsidP="00ED1F70">
      <w:pPr>
        <w:rPr>
          <w:lang w:val="es-ES"/>
        </w:rPr>
      </w:pPr>
    </w:p>
    <w:p w:rsidR="00ED1F70" w:rsidRPr="007226D7" w:rsidRDefault="00ED1F70" w:rsidP="00ED1F70">
      <w:pPr>
        <w:jc w:val="center"/>
        <w:rPr>
          <w:b/>
          <w:bCs/>
          <w:lang w:val="es-ES"/>
        </w:rPr>
      </w:pPr>
      <w:r w:rsidRPr="008C61F3">
        <w:rPr>
          <w:b/>
          <w:bCs/>
          <w:noProof/>
          <w:lang w:val="pt-BR"/>
        </w:rPr>
        <w:t>Ratio= a + (b*R</w:t>
      </w:r>
      <w:r w:rsidRPr="008C61F3">
        <w:rPr>
          <w:b/>
          <w:bCs/>
          <w:noProof/>
          <w:vertAlign w:val="superscript"/>
          <w:lang w:val="pt-BR"/>
        </w:rPr>
        <w:t>1</w:t>
      </w:r>
      <w:r w:rsidRPr="008C61F3">
        <w:rPr>
          <w:b/>
          <w:bCs/>
          <w:noProof/>
          <w:lang w:val="pt-BR"/>
        </w:rPr>
        <w:t>)+(c*R</w:t>
      </w:r>
      <w:r w:rsidRPr="008C61F3">
        <w:rPr>
          <w:b/>
          <w:bCs/>
          <w:noProof/>
          <w:vertAlign w:val="superscript"/>
          <w:lang w:val="pt-BR"/>
        </w:rPr>
        <w:t>2</w:t>
      </w:r>
      <w:r w:rsidRPr="008C61F3">
        <w:rPr>
          <w:b/>
          <w:bCs/>
          <w:noProof/>
          <w:lang w:val="pt-BR"/>
        </w:rPr>
        <w:t xml:space="preserve">)+…+ </w:t>
      </w:r>
      <w:r w:rsidRPr="007226D7">
        <w:rPr>
          <w:b/>
          <w:bCs/>
          <w:noProof/>
          <w:lang w:val="es-ES"/>
        </w:rPr>
        <w:t>(n*R</w:t>
      </w:r>
      <w:r w:rsidRPr="007226D7">
        <w:rPr>
          <w:b/>
          <w:bCs/>
          <w:noProof/>
          <w:vertAlign w:val="superscript"/>
          <w:lang w:val="es-ES"/>
        </w:rPr>
        <w:t>n</w:t>
      </w:r>
      <w:r w:rsidRPr="007226D7">
        <w:rPr>
          <w:b/>
          <w:bCs/>
          <w:noProof/>
          <w:lang w:val="es-ES"/>
        </w:rPr>
        <w:t>)</w:t>
      </w:r>
    </w:p>
    <w:p w:rsidR="00ED1F70" w:rsidRPr="007226D7" w:rsidRDefault="00ED1F70" w:rsidP="00ED1F70">
      <w:pPr>
        <w:rPr>
          <w:b/>
          <w:bCs/>
          <w:lang w:val="es-ES"/>
        </w:rPr>
      </w:pPr>
    </w:p>
    <w:p w:rsidR="00ED1F70" w:rsidRPr="007226D7" w:rsidRDefault="00ED1F70" w:rsidP="00ED1F70">
      <w:pPr>
        <w:rPr>
          <w:lang w:val="es-ES"/>
        </w:rPr>
      </w:pPr>
      <w:r w:rsidRPr="007226D7">
        <w:rPr>
          <w:noProof/>
          <w:lang w:val="es-ES"/>
        </w:rPr>
        <w:t>donde:</w:t>
      </w:r>
    </w:p>
    <w:p w:rsidR="00ED1F70" w:rsidRPr="007226D7" w:rsidRDefault="00ED1F70" w:rsidP="00ED1F70">
      <w:pPr>
        <w:rPr>
          <w:lang w:val="es-ES"/>
        </w:rPr>
      </w:pPr>
      <w:r w:rsidRPr="007226D7">
        <w:rPr>
          <w:noProof/>
          <w:lang w:val="es-ES"/>
        </w:rPr>
        <w:t>Ratio</w:t>
      </w:r>
      <w:r w:rsidRPr="007226D7">
        <w:rPr>
          <w:lang w:val="es-ES"/>
        </w:rPr>
        <w:t xml:space="preserve"> </w:t>
      </w:r>
      <w:r w:rsidRPr="007226D7">
        <w:rPr>
          <w:lang w:val="es-ES"/>
        </w:rPr>
        <w:tab/>
      </w:r>
      <w:r w:rsidRPr="007226D7">
        <w:rPr>
          <w:lang w:val="es-ES"/>
        </w:rPr>
        <w:tab/>
      </w:r>
      <w:r w:rsidRPr="007226D7">
        <w:rPr>
          <w:noProof/>
          <w:lang w:val="es-ES"/>
        </w:rPr>
        <w:t>Variable a estimar</w:t>
      </w:r>
    </w:p>
    <w:p w:rsidR="00ED1F70" w:rsidRPr="007226D7" w:rsidRDefault="00ED1F70" w:rsidP="00ED1F70">
      <w:pPr>
        <w:rPr>
          <w:lang w:val="es-ES"/>
        </w:rPr>
      </w:pPr>
      <w:r w:rsidRPr="007226D7">
        <w:rPr>
          <w:noProof/>
          <w:lang w:val="es-ES"/>
        </w:rPr>
        <w:t>R1</w:t>
      </w:r>
      <w:r w:rsidRPr="007226D7">
        <w:rPr>
          <w:lang w:val="es-ES"/>
        </w:rPr>
        <w:tab/>
      </w:r>
      <w:r w:rsidRPr="007226D7">
        <w:rPr>
          <w:lang w:val="es-ES"/>
        </w:rPr>
        <w:tab/>
      </w:r>
      <w:r w:rsidRPr="007226D7">
        <w:rPr>
          <w:noProof/>
          <w:lang w:val="es-ES"/>
        </w:rPr>
        <w:t>Variables explicativas</w:t>
      </w:r>
    </w:p>
    <w:p w:rsidR="00ED1F70" w:rsidRPr="007226D7" w:rsidRDefault="00ED1F70" w:rsidP="00ED1F70">
      <w:pPr>
        <w:rPr>
          <w:lang w:val="es-ES"/>
        </w:rPr>
      </w:pPr>
      <w:r w:rsidRPr="007226D7">
        <w:rPr>
          <w:noProof/>
          <w:lang w:val="es-ES"/>
        </w:rPr>
        <w:t>a,b,c,n</w:t>
      </w:r>
      <w:r w:rsidRPr="007226D7">
        <w:rPr>
          <w:lang w:val="es-ES"/>
        </w:rPr>
        <w:t xml:space="preserve"> </w:t>
      </w:r>
      <w:r w:rsidRPr="007226D7">
        <w:rPr>
          <w:lang w:val="es-ES"/>
        </w:rPr>
        <w:tab/>
      </w:r>
      <w:r w:rsidRPr="007226D7">
        <w:rPr>
          <w:noProof/>
          <w:lang w:val="es-ES"/>
        </w:rPr>
        <w:t>Parámetros de ajuste</w:t>
      </w:r>
    </w:p>
    <w:p w:rsidR="00ED1F70" w:rsidRPr="007226D7" w:rsidRDefault="00ED1F70" w:rsidP="00ED1F70">
      <w:pPr>
        <w:rPr>
          <w:lang w:val="es-ES"/>
        </w:rPr>
      </w:pPr>
    </w:p>
    <w:p w:rsidR="00B238D6" w:rsidRPr="007226D7" w:rsidRDefault="00B238D6">
      <w:pPr>
        <w:spacing w:after="0" w:line="240" w:lineRule="auto"/>
        <w:jc w:val="left"/>
        <w:rPr>
          <w:noProof/>
          <w:lang w:val="es-ES"/>
        </w:rPr>
      </w:pPr>
      <w:r w:rsidRPr="007226D7">
        <w:rPr>
          <w:noProof/>
          <w:lang w:val="es-ES"/>
        </w:rPr>
        <w:br w:type="page"/>
      </w:r>
    </w:p>
    <w:p w:rsidR="00ED1F70" w:rsidRPr="007226D7" w:rsidRDefault="00ED1F70" w:rsidP="00ED1F70">
      <w:pPr>
        <w:rPr>
          <w:lang w:val="es-ES"/>
        </w:rPr>
      </w:pPr>
      <w:r w:rsidRPr="007226D7">
        <w:rPr>
          <w:noProof/>
          <w:lang w:val="es-ES"/>
        </w:rPr>
        <w:lastRenderedPageBreak/>
        <w:t>Como variables explicativas de los modelos se han utilizado las siguientes:</w:t>
      </w:r>
    </w:p>
    <w:p w:rsidR="00ED1F70" w:rsidRPr="007226D7" w:rsidRDefault="00ED1F70" w:rsidP="00ED1F70">
      <w:pPr>
        <w:pStyle w:val="ListBullet"/>
        <w:numPr>
          <w:ilvl w:val="0"/>
          <w:numId w:val="66"/>
        </w:numPr>
        <w:rPr>
          <w:lang w:val="es-ES"/>
        </w:rPr>
      </w:pPr>
      <w:r w:rsidRPr="007226D7">
        <w:rPr>
          <w:noProof/>
          <w:lang w:val="es-ES"/>
        </w:rPr>
        <w:t>Ratio de Vehículos por habitante en zona de origen y destino.</w:t>
      </w:r>
    </w:p>
    <w:p w:rsidR="00ED1F70" w:rsidRPr="007226D7" w:rsidRDefault="00ED1F70" w:rsidP="00ED1F70">
      <w:pPr>
        <w:pStyle w:val="ListBullet"/>
        <w:numPr>
          <w:ilvl w:val="0"/>
          <w:numId w:val="66"/>
        </w:numPr>
        <w:rPr>
          <w:lang w:val="es-ES"/>
        </w:rPr>
      </w:pPr>
      <w:r w:rsidRPr="007226D7">
        <w:rPr>
          <w:noProof/>
          <w:lang w:val="es-ES"/>
        </w:rPr>
        <w:t>Ratio de tiempos, como cociente entre el tiempo de viaje en transporte privado y transporte público (taxi y transporte público convencional) en cada par de zonas origen/destino.</w:t>
      </w:r>
    </w:p>
    <w:p w:rsidR="00ED1F70" w:rsidRPr="007226D7" w:rsidRDefault="00ED1F70" w:rsidP="00ED1F70">
      <w:pPr>
        <w:pStyle w:val="ListBullet"/>
        <w:numPr>
          <w:ilvl w:val="0"/>
          <w:numId w:val="66"/>
        </w:numPr>
        <w:rPr>
          <w:lang w:val="es-ES"/>
        </w:rPr>
      </w:pPr>
      <w:r w:rsidRPr="007226D7">
        <w:rPr>
          <w:noProof/>
          <w:lang w:val="es-ES"/>
        </w:rPr>
        <w:t>Ratio de tiempos, como cociente entre el tiempo de viaje en transporte público convencional y taxi en cada par de zonas origen/destino.</w:t>
      </w:r>
    </w:p>
    <w:p w:rsidR="00ED1F70" w:rsidRPr="007226D7" w:rsidRDefault="00ED1F70" w:rsidP="00ED1F70">
      <w:pPr>
        <w:pStyle w:val="ListBullet"/>
        <w:numPr>
          <w:ilvl w:val="0"/>
          <w:numId w:val="66"/>
        </w:numPr>
        <w:rPr>
          <w:lang w:val="es-ES"/>
        </w:rPr>
      </w:pPr>
      <w:r w:rsidRPr="007226D7">
        <w:rPr>
          <w:noProof/>
          <w:lang w:val="es-ES"/>
        </w:rPr>
        <w:t>Ratio de costes, como cociente entre el coste de viaje en transporte público convencional y taxi en cada par de zonas origen/destino.</w:t>
      </w:r>
    </w:p>
    <w:p w:rsidR="00ED1F70" w:rsidRPr="007226D7" w:rsidRDefault="00ED1F70" w:rsidP="00ED1F70">
      <w:pPr>
        <w:rPr>
          <w:lang w:val="es-ES"/>
        </w:rPr>
      </w:pPr>
    </w:p>
    <w:p w:rsidR="00ED1F70" w:rsidRPr="007226D7" w:rsidRDefault="00ED1F70" w:rsidP="00ED1F70">
      <w:pPr>
        <w:rPr>
          <w:lang w:val="es-ES"/>
        </w:rPr>
      </w:pPr>
      <w:r w:rsidRPr="007226D7">
        <w:rPr>
          <w:noProof/>
          <w:lang w:val="es-ES"/>
        </w:rPr>
        <w:t>A continuación se presentan los modelos obtenidos en los períodos de análisis, así como sus estadísticos:</w:t>
      </w:r>
    </w:p>
    <w:p w:rsidR="00ED1F70" w:rsidRPr="007226D7" w:rsidRDefault="00ED1F70" w:rsidP="00ED1F70">
      <w:pPr>
        <w:spacing w:after="0" w:line="240" w:lineRule="auto"/>
        <w:jc w:val="left"/>
        <w:rPr>
          <w:lang w:val="es-ES"/>
        </w:rPr>
      </w:pPr>
    </w:p>
    <w:p w:rsidR="00ED1F70" w:rsidRPr="007226D7" w:rsidRDefault="00FC103B" w:rsidP="00ED1F70">
      <w:pPr>
        <w:pStyle w:val="Figuras"/>
      </w:pPr>
      <w:r w:rsidRPr="007226D7">
        <w:rPr>
          <w:noProof/>
        </w:rPr>
        <w:t>Tabla 4.5 – 13</w:t>
      </w:r>
      <w:r w:rsidRPr="007226D7">
        <w:t xml:space="preserve">: </w:t>
      </w:r>
      <w:r w:rsidR="00ED1F70" w:rsidRPr="007226D7">
        <w:rPr>
          <w:noProof/>
        </w:rPr>
        <w:t>Modelo de reparto modal HPM</w:t>
      </w:r>
    </w:p>
    <w:tbl>
      <w:tblPr>
        <w:tblW w:w="39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55"/>
        <w:gridCol w:w="1788"/>
        <w:gridCol w:w="1631"/>
        <w:gridCol w:w="1398"/>
        <w:gridCol w:w="970"/>
      </w:tblGrid>
      <w:tr w:rsidR="00ED1F70" w:rsidRPr="007226D7" w:rsidTr="00A51201">
        <w:trPr>
          <w:trHeight w:val="240"/>
          <w:tblHeader/>
          <w:jc w:val="center"/>
        </w:trPr>
        <w:tc>
          <w:tcPr>
            <w:tcW w:w="1111"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Modelo</w:t>
            </w:r>
          </w:p>
        </w:tc>
        <w:tc>
          <w:tcPr>
            <w:tcW w:w="1201"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Variable</w:t>
            </w:r>
          </w:p>
        </w:tc>
        <w:tc>
          <w:tcPr>
            <w:tcW w:w="1096" w:type="pct"/>
            <w:tcBorders>
              <w:top w:val="single" w:sz="4" w:space="0" w:color="auto"/>
              <w:left w:val="single" w:sz="4" w:space="0" w:color="auto"/>
              <w:bottom w:val="single" w:sz="4" w:space="0" w:color="auto"/>
              <w:right w:val="single" w:sz="4" w:space="0" w:color="auto"/>
            </w:tcBorders>
            <w:noWrap/>
            <w:vAlign w:val="center"/>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Coeficiente</w:t>
            </w:r>
          </w:p>
        </w:tc>
        <w:tc>
          <w:tcPr>
            <w:tcW w:w="939"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T Estadístico</w:t>
            </w:r>
          </w:p>
        </w:tc>
        <w:tc>
          <w:tcPr>
            <w:tcW w:w="652"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8"/>
                <w:szCs w:val="18"/>
                <w:lang w:val="es-ES"/>
              </w:rPr>
            </w:pPr>
            <w:r w:rsidRPr="007226D7">
              <w:rPr>
                <w:b/>
                <w:bCs/>
                <w:noProof/>
                <w:sz w:val="18"/>
                <w:szCs w:val="18"/>
                <w:lang w:val="es-ES"/>
              </w:rPr>
              <w:t>R</w:t>
            </w:r>
            <w:r w:rsidRPr="007226D7">
              <w:rPr>
                <w:b/>
                <w:bCs/>
                <w:noProof/>
                <w:sz w:val="18"/>
                <w:szCs w:val="18"/>
                <w:vertAlign w:val="superscript"/>
                <w:lang w:val="es-ES"/>
              </w:rPr>
              <w:t>2</w:t>
            </w:r>
          </w:p>
        </w:tc>
      </w:tr>
      <w:tr w:rsidR="00ED1F70" w:rsidRPr="007226D7" w:rsidTr="00A51201">
        <w:trPr>
          <w:trHeight w:val="225"/>
          <w:jc w:val="center"/>
        </w:trPr>
        <w:tc>
          <w:tcPr>
            <w:tcW w:w="1111"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transporte privado</w:t>
            </w:r>
          </w:p>
        </w:tc>
        <w:tc>
          <w:tcPr>
            <w:tcW w:w="120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Veh Origen</w:t>
            </w:r>
          </w:p>
        </w:tc>
        <w:tc>
          <w:tcPr>
            <w:tcW w:w="1096"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8"/>
                <w:szCs w:val="18"/>
                <w:lang w:val="es-ES"/>
              </w:rPr>
            </w:pPr>
            <w:r w:rsidRPr="007226D7">
              <w:rPr>
                <w:color w:val="000000"/>
                <w:sz w:val="18"/>
                <w:szCs w:val="18"/>
                <w:lang w:val="es-ES"/>
              </w:rPr>
              <w:t>0.5024</w:t>
            </w:r>
          </w:p>
        </w:tc>
        <w:tc>
          <w:tcPr>
            <w:tcW w:w="93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8"/>
                <w:szCs w:val="18"/>
                <w:lang w:val="es-ES"/>
              </w:rPr>
            </w:pPr>
            <w:r w:rsidRPr="007226D7">
              <w:rPr>
                <w:color w:val="000000"/>
                <w:sz w:val="18"/>
                <w:szCs w:val="18"/>
                <w:lang w:val="es-ES"/>
              </w:rPr>
              <w:t>11.13</w:t>
            </w:r>
          </w:p>
        </w:tc>
        <w:tc>
          <w:tcPr>
            <w:tcW w:w="652"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8"/>
                <w:szCs w:val="18"/>
                <w:lang w:val="es-ES"/>
              </w:rPr>
            </w:pPr>
            <w:r w:rsidRPr="007226D7">
              <w:rPr>
                <w:color w:val="000000"/>
                <w:sz w:val="18"/>
                <w:szCs w:val="18"/>
                <w:lang w:val="es-ES"/>
              </w:rPr>
              <w:t>0.58</w:t>
            </w:r>
          </w:p>
        </w:tc>
      </w:tr>
      <w:tr w:rsidR="00ED1F70" w:rsidRPr="007226D7" w:rsidTr="00A51201">
        <w:trPr>
          <w:trHeight w:val="225"/>
          <w:jc w:val="center"/>
        </w:trPr>
        <w:tc>
          <w:tcPr>
            <w:tcW w:w="1111"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p>
        </w:tc>
        <w:tc>
          <w:tcPr>
            <w:tcW w:w="120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tiempo</w:t>
            </w:r>
          </w:p>
        </w:tc>
        <w:tc>
          <w:tcPr>
            <w:tcW w:w="1096"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8"/>
                <w:szCs w:val="18"/>
                <w:lang w:val="es-ES"/>
              </w:rPr>
            </w:pPr>
            <w:r w:rsidRPr="007226D7">
              <w:rPr>
                <w:color w:val="000000"/>
                <w:sz w:val="18"/>
                <w:szCs w:val="18"/>
                <w:lang w:val="es-ES"/>
              </w:rPr>
              <w:t>0.3080</w:t>
            </w:r>
          </w:p>
        </w:tc>
        <w:tc>
          <w:tcPr>
            <w:tcW w:w="93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8"/>
                <w:szCs w:val="18"/>
                <w:lang w:val="es-ES"/>
              </w:rPr>
            </w:pPr>
            <w:r w:rsidRPr="007226D7">
              <w:rPr>
                <w:color w:val="000000"/>
                <w:sz w:val="18"/>
                <w:szCs w:val="18"/>
                <w:lang w:val="es-ES"/>
              </w:rPr>
              <w:t>19.52</w:t>
            </w:r>
          </w:p>
        </w:tc>
        <w:tc>
          <w:tcPr>
            <w:tcW w:w="652" w:type="pct"/>
            <w:vMerge/>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8"/>
                <w:szCs w:val="18"/>
                <w:lang w:val="es-ES"/>
              </w:rPr>
            </w:pPr>
          </w:p>
        </w:tc>
      </w:tr>
      <w:tr w:rsidR="00ED1F70" w:rsidRPr="007226D7" w:rsidTr="00A51201">
        <w:trPr>
          <w:trHeight w:val="225"/>
          <w:jc w:val="center"/>
        </w:trPr>
        <w:tc>
          <w:tcPr>
            <w:tcW w:w="1111"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transporte público</w:t>
            </w:r>
          </w:p>
        </w:tc>
        <w:tc>
          <w:tcPr>
            <w:tcW w:w="120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tiempo</w:t>
            </w:r>
          </w:p>
        </w:tc>
        <w:tc>
          <w:tcPr>
            <w:tcW w:w="1096"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8"/>
                <w:szCs w:val="18"/>
                <w:lang w:val="es-ES"/>
              </w:rPr>
            </w:pPr>
            <w:r w:rsidRPr="007226D7">
              <w:rPr>
                <w:color w:val="000000"/>
                <w:sz w:val="18"/>
                <w:szCs w:val="18"/>
                <w:lang w:val="es-ES"/>
              </w:rPr>
              <w:t>0.3070</w:t>
            </w:r>
          </w:p>
        </w:tc>
        <w:tc>
          <w:tcPr>
            <w:tcW w:w="93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8"/>
                <w:szCs w:val="18"/>
                <w:lang w:val="es-ES"/>
              </w:rPr>
            </w:pPr>
            <w:r w:rsidRPr="007226D7">
              <w:rPr>
                <w:color w:val="000000"/>
                <w:sz w:val="18"/>
                <w:szCs w:val="18"/>
                <w:lang w:val="es-ES"/>
              </w:rPr>
              <w:t>14.33</w:t>
            </w:r>
          </w:p>
        </w:tc>
        <w:tc>
          <w:tcPr>
            <w:tcW w:w="652"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8"/>
                <w:szCs w:val="18"/>
                <w:lang w:val="es-ES"/>
              </w:rPr>
            </w:pPr>
            <w:r w:rsidRPr="007226D7">
              <w:rPr>
                <w:color w:val="000000"/>
                <w:sz w:val="18"/>
                <w:szCs w:val="18"/>
                <w:lang w:val="es-ES"/>
              </w:rPr>
              <w:t>0.83</w:t>
            </w:r>
          </w:p>
        </w:tc>
      </w:tr>
      <w:tr w:rsidR="00ED1F70" w:rsidRPr="007226D7" w:rsidTr="00A51201">
        <w:trPr>
          <w:trHeight w:val="225"/>
          <w:jc w:val="center"/>
        </w:trPr>
        <w:tc>
          <w:tcPr>
            <w:tcW w:w="1111"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p>
        </w:tc>
        <w:tc>
          <w:tcPr>
            <w:tcW w:w="120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8"/>
                <w:szCs w:val="18"/>
                <w:lang w:val="es-ES"/>
              </w:rPr>
            </w:pPr>
            <w:r w:rsidRPr="007226D7">
              <w:rPr>
                <w:noProof/>
                <w:color w:val="000000"/>
                <w:sz w:val="18"/>
                <w:szCs w:val="18"/>
                <w:lang w:val="es-ES"/>
              </w:rPr>
              <w:t>Ratio coste</w:t>
            </w:r>
          </w:p>
        </w:tc>
        <w:tc>
          <w:tcPr>
            <w:tcW w:w="1096"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8"/>
                <w:szCs w:val="18"/>
                <w:lang w:val="es-ES"/>
              </w:rPr>
            </w:pPr>
            <w:r w:rsidRPr="007226D7">
              <w:rPr>
                <w:color w:val="000000"/>
                <w:sz w:val="18"/>
                <w:szCs w:val="18"/>
                <w:lang w:val="es-ES"/>
              </w:rPr>
              <w:t>0.0619</w:t>
            </w:r>
          </w:p>
        </w:tc>
        <w:tc>
          <w:tcPr>
            <w:tcW w:w="93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8"/>
                <w:szCs w:val="18"/>
                <w:lang w:val="es-ES"/>
              </w:rPr>
            </w:pPr>
            <w:r w:rsidRPr="007226D7">
              <w:rPr>
                <w:color w:val="000000"/>
                <w:sz w:val="18"/>
                <w:szCs w:val="18"/>
                <w:lang w:val="es-ES"/>
              </w:rPr>
              <w:t>1.52</w:t>
            </w:r>
          </w:p>
        </w:tc>
        <w:tc>
          <w:tcPr>
            <w:tcW w:w="652"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8"/>
                <w:szCs w:val="18"/>
                <w:lang w:val="es-ES"/>
              </w:rPr>
            </w:pPr>
          </w:p>
        </w:tc>
      </w:tr>
    </w:tbl>
    <w:p w:rsidR="00E65217" w:rsidRPr="007226D7" w:rsidRDefault="00E65217" w:rsidP="00E65217">
      <w:pPr>
        <w:rPr>
          <w:noProof/>
        </w:rPr>
      </w:pPr>
    </w:p>
    <w:p w:rsidR="00ED1F70" w:rsidRPr="007226D7" w:rsidRDefault="00FC103B" w:rsidP="00ED1F70">
      <w:pPr>
        <w:pStyle w:val="Figuras"/>
      </w:pPr>
      <w:r w:rsidRPr="007226D7">
        <w:rPr>
          <w:noProof/>
        </w:rPr>
        <w:t>Tabla 4.5 – 14</w:t>
      </w:r>
      <w:r w:rsidRPr="007226D7">
        <w:t xml:space="preserve">: </w:t>
      </w:r>
      <w:r w:rsidR="00ED1F70" w:rsidRPr="007226D7">
        <w:rPr>
          <w:noProof/>
        </w:rPr>
        <w:t>Modelo de reparto modal HPT</w:t>
      </w:r>
    </w:p>
    <w:tbl>
      <w:tblPr>
        <w:tblW w:w="3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56"/>
        <w:gridCol w:w="1789"/>
        <w:gridCol w:w="1633"/>
        <w:gridCol w:w="1447"/>
        <w:gridCol w:w="972"/>
      </w:tblGrid>
      <w:tr w:rsidR="00A51201" w:rsidRPr="007226D7" w:rsidTr="00A51201">
        <w:trPr>
          <w:trHeight w:val="240"/>
          <w:tblHeader/>
          <w:jc w:val="center"/>
        </w:trPr>
        <w:tc>
          <w:tcPr>
            <w:tcW w:w="1105"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Modelo</w:t>
            </w:r>
          </w:p>
        </w:tc>
        <w:tc>
          <w:tcPr>
            <w:tcW w:w="1193"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Variable</w:t>
            </w:r>
          </w:p>
        </w:tc>
        <w:tc>
          <w:tcPr>
            <w:tcW w:w="1089" w:type="pct"/>
            <w:tcBorders>
              <w:top w:val="single" w:sz="4" w:space="0" w:color="auto"/>
              <w:left w:val="single" w:sz="4" w:space="0" w:color="auto"/>
              <w:bottom w:val="single" w:sz="4" w:space="0" w:color="auto"/>
              <w:right w:val="single" w:sz="4" w:space="0" w:color="auto"/>
            </w:tcBorders>
            <w:noWrap/>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Coeficiente</w:t>
            </w:r>
          </w:p>
        </w:tc>
        <w:tc>
          <w:tcPr>
            <w:tcW w:w="965"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T Estadístico</w:t>
            </w:r>
          </w:p>
        </w:tc>
        <w:tc>
          <w:tcPr>
            <w:tcW w:w="648"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R</w:t>
            </w:r>
            <w:r w:rsidRPr="007226D7">
              <w:rPr>
                <w:b/>
                <w:bCs/>
                <w:noProof/>
                <w:sz w:val="16"/>
                <w:szCs w:val="16"/>
                <w:vertAlign w:val="superscript"/>
                <w:lang w:val="es-ES"/>
              </w:rPr>
              <w:t>2</w:t>
            </w:r>
          </w:p>
        </w:tc>
      </w:tr>
      <w:tr w:rsidR="00A51201" w:rsidRPr="007226D7" w:rsidTr="00A51201">
        <w:trPr>
          <w:trHeight w:val="225"/>
          <w:jc w:val="center"/>
        </w:trPr>
        <w:tc>
          <w:tcPr>
            <w:tcW w:w="1105"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transporte privado</w:t>
            </w:r>
          </w:p>
        </w:tc>
        <w:tc>
          <w:tcPr>
            <w:tcW w:w="1193"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Veh Destino</w:t>
            </w:r>
          </w:p>
        </w:tc>
        <w:tc>
          <w:tcPr>
            <w:tcW w:w="1089"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0.2428</w:t>
            </w:r>
          </w:p>
        </w:tc>
        <w:tc>
          <w:tcPr>
            <w:tcW w:w="965"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9.09</w:t>
            </w:r>
          </w:p>
        </w:tc>
        <w:tc>
          <w:tcPr>
            <w:tcW w:w="648"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6"/>
                <w:szCs w:val="16"/>
                <w:lang w:val="es-ES"/>
              </w:rPr>
            </w:pPr>
            <w:r w:rsidRPr="007226D7">
              <w:rPr>
                <w:color w:val="000000"/>
                <w:sz w:val="16"/>
                <w:szCs w:val="16"/>
                <w:lang w:val="es-ES"/>
              </w:rPr>
              <w:t>0.60</w:t>
            </w:r>
          </w:p>
        </w:tc>
      </w:tr>
      <w:tr w:rsidR="00A51201" w:rsidRPr="007226D7" w:rsidTr="00A51201">
        <w:trPr>
          <w:trHeight w:val="225"/>
          <w:jc w:val="center"/>
        </w:trPr>
        <w:tc>
          <w:tcPr>
            <w:tcW w:w="1105"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p>
        </w:tc>
        <w:tc>
          <w:tcPr>
            <w:tcW w:w="1193"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tiempo</w:t>
            </w:r>
          </w:p>
        </w:tc>
        <w:tc>
          <w:tcPr>
            <w:tcW w:w="1089"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0.4229</w:t>
            </w:r>
          </w:p>
        </w:tc>
        <w:tc>
          <w:tcPr>
            <w:tcW w:w="965"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19.81</w:t>
            </w:r>
          </w:p>
        </w:tc>
        <w:tc>
          <w:tcPr>
            <w:tcW w:w="648" w:type="pct"/>
            <w:vMerge/>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6"/>
                <w:szCs w:val="16"/>
                <w:lang w:val="es-ES"/>
              </w:rPr>
            </w:pPr>
          </w:p>
        </w:tc>
      </w:tr>
      <w:tr w:rsidR="00A51201" w:rsidRPr="007226D7" w:rsidTr="00A51201">
        <w:trPr>
          <w:trHeight w:val="225"/>
          <w:jc w:val="center"/>
        </w:trPr>
        <w:tc>
          <w:tcPr>
            <w:tcW w:w="1105"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transporte público</w:t>
            </w:r>
          </w:p>
        </w:tc>
        <w:tc>
          <w:tcPr>
            <w:tcW w:w="1193"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tiempo</w:t>
            </w:r>
          </w:p>
        </w:tc>
        <w:tc>
          <w:tcPr>
            <w:tcW w:w="1089"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0.2382</w:t>
            </w:r>
          </w:p>
        </w:tc>
        <w:tc>
          <w:tcPr>
            <w:tcW w:w="965"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10.88</w:t>
            </w:r>
          </w:p>
        </w:tc>
        <w:tc>
          <w:tcPr>
            <w:tcW w:w="648"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jc w:val="right"/>
              <w:rPr>
                <w:color w:val="000000"/>
                <w:sz w:val="16"/>
                <w:szCs w:val="16"/>
                <w:lang w:val="es-ES"/>
              </w:rPr>
            </w:pPr>
            <w:r w:rsidRPr="007226D7">
              <w:rPr>
                <w:color w:val="000000"/>
                <w:sz w:val="16"/>
                <w:szCs w:val="16"/>
                <w:lang w:val="es-ES"/>
              </w:rPr>
              <w:t>0.81</w:t>
            </w:r>
          </w:p>
        </w:tc>
      </w:tr>
      <w:tr w:rsidR="00A51201" w:rsidRPr="007226D7" w:rsidTr="00A51201">
        <w:trPr>
          <w:trHeight w:val="225"/>
          <w:jc w:val="center"/>
        </w:trPr>
        <w:tc>
          <w:tcPr>
            <w:tcW w:w="1105"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p>
        </w:tc>
        <w:tc>
          <w:tcPr>
            <w:tcW w:w="1193"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coste</w:t>
            </w:r>
          </w:p>
        </w:tc>
        <w:tc>
          <w:tcPr>
            <w:tcW w:w="1089"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0.6421</w:t>
            </w:r>
          </w:p>
        </w:tc>
        <w:tc>
          <w:tcPr>
            <w:tcW w:w="965"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1.64</w:t>
            </w:r>
          </w:p>
        </w:tc>
        <w:tc>
          <w:tcPr>
            <w:tcW w:w="648"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p>
        </w:tc>
      </w:tr>
    </w:tbl>
    <w:p w:rsidR="00ED1F70" w:rsidRPr="007226D7" w:rsidRDefault="00ED1F70" w:rsidP="00ED1F70">
      <w:pPr>
        <w:rPr>
          <w:lang w:val="es-ES"/>
        </w:rPr>
      </w:pPr>
    </w:p>
    <w:p w:rsidR="00ED1F70" w:rsidRPr="007226D7" w:rsidRDefault="00FC103B" w:rsidP="00ED1F70">
      <w:pPr>
        <w:pStyle w:val="Figuras"/>
      </w:pPr>
      <w:r w:rsidRPr="007226D7">
        <w:rPr>
          <w:noProof/>
        </w:rPr>
        <w:t>Tabla 4.5 – 15</w:t>
      </w:r>
      <w:r w:rsidRPr="007226D7">
        <w:t xml:space="preserve">: </w:t>
      </w:r>
      <w:r w:rsidR="00ED1F70" w:rsidRPr="007226D7">
        <w:rPr>
          <w:noProof/>
        </w:rPr>
        <w:t>Modelo de reparto modal HV</w:t>
      </w:r>
    </w:p>
    <w:tbl>
      <w:tblPr>
        <w:tblW w:w="3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54"/>
        <w:gridCol w:w="1788"/>
        <w:gridCol w:w="1633"/>
        <w:gridCol w:w="1403"/>
        <w:gridCol w:w="977"/>
      </w:tblGrid>
      <w:tr w:rsidR="00ED1F70" w:rsidRPr="007226D7" w:rsidTr="00A51201">
        <w:trPr>
          <w:trHeight w:val="240"/>
          <w:tblHeader/>
          <w:jc w:val="center"/>
        </w:trPr>
        <w:tc>
          <w:tcPr>
            <w:tcW w:w="1110"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Modelo</w:t>
            </w:r>
          </w:p>
        </w:tc>
        <w:tc>
          <w:tcPr>
            <w:tcW w:w="1199"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Variable</w:t>
            </w:r>
          </w:p>
        </w:tc>
        <w:tc>
          <w:tcPr>
            <w:tcW w:w="1095" w:type="pct"/>
            <w:tcBorders>
              <w:top w:val="single" w:sz="4" w:space="0" w:color="auto"/>
              <w:left w:val="single" w:sz="4" w:space="0" w:color="auto"/>
              <w:bottom w:val="single" w:sz="4" w:space="0" w:color="auto"/>
              <w:right w:val="single" w:sz="4" w:space="0" w:color="auto"/>
            </w:tcBorders>
            <w:noWrap/>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Coeficiente</w:t>
            </w:r>
          </w:p>
        </w:tc>
        <w:tc>
          <w:tcPr>
            <w:tcW w:w="941"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F2075F">
            <w:pPr>
              <w:spacing w:line="240" w:lineRule="auto"/>
              <w:jc w:val="center"/>
              <w:rPr>
                <w:b/>
                <w:bCs/>
                <w:sz w:val="16"/>
                <w:szCs w:val="16"/>
                <w:lang w:val="es-ES"/>
              </w:rPr>
            </w:pPr>
            <w:r w:rsidRPr="007226D7">
              <w:rPr>
                <w:b/>
                <w:bCs/>
                <w:noProof/>
                <w:sz w:val="16"/>
                <w:szCs w:val="16"/>
                <w:lang w:val="es-ES"/>
              </w:rPr>
              <w:t>T Estadístico</w:t>
            </w:r>
          </w:p>
        </w:tc>
        <w:tc>
          <w:tcPr>
            <w:tcW w:w="655" w:type="pc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A51201">
            <w:pPr>
              <w:tabs>
                <w:tab w:val="left" w:pos="221"/>
              </w:tabs>
              <w:spacing w:line="240" w:lineRule="auto"/>
              <w:ind w:left="-76"/>
              <w:jc w:val="center"/>
              <w:rPr>
                <w:b/>
                <w:bCs/>
                <w:sz w:val="16"/>
                <w:szCs w:val="16"/>
                <w:lang w:val="es-ES"/>
              </w:rPr>
            </w:pPr>
            <w:r w:rsidRPr="007226D7">
              <w:rPr>
                <w:b/>
                <w:bCs/>
                <w:noProof/>
                <w:sz w:val="16"/>
                <w:szCs w:val="16"/>
                <w:lang w:val="es-ES"/>
              </w:rPr>
              <w:t>R</w:t>
            </w:r>
            <w:r w:rsidRPr="007226D7">
              <w:rPr>
                <w:b/>
                <w:bCs/>
                <w:noProof/>
                <w:sz w:val="16"/>
                <w:szCs w:val="16"/>
                <w:vertAlign w:val="superscript"/>
                <w:lang w:val="es-ES"/>
              </w:rPr>
              <w:t>2</w:t>
            </w:r>
          </w:p>
        </w:tc>
      </w:tr>
      <w:tr w:rsidR="00ED1F70" w:rsidRPr="007226D7" w:rsidTr="00A51201">
        <w:trPr>
          <w:trHeight w:val="225"/>
          <w:jc w:val="center"/>
        </w:trPr>
        <w:tc>
          <w:tcPr>
            <w:tcW w:w="1110"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transporte privado</w:t>
            </w:r>
          </w:p>
        </w:tc>
        <w:tc>
          <w:tcPr>
            <w:tcW w:w="119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Veh Origen</w:t>
            </w:r>
          </w:p>
        </w:tc>
        <w:tc>
          <w:tcPr>
            <w:tcW w:w="1095"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0.0124</w:t>
            </w:r>
          </w:p>
        </w:tc>
        <w:tc>
          <w:tcPr>
            <w:tcW w:w="94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2.01</w:t>
            </w:r>
          </w:p>
        </w:tc>
        <w:tc>
          <w:tcPr>
            <w:tcW w:w="655"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A51201">
            <w:pPr>
              <w:tabs>
                <w:tab w:val="left" w:pos="221"/>
              </w:tabs>
              <w:ind w:left="-76"/>
              <w:jc w:val="right"/>
              <w:rPr>
                <w:color w:val="000000"/>
                <w:sz w:val="16"/>
                <w:szCs w:val="16"/>
                <w:lang w:val="es-ES"/>
              </w:rPr>
            </w:pPr>
            <w:r w:rsidRPr="007226D7">
              <w:rPr>
                <w:color w:val="000000"/>
                <w:sz w:val="16"/>
                <w:szCs w:val="16"/>
                <w:lang w:val="es-ES"/>
              </w:rPr>
              <w:t>0.69</w:t>
            </w:r>
          </w:p>
        </w:tc>
      </w:tr>
      <w:tr w:rsidR="00ED1F70" w:rsidRPr="007226D7" w:rsidTr="00A51201">
        <w:trPr>
          <w:trHeight w:val="225"/>
          <w:jc w:val="center"/>
        </w:trPr>
        <w:tc>
          <w:tcPr>
            <w:tcW w:w="1110"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p>
        </w:tc>
        <w:tc>
          <w:tcPr>
            <w:tcW w:w="119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tiempo</w:t>
            </w:r>
          </w:p>
        </w:tc>
        <w:tc>
          <w:tcPr>
            <w:tcW w:w="1095"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0.3399</w:t>
            </w:r>
          </w:p>
        </w:tc>
        <w:tc>
          <w:tcPr>
            <w:tcW w:w="94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25.06</w:t>
            </w:r>
          </w:p>
        </w:tc>
        <w:tc>
          <w:tcPr>
            <w:tcW w:w="655" w:type="pct"/>
            <w:vMerge/>
            <w:tcBorders>
              <w:top w:val="single" w:sz="4" w:space="0" w:color="auto"/>
              <w:left w:val="single" w:sz="4" w:space="0" w:color="auto"/>
              <w:bottom w:val="single" w:sz="4" w:space="0" w:color="auto"/>
              <w:right w:val="single" w:sz="4" w:space="0" w:color="auto"/>
            </w:tcBorders>
            <w:vAlign w:val="center"/>
          </w:tcPr>
          <w:p w:rsidR="00ED1F70" w:rsidRPr="007226D7" w:rsidRDefault="00ED1F70" w:rsidP="00A51201">
            <w:pPr>
              <w:tabs>
                <w:tab w:val="left" w:pos="221"/>
              </w:tabs>
              <w:ind w:left="-76"/>
              <w:jc w:val="right"/>
              <w:rPr>
                <w:color w:val="000000"/>
                <w:sz w:val="16"/>
                <w:szCs w:val="16"/>
                <w:lang w:val="es-ES"/>
              </w:rPr>
            </w:pPr>
          </w:p>
        </w:tc>
      </w:tr>
      <w:tr w:rsidR="00ED1F70" w:rsidRPr="007226D7" w:rsidTr="00A51201">
        <w:trPr>
          <w:trHeight w:val="225"/>
          <w:jc w:val="center"/>
        </w:trPr>
        <w:tc>
          <w:tcPr>
            <w:tcW w:w="1110" w:type="pct"/>
            <w:vMerge w:val="restar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transporte público</w:t>
            </w:r>
          </w:p>
        </w:tc>
        <w:tc>
          <w:tcPr>
            <w:tcW w:w="119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tiempo</w:t>
            </w:r>
          </w:p>
        </w:tc>
        <w:tc>
          <w:tcPr>
            <w:tcW w:w="1095"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0.3041</w:t>
            </w:r>
          </w:p>
        </w:tc>
        <w:tc>
          <w:tcPr>
            <w:tcW w:w="94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33.93</w:t>
            </w:r>
          </w:p>
        </w:tc>
        <w:tc>
          <w:tcPr>
            <w:tcW w:w="655" w:type="pct"/>
            <w:vMerge w:val="restart"/>
            <w:tcBorders>
              <w:top w:val="single" w:sz="4" w:space="0" w:color="auto"/>
              <w:left w:val="single" w:sz="4" w:space="0" w:color="auto"/>
              <w:bottom w:val="single" w:sz="4" w:space="0" w:color="auto"/>
              <w:right w:val="single" w:sz="4" w:space="0" w:color="auto"/>
            </w:tcBorders>
            <w:vAlign w:val="center"/>
          </w:tcPr>
          <w:p w:rsidR="00ED1F70" w:rsidRPr="007226D7" w:rsidRDefault="00ED1F70" w:rsidP="00A51201">
            <w:pPr>
              <w:tabs>
                <w:tab w:val="left" w:pos="221"/>
              </w:tabs>
              <w:ind w:left="-76"/>
              <w:jc w:val="right"/>
              <w:rPr>
                <w:color w:val="000000"/>
                <w:sz w:val="16"/>
                <w:szCs w:val="16"/>
                <w:lang w:val="es-ES"/>
              </w:rPr>
            </w:pPr>
            <w:r w:rsidRPr="007226D7">
              <w:rPr>
                <w:color w:val="000000"/>
                <w:sz w:val="16"/>
                <w:szCs w:val="16"/>
                <w:lang w:val="es-ES"/>
              </w:rPr>
              <w:t>0.89</w:t>
            </w:r>
          </w:p>
        </w:tc>
      </w:tr>
      <w:tr w:rsidR="00ED1F70" w:rsidRPr="007226D7" w:rsidTr="00A51201">
        <w:trPr>
          <w:trHeight w:val="225"/>
          <w:jc w:val="center"/>
        </w:trPr>
        <w:tc>
          <w:tcPr>
            <w:tcW w:w="1110" w:type="pct"/>
            <w:vMerge/>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p>
        </w:tc>
        <w:tc>
          <w:tcPr>
            <w:tcW w:w="1199"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left"/>
              <w:rPr>
                <w:color w:val="000000"/>
                <w:sz w:val="16"/>
                <w:szCs w:val="16"/>
                <w:lang w:val="es-ES"/>
              </w:rPr>
            </w:pPr>
            <w:r w:rsidRPr="007226D7">
              <w:rPr>
                <w:noProof/>
                <w:color w:val="000000"/>
                <w:sz w:val="16"/>
                <w:szCs w:val="16"/>
                <w:lang w:val="es-ES"/>
              </w:rPr>
              <w:t>Ratio coste</w:t>
            </w:r>
          </w:p>
        </w:tc>
        <w:tc>
          <w:tcPr>
            <w:tcW w:w="1095" w:type="pct"/>
            <w:tcBorders>
              <w:top w:val="single" w:sz="4" w:space="0" w:color="auto"/>
              <w:left w:val="single" w:sz="4" w:space="0" w:color="auto"/>
              <w:bottom w:val="single" w:sz="4" w:space="0" w:color="auto"/>
              <w:right w:val="single" w:sz="4" w:space="0" w:color="auto"/>
            </w:tcBorders>
            <w:noWrap/>
          </w:tcPr>
          <w:p w:rsidR="00ED1F70" w:rsidRPr="007226D7" w:rsidRDefault="00ED1F70" w:rsidP="00F2075F">
            <w:pPr>
              <w:jc w:val="right"/>
              <w:rPr>
                <w:color w:val="000000"/>
                <w:sz w:val="16"/>
                <w:szCs w:val="16"/>
                <w:lang w:val="es-ES"/>
              </w:rPr>
            </w:pPr>
            <w:r w:rsidRPr="007226D7">
              <w:rPr>
                <w:color w:val="000000"/>
                <w:sz w:val="16"/>
                <w:szCs w:val="16"/>
                <w:lang w:val="es-ES"/>
              </w:rPr>
              <w:t>0.4802</w:t>
            </w:r>
          </w:p>
        </w:tc>
        <w:tc>
          <w:tcPr>
            <w:tcW w:w="941" w:type="pct"/>
            <w:tcBorders>
              <w:top w:val="single" w:sz="4" w:space="0" w:color="auto"/>
              <w:left w:val="single" w:sz="4" w:space="0" w:color="auto"/>
              <w:bottom w:val="single" w:sz="4" w:space="0" w:color="auto"/>
              <w:right w:val="single" w:sz="4" w:space="0" w:color="auto"/>
            </w:tcBorders>
          </w:tcPr>
          <w:p w:rsidR="00ED1F70" w:rsidRPr="007226D7" w:rsidRDefault="00ED1F70" w:rsidP="00F2075F">
            <w:pPr>
              <w:jc w:val="right"/>
              <w:rPr>
                <w:color w:val="000000"/>
                <w:sz w:val="16"/>
                <w:szCs w:val="16"/>
                <w:lang w:val="es-ES"/>
              </w:rPr>
            </w:pPr>
            <w:r w:rsidRPr="007226D7">
              <w:rPr>
                <w:color w:val="000000"/>
                <w:sz w:val="16"/>
                <w:szCs w:val="16"/>
                <w:lang w:val="es-ES"/>
              </w:rPr>
              <w:t>3.26</w:t>
            </w:r>
          </w:p>
        </w:tc>
        <w:tc>
          <w:tcPr>
            <w:tcW w:w="655" w:type="pct"/>
            <w:vMerge/>
            <w:tcBorders>
              <w:top w:val="single" w:sz="4" w:space="0" w:color="auto"/>
              <w:left w:val="single" w:sz="4" w:space="0" w:color="auto"/>
              <w:bottom w:val="single" w:sz="4" w:space="0" w:color="auto"/>
              <w:right w:val="single" w:sz="4" w:space="0" w:color="auto"/>
            </w:tcBorders>
          </w:tcPr>
          <w:p w:rsidR="00ED1F70" w:rsidRPr="007226D7" w:rsidRDefault="00ED1F70" w:rsidP="00A51201">
            <w:pPr>
              <w:tabs>
                <w:tab w:val="left" w:pos="221"/>
              </w:tabs>
              <w:ind w:left="-76"/>
              <w:jc w:val="right"/>
              <w:rPr>
                <w:color w:val="000000"/>
                <w:sz w:val="16"/>
                <w:szCs w:val="16"/>
                <w:lang w:val="es-ES"/>
              </w:rPr>
            </w:pPr>
          </w:p>
        </w:tc>
      </w:tr>
    </w:tbl>
    <w:p w:rsidR="00ED1F70" w:rsidRPr="007226D7" w:rsidRDefault="00ED1F70" w:rsidP="00ED1F70">
      <w:pPr>
        <w:rPr>
          <w:lang w:val="es-ES"/>
        </w:rPr>
      </w:pPr>
    </w:p>
    <w:p w:rsidR="00ED1F70" w:rsidRPr="007226D7" w:rsidRDefault="00ED1F70" w:rsidP="00ED1F70">
      <w:pPr>
        <w:rPr>
          <w:lang w:val="es-ES"/>
        </w:rPr>
      </w:pPr>
    </w:p>
    <w:p w:rsidR="00ED1F70" w:rsidRPr="007226D7" w:rsidRDefault="00ED1F70" w:rsidP="00ED1F70">
      <w:pPr>
        <w:rPr>
          <w:lang w:val="es-ES"/>
        </w:rPr>
      </w:pPr>
      <w:r w:rsidRPr="007226D7">
        <w:rPr>
          <w:lang w:val="es-ES"/>
        </w:rPr>
        <w:br w:type="page"/>
      </w:r>
    </w:p>
    <w:p w:rsidR="00ED1F70" w:rsidRPr="007226D7" w:rsidRDefault="00ED1F70" w:rsidP="00ED1F70">
      <w:pPr>
        <w:pStyle w:val="Heading4"/>
        <w:rPr>
          <w:lang w:val="es-ES"/>
        </w:rPr>
      </w:pPr>
      <w:r w:rsidRPr="007226D7">
        <w:rPr>
          <w:lang w:val="es-ES"/>
        </w:rPr>
        <w:lastRenderedPageBreak/>
        <w:t>Aplicación</w:t>
      </w:r>
    </w:p>
    <w:p w:rsidR="00407545" w:rsidRPr="007226D7" w:rsidRDefault="00407545" w:rsidP="00407545">
      <w:pPr>
        <w:rPr>
          <w:lang w:val="es-ES"/>
        </w:rPr>
      </w:pPr>
      <w:r w:rsidRPr="007226D7">
        <w:rPr>
          <w:lang w:val="es-ES"/>
        </w:rPr>
        <w:t>La aplicación de los modelos de demanda se puede resumir en el siguiente procedimiento:</w:t>
      </w:r>
    </w:p>
    <w:p w:rsidR="00407545" w:rsidRPr="007226D7" w:rsidRDefault="0053202C" w:rsidP="002132CC">
      <w:pPr>
        <w:pStyle w:val="ListParagraph"/>
        <w:numPr>
          <w:ilvl w:val="0"/>
          <w:numId w:val="68"/>
        </w:numPr>
        <w:rPr>
          <w:lang w:val="es-ES"/>
        </w:rPr>
      </w:pPr>
      <w:r w:rsidRPr="007226D7">
        <w:rPr>
          <w:lang w:val="es-ES"/>
        </w:rPr>
        <w:t>Primero</w:t>
      </w:r>
      <w:r w:rsidR="00407545" w:rsidRPr="007226D7">
        <w:rPr>
          <w:lang w:val="es-ES"/>
        </w:rPr>
        <w:t xml:space="preserve"> se asignan las matrices de viajes del año existente a las redes de transporte privado y público del año horizonte a analizar para obtener matrices de tiempos</w:t>
      </w:r>
      <w:r w:rsidRPr="007226D7">
        <w:rPr>
          <w:lang w:val="es-ES"/>
        </w:rPr>
        <w:t xml:space="preserve"> y costes de viaje.</w:t>
      </w:r>
    </w:p>
    <w:p w:rsidR="00407545" w:rsidRPr="007226D7" w:rsidRDefault="00407545" w:rsidP="002132CC">
      <w:pPr>
        <w:pStyle w:val="ListParagraph"/>
        <w:numPr>
          <w:ilvl w:val="0"/>
          <w:numId w:val="68"/>
        </w:numPr>
        <w:rPr>
          <w:lang w:val="es-ES"/>
        </w:rPr>
      </w:pPr>
      <w:r w:rsidRPr="007226D7">
        <w:rPr>
          <w:lang w:val="es-ES"/>
        </w:rPr>
        <w:t>Seguidamente se aplica la formulación de los modelos de origen/destino/distribución.</w:t>
      </w:r>
      <w:r w:rsidRPr="008C61F3">
        <w:rPr>
          <w:lang w:val="es-ES_tradnl"/>
        </w:rPr>
        <w:t xml:space="preserve"> </w:t>
      </w:r>
    </w:p>
    <w:p w:rsidR="00365FB5" w:rsidRPr="007226D7" w:rsidRDefault="00365FB5" w:rsidP="00407545">
      <w:pPr>
        <w:rPr>
          <w:color w:val="000000" w:themeColor="text1"/>
          <w:lang w:val="es-ES"/>
        </w:rPr>
      </w:pPr>
      <w:r w:rsidRPr="007226D7">
        <w:rPr>
          <w:lang w:val="es-ES"/>
        </w:rPr>
        <w:t xml:space="preserve">Las matrices resultantes son llamadas </w:t>
      </w:r>
      <w:r w:rsidRPr="007226D7">
        <w:rPr>
          <w:b/>
          <w:lang w:val="es-ES"/>
        </w:rPr>
        <w:t>matrices tendenciales</w:t>
      </w:r>
      <w:r w:rsidRPr="007226D7">
        <w:rPr>
          <w:lang w:val="es-ES"/>
        </w:rPr>
        <w:t xml:space="preserve"> porque son evaluadas mediante la aplicación de la </w:t>
      </w:r>
      <w:r w:rsidR="000B2336" w:rsidRPr="007226D7">
        <w:rPr>
          <w:lang w:val="es-ES"/>
        </w:rPr>
        <w:t>repartición</w:t>
      </w:r>
      <w:r w:rsidRPr="007226D7">
        <w:rPr>
          <w:lang w:val="es-ES"/>
        </w:rPr>
        <w:t xml:space="preserve"> modal del año existente a la matriz que resulta del modelo de distribución.</w:t>
      </w:r>
    </w:p>
    <w:p w:rsidR="00F4584D" w:rsidRPr="007226D7" w:rsidRDefault="00FC103B" w:rsidP="005E1770">
      <w:pPr>
        <w:pStyle w:val="Figuras"/>
      </w:pPr>
      <w:r w:rsidRPr="007226D7">
        <w:rPr>
          <w:noProof/>
        </w:rPr>
        <w:t>Tabla 4.5 – 16</w:t>
      </w:r>
      <w:r w:rsidRPr="007226D7">
        <w:t xml:space="preserve">: </w:t>
      </w:r>
      <w:r w:rsidR="005E1770" w:rsidRPr="007226D7">
        <w:t>Matrices Tendenciales</w:t>
      </w:r>
      <w:r w:rsidR="00714723" w:rsidRPr="007226D7">
        <w:t xml:space="preserve"> 2018, 2020 y 2030 </w:t>
      </w:r>
    </w:p>
    <w:tbl>
      <w:tblPr>
        <w:tblW w:w="6080" w:type="dxa"/>
        <w:jc w:val="center"/>
        <w:tblInd w:w="53" w:type="dxa"/>
        <w:tblCellMar>
          <w:left w:w="70" w:type="dxa"/>
          <w:right w:w="70" w:type="dxa"/>
        </w:tblCellMar>
        <w:tblLook w:val="04A0" w:firstRow="1" w:lastRow="0" w:firstColumn="1" w:lastColumn="0" w:noHBand="0" w:noVBand="1"/>
      </w:tblPr>
      <w:tblGrid>
        <w:gridCol w:w="960"/>
        <w:gridCol w:w="1151"/>
        <w:gridCol w:w="942"/>
        <w:gridCol w:w="1150"/>
        <w:gridCol w:w="942"/>
        <w:gridCol w:w="974"/>
      </w:tblGrid>
      <w:tr w:rsidR="00F4584D" w:rsidRPr="008A0021" w:rsidTr="00F4584D">
        <w:trPr>
          <w:trHeight w:val="300"/>
          <w:jc w:val="center"/>
        </w:trPr>
        <w:tc>
          <w:tcPr>
            <w:tcW w:w="960"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left"/>
              <w:rPr>
                <w:rFonts w:cs="Arial"/>
                <w:color w:val="171717"/>
                <w:sz w:val="20"/>
              </w:rPr>
            </w:pPr>
            <w:r w:rsidRPr="008A0021">
              <w:rPr>
                <w:rFonts w:cs="Arial"/>
                <w:color w:val="171717"/>
                <w:sz w:val="20"/>
              </w:rPr>
              <w:t> </w:t>
            </w:r>
          </w:p>
        </w:tc>
        <w:tc>
          <w:tcPr>
            <w:tcW w:w="5120"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color w:val="171717"/>
                <w:sz w:val="20"/>
              </w:rPr>
            </w:pPr>
            <w:r w:rsidRPr="008A0021">
              <w:rPr>
                <w:rFonts w:cs="Arial"/>
                <w:b/>
                <w:bCs/>
                <w:color w:val="171717"/>
                <w:sz w:val="20"/>
              </w:rPr>
              <w:t>2018</w:t>
            </w:r>
          </w:p>
        </w:tc>
      </w:tr>
      <w:tr w:rsidR="00F4584D" w:rsidRPr="008A0021" w:rsidTr="00F4584D">
        <w:trPr>
          <w:trHeight w:val="300"/>
          <w:jc w:val="center"/>
        </w:trPr>
        <w:tc>
          <w:tcPr>
            <w:tcW w:w="960"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left"/>
              <w:rPr>
                <w:rFonts w:cs="Arial"/>
                <w:color w:val="171717"/>
                <w:sz w:val="20"/>
              </w:rPr>
            </w:pPr>
            <w:r w:rsidRPr="008A0021">
              <w:rPr>
                <w:rFonts w:cs="Arial"/>
                <w:color w:val="171717"/>
                <w:sz w:val="20"/>
              </w:rPr>
              <w:t> </w:t>
            </w:r>
          </w:p>
        </w:tc>
        <w:tc>
          <w:tcPr>
            <w:tcW w:w="1151" w:type="dxa"/>
            <w:tcBorders>
              <w:top w:val="single" w:sz="4" w:space="0" w:color="auto"/>
              <w:left w:val="single" w:sz="4" w:space="0" w:color="auto"/>
              <w:bottom w:val="nil"/>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color w:val="000000"/>
                <w:sz w:val="20"/>
              </w:rPr>
            </w:pPr>
            <w:r w:rsidRPr="008A0021">
              <w:rPr>
                <w:rFonts w:cs="Arial"/>
                <w:b/>
                <w:bCs/>
                <w:color w:val="000000"/>
                <w:sz w:val="20"/>
              </w:rPr>
              <w:t>TOTALES</w:t>
            </w:r>
          </w:p>
        </w:tc>
        <w:tc>
          <w:tcPr>
            <w:tcW w:w="942"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color w:val="000000"/>
                <w:sz w:val="20"/>
              </w:rPr>
            </w:pPr>
            <w:r w:rsidRPr="008A0021">
              <w:rPr>
                <w:rFonts w:cs="Arial"/>
                <w:b/>
                <w:bCs/>
                <w:color w:val="000000"/>
                <w:sz w:val="20"/>
              </w:rPr>
              <w:t>COCHE</w:t>
            </w:r>
          </w:p>
        </w:tc>
        <w:tc>
          <w:tcPr>
            <w:tcW w:w="1150"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color w:val="000000"/>
                <w:sz w:val="20"/>
              </w:rPr>
            </w:pPr>
            <w:r w:rsidRPr="008A0021">
              <w:rPr>
                <w:rFonts w:cs="Arial"/>
                <w:b/>
                <w:bCs/>
                <w:color w:val="000000"/>
                <w:sz w:val="20"/>
              </w:rPr>
              <w:t>PUB</w:t>
            </w:r>
          </w:p>
        </w:tc>
        <w:tc>
          <w:tcPr>
            <w:tcW w:w="942"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color w:val="000000"/>
                <w:sz w:val="20"/>
              </w:rPr>
            </w:pPr>
            <w:r w:rsidRPr="008A0021">
              <w:rPr>
                <w:rFonts w:cs="Arial"/>
                <w:b/>
                <w:bCs/>
                <w:color w:val="000000"/>
                <w:sz w:val="20"/>
              </w:rPr>
              <w:t>TAXI</w:t>
            </w:r>
          </w:p>
        </w:tc>
        <w:tc>
          <w:tcPr>
            <w:tcW w:w="935"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color w:val="000000"/>
                <w:sz w:val="20"/>
              </w:rPr>
            </w:pPr>
            <w:r w:rsidRPr="008A0021">
              <w:rPr>
                <w:rFonts w:cs="Arial"/>
                <w:b/>
                <w:bCs/>
                <w:color w:val="000000"/>
                <w:sz w:val="20"/>
              </w:rPr>
              <w:t>TRUCKS</w:t>
            </w:r>
          </w:p>
        </w:tc>
      </w:tr>
      <w:tr w:rsidR="00F4584D" w:rsidRPr="008A0021" w:rsidTr="00F4584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color w:val="171717"/>
                <w:sz w:val="20"/>
              </w:rPr>
            </w:pPr>
            <w:r w:rsidRPr="008A0021">
              <w:rPr>
                <w:rFonts w:cs="Arial"/>
                <w:b/>
                <w:bCs/>
                <w:color w:val="171717"/>
                <w:sz w:val="20"/>
              </w:rPr>
              <w:t>HPM</w:t>
            </w:r>
          </w:p>
        </w:tc>
        <w:tc>
          <w:tcPr>
            <w:tcW w:w="1151" w:type="dxa"/>
            <w:tcBorders>
              <w:top w:val="single" w:sz="4" w:space="0" w:color="auto"/>
              <w:left w:val="single" w:sz="4" w:space="0" w:color="auto"/>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1,459,568</w:t>
            </w:r>
          </w:p>
        </w:tc>
        <w:tc>
          <w:tcPr>
            <w:tcW w:w="942"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szCs w:val="18"/>
              </w:rPr>
            </w:pPr>
            <w:r w:rsidRPr="008A0021">
              <w:rPr>
                <w:rFonts w:cs="Arial"/>
                <w:sz w:val="18"/>
                <w:szCs w:val="18"/>
              </w:rPr>
              <w:t>206,670</w:t>
            </w:r>
          </w:p>
        </w:tc>
        <w:tc>
          <w:tcPr>
            <w:tcW w:w="1150"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1,111,218</w:t>
            </w:r>
          </w:p>
        </w:tc>
        <w:tc>
          <w:tcPr>
            <w:tcW w:w="942"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126,424</w:t>
            </w:r>
          </w:p>
        </w:tc>
        <w:tc>
          <w:tcPr>
            <w:tcW w:w="935" w:type="dxa"/>
            <w:tcBorders>
              <w:top w:val="single" w:sz="4" w:space="0" w:color="auto"/>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15,257</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color w:val="171717"/>
                <w:sz w:val="20"/>
              </w:rPr>
            </w:pPr>
            <w:r w:rsidRPr="008A0021">
              <w:rPr>
                <w:rFonts w:cs="Arial"/>
                <w:b/>
                <w:bCs/>
                <w:color w:val="171717"/>
                <w:sz w:val="20"/>
              </w:rPr>
              <w:t>HPT</w:t>
            </w:r>
          </w:p>
        </w:tc>
        <w:tc>
          <w:tcPr>
            <w:tcW w:w="1151" w:type="dxa"/>
            <w:tcBorders>
              <w:top w:val="nil"/>
              <w:left w:val="single" w:sz="4" w:space="0" w:color="auto"/>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1,012,122</w:t>
            </w:r>
          </w:p>
        </w:tc>
        <w:tc>
          <w:tcPr>
            <w:tcW w:w="942"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120,317</w:t>
            </w:r>
          </w:p>
        </w:tc>
        <w:tc>
          <w:tcPr>
            <w:tcW w:w="1150"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765,645</w:t>
            </w:r>
          </w:p>
        </w:tc>
        <w:tc>
          <w:tcPr>
            <w:tcW w:w="942"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114,319</w:t>
            </w:r>
          </w:p>
        </w:tc>
        <w:tc>
          <w:tcPr>
            <w:tcW w:w="935"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11,841</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color w:val="171717"/>
                <w:sz w:val="20"/>
              </w:rPr>
            </w:pPr>
            <w:r w:rsidRPr="008A0021">
              <w:rPr>
                <w:rFonts w:cs="Arial"/>
                <w:b/>
                <w:bCs/>
                <w:color w:val="171717"/>
                <w:sz w:val="20"/>
              </w:rPr>
              <w:t>HV</w:t>
            </w:r>
          </w:p>
        </w:tc>
        <w:tc>
          <w:tcPr>
            <w:tcW w:w="1151"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701,486</w:t>
            </w:r>
          </w:p>
        </w:tc>
        <w:tc>
          <w:tcPr>
            <w:tcW w:w="942"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87,346</w:t>
            </w:r>
          </w:p>
        </w:tc>
        <w:tc>
          <w:tcPr>
            <w:tcW w:w="1150"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509,025</w:t>
            </w:r>
          </w:p>
        </w:tc>
        <w:tc>
          <w:tcPr>
            <w:tcW w:w="942"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94,148</w:t>
            </w:r>
          </w:p>
        </w:tc>
        <w:tc>
          <w:tcPr>
            <w:tcW w:w="935" w:type="dxa"/>
            <w:tcBorders>
              <w:top w:val="nil"/>
              <w:left w:val="nil"/>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color w:val="171717"/>
                <w:sz w:val="18"/>
                <w:szCs w:val="18"/>
              </w:rPr>
            </w:pPr>
            <w:r w:rsidRPr="008A0021">
              <w:rPr>
                <w:rFonts w:cs="Arial"/>
                <w:color w:val="171717"/>
                <w:sz w:val="18"/>
                <w:szCs w:val="18"/>
              </w:rPr>
              <w:t>10,967</w:t>
            </w:r>
          </w:p>
        </w:tc>
      </w:tr>
    </w:tbl>
    <w:p w:rsidR="002B0CA1" w:rsidRPr="007226D7" w:rsidRDefault="002B0CA1" w:rsidP="00407545"/>
    <w:tbl>
      <w:tblPr>
        <w:tblW w:w="5941" w:type="dxa"/>
        <w:jc w:val="center"/>
        <w:tblInd w:w="53" w:type="dxa"/>
        <w:tblCellMar>
          <w:left w:w="70" w:type="dxa"/>
          <w:right w:w="70" w:type="dxa"/>
        </w:tblCellMar>
        <w:tblLook w:val="04A0" w:firstRow="1" w:lastRow="0" w:firstColumn="1" w:lastColumn="0" w:noHBand="0" w:noVBand="1"/>
      </w:tblPr>
      <w:tblGrid>
        <w:gridCol w:w="960"/>
        <w:gridCol w:w="1119"/>
        <w:gridCol w:w="917"/>
        <w:gridCol w:w="1119"/>
        <w:gridCol w:w="917"/>
        <w:gridCol w:w="974"/>
      </w:tblGrid>
      <w:tr w:rsidR="00F4584D" w:rsidRPr="008A0021" w:rsidTr="00F4584D">
        <w:trPr>
          <w:trHeight w:val="300"/>
          <w:jc w:val="center"/>
        </w:trPr>
        <w:tc>
          <w:tcPr>
            <w:tcW w:w="960"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sz w:val="20"/>
              </w:rPr>
            </w:pPr>
            <w:r w:rsidRPr="008A0021">
              <w:rPr>
                <w:rFonts w:cs="Arial"/>
                <w:sz w:val="20"/>
              </w:rPr>
              <w:t> </w:t>
            </w:r>
          </w:p>
        </w:tc>
        <w:tc>
          <w:tcPr>
            <w:tcW w:w="4981" w:type="dxa"/>
            <w:gridSpan w:val="5"/>
            <w:tcBorders>
              <w:top w:val="single" w:sz="4" w:space="0" w:color="auto"/>
              <w:left w:val="single" w:sz="4" w:space="0" w:color="auto"/>
              <w:bottom w:val="single" w:sz="4" w:space="0" w:color="auto"/>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2020</w:t>
            </w:r>
          </w:p>
        </w:tc>
      </w:tr>
      <w:tr w:rsidR="00F4584D" w:rsidRPr="008A0021" w:rsidTr="00F4584D">
        <w:trPr>
          <w:trHeight w:val="300"/>
          <w:jc w:val="center"/>
        </w:trPr>
        <w:tc>
          <w:tcPr>
            <w:tcW w:w="960"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sz w:val="20"/>
              </w:rPr>
            </w:pPr>
            <w:r w:rsidRPr="008A0021">
              <w:rPr>
                <w:rFonts w:cs="Arial"/>
                <w:sz w:val="20"/>
              </w:rPr>
              <w:t> </w:t>
            </w:r>
          </w:p>
        </w:tc>
        <w:tc>
          <w:tcPr>
            <w:tcW w:w="1119"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TOTALES</w:t>
            </w:r>
          </w:p>
        </w:tc>
        <w:tc>
          <w:tcPr>
            <w:tcW w:w="917"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COCHE</w:t>
            </w:r>
          </w:p>
        </w:tc>
        <w:tc>
          <w:tcPr>
            <w:tcW w:w="1119"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PUB</w:t>
            </w:r>
          </w:p>
        </w:tc>
        <w:tc>
          <w:tcPr>
            <w:tcW w:w="917"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TAXI</w:t>
            </w:r>
          </w:p>
        </w:tc>
        <w:tc>
          <w:tcPr>
            <w:tcW w:w="909"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TRUCKS</w:t>
            </w:r>
          </w:p>
        </w:tc>
      </w:tr>
      <w:tr w:rsidR="00F4584D" w:rsidRPr="008A0021" w:rsidTr="00F4584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HPM</w:t>
            </w:r>
          </w:p>
        </w:tc>
        <w:tc>
          <w:tcPr>
            <w:tcW w:w="1119"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1,512,843</w:t>
            </w:r>
          </w:p>
        </w:tc>
        <w:tc>
          <w:tcPr>
            <w:tcW w:w="917"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215,416</w:t>
            </w:r>
          </w:p>
        </w:tc>
        <w:tc>
          <w:tcPr>
            <w:tcW w:w="1119"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1,150,594</w:t>
            </w:r>
          </w:p>
        </w:tc>
        <w:tc>
          <w:tcPr>
            <w:tcW w:w="917"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131,019</w:t>
            </w:r>
          </w:p>
        </w:tc>
        <w:tc>
          <w:tcPr>
            <w:tcW w:w="909" w:type="dxa"/>
            <w:tcBorders>
              <w:top w:val="single" w:sz="4" w:space="0" w:color="auto"/>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15,814</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HPT</w:t>
            </w:r>
          </w:p>
        </w:tc>
        <w:tc>
          <w:tcPr>
            <w:tcW w:w="1119"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1,046,743</w:t>
            </w:r>
          </w:p>
        </w:tc>
        <w:tc>
          <w:tcPr>
            <w:tcW w:w="917"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124,872</w:t>
            </w:r>
          </w:p>
        </w:tc>
        <w:tc>
          <w:tcPr>
            <w:tcW w:w="1119"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791,456</w:t>
            </w:r>
          </w:p>
        </w:tc>
        <w:tc>
          <w:tcPr>
            <w:tcW w:w="917"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118,169</w:t>
            </w:r>
          </w:p>
        </w:tc>
        <w:tc>
          <w:tcPr>
            <w:tcW w:w="909"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12,246</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HV</w:t>
            </w:r>
          </w:p>
        </w:tc>
        <w:tc>
          <w:tcPr>
            <w:tcW w:w="1119" w:type="dxa"/>
            <w:tcBorders>
              <w:top w:val="nil"/>
              <w:left w:val="nil"/>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728,074</w:t>
            </w:r>
          </w:p>
        </w:tc>
        <w:tc>
          <w:tcPr>
            <w:tcW w:w="917"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91,018</w:t>
            </w:r>
          </w:p>
        </w:tc>
        <w:tc>
          <w:tcPr>
            <w:tcW w:w="1119"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527,660</w:t>
            </w:r>
          </w:p>
        </w:tc>
        <w:tc>
          <w:tcPr>
            <w:tcW w:w="917"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98,014</w:t>
            </w:r>
          </w:p>
        </w:tc>
        <w:tc>
          <w:tcPr>
            <w:tcW w:w="909" w:type="dxa"/>
            <w:tcBorders>
              <w:top w:val="nil"/>
              <w:left w:val="nil"/>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11,383</w:t>
            </w:r>
          </w:p>
        </w:tc>
      </w:tr>
    </w:tbl>
    <w:p w:rsidR="002B0CA1" w:rsidRPr="007226D7" w:rsidRDefault="002B0CA1" w:rsidP="00407545"/>
    <w:tbl>
      <w:tblPr>
        <w:tblW w:w="6080" w:type="dxa"/>
        <w:jc w:val="center"/>
        <w:tblInd w:w="53" w:type="dxa"/>
        <w:tblCellMar>
          <w:left w:w="70" w:type="dxa"/>
          <w:right w:w="70" w:type="dxa"/>
        </w:tblCellMar>
        <w:tblLook w:val="04A0" w:firstRow="1" w:lastRow="0" w:firstColumn="1" w:lastColumn="0" w:noHBand="0" w:noVBand="1"/>
      </w:tblPr>
      <w:tblGrid>
        <w:gridCol w:w="960"/>
        <w:gridCol w:w="1151"/>
        <w:gridCol w:w="942"/>
        <w:gridCol w:w="1150"/>
        <w:gridCol w:w="942"/>
        <w:gridCol w:w="974"/>
      </w:tblGrid>
      <w:tr w:rsidR="00F4584D" w:rsidRPr="008A0021" w:rsidTr="00F4584D">
        <w:trPr>
          <w:trHeight w:val="300"/>
          <w:jc w:val="center"/>
        </w:trPr>
        <w:tc>
          <w:tcPr>
            <w:tcW w:w="960"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sz w:val="20"/>
              </w:rPr>
            </w:pPr>
            <w:r w:rsidRPr="008A0021">
              <w:rPr>
                <w:rFonts w:cs="Arial"/>
                <w:sz w:val="20"/>
              </w:rPr>
              <w:t> </w:t>
            </w:r>
          </w:p>
        </w:tc>
        <w:tc>
          <w:tcPr>
            <w:tcW w:w="5120" w:type="dxa"/>
            <w:gridSpan w:val="5"/>
            <w:tcBorders>
              <w:top w:val="single" w:sz="4" w:space="0" w:color="auto"/>
              <w:left w:val="single" w:sz="4" w:space="0" w:color="auto"/>
              <w:bottom w:val="single" w:sz="4" w:space="0" w:color="auto"/>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2030</w:t>
            </w:r>
          </w:p>
        </w:tc>
      </w:tr>
      <w:tr w:rsidR="00F4584D" w:rsidRPr="008A0021" w:rsidTr="00F4584D">
        <w:trPr>
          <w:trHeight w:val="300"/>
          <w:jc w:val="center"/>
        </w:trPr>
        <w:tc>
          <w:tcPr>
            <w:tcW w:w="960"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sz w:val="20"/>
              </w:rPr>
            </w:pPr>
            <w:r w:rsidRPr="008A0021">
              <w:rPr>
                <w:rFonts w:cs="Arial"/>
                <w:sz w:val="20"/>
              </w:rPr>
              <w:t> </w:t>
            </w:r>
          </w:p>
        </w:tc>
        <w:tc>
          <w:tcPr>
            <w:tcW w:w="1151"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TOTALES</w:t>
            </w:r>
          </w:p>
        </w:tc>
        <w:tc>
          <w:tcPr>
            <w:tcW w:w="942"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COCHE</w:t>
            </w:r>
          </w:p>
        </w:tc>
        <w:tc>
          <w:tcPr>
            <w:tcW w:w="1150"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PUB</w:t>
            </w:r>
          </w:p>
        </w:tc>
        <w:tc>
          <w:tcPr>
            <w:tcW w:w="942" w:type="dxa"/>
            <w:tcBorders>
              <w:top w:val="nil"/>
              <w:left w:val="nil"/>
              <w:bottom w:val="nil"/>
              <w:right w:val="single" w:sz="4" w:space="0" w:color="000000"/>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TAXI</w:t>
            </w:r>
          </w:p>
        </w:tc>
        <w:tc>
          <w:tcPr>
            <w:tcW w:w="935"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center"/>
              <w:rPr>
                <w:rFonts w:cs="Arial"/>
                <w:b/>
                <w:bCs/>
                <w:sz w:val="20"/>
              </w:rPr>
            </w:pPr>
            <w:r w:rsidRPr="008A0021">
              <w:rPr>
                <w:rFonts w:cs="Arial"/>
                <w:b/>
                <w:bCs/>
                <w:sz w:val="20"/>
              </w:rPr>
              <w:t>TRUCKS</w:t>
            </w:r>
          </w:p>
        </w:tc>
      </w:tr>
      <w:tr w:rsidR="00F4584D" w:rsidRPr="008A0021" w:rsidTr="00F4584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HPM</w:t>
            </w:r>
          </w:p>
        </w:tc>
        <w:tc>
          <w:tcPr>
            <w:tcW w:w="1151"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1,781,918</w:t>
            </w:r>
          </w:p>
        </w:tc>
        <w:tc>
          <w:tcPr>
            <w:tcW w:w="942"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257,353</w:t>
            </w:r>
          </w:p>
        </w:tc>
        <w:tc>
          <w:tcPr>
            <w:tcW w:w="1150"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1,352,021</w:t>
            </w:r>
          </w:p>
        </w:tc>
        <w:tc>
          <w:tcPr>
            <w:tcW w:w="942" w:type="dxa"/>
            <w:tcBorders>
              <w:top w:val="single" w:sz="4" w:space="0" w:color="auto"/>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153,917</w:t>
            </w:r>
          </w:p>
        </w:tc>
        <w:tc>
          <w:tcPr>
            <w:tcW w:w="935" w:type="dxa"/>
            <w:tcBorders>
              <w:top w:val="single" w:sz="4" w:space="0" w:color="auto"/>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18,626</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HPT</w:t>
            </w:r>
          </w:p>
        </w:tc>
        <w:tc>
          <w:tcPr>
            <w:tcW w:w="1151"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1,218,011</w:t>
            </w:r>
          </w:p>
        </w:tc>
        <w:tc>
          <w:tcPr>
            <w:tcW w:w="942"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146,552</w:t>
            </w:r>
          </w:p>
        </w:tc>
        <w:tc>
          <w:tcPr>
            <w:tcW w:w="1150"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920,138</w:t>
            </w:r>
          </w:p>
        </w:tc>
        <w:tc>
          <w:tcPr>
            <w:tcW w:w="942" w:type="dxa"/>
            <w:tcBorders>
              <w:top w:val="nil"/>
              <w:left w:val="nil"/>
              <w:bottom w:val="nil"/>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137,071</w:t>
            </w:r>
          </w:p>
        </w:tc>
        <w:tc>
          <w:tcPr>
            <w:tcW w:w="935" w:type="dxa"/>
            <w:tcBorders>
              <w:top w:val="nil"/>
              <w:left w:val="nil"/>
              <w:bottom w:val="nil"/>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14,250</w:t>
            </w:r>
          </w:p>
        </w:tc>
      </w:tr>
      <w:tr w:rsidR="00F4584D" w:rsidRPr="008A0021" w:rsidTr="00F4584D">
        <w:trPr>
          <w:trHeight w:val="300"/>
          <w:jc w:val="center"/>
        </w:trPr>
        <w:tc>
          <w:tcPr>
            <w:tcW w:w="960" w:type="dxa"/>
            <w:tcBorders>
              <w:top w:val="nil"/>
              <w:left w:val="single" w:sz="4" w:space="0" w:color="auto"/>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left"/>
              <w:rPr>
                <w:rFonts w:cs="Arial"/>
                <w:b/>
                <w:bCs/>
                <w:sz w:val="20"/>
              </w:rPr>
            </w:pPr>
            <w:r w:rsidRPr="008A0021">
              <w:rPr>
                <w:rFonts w:cs="Arial"/>
                <w:b/>
                <w:bCs/>
                <w:sz w:val="20"/>
              </w:rPr>
              <w:t>HV</w:t>
            </w:r>
          </w:p>
        </w:tc>
        <w:tc>
          <w:tcPr>
            <w:tcW w:w="1151" w:type="dxa"/>
            <w:tcBorders>
              <w:top w:val="nil"/>
              <w:left w:val="nil"/>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866,269</w:t>
            </w:r>
          </w:p>
        </w:tc>
        <w:tc>
          <w:tcPr>
            <w:tcW w:w="942"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109,502</w:t>
            </w:r>
          </w:p>
        </w:tc>
        <w:tc>
          <w:tcPr>
            <w:tcW w:w="1150"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625,066</w:t>
            </w:r>
          </w:p>
        </w:tc>
        <w:tc>
          <w:tcPr>
            <w:tcW w:w="942" w:type="dxa"/>
            <w:tcBorders>
              <w:top w:val="nil"/>
              <w:left w:val="nil"/>
              <w:bottom w:val="single" w:sz="4" w:space="0" w:color="auto"/>
              <w:right w:val="nil"/>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118,157</w:t>
            </w:r>
          </w:p>
        </w:tc>
        <w:tc>
          <w:tcPr>
            <w:tcW w:w="935" w:type="dxa"/>
            <w:tcBorders>
              <w:top w:val="nil"/>
              <w:left w:val="nil"/>
              <w:bottom w:val="single" w:sz="4" w:space="0" w:color="auto"/>
              <w:right w:val="single" w:sz="4" w:space="0" w:color="auto"/>
            </w:tcBorders>
            <w:shd w:val="clear" w:color="171717" w:fill="FFFFFF"/>
            <w:noWrap/>
            <w:vAlign w:val="bottom"/>
            <w:hideMark/>
          </w:tcPr>
          <w:p w:rsidR="00F4584D" w:rsidRPr="008A0021" w:rsidRDefault="00F4584D" w:rsidP="00F4584D">
            <w:pPr>
              <w:spacing w:after="0" w:line="240" w:lineRule="auto"/>
              <w:jc w:val="right"/>
              <w:rPr>
                <w:rFonts w:cs="Arial"/>
                <w:sz w:val="18"/>
              </w:rPr>
            </w:pPr>
            <w:r w:rsidRPr="008A0021">
              <w:rPr>
                <w:rFonts w:cs="Arial"/>
                <w:sz w:val="18"/>
              </w:rPr>
              <w:t>13,543</w:t>
            </w:r>
          </w:p>
        </w:tc>
      </w:tr>
    </w:tbl>
    <w:p w:rsidR="00F4584D" w:rsidRDefault="00F4584D" w:rsidP="00407545"/>
    <w:p w:rsidR="008A0021" w:rsidRPr="007226D7" w:rsidRDefault="008A0021" w:rsidP="00407545"/>
    <w:p w:rsidR="001C3C68" w:rsidRPr="007226D7" w:rsidRDefault="0053202C" w:rsidP="00407545">
      <w:pPr>
        <w:rPr>
          <w:noProof/>
          <w:lang w:val="es-ES"/>
        </w:rPr>
      </w:pPr>
      <w:r w:rsidRPr="007226D7">
        <w:rPr>
          <w:lang w:val="es-ES"/>
        </w:rPr>
        <w:t xml:space="preserve">Las matrices tendenciales son </w:t>
      </w:r>
      <w:r w:rsidR="00407545" w:rsidRPr="007226D7">
        <w:rPr>
          <w:lang w:val="es-ES"/>
        </w:rPr>
        <w:t xml:space="preserve">asignadas a las redes de transporte público y privado </w:t>
      </w:r>
      <w:r w:rsidRPr="007226D7">
        <w:rPr>
          <w:lang w:val="es-ES"/>
        </w:rPr>
        <w:t xml:space="preserve">de los años horizonte a evaluar </w:t>
      </w:r>
      <w:r w:rsidR="00407545" w:rsidRPr="007226D7">
        <w:rPr>
          <w:lang w:val="es-ES"/>
        </w:rPr>
        <w:t xml:space="preserve">obteniendo los tiempos de viajes y costes, elementos de entrada para el modelo del reparto modal y construcción de las </w:t>
      </w:r>
      <w:r w:rsidR="00407545" w:rsidRPr="007226D7">
        <w:rPr>
          <w:b/>
          <w:lang w:val="es-ES"/>
        </w:rPr>
        <w:t>matrices finales</w:t>
      </w:r>
      <w:r w:rsidR="00407545" w:rsidRPr="007226D7">
        <w:rPr>
          <w:lang w:val="es-ES"/>
        </w:rPr>
        <w:t>.</w:t>
      </w:r>
    </w:p>
    <w:p w:rsidR="00ED1F70" w:rsidRPr="007226D7" w:rsidRDefault="00365FB5" w:rsidP="00ED1F70">
      <w:pPr>
        <w:rPr>
          <w:color w:val="000000" w:themeColor="text1"/>
          <w:lang w:val="es-ES"/>
        </w:rPr>
      </w:pPr>
      <w:r w:rsidRPr="007226D7">
        <w:rPr>
          <w:color w:val="000000" w:themeColor="text1"/>
          <w:lang w:val="es-ES"/>
        </w:rPr>
        <w:t xml:space="preserve">En el caso particular de este estudio y con </w:t>
      </w:r>
      <w:r w:rsidR="00300951" w:rsidRPr="007226D7">
        <w:rPr>
          <w:color w:val="000000" w:themeColor="text1"/>
          <w:lang w:val="es-ES"/>
        </w:rPr>
        <w:t>referencia</w:t>
      </w:r>
      <w:r w:rsidRPr="007226D7">
        <w:rPr>
          <w:color w:val="000000" w:themeColor="text1"/>
          <w:lang w:val="es-ES"/>
        </w:rPr>
        <w:t xml:space="preserve"> al esquema de los escenarios descritos </w:t>
      </w:r>
      <w:r w:rsidR="00300951" w:rsidRPr="007226D7">
        <w:rPr>
          <w:color w:val="000000" w:themeColor="text1"/>
          <w:lang w:val="es-ES"/>
        </w:rPr>
        <w:t>antes,</w:t>
      </w:r>
      <w:r w:rsidR="00714723" w:rsidRPr="007226D7">
        <w:rPr>
          <w:color w:val="000000" w:themeColor="text1"/>
          <w:lang w:val="es-ES"/>
        </w:rPr>
        <w:t xml:space="preserve"> </w:t>
      </w:r>
      <w:r w:rsidR="0053202C" w:rsidRPr="007226D7">
        <w:rPr>
          <w:lang w:val="es-ES"/>
        </w:rPr>
        <w:t>t</w:t>
      </w:r>
      <w:r w:rsidR="00ED1F70" w:rsidRPr="007226D7">
        <w:rPr>
          <w:lang w:val="es-ES"/>
        </w:rPr>
        <w:t>ras la asignación de las matrices tendenciales a las redes de los escenarios de “NO INTERVENCIÓN”, “OPTIMIZADO” y “DE PROYECTO” se establecen, según el procedimiento descrito en los apartados anteriores, las matrices finales que, asignadas a las respectivas redes conducen a los resultados recogidos en el apartado siguiente.</w:t>
      </w:r>
    </w:p>
    <w:bookmarkEnd w:id="119"/>
    <w:bookmarkEnd w:id="120"/>
    <w:p w:rsidR="00ED1F70" w:rsidRPr="007226D7" w:rsidRDefault="00ED1F70" w:rsidP="00ED1F70">
      <w:pPr>
        <w:rPr>
          <w:lang w:val="es-ES"/>
        </w:rPr>
      </w:pPr>
    </w:p>
    <w:p w:rsidR="00BE5B0F" w:rsidRPr="007226D7" w:rsidRDefault="00FC103B" w:rsidP="00BE5B0F">
      <w:pPr>
        <w:pStyle w:val="Figuras"/>
      </w:pPr>
      <w:bookmarkStart w:id="130" w:name="_Toc334964424"/>
      <w:bookmarkStart w:id="131" w:name="_Toc341645013"/>
      <w:r w:rsidRPr="007226D7">
        <w:rPr>
          <w:noProof/>
        </w:rPr>
        <w:lastRenderedPageBreak/>
        <w:t>Tabla 4.5 – 17</w:t>
      </w:r>
      <w:r w:rsidRPr="007226D7">
        <w:t xml:space="preserve">: </w:t>
      </w:r>
      <w:r w:rsidR="00BE5B0F" w:rsidRPr="007226D7">
        <w:t>Matrices Finales – Escenarios “DO NOTHING”</w:t>
      </w:r>
    </w:p>
    <w:tbl>
      <w:tblPr>
        <w:tblW w:w="5477" w:type="dxa"/>
        <w:jc w:val="center"/>
        <w:tblInd w:w="55" w:type="dxa"/>
        <w:tblCellMar>
          <w:left w:w="70" w:type="dxa"/>
          <w:right w:w="70" w:type="dxa"/>
        </w:tblCellMar>
        <w:tblLook w:val="04A0" w:firstRow="1" w:lastRow="0" w:firstColumn="1" w:lastColumn="0" w:noHBand="0" w:noVBand="1"/>
      </w:tblPr>
      <w:tblGrid>
        <w:gridCol w:w="940"/>
        <w:gridCol w:w="1074"/>
        <w:gridCol w:w="996"/>
        <w:gridCol w:w="996"/>
        <w:gridCol w:w="815"/>
        <w:gridCol w:w="974"/>
      </w:tblGrid>
      <w:tr w:rsidR="00BE5B0F" w:rsidRPr="008A0021" w:rsidTr="00BE5B0F">
        <w:trPr>
          <w:trHeight w:val="300"/>
          <w:jc w:val="center"/>
        </w:trPr>
        <w:tc>
          <w:tcPr>
            <w:tcW w:w="940" w:type="dxa"/>
            <w:tcBorders>
              <w:top w:val="nil"/>
              <w:left w:val="nil"/>
              <w:bottom w:val="nil"/>
              <w:right w:val="nil"/>
            </w:tcBorders>
            <w:shd w:val="clear" w:color="171717" w:fill="FFFFFF"/>
            <w:noWrap/>
            <w:vAlign w:val="bottom"/>
            <w:hideMark/>
          </w:tcPr>
          <w:p w:rsidR="00BE5B0F" w:rsidRPr="008A0021" w:rsidRDefault="00BE5B0F" w:rsidP="00CB2190">
            <w:pPr>
              <w:spacing w:after="0" w:line="240" w:lineRule="auto"/>
              <w:jc w:val="left"/>
              <w:rPr>
                <w:rFonts w:cs="Arial"/>
                <w:color w:val="171717"/>
                <w:sz w:val="20"/>
                <w:lang w:val="es-ES"/>
              </w:rPr>
            </w:pPr>
            <w:r w:rsidRPr="008A0021">
              <w:rPr>
                <w:rFonts w:cs="Arial"/>
                <w:color w:val="171717"/>
                <w:sz w:val="20"/>
                <w:lang w:val="es-ES"/>
              </w:rPr>
              <w:t> </w:t>
            </w:r>
          </w:p>
        </w:tc>
        <w:tc>
          <w:tcPr>
            <w:tcW w:w="4537"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171717"/>
                <w:sz w:val="20"/>
              </w:rPr>
            </w:pPr>
            <w:r w:rsidRPr="008A0021">
              <w:rPr>
                <w:rFonts w:cs="Arial"/>
                <w:b/>
                <w:bCs/>
                <w:color w:val="171717"/>
                <w:sz w:val="20"/>
              </w:rPr>
              <w:t>2018</w:t>
            </w:r>
          </w:p>
        </w:tc>
      </w:tr>
      <w:tr w:rsidR="00BE5B0F" w:rsidRPr="008A0021" w:rsidTr="00BE5B0F">
        <w:trPr>
          <w:trHeight w:val="300"/>
          <w:jc w:val="center"/>
        </w:trPr>
        <w:tc>
          <w:tcPr>
            <w:tcW w:w="940" w:type="dxa"/>
            <w:tcBorders>
              <w:top w:val="nil"/>
              <w:left w:val="nil"/>
              <w:bottom w:val="nil"/>
              <w:right w:val="nil"/>
            </w:tcBorders>
            <w:shd w:val="clear" w:color="171717" w:fill="FFFFFF"/>
            <w:noWrap/>
            <w:vAlign w:val="bottom"/>
            <w:hideMark/>
          </w:tcPr>
          <w:p w:rsidR="00BE5B0F" w:rsidRPr="008A0021" w:rsidRDefault="00BE5B0F" w:rsidP="00CB2190">
            <w:pPr>
              <w:spacing w:after="0" w:line="240" w:lineRule="auto"/>
              <w:jc w:val="left"/>
              <w:rPr>
                <w:rFonts w:cs="Arial"/>
                <w:color w:val="171717"/>
                <w:sz w:val="20"/>
              </w:rPr>
            </w:pPr>
            <w:r w:rsidRPr="008A0021">
              <w:rPr>
                <w:rFonts w:cs="Arial"/>
                <w:color w:val="171717"/>
                <w:sz w:val="20"/>
              </w:rPr>
              <w:t> </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TOTALES</w:t>
            </w:r>
          </w:p>
        </w:tc>
        <w:tc>
          <w:tcPr>
            <w:tcW w:w="872"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COCHES</w:t>
            </w:r>
          </w:p>
        </w:tc>
        <w:tc>
          <w:tcPr>
            <w:tcW w:w="996"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PUB</w:t>
            </w:r>
          </w:p>
        </w:tc>
        <w:tc>
          <w:tcPr>
            <w:tcW w:w="815"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TAXI</w:t>
            </w:r>
          </w:p>
        </w:tc>
        <w:tc>
          <w:tcPr>
            <w:tcW w:w="858"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TRUCKS</w:t>
            </w:r>
          </w:p>
        </w:tc>
      </w:tr>
      <w:tr w:rsidR="00BE5B0F" w:rsidRPr="008A0021" w:rsidTr="00BE5B0F">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HPM</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szCs w:val="18"/>
              </w:rPr>
            </w:pPr>
            <w:r w:rsidRPr="008A0021">
              <w:rPr>
                <w:rFonts w:cs="Arial"/>
                <w:b/>
                <w:color w:val="171717"/>
                <w:sz w:val="18"/>
                <w:szCs w:val="18"/>
              </w:rPr>
              <w:t>1,433,264</w:t>
            </w:r>
          </w:p>
        </w:tc>
        <w:tc>
          <w:tcPr>
            <w:tcW w:w="872"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214,267</w:t>
            </w:r>
          </w:p>
        </w:tc>
        <w:tc>
          <w:tcPr>
            <w:tcW w:w="996"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1,090,300</w:t>
            </w:r>
          </w:p>
        </w:tc>
        <w:tc>
          <w:tcPr>
            <w:tcW w:w="815"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113,724</w:t>
            </w:r>
          </w:p>
        </w:tc>
        <w:tc>
          <w:tcPr>
            <w:tcW w:w="858" w:type="dxa"/>
            <w:tcBorders>
              <w:top w:val="single" w:sz="4" w:space="0" w:color="auto"/>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14,974</w:t>
            </w:r>
          </w:p>
        </w:tc>
      </w:tr>
      <w:tr w:rsidR="00BE5B0F" w:rsidRPr="008A0021" w:rsidTr="00BE5B0F">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HPT</w:t>
            </w:r>
          </w:p>
        </w:tc>
        <w:tc>
          <w:tcPr>
            <w:tcW w:w="996" w:type="dxa"/>
            <w:tcBorders>
              <w:top w:val="nil"/>
              <w:left w:val="single" w:sz="4" w:space="0" w:color="auto"/>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szCs w:val="18"/>
              </w:rPr>
            </w:pPr>
            <w:r w:rsidRPr="008A0021">
              <w:rPr>
                <w:rFonts w:cs="Arial"/>
                <w:b/>
                <w:color w:val="171717"/>
                <w:sz w:val="18"/>
                <w:szCs w:val="18"/>
              </w:rPr>
              <w:t>980,894</w:t>
            </w:r>
          </w:p>
        </w:tc>
        <w:tc>
          <w:tcPr>
            <w:tcW w:w="872"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120,518</w:t>
            </w:r>
          </w:p>
        </w:tc>
        <w:tc>
          <w:tcPr>
            <w:tcW w:w="996"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740,989</w:t>
            </w:r>
          </w:p>
        </w:tc>
        <w:tc>
          <w:tcPr>
            <w:tcW w:w="815"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107,923</w:t>
            </w:r>
          </w:p>
        </w:tc>
        <w:tc>
          <w:tcPr>
            <w:tcW w:w="858"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11,463</w:t>
            </w:r>
          </w:p>
        </w:tc>
      </w:tr>
      <w:tr w:rsidR="00BE5B0F" w:rsidRPr="008A0021" w:rsidTr="00BE5B0F">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HV</w:t>
            </w:r>
          </w:p>
        </w:tc>
        <w:tc>
          <w:tcPr>
            <w:tcW w:w="996"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szCs w:val="18"/>
              </w:rPr>
            </w:pPr>
            <w:r w:rsidRPr="008A0021">
              <w:rPr>
                <w:rFonts w:cs="Arial"/>
                <w:b/>
                <w:color w:val="171717"/>
                <w:sz w:val="18"/>
                <w:szCs w:val="18"/>
              </w:rPr>
              <w:t>723,438</w:t>
            </w:r>
          </w:p>
        </w:tc>
        <w:tc>
          <w:tcPr>
            <w:tcW w:w="872"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97,695</w:t>
            </w:r>
          </w:p>
        </w:tc>
        <w:tc>
          <w:tcPr>
            <w:tcW w:w="996"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535,017</w:t>
            </w:r>
          </w:p>
        </w:tc>
        <w:tc>
          <w:tcPr>
            <w:tcW w:w="815"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79,416</w:t>
            </w:r>
          </w:p>
        </w:tc>
        <w:tc>
          <w:tcPr>
            <w:tcW w:w="858" w:type="dxa"/>
            <w:tcBorders>
              <w:top w:val="nil"/>
              <w:left w:val="nil"/>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szCs w:val="18"/>
              </w:rPr>
            </w:pPr>
            <w:r w:rsidRPr="008A0021">
              <w:rPr>
                <w:rFonts w:cs="Arial"/>
                <w:color w:val="171717"/>
                <w:sz w:val="18"/>
                <w:szCs w:val="18"/>
              </w:rPr>
              <w:t>11,310</w:t>
            </w:r>
          </w:p>
        </w:tc>
      </w:tr>
    </w:tbl>
    <w:p w:rsidR="00BE5B0F" w:rsidRPr="008A0021" w:rsidRDefault="00BE5B0F" w:rsidP="00BE5B0F">
      <w:pPr>
        <w:spacing w:after="0" w:line="240" w:lineRule="auto"/>
        <w:jc w:val="left"/>
        <w:rPr>
          <w:rFonts w:cs="Arial"/>
          <w:sz w:val="20"/>
          <w:lang w:val="es-ES"/>
        </w:rPr>
      </w:pPr>
    </w:p>
    <w:tbl>
      <w:tblPr>
        <w:tblW w:w="5866" w:type="dxa"/>
        <w:jc w:val="center"/>
        <w:tblInd w:w="1400" w:type="dxa"/>
        <w:tblCellMar>
          <w:left w:w="70" w:type="dxa"/>
          <w:right w:w="70" w:type="dxa"/>
        </w:tblCellMar>
        <w:tblLook w:val="04A0" w:firstRow="1" w:lastRow="0" w:firstColumn="1" w:lastColumn="0" w:noHBand="0" w:noVBand="1"/>
      </w:tblPr>
      <w:tblGrid>
        <w:gridCol w:w="950"/>
        <w:gridCol w:w="1074"/>
        <w:gridCol w:w="996"/>
        <w:gridCol w:w="1033"/>
        <w:gridCol w:w="864"/>
        <w:gridCol w:w="974"/>
      </w:tblGrid>
      <w:tr w:rsidR="00BE5B0F" w:rsidRPr="008A0021" w:rsidTr="008A0021">
        <w:trPr>
          <w:trHeight w:val="300"/>
          <w:jc w:val="center"/>
        </w:trPr>
        <w:tc>
          <w:tcPr>
            <w:tcW w:w="950"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color w:val="171717"/>
                <w:sz w:val="20"/>
              </w:rPr>
            </w:pPr>
            <w:r w:rsidRPr="008A0021">
              <w:rPr>
                <w:rFonts w:cs="Arial"/>
                <w:color w:val="171717"/>
                <w:sz w:val="20"/>
              </w:rPr>
              <w:t> </w:t>
            </w:r>
          </w:p>
        </w:tc>
        <w:tc>
          <w:tcPr>
            <w:tcW w:w="4916"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BE5B0F" w:rsidRPr="008A0021" w:rsidRDefault="00710015" w:rsidP="00CB2190">
            <w:pPr>
              <w:spacing w:after="0" w:line="240" w:lineRule="auto"/>
              <w:jc w:val="center"/>
              <w:rPr>
                <w:rFonts w:cs="Arial"/>
                <w:b/>
                <w:bCs/>
                <w:color w:val="171717"/>
                <w:sz w:val="20"/>
              </w:rPr>
            </w:pPr>
            <w:r w:rsidRPr="008A0021">
              <w:rPr>
                <w:rFonts w:cs="Arial"/>
                <w:b/>
                <w:bCs/>
                <w:color w:val="171717"/>
                <w:sz w:val="20"/>
              </w:rPr>
              <w:t>202</w:t>
            </w:r>
            <w:r w:rsidR="00BE5B0F" w:rsidRPr="008A0021">
              <w:rPr>
                <w:rFonts w:cs="Arial"/>
                <w:b/>
                <w:bCs/>
                <w:color w:val="171717"/>
                <w:sz w:val="20"/>
              </w:rPr>
              <w:t>0</w:t>
            </w:r>
          </w:p>
        </w:tc>
      </w:tr>
      <w:tr w:rsidR="00BE5B0F" w:rsidRPr="008A0021" w:rsidTr="008A0021">
        <w:trPr>
          <w:trHeight w:val="300"/>
          <w:jc w:val="center"/>
        </w:trPr>
        <w:tc>
          <w:tcPr>
            <w:tcW w:w="950"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color w:val="171717"/>
                <w:sz w:val="20"/>
              </w:rPr>
            </w:pPr>
            <w:r w:rsidRPr="008A0021">
              <w:rPr>
                <w:rFonts w:cs="Arial"/>
                <w:color w:val="171717"/>
                <w:sz w:val="20"/>
              </w:rPr>
              <w:t> </w:t>
            </w:r>
          </w:p>
        </w:tc>
        <w:tc>
          <w:tcPr>
            <w:tcW w:w="1049" w:type="dxa"/>
            <w:tcBorders>
              <w:top w:val="single" w:sz="4" w:space="0" w:color="auto"/>
              <w:left w:val="single" w:sz="4" w:space="0" w:color="auto"/>
              <w:bottom w:val="nil"/>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TOTALES</w:t>
            </w:r>
          </w:p>
        </w:tc>
        <w:tc>
          <w:tcPr>
            <w:tcW w:w="996"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COCHES</w:t>
            </w:r>
          </w:p>
        </w:tc>
        <w:tc>
          <w:tcPr>
            <w:tcW w:w="1033"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PUB</w:t>
            </w:r>
          </w:p>
        </w:tc>
        <w:tc>
          <w:tcPr>
            <w:tcW w:w="864"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TAXI</w:t>
            </w:r>
          </w:p>
        </w:tc>
        <w:tc>
          <w:tcPr>
            <w:tcW w:w="974"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TRUCKS</w:t>
            </w:r>
          </w:p>
        </w:tc>
      </w:tr>
      <w:tr w:rsidR="00BE5B0F" w:rsidRPr="008A0021" w:rsidTr="008A0021">
        <w:trPr>
          <w:trHeight w:val="300"/>
          <w:jc w:val="center"/>
        </w:trPr>
        <w:tc>
          <w:tcPr>
            <w:tcW w:w="95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HPM</w:t>
            </w:r>
          </w:p>
        </w:tc>
        <w:tc>
          <w:tcPr>
            <w:tcW w:w="1049" w:type="dxa"/>
            <w:tcBorders>
              <w:top w:val="single" w:sz="4" w:space="0" w:color="auto"/>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1,471,059</w:t>
            </w:r>
          </w:p>
        </w:tc>
        <w:tc>
          <w:tcPr>
            <w:tcW w:w="996"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223,102</w:t>
            </w:r>
          </w:p>
        </w:tc>
        <w:tc>
          <w:tcPr>
            <w:tcW w:w="1033"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1,117,842</w:t>
            </w:r>
          </w:p>
        </w:tc>
        <w:tc>
          <w:tcPr>
            <w:tcW w:w="864"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114,746</w:t>
            </w:r>
          </w:p>
        </w:tc>
        <w:tc>
          <w:tcPr>
            <w:tcW w:w="974" w:type="dxa"/>
            <w:tcBorders>
              <w:top w:val="single" w:sz="4" w:space="0" w:color="auto"/>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15,369</w:t>
            </w:r>
          </w:p>
        </w:tc>
      </w:tr>
      <w:tr w:rsidR="00BE5B0F" w:rsidRPr="008A0021" w:rsidTr="008A0021">
        <w:trPr>
          <w:trHeight w:val="300"/>
          <w:jc w:val="center"/>
        </w:trPr>
        <w:tc>
          <w:tcPr>
            <w:tcW w:w="950"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HPT</w:t>
            </w:r>
          </w:p>
        </w:tc>
        <w:tc>
          <w:tcPr>
            <w:tcW w:w="1049"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1,008,854</w:t>
            </w:r>
          </w:p>
        </w:tc>
        <w:tc>
          <w:tcPr>
            <w:tcW w:w="996"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125,936</w:t>
            </w:r>
          </w:p>
        </w:tc>
        <w:tc>
          <w:tcPr>
            <w:tcW w:w="1033"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762,828</w:t>
            </w:r>
          </w:p>
        </w:tc>
        <w:tc>
          <w:tcPr>
            <w:tcW w:w="864"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108,301</w:t>
            </w:r>
          </w:p>
        </w:tc>
        <w:tc>
          <w:tcPr>
            <w:tcW w:w="974"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11,790</w:t>
            </w:r>
          </w:p>
        </w:tc>
      </w:tr>
      <w:tr w:rsidR="00BE5B0F" w:rsidRPr="008A0021" w:rsidTr="008A0021">
        <w:trPr>
          <w:trHeight w:val="300"/>
          <w:jc w:val="center"/>
        </w:trPr>
        <w:tc>
          <w:tcPr>
            <w:tcW w:w="950"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HV</w:t>
            </w:r>
          </w:p>
        </w:tc>
        <w:tc>
          <w:tcPr>
            <w:tcW w:w="1049" w:type="dxa"/>
            <w:tcBorders>
              <w:top w:val="nil"/>
              <w:left w:val="nil"/>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746,190</w:t>
            </w:r>
          </w:p>
        </w:tc>
        <w:tc>
          <w:tcPr>
            <w:tcW w:w="996"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103,516</w:t>
            </w:r>
          </w:p>
        </w:tc>
        <w:tc>
          <w:tcPr>
            <w:tcW w:w="1033"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552,998</w:t>
            </w:r>
          </w:p>
        </w:tc>
        <w:tc>
          <w:tcPr>
            <w:tcW w:w="864"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78,010</w:t>
            </w:r>
          </w:p>
        </w:tc>
        <w:tc>
          <w:tcPr>
            <w:tcW w:w="974" w:type="dxa"/>
            <w:tcBorders>
              <w:top w:val="nil"/>
              <w:left w:val="nil"/>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11,665</w:t>
            </w:r>
          </w:p>
        </w:tc>
      </w:tr>
    </w:tbl>
    <w:p w:rsidR="00BE5B0F" w:rsidRPr="008A0021" w:rsidRDefault="00BE5B0F" w:rsidP="00BE5B0F">
      <w:pPr>
        <w:spacing w:after="0" w:line="240" w:lineRule="auto"/>
        <w:jc w:val="left"/>
        <w:rPr>
          <w:rFonts w:cs="Arial"/>
          <w:sz w:val="20"/>
          <w:lang w:val="es-ES"/>
        </w:rPr>
      </w:pPr>
    </w:p>
    <w:tbl>
      <w:tblPr>
        <w:tblW w:w="5697" w:type="dxa"/>
        <w:jc w:val="center"/>
        <w:tblInd w:w="276" w:type="dxa"/>
        <w:tblCellMar>
          <w:left w:w="70" w:type="dxa"/>
          <w:right w:w="70" w:type="dxa"/>
        </w:tblCellMar>
        <w:tblLook w:val="04A0" w:firstRow="1" w:lastRow="0" w:firstColumn="1" w:lastColumn="0" w:noHBand="0" w:noVBand="1"/>
      </w:tblPr>
      <w:tblGrid>
        <w:gridCol w:w="898"/>
        <w:gridCol w:w="1145"/>
        <w:gridCol w:w="864"/>
        <w:gridCol w:w="1031"/>
        <w:gridCol w:w="864"/>
        <w:gridCol w:w="974"/>
      </w:tblGrid>
      <w:tr w:rsidR="00BE5B0F" w:rsidRPr="008A0021" w:rsidTr="00BE5B0F">
        <w:trPr>
          <w:trHeight w:val="300"/>
          <w:jc w:val="center"/>
        </w:trPr>
        <w:tc>
          <w:tcPr>
            <w:tcW w:w="898"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color w:val="171717"/>
                <w:sz w:val="20"/>
              </w:rPr>
            </w:pPr>
            <w:r w:rsidRPr="008A0021">
              <w:rPr>
                <w:rFonts w:cs="Arial"/>
                <w:color w:val="171717"/>
                <w:sz w:val="20"/>
              </w:rPr>
              <w:t> </w:t>
            </w:r>
          </w:p>
        </w:tc>
        <w:tc>
          <w:tcPr>
            <w:tcW w:w="4799" w:type="dxa"/>
            <w:gridSpan w:val="5"/>
            <w:tcBorders>
              <w:top w:val="single" w:sz="4" w:space="0" w:color="auto"/>
              <w:left w:val="single" w:sz="4" w:space="0" w:color="auto"/>
              <w:bottom w:val="single" w:sz="4" w:space="0" w:color="auto"/>
              <w:right w:val="single" w:sz="4" w:space="0" w:color="000000"/>
            </w:tcBorders>
            <w:shd w:val="clear" w:color="171717" w:fill="FFFFFF"/>
            <w:noWrap/>
            <w:vAlign w:val="bottom"/>
            <w:hideMark/>
          </w:tcPr>
          <w:p w:rsidR="00BE5B0F" w:rsidRPr="008A0021" w:rsidRDefault="00710015" w:rsidP="00CB2190">
            <w:pPr>
              <w:spacing w:after="0" w:line="240" w:lineRule="auto"/>
              <w:jc w:val="center"/>
              <w:rPr>
                <w:rFonts w:cs="Arial"/>
                <w:b/>
                <w:bCs/>
                <w:color w:val="171717"/>
                <w:sz w:val="20"/>
              </w:rPr>
            </w:pPr>
            <w:r w:rsidRPr="008A0021">
              <w:rPr>
                <w:rFonts w:cs="Arial"/>
                <w:b/>
                <w:bCs/>
                <w:color w:val="171717"/>
                <w:sz w:val="20"/>
              </w:rPr>
              <w:t>2030</w:t>
            </w:r>
          </w:p>
        </w:tc>
      </w:tr>
      <w:tr w:rsidR="00BE5B0F" w:rsidRPr="008A0021" w:rsidTr="00BE5B0F">
        <w:trPr>
          <w:trHeight w:val="300"/>
          <w:jc w:val="center"/>
        </w:trPr>
        <w:tc>
          <w:tcPr>
            <w:tcW w:w="898"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color w:val="171717"/>
                <w:sz w:val="20"/>
              </w:rPr>
            </w:pPr>
            <w:r w:rsidRPr="008A0021">
              <w:rPr>
                <w:rFonts w:cs="Arial"/>
                <w:color w:val="171717"/>
                <w:sz w:val="20"/>
              </w:rPr>
              <w:t> </w:t>
            </w:r>
          </w:p>
        </w:tc>
        <w:tc>
          <w:tcPr>
            <w:tcW w:w="1145"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TOTALES</w:t>
            </w:r>
          </w:p>
        </w:tc>
        <w:tc>
          <w:tcPr>
            <w:tcW w:w="864"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COCHE</w:t>
            </w:r>
          </w:p>
        </w:tc>
        <w:tc>
          <w:tcPr>
            <w:tcW w:w="1031"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PUB</w:t>
            </w:r>
          </w:p>
        </w:tc>
        <w:tc>
          <w:tcPr>
            <w:tcW w:w="864" w:type="dxa"/>
            <w:tcBorders>
              <w:top w:val="nil"/>
              <w:left w:val="nil"/>
              <w:bottom w:val="nil"/>
              <w:right w:val="single" w:sz="4" w:space="0" w:color="000000"/>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TAXI</w:t>
            </w:r>
          </w:p>
        </w:tc>
        <w:tc>
          <w:tcPr>
            <w:tcW w:w="895" w:type="dxa"/>
            <w:tcBorders>
              <w:top w:val="nil"/>
              <w:left w:val="nil"/>
              <w:bottom w:val="nil"/>
              <w:right w:val="single" w:sz="4" w:space="0" w:color="auto"/>
            </w:tcBorders>
            <w:shd w:val="clear" w:color="171717" w:fill="FFFFFF"/>
            <w:noWrap/>
            <w:vAlign w:val="bottom"/>
            <w:hideMark/>
          </w:tcPr>
          <w:p w:rsidR="00BE5B0F" w:rsidRPr="008A0021" w:rsidRDefault="00BE5B0F" w:rsidP="00CB2190">
            <w:pPr>
              <w:spacing w:after="0" w:line="240" w:lineRule="auto"/>
              <w:jc w:val="center"/>
              <w:rPr>
                <w:rFonts w:cs="Arial"/>
                <w:b/>
                <w:bCs/>
                <w:color w:val="000000"/>
                <w:sz w:val="20"/>
              </w:rPr>
            </w:pPr>
            <w:r w:rsidRPr="008A0021">
              <w:rPr>
                <w:rFonts w:cs="Arial"/>
                <w:b/>
                <w:bCs/>
                <w:color w:val="000000"/>
                <w:sz w:val="20"/>
              </w:rPr>
              <w:t>TRUCKS</w:t>
            </w:r>
          </w:p>
        </w:tc>
      </w:tr>
      <w:tr w:rsidR="00BE5B0F" w:rsidRPr="008A0021" w:rsidTr="00BE5B0F">
        <w:trPr>
          <w:trHeight w:val="300"/>
          <w:jc w:val="center"/>
        </w:trPr>
        <w:tc>
          <w:tcPr>
            <w:tcW w:w="898"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HPM</w:t>
            </w:r>
          </w:p>
        </w:tc>
        <w:tc>
          <w:tcPr>
            <w:tcW w:w="1145"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1,657,752</w:t>
            </w:r>
          </w:p>
        </w:tc>
        <w:tc>
          <w:tcPr>
            <w:tcW w:w="864"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270,141</w:t>
            </w:r>
          </w:p>
        </w:tc>
        <w:tc>
          <w:tcPr>
            <w:tcW w:w="1031"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1,250,131</w:t>
            </w:r>
          </w:p>
        </w:tc>
        <w:tc>
          <w:tcPr>
            <w:tcW w:w="864" w:type="dxa"/>
            <w:tcBorders>
              <w:top w:val="single" w:sz="4" w:space="0" w:color="auto"/>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120,171</w:t>
            </w:r>
          </w:p>
        </w:tc>
        <w:tc>
          <w:tcPr>
            <w:tcW w:w="895" w:type="dxa"/>
            <w:tcBorders>
              <w:top w:val="single" w:sz="4" w:space="0" w:color="auto"/>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17,309</w:t>
            </w:r>
          </w:p>
        </w:tc>
      </w:tr>
      <w:tr w:rsidR="00BE5B0F" w:rsidRPr="008A0021" w:rsidTr="00BE5B0F">
        <w:trPr>
          <w:trHeight w:val="300"/>
          <w:jc w:val="center"/>
        </w:trPr>
        <w:tc>
          <w:tcPr>
            <w:tcW w:w="898"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HPT</w:t>
            </w:r>
          </w:p>
        </w:tc>
        <w:tc>
          <w:tcPr>
            <w:tcW w:w="1145"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1,139,762</w:t>
            </w:r>
          </w:p>
        </w:tc>
        <w:tc>
          <w:tcPr>
            <w:tcW w:w="864"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152,146</w:t>
            </w:r>
          </w:p>
        </w:tc>
        <w:tc>
          <w:tcPr>
            <w:tcW w:w="1031"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864,208</w:t>
            </w:r>
          </w:p>
        </w:tc>
        <w:tc>
          <w:tcPr>
            <w:tcW w:w="864" w:type="dxa"/>
            <w:tcBorders>
              <w:top w:val="nil"/>
              <w:left w:val="nil"/>
              <w:bottom w:val="nil"/>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110,096</w:t>
            </w:r>
          </w:p>
        </w:tc>
        <w:tc>
          <w:tcPr>
            <w:tcW w:w="895" w:type="dxa"/>
            <w:tcBorders>
              <w:top w:val="nil"/>
              <w:left w:val="nil"/>
              <w:bottom w:val="nil"/>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13,312</w:t>
            </w:r>
          </w:p>
        </w:tc>
      </w:tr>
      <w:tr w:rsidR="00BE5B0F" w:rsidRPr="008A0021" w:rsidTr="00BE5B0F">
        <w:trPr>
          <w:trHeight w:val="300"/>
          <w:jc w:val="center"/>
        </w:trPr>
        <w:tc>
          <w:tcPr>
            <w:tcW w:w="898" w:type="dxa"/>
            <w:tcBorders>
              <w:top w:val="nil"/>
              <w:left w:val="single" w:sz="4" w:space="0" w:color="auto"/>
              <w:bottom w:val="single" w:sz="4" w:space="0" w:color="auto"/>
              <w:right w:val="single" w:sz="4" w:space="0" w:color="auto"/>
            </w:tcBorders>
            <w:shd w:val="clear" w:color="171717" w:fill="FFFFFF"/>
            <w:noWrap/>
            <w:vAlign w:val="bottom"/>
            <w:hideMark/>
          </w:tcPr>
          <w:p w:rsidR="00BE5B0F" w:rsidRPr="008A0021" w:rsidRDefault="00BE5B0F" w:rsidP="00CB2190">
            <w:pPr>
              <w:spacing w:after="0" w:line="240" w:lineRule="auto"/>
              <w:jc w:val="left"/>
              <w:rPr>
                <w:rFonts w:cs="Arial"/>
                <w:b/>
                <w:bCs/>
                <w:color w:val="171717"/>
                <w:sz w:val="20"/>
              </w:rPr>
            </w:pPr>
            <w:r w:rsidRPr="008A0021">
              <w:rPr>
                <w:rFonts w:cs="Arial"/>
                <w:b/>
                <w:bCs/>
                <w:color w:val="171717"/>
                <w:sz w:val="20"/>
              </w:rPr>
              <w:t>HV</w:t>
            </w:r>
          </w:p>
        </w:tc>
        <w:tc>
          <w:tcPr>
            <w:tcW w:w="1145" w:type="dxa"/>
            <w:tcBorders>
              <w:top w:val="nil"/>
              <w:left w:val="nil"/>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b/>
                <w:color w:val="171717"/>
                <w:sz w:val="18"/>
              </w:rPr>
            </w:pPr>
            <w:r w:rsidRPr="008A0021">
              <w:rPr>
                <w:rFonts w:cs="Arial"/>
                <w:b/>
                <w:color w:val="171717"/>
                <w:sz w:val="18"/>
              </w:rPr>
              <w:t>856,484</w:t>
            </w:r>
          </w:p>
        </w:tc>
        <w:tc>
          <w:tcPr>
            <w:tcW w:w="864"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130,402</w:t>
            </w:r>
          </w:p>
        </w:tc>
        <w:tc>
          <w:tcPr>
            <w:tcW w:w="1031"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639,784</w:t>
            </w:r>
          </w:p>
        </w:tc>
        <w:tc>
          <w:tcPr>
            <w:tcW w:w="864" w:type="dxa"/>
            <w:tcBorders>
              <w:top w:val="nil"/>
              <w:left w:val="nil"/>
              <w:bottom w:val="single" w:sz="4" w:space="0" w:color="auto"/>
              <w:right w:val="nil"/>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72,909</w:t>
            </w:r>
          </w:p>
        </w:tc>
        <w:tc>
          <w:tcPr>
            <w:tcW w:w="895" w:type="dxa"/>
            <w:tcBorders>
              <w:top w:val="nil"/>
              <w:left w:val="nil"/>
              <w:bottom w:val="single" w:sz="4" w:space="0" w:color="auto"/>
              <w:right w:val="single" w:sz="4" w:space="0" w:color="auto"/>
            </w:tcBorders>
            <w:shd w:val="clear" w:color="171717" w:fill="FFFFFF"/>
            <w:noWrap/>
            <w:vAlign w:val="bottom"/>
            <w:hideMark/>
          </w:tcPr>
          <w:p w:rsidR="00BE5B0F" w:rsidRPr="008A0021" w:rsidRDefault="00BE5B0F" w:rsidP="00BE5B0F">
            <w:pPr>
              <w:spacing w:after="0" w:line="240" w:lineRule="auto"/>
              <w:jc w:val="right"/>
              <w:rPr>
                <w:rFonts w:cs="Arial"/>
                <w:color w:val="171717"/>
                <w:sz w:val="18"/>
              </w:rPr>
            </w:pPr>
            <w:r w:rsidRPr="008A0021">
              <w:rPr>
                <w:rFonts w:cs="Arial"/>
                <w:color w:val="171717"/>
                <w:sz w:val="18"/>
              </w:rPr>
              <w:t>13,389</w:t>
            </w:r>
          </w:p>
        </w:tc>
      </w:tr>
    </w:tbl>
    <w:p w:rsidR="00BE5B0F" w:rsidRPr="007226D7" w:rsidRDefault="00BE5B0F" w:rsidP="00BE5B0F">
      <w:pPr>
        <w:spacing w:after="0" w:line="240" w:lineRule="auto"/>
        <w:jc w:val="left"/>
        <w:rPr>
          <w:b/>
          <w:lang w:val="es-ES"/>
        </w:rPr>
      </w:pPr>
    </w:p>
    <w:p w:rsidR="00BE5B0F" w:rsidRPr="007226D7" w:rsidRDefault="00BE5B0F" w:rsidP="00BE5B0F">
      <w:pPr>
        <w:spacing w:after="0" w:line="240" w:lineRule="auto"/>
        <w:jc w:val="left"/>
        <w:rPr>
          <w:b/>
          <w:lang w:val="es-ES"/>
        </w:rPr>
      </w:pPr>
    </w:p>
    <w:p w:rsidR="005E1770" w:rsidRPr="007226D7" w:rsidRDefault="00FC103B" w:rsidP="005E1770">
      <w:pPr>
        <w:pStyle w:val="Figuras"/>
      </w:pPr>
      <w:r w:rsidRPr="007226D7">
        <w:rPr>
          <w:noProof/>
        </w:rPr>
        <w:t>Tabla 4.5 – 18</w:t>
      </w:r>
      <w:r w:rsidRPr="007226D7">
        <w:t xml:space="preserve">: </w:t>
      </w:r>
      <w:r w:rsidR="005E1770" w:rsidRPr="007226D7">
        <w:t>Matrices Finales</w:t>
      </w:r>
      <w:r w:rsidR="00BE5B0F" w:rsidRPr="007226D7">
        <w:t xml:space="preserve"> – Escenarios “</w:t>
      </w:r>
      <w:r w:rsidR="000B2336" w:rsidRPr="007226D7">
        <w:t>OPTIMIZADO “y</w:t>
      </w:r>
      <w:r w:rsidR="00BE5B0F" w:rsidRPr="007226D7">
        <w:t xml:space="preserve"> “CON PROYECTO”</w:t>
      </w:r>
    </w:p>
    <w:tbl>
      <w:tblPr>
        <w:tblW w:w="5380" w:type="dxa"/>
        <w:jc w:val="center"/>
        <w:tblInd w:w="55" w:type="dxa"/>
        <w:tblCellMar>
          <w:left w:w="70" w:type="dxa"/>
          <w:right w:w="70" w:type="dxa"/>
        </w:tblCellMar>
        <w:tblLook w:val="04A0" w:firstRow="1" w:lastRow="0" w:firstColumn="1" w:lastColumn="0" w:noHBand="0" w:noVBand="1"/>
      </w:tblPr>
      <w:tblGrid>
        <w:gridCol w:w="940"/>
        <w:gridCol w:w="1074"/>
        <w:gridCol w:w="996"/>
        <w:gridCol w:w="996"/>
        <w:gridCol w:w="815"/>
        <w:gridCol w:w="974"/>
      </w:tblGrid>
      <w:tr w:rsidR="005E1770" w:rsidRPr="008A0021" w:rsidTr="005E1770">
        <w:trPr>
          <w:trHeight w:val="300"/>
          <w:jc w:val="center"/>
        </w:trPr>
        <w:tc>
          <w:tcPr>
            <w:tcW w:w="940" w:type="dxa"/>
            <w:tcBorders>
              <w:top w:val="nil"/>
              <w:left w:val="nil"/>
              <w:bottom w:val="nil"/>
              <w:right w:val="nil"/>
            </w:tcBorders>
            <w:shd w:val="clear" w:color="171717" w:fill="FFFFFF"/>
            <w:noWrap/>
            <w:vAlign w:val="bottom"/>
            <w:hideMark/>
          </w:tcPr>
          <w:p w:rsidR="005E1770" w:rsidRPr="008A0021" w:rsidRDefault="005E1770" w:rsidP="005E1770">
            <w:pPr>
              <w:spacing w:after="0" w:line="240" w:lineRule="auto"/>
              <w:jc w:val="left"/>
              <w:rPr>
                <w:rFonts w:cs="Arial"/>
                <w:color w:val="171717"/>
                <w:sz w:val="20"/>
                <w:lang w:val="es-ES"/>
              </w:rPr>
            </w:pPr>
            <w:r w:rsidRPr="008A0021">
              <w:rPr>
                <w:rFonts w:cs="Arial"/>
                <w:color w:val="171717"/>
                <w:sz w:val="20"/>
                <w:lang w:val="es-ES"/>
              </w:rPr>
              <w:t> </w:t>
            </w:r>
          </w:p>
        </w:tc>
        <w:tc>
          <w:tcPr>
            <w:tcW w:w="4440"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171717"/>
                <w:sz w:val="20"/>
              </w:rPr>
            </w:pPr>
            <w:r w:rsidRPr="008A0021">
              <w:rPr>
                <w:rFonts w:cs="Arial"/>
                <w:b/>
                <w:bCs/>
                <w:color w:val="171717"/>
                <w:sz w:val="20"/>
              </w:rPr>
              <w:t>2018</w:t>
            </w:r>
          </w:p>
        </w:tc>
      </w:tr>
      <w:tr w:rsidR="005E1770" w:rsidRPr="008A0021" w:rsidTr="005E1770">
        <w:trPr>
          <w:trHeight w:val="300"/>
          <w:jc w:val="center"/>
        </w:trPr>
        <w:tc>
          <w:tcPr>
            <w:tcW w:w="940" w:type="dxa"/>
            <w:tcBorders>
              <w:top w:val="nil"/>
              <w:left w:val="nil"/>
              <w:bottom w:val="nil"/>
              <w:right w:val="nil"/>
            </w:tcBorders>
            <w:shd w:val="clear" w:color="171717" w:fill="FFFFFF"/>
            <w:noWrap/>
            <w:vAlign w:val="bottom"/>
            <w:hideMark/>
          </w:tcPr>
          <w:p w:rsidR="005E1770" w:rsidRPr="008A0021" w:rsidRDefault="005E1770" w:rsidP="005E1770">
            <w:pPr>
              <w:spacing w:after="0" w:line="240" w:lineRule="auto"/>
              <w:jc w:val="left"/>
              <w:rPr>
                <w:rFonts w:cs="Arial"/>
                <w:color w:val="171717"/>
                <w:sz w:val="20"/>
              </w:rPr>
            </w:pPr>
            <w:r w:rsidRPr="008A0021">
              <w:rPr>
                <w:rFonts w:cs="Arial"/>
                <w:color w:val="171717"/>
                <w:sz w:val="20"/>
              </w:rPr>
              <w:t> </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TOTALES</w:t>
            </w:r>
          </w:p>
        </w:tc>
        <w:tc>
          <w:tcPr>
            <w:tcW w:w="824"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COCHES</w:t>
            </w:r>
          </w:p>
        </w:tc>
        <w:tc>
          <w:tcPr>
            <w:tcW w:w="996"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PUB</w:t>
            </w:r>
          </w:p>
        </w:tc>
        <w:tc>
          <w:tcPr>
            <w:tcW w:w="815"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TAXI</w:t>
            </w:r>
          </w:p>
        </w:tc>
        <w:tc>
          <w:tcPr>
            <w:tcW w:w="809" w:type="dxa"/>
            <w:tcBorders>
              <w:top w:val="nil"/>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TRUCKS</w:t>
            </w:r>
          </w:p>
        </w:tc>
      </w:tr>
      <w:tr w:rsidR="005E1770" w:rsidRPr="008A0021" w:rsidTr="005E1770">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5E1770" w:rsidRPr="008A0021" w:rsidRDefault="005E1770" w:rsidP="005E1770">
            <w:pPr>
              <w:spacing w:after="0" w:line="240" w:lineRule="auto"/>
              <w:jc w:val="left"/>
              <w:rPr>
                <w:rFonts w:cs="Arial"/>
                <w:b/>
                <w:bCs/>
                <w:color w:val="171717"/>
                <w:sz w:val="18"/>
              </w:rPr>
            </w:pPr>
            <w:r w:rsidRPr="008A0021">
              <w:rPr>
                <w:rFonts w:cs="Arial"/>
                <w:b/>
                <w:bCs/>
                <w:color w:val="171717"/>
                <w:sz w:val="18"/>
              </w:rPr>
              <w:t>HPM</w:t>
            </w:r>
          </w:p>
        </w:tc>
        <w:tc>
          <w:tcPr>
            <w:tcW w:w="996" w:type="dxa"/>
            <w:tcBorders>
              <w:top w:val="single" w:sz="4" w:space="0" w:color="auto"/>
              <w:left w:val="single" w:sz="4" w:space="0" w:color="auto"/>
              <w:bottom w:val="nil"/>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b/>
                <w:color w:val="171717"/>
                <w:sz w:val="18"/>
              </w:rPr>
            </w:pPr>
            <w:r w:rsidRPr="008A0021">
              <w:rPr>
                <w:rFonts w:cs="Arial"/>
                <w:b/>
                <w:color w:val="171717"/>
                <w:sz w:val="18"/>
              </w:rPr>
              <w:t>1,472,048</w:t>
            </w:r>
          </w:p>
        </w:tc>
        <w:tc>
          <w:tcPr>
            <w:tcW w:w="824" w:type="dxa"/>
            <w:tcBorders>
              <w:top w:val="single" w:sz="4" w:space="0" w:color="auto"/>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sz w:val="18"/>
              </w:rPr>
            </w:pPr>
            <w:r w:rsidRPr="008A0021">
              <w:rPr>
                <w:rFonts w:cs="Arial"/>
                <w:sz w:val="18"/>
              </w:rPr>
              <w:t>221,460</w:t>
            </w:r>
          </w:p>
        </w:tc>
        <w:tc>
          <w:tcPr>
            <w:tcW w:w="996" w:type="dxa"/>
            <w:tcBorders>
              <w:top w:val="single" w:sz="4" w:space="0" w:color="auto"/>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1,123,127</w:t>
            </w:r>
          </w:p>
        </w:tc>
        <w:tc>
          <w:tcPr>
            <w:tcW w:w="815" w:type="dxa"/>
            <w:tcBorders>
              <w:top w:val="single" w:sz="4" w:space="0" w:color="auto"/>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112,096</w:t>
            </w:r>
          </w:p>
        </w:tc>
        <w:tc>
          <w:tcPr>
            <w:tcW w:w="809" w:type="dxa"/>
            <w:tcBorders>
              <w:top w:val="single" w:sz="4" w:space="0" w:color="auto"/>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15,366</w:t>
            </w:r>
          </w:p>
        </w:tc>
      </w:tr>
      <w:tr w:rsidR="005E1770" w:rsidRPr="008A0021" w:rsidTr="005E1770">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5E1770" w:rsidRPr="008A0021" w:rsidRDefault="005E1770" w:rsidP="005E1770">
            <w:pPr>
              <w:spacing w:after="0" w:line="240" w:lineRule="auto"/>
              <w:jc w:val="left"/>
              <w:rPr>
                <w:rFonts w:cs="Arial"/>
                <w:b/>
                <w:bCs/>
                <w:color w:val="171717"/>
                <w:sz w:val="18"/>
              </w:rPr>
            </w:pPr>
            <w:r w:rsidRPr="008A0021">
              <w:rPr>
                <w:rFonts w:cs="Arial"/>
                <w:b/>
                <w:bCs/>
                <w:color w:val="171717"/>
                <w:sz w:val="18"/>
              </w:rPr>
              <w:t>HPT</w:t>
            </w:r>
          </w:p>
        </w:tc>
        <w:tc>
          <w:tcPr>
            <w:tcW w:w="996" w:type="dxa"/>
            <w:tcBorders>
              <w:top w:val="nil"/>
              <w:left w:val="single" w:sz="4" w:space="0" w:color="auto"/>
              <w:bottom w:val="nil"/>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b/>
                <w:color w:val="171717"/>
                <w:sz w:val="18"/>
              </w:rPr>
            </w:pPr>
            <w:r w:rsidRPr="008A0021">
              <w:rPr>
                <w:rFonts w:cs="Arial"/>
                <w:b/>
                <w:color w:val="171717"/>
                <w:sz w:val="18"/>
              </w:rPr>
              <w:t>990,346</w:t>
            </w:r>
          </w:p>
        </w:tc>
        <w:tc>
          <w:tcPr>
            <w:tcW w:w="824" w:type="dxa"/>
            <w:tcBorders>
              <w:top w:val="nil"/>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122,422</w:t>
            </w:r>
          </w:p>
        </w:tc>
        <w:tc>
          <w:tcPr>
            <w:tcW w:w="996" w:type="dxa"/>
            <w:tcBorders>
              <w:top w:val="nil"/>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753,214</w:t>
            </w:r>
          </w:p>
        </w:tc>
        <w:tc>
          <w:tcPr>
            <w:tcW w:w="815" w:type="dxa"/>
            <w:tcBorders>
              <w:top w:val="nil"/>
              <w:left w:val="nil"/>
              <w:bottom w:val="nil"/>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103,140</w:t>
            </w:r>
          </w:p>
        </w:tc>
        <w:tc>
          <w:tcPr>
            <w:tcW w:w="809" w:type="dxa"/>
            <w:tcBorders>
              <w:top w:val="nil"/>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11,569</w:t>
            </w:r>
          </w:p>
        </w:tc>
      </w:tr>
      <w:tr w:rsidR="005E1770" w:rsidRPr="008A0021" w:rsidTr="005E1770">
        <w:trPr>
          <w:trHeight w:val="300"/>
          <w:jc w:val="center"/>
        </w:trPr>
        <w:tc>
          <w:tcPr>
            <w:tcW w:w="940" w:type="dxa"/>
            <w:tcBorders>
              <w:top w:val="nil"/>
              <w:left w:val="single" w:sz="4" w:space="0" w:color="auto"/>
              <w:bottom w:val="single" w:sz="4" w:space="0" w:color="auto"/>
              <w:right w:val="single" w:sz="4" w:space="0" w:color="auto"/>
            </w:tcBorders>
            <w:shd w:val="clear" w:color="171717" w:fill="FFFFFF"/>
            <w:noWrap/>
            <w:vAlign w:val="bottom"/>
            <w:hideMark/>
          </w:tcPr>
          <w:p w:rsidR="005E1770" w:rsidRPr="008A0021" w:rsidRDefault="005E1770" w:rsidP="005E1770">
            <w:pPr>
              <w:spacing w:after="0" w:line="240" w:lineRule="auto"/>
              <w:jc w:val="left"/>
              <w:rPr>
                <w:rFonts w:cs="Arial"/>
                <w:b/>
                <w:bCs/>
                <w:color w:val="171717"/>
                <w:sz w:val="18"/>
              </w:rPr>
            </w:pPr>
            <w:r w:rsidRPr="008A0021">
              <w:rPr>
                <w:rFonts w:cs="Arial"/>
                <w:b/>
                <w:bCs/>
                <w:color w:val="171717"/>
                <w:sz w:val="18"/>
              </w:rPr>
              <w:t>HV</w:t>
            </w:r>
          </w:p>
        </w:tc>
        <w:tc>
          <w:tcPr>
            <w:tcW w:w="996" w:type="dxa"/>
            <w:tcBorders>
              <w:top w:val="nil"/>
              <w:left w:val="single" w:sz="4" w:space="0" w:color="auto"/>
              <w:bottom w:val="single" w:sz="4" w:space="0" w:color="auto"/>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b/>
                <w:color w:val="171717"/>
                <w:sz w:val="18"/>
              </w:rPr>
            </w:pPr>
            <w:r w:rsidRPr="008A0021">
              <w:rPr>
                <w:rFonts w:cs="Arial"/>
                <w:b/>
                <w:color w:val="171717"/>
                <w:sz w:val="18"/>
              </w:rPr>
              <w:t>725,603</w:t>
            </w:r>
          </w:p>
        </w:tc>
        <w:tc>
          <w:tcPr>
            <w:tcW w:w="824" w:type="dxa"/>
            <w:tcBorders>
              <w:top w:val="nil"/>
              <w:left w:val="nil"/>
              <w:bottom w:val="single" w:sz="4" w:space="0" w:color="auto"/>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98,914</w:t>
            </w:r>
          </w:p>
        </w:tc>
        <w:tc>
          <w:tcPr>
            <w:tcW w:w="996" w:type="dxa"/>
            <w:tcBorders>
              <w:top w:val="nil"/>
              <w:left w:val="nil"/>
              <w:bottom w:val="single" w:sz="4" w:space="0" w:color="auto"/>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541,880</w:t>
            </w:r>
          </w:p>
        </w:tc>
        <w:tc>
          <w:tcPr>
            <w:tcW w:w="815" w:type="dxa"/>
            <w:tcBorders>
              <w:top w:val="nil"/>
              <w:left w:val="nil"/>
              <w:bottom w:val="single" w:sz="4" w:space="0" w:color="auto"/>
              <w:right w:val="nil"/>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73,474</w:t>
            </w:r>
          </w:p>
        </w:tc>
        <w:tc>
          <w:tcPr>
            <w:tcW w:w="809" w:type="dxa"/>
            <w:tcBorders>
              <w:top w:val="nil"/>
              <w:left w:val="nil"/>
              <w:bottom w:val="single" w:sz="4" w:space="0" w:color="auto"/>
              <w:right w:val="single" w:sz="4" w:space="0" w:color="auto"/>
            </w:tcBorders>
            <w:shd w:val="clear" w:color="171717" w:fill="FFFFFF"/>
            <w:noWrap/>
            <w:vAlign w:val="bottom"/>
            <w:hideMark/>
          </w:tcPr>
          <w:p w:rsidR="005E1770" w:rsidRPr="008A0021" w:rsidRDefault="005E1770" w:rsidP="005E1770">
            <w:pPr>
              <w:spacing w:after="0" w:line="240" w:lineRule="auto"/>
              <w:jc w:val="right"/>
              <w:rPr>
                <w:rFonts w:cs="Arial"/>
                <w:color w:val="171717"/>
                <w:sz w:val="18"/>
              </w:rPr>
            </w:pPr>
            <w:r w:rsidRPr="008A0021">
              <w:rPr>
                <w:rFonts w:cs="Arial"/>
                <w:color w:val="171717"/>
                <w:sz w:val="18"/>
              </w:rPr>
              <w:t>11,336</w:t>
            </w:r>
          </w:p>
        </w:tc>
      </w:tr>
    </w:tbl>
    <w:p w:rsidR="005E1770" w:rsidRPr="008A0021" w:rsidRDefault="005E1770" w:rsidP="00ED1F70">
      <w:pPr>
        <w:spacing w:after="0" w:line="240" w:lineRule="auto"/>
        <w:jc w:val="left"/>
        <w:rPr>
          <w:sz w:val="20"/>
          <w:lang w:val="es-ES"/>
        </w:rPr>
      </w:pPr>
    </w:p>
    <w:tbl>
      <w:tblPr>
        <w:tblW w:w="5632" w:type="dxa"/>
        <w:jc w:val="center"/>
        <w:tblInd w:w="1400" w:type="dxa"/>
        <w:tblCellMar>
          <w:left w:w="70" w:type="dxa"/>
          <w:right w:w="70" w:type="dxa"/>
        </w:tblCellMar>
        <w:tblLook w:val="04A0" w:firstRow="1" w:lastRow="0" w:firstColumn="1" w:lastColumn="0" w:noHBand="0" w:noVBand="1"/>
      </w:tblPr>
      <w:tblGrid>
        <w:gridCol w:w="971"/>
        <w:gridCol w:w="1074"/>
        <w:gridCol w:w="996"/>
        <w:gridCol w:w="1033"/>
        <w:gridCol w:w="864"/>
        <w:gridCol w:w="974"/>
      </w:tblGrid>
      <w:tr w:rsidR="005E1770" w:rsidRPr="008A0021" w:rsidTr="00710015">
        <w:trPr>
          <w:trHeight w:val="300"/>
          <w:jc w:val="center"/>
        </w:trPr>
        <w:tc>
          <w:tcPr>
            <w:tcW w:w="971" w:type="dxa"/>
            <w:tcBorders>
              <w:top w:val="nil"/>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left"/>
              <w:rPr>
                <w:rFonts w:cs="Arial"/>
                <w:color w:val="171717"/>
                <w:sz w:val="20"/>
              </w:rPr>
            </w:pPr>
            <w:r w:rsidRPr="008A0021">
              <w:rPr>
                <w:rFonts w:cs="Arial"/>
                <w:color w:val="171717"/>
                <w:sz w:val="20"/>
              </w:rPr>
              <w:t> </w:t>
            </w:r>
          </w:p>
        </w:tc>
        <w:tc>
          <w:tcPr>
            <w:tcW w:w="4661" w:type="dxa"/>
            <w:gridSpan w:val="5"/>
            <w:tcBorders>
              <w:top w:val="single" w:sz="4" w:space="0" w:color="auto"/>
              <w:left w:val="single" w:sz="4" w:space="0" w:color="auto"/>
              <w:bottom w:val="single" w:sz="4" w:space="0" w:color="000000"/>
              <w:right w:val="single" w:sz="4" w:space="0" w:color="000000"/>
            </w:tcBorders>
            <w:shd w:val="clear" w:color="171717" w:fill="FFFFFF"/>
            <w:noWrap/>
            <w:vAlign w:val="bottom"/>
            <w:hideMark/>
          </w:tcPr>
          <w:p w:rsidR="005E1770" w:rsidRPr="008A0021" w:rsidRDefault="00710015" w:rsidP="005E1770">
            <w:pPr>
              <w:spacing w:after="0" w:line="240" w:lineRule="auto"/>
              <w:jc w:val="center"/>
              <w:rPr>
                <w:rFonts w:cs="Arial"/>
                <w:b/>
                <w:bCs/>
                <w:color w:val="171717"/>
                <w:sz w:val="20"/>
              </w:rPr>
            </w:pPr>
            <w:r w:rsidRPr="008A0021">
              <w:rPr>
                <w:rFonts w:cs="Arial"/>
                <w:b/>
                <w:bCs/>
                <w:color w:val="171717"/>
                <w:sz w:val="20"/>
              </w:rPr>
              <w:t>2020</w:t>
            </w:r>
          </w:p>
        </w:tc>
      </w:tr>
      <w:tr w:rsidR="005E1770" w:rsidRPr="008A0021" w:rsidTr="00710015">
        <w:trPr>
          <w:trHeight w:val="300"/>
          <w:jc w:val="center"/>
        </w:trPr>
        <w:tc>
          <w:tcPr>
            <w:tcW w:w="971" w:type="dxa"/>
            <w:tcBorders>
              <w:top w:val="nil"/>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left"/>
              <w:rPr>
                <w:rFonts w:cs="Arial"/>
                <w:color w:val="171717"/>
                <w:sz w:val="20"/>
              </w:rPr>
            </w:pPr>
            <w:r w:rsidRPr="008A0021">
              <w:rPr>
                <w:rFonts w:cs="Arial"/>
                <w:color w:val="171717"/>
                <w:sz w:val="20"/>
              </w:rPr>
              <w:t> </w:t>
            </w:r>
          </w:p>
        </w:tc>
        <w:tc>
          <w:tcPr>
            <w:tcW w:w="1034" w:type="dxa"/>
            <w:tcBorders>
              <w:top w:val="single" w:sz="4" w:space="0" w:color="auto"/>
              <w:left w:val="single" w:sz="4" w:space="0" w:color="auto"/>
              <w:bottom w:val="nil"/>
              <w:right w:val="single" w:sz="4" w:space="0" w:color="auto"/>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TOTALES</w:t>
            </w:r>
          </w:p>
        </w:tc>
        <w:tc>
          <w:tcPr>
            <w:tcW w:w="872"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COCHES</w:t>
            </w:r>
          </w:p>
        </w:tc>
        <w:tc>
          <w:tcPr>
            <w:tcW w:w="1033"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PUB</w:t>
            </w:r>
          </w:p>
        </w:tc>
        <w:tc>
          <w:tcPr>
            <w:tcW w:w="864" w:type="dxa"/>
            <w:tcBorders>
              <w:top w:val="nil"/>
              <w:left w:val="nil"/>
              <w:bottom w:val="nil"/>
              <w:right w:val="single" w:sz="4" w:space="0" w:color="000000"/>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TAXI</w:t>
            </w:r>
          </w:p>
        </w:tc>
        <w:tc>
          <w:tcPr>
            <w:tcW w:w="858" w:type="dxa"/>
            <w:tcBorders>
              <w:top w:val="nil"/>
              <w:left w:val="nil"/>
              <w:bottom w:val="nil"/>
              <w:right w:val="single" w:sz="4" w:space="0" w:color="auto"/>
            </w:tcBorders>
            <w:shd w:val="clear" w:color="171717" w:fill="FFFFFF"/>
            <w:noWrap/>
            <w:vAlign w:val="bottom"/>
            <w:hideMark/>
          </w:tcPr>
          <w:p w:rsidR="005E1770" w:rsidRPr="008A0021" w:rsidRDefault="005E1770" w:rsidP="005E1770">
            <w:pPr>
              <w:spacing w:after="0" w:line="240" w:lineRule="auto"/>
              <w:jc w:val="center"/>
              <w:rPr>
                <w:rFonts w:cs="Arial"/>
                <w:b/>
                <w:bCs/>
                <w:color w:val="000000"/>
                <w:sz w:val="20"/>
              </w:rPr>
            </w:pPr>
            <w:r w:rsidRPr="008A0021">
              <w:rPr>
                <w:rFonts w:cs="Arial"/>
                <w:b/>
                <w:bCs/>
                <w:color w:val="000000"/>
                <w:sz w:val="20"/>
              </w:rPr>
              <w:t>TRUCKS</w:t>
            </w:r>
          </w:p>
        </w:tc>
      </w:tr>
      <w:tr w:rsidR="00710015" w:rsidRPr="008A0021" w:rsidTr="00710015">
        <w:trPr>
          <w:trHeight w:val="300"/>
          <w:jc w:val="center"/>
        </w:trPr>
        <w:tc>
          <w:tcPr>
            <w:tcW w:w="971"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5E1770">
            <w:pPr>
              <w:spacing w:after="0" w:line="240" w:lineRule="auto"/>
              <w:jc w:val="left"/>
              <w:rPr>
                <w:rFonts w:cs="Arial"/>
                <w:b/>
                <w:bCs/>
                <w:color w:val="171717"/>
                <w:sz w:val="20"/>
              </w:rPr>
            </w:pPr>
            <w:r w:rsidRPr="008A0021">
              <w:rPr>
                <w:rFonts w:cs="Arial"/>
                <w:b/>
                <w:bCs/>
                <w:color w:val="171717"/>
                <w:sz w:val="20"/>
              </w:rPr>
              <w:t>HPM</w:t>
            </w:r>
          </w:p>
        </w:tc>
        <w:tc>
          <w:tcPr>
            <w:tcW w:w="1034" w:type="dxa"/>
            <w:tcBorders>
              <w:top w:val="single" w:sz="4" w:space="0" w:color="auto"/>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1,516,620</w:t>
            </w:r>
          </w:p>
        </w:tc>
        <w:tc>
          <w:tcPr>
            <w:tcW w:w="872"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230,064</w:t>
            </w:r>
          </w:p>
        </w:tc>
        <w:tc>
          <w:tcPr>
            <w:tcW w:w="1033"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1,158,174</w:t>
            </w:r>
          </w:p>
        </w:tc>
        <w:tc>
          <w:tcPr>
            <w:tcW w:w="864"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112,549</w:t>
            </w:r>
          </w:p>
        </w:tc>
        <w:tc>
          <w:tcPr>
            <w:tcW w:w="858" w:type="dxa"/>
            <w:tcBorders>
              <w:top w:val="single" w:sz="4" w:space="0" w:color="auto"/>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15,833</w:t>
            </w:r>
          </w:p>
        </w:tc>
      </w:tr>
      <w:tr w:rsidR="00710015" w:rsidRPr="008A0021" w:rsidTr="00710015">
        <w:trPr>
          <w:trHeight w:val="300"/>
          <w:jc w:val="center"/>
        </w:trPr>
        <w:tc>
          <w:tcPr>
            <w:tcW w:w="971" w:type="dxa"/>
            <w:tcBorders>
              <w:top w:val="nil"/>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5E1770">
            <w:pPr>
              <w:spacing w:after="0" w:line="240" w:lineRule="auto"/>
              <w:jc w:val="left"/>
              <w:rPr>
                <w:rFonts w:cs="Arial"/>
                <w:b/>
                <w:bCs/>
                <w:color w:val="171717"/>
                <w:sz w:val="20"/>
              </w:rPr>
            </w:pPr>
            <w:r w:rsidRPr="008A0021">
              <w:rPr>
                <w:rFonts w:cs="Arial"/>
                <w:b/>
                <w:bCs/>
                <w:color w:val="171717"/>
                <w:sz w:val="20"/>
              </w:rPr>
              <w:t>HPT</w:t>
            </w:r>
          </w:p>
        </w:tc>
        <w:tc>
          <w:tcPr>
            <w:tcW w:w="1034" w:type="dxa"/>
            <w:tcBorders>
              <w:top w:val="nil"/>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1,019,169</w:t>
            </w:r>
          </w:p>
        </w:tc>
        <w:tc>
          <w:tcPr>
            <w:tcW w:w="872"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127,257</w:t>
            </w:r>
          </w:p>
        </w:tc>
        <w:tc>
          <w:tcPr>
            <w:tcW w:w="1033"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778,632</w:t>
            </w:r>
          </w:p>
        </w:tc>
        <w:tc>
          <w:tcPr>
            <w:tcW w:w="864"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101,373</w:t>
            </w:r>
          </w:p>
        </w:tc>
        <w:tc>
          <w:tcPr>
            <w:tcW w:w="858" w:type="dxa"/>
            <w:tcBorders>
              <w:top w:val="nil"/>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11,907</w:t>
            </w:r>
          </w:p>
        </w:tc>
      </w:tr>
      <w:tr w:rsidR="00710015" w:rsidRPr="008A0021" w:rsidTr="00710015">
        <w:trPr>
          <w:trHeight w:val="300"/>
          <w:jc w:val="center"/>
        </w:trPr>
        <w:tc>
          <w:tcPr>
            <w:tcW w:w="971" w:type="dxa"/>
            <w:tcBorders>
              <w:top w:val="nil"/>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5E1770">
            <w:pPr>
              <w:spacing w:after="0" w:line="240" w:lineRule="auto"/>
              <w:jc w:val="left"/>
              <w:rPr>
                <w:rFonts w:cs="Arial"/>
                <w:b/>
                <w:bCs/>
                <w:color w:val="171717"/>
                <w:sz w:val="20"/>
              </w:rPr>
            </w:pPr>
            <w:r w:rsidRPr="008A0021">
              <w:rPr>
                <w:rFonts w:cs="Arial"/>
                <w:b/>
                <w:bCs/>
                <w:color w:val="171717"/>
                <w:sz w:val="20"/>
              </w:rPr>
              <w:t>HV</w:t>
            </w:r>
          </w:p>
        </w:tc>
        <w:tc>
          <w:tcPr>
            <w:tcW w:w="1034" w:type="dxa"/>
            <w:tcBorders>
              <w:top w:val="nil"/>
              <w:left w:val="nil"/>
              <w:bottom w:val="single" w:sz="4" w:space="0" w:color="auto"/>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748,845</w:t>
            </w:r>
          </w:p>
        </w:tc>
        <w:tc>
          <w:tcPr>
            <w:tcW w:w="872"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103,992</w:t>
            </w:r>
          </w:p>
        </w:tc>
        <w:tc>
          <w:tcPr>
            <w:tcW w:w="1033"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562,853</w:t>
            </w:r>
          </w:p>
        </w:tc>
        <w:tc>
          <w:tcPr>
            <w:tcW w:w="864"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70,300</w:t>
            </w:r>
          </w:p>
        </w:tc>
        <w:tc>
          <w:tcPr>
            <w:tcW w:w="858" w:type="dxa"/>
            <w:tcBorders>
              <w:top w:val="nil"/>
              <w:left w:val="nil"/>
              <w:bottom w:val="single" w:sz="4" w:space="0" w:color="auto"/>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11,700</w:t>
            </w:r>
          </w:p>
        </w:tc>
      </w:tr>
    </w:tbl>
    <w:p w:rsidR="005E1770" w:rsidRPr="007226D7" w:rsidRDefault="005E1770" w:rsidP="00ED1F70">
      <w:pPr>
        <w:spacing w:after="0" w:line="240" w:lineRule="auto"/>
        <w:jc w:val="left"/>
        <w:rPr>
          <w:lang w:val="es-ES"/>
        </w:rPr>
      </w:pPr>
    </w:p>
    <w:tbl>
      <w:tblPr>
        <w:tblW w:w="5704" w:type="dxa"/>
        <w:jc w:val="center"/>
        <w:tblInd w:w="320" w:type="dxa"/>
        <w:tblCellMar>
          <w:left w:w="70" w:type="dxa"/>
          <w:right w:w="70" w:type="dxa"/>
        </w:tblCellMar>
        <w:tblLook w:val="04A0" w:firstRow="1" w:lastRow="0" w:firstColumn="1" w:lastColumn="0" w:noHBand="0" w:noVBand="1"/>
      </w:tblPr>
      <w:tblGrid>
        <w:gridCol w:w="1024"/>
        <w:gridCol w:w="1074"/>
        <w:gridCol w:w="868"/>
        <w:gridCol w:w="1035"/>
        <w:gridCol w:w="864"/>
        <w:gridCol w:w="974"/>
      </w:tblGrid>
      <w:tr w:rsidR="005E1770" w:rsidRPr="008A0021" w:rsidTr="00BE5B0F">
        <w:trPr>
          <w:trHeight w:val="300"/>
          <w:jc w:val="center"/>
        </w:trPr>
        <w:tc>
          <w:tcPr>
            <w:tcW w:w="1024" w:type="dxa"/>
            <w:tcBorders>
              <w:top w:val="nil"/>
              <w:left w:val="nil"/>
              <w:bottom w:val="nil"/>
              <w:right w:val="single" w:sz="4" w:space="0" w:color="auto"/>
            </w:tcBorders>
            <w:shd w:val="clear" w:color="171717" w:fill="FFFFFF"/>
            <w:noWrap/>
            <w:vAlign w:val="bottom"/>
            <w:hideMark/>
          </w:tcPr>
          <w:p w:rsidR="005E1770" w:rsidRPr="008A0021" w:rsidRDefault="005E1770" w:rsidP="00FC2B71">
            <w:pPr>
              <w:spacing w:after="0" w:line="240" w:lineRule="auto"/>
              <w:jc w:val="left"/>
              <w:rPr>
                <w:rFonts w:cs="Arial"/>
                <w:color w:val="171717"/>
                <w:sz w:val="20"/>
              </w:rPr>
            </w:pPr>
            <w:r w:rsidRPr="008A0021">
              <w:rPr>
                <w:rFonts w:cs="Arial"/>
                <w:color w:val="171717"/>
                <w:sz w:val="20"/>
              </w:rPr>
              <w:t> </w:t>
            </w:r>
          </w:p>
        </w:tc>
        <w:tc>
          <w:tcPr>
            <w:tcW w:w="4680" w:type="dxa"/>
            <w:gridSpan w:val="5"/>
            <w:tcBorders>
              <w:top w:val="single" w:sz="4" w:space="0" w:color="auto"/>
              <w:left w:val="single" w:sz="4" w:space="0" w:color="auto"/>
              <w:bottom w:val="single" w:sz="4" w:space="0" w:color="auto"/>
              <w:right w:val="single" w:sz="4" w:space="0" w:color="000000"/>
            </w:tcBorders>
            <w:shd w:val="clear" w:color="171717" w:fill="FFFFFF"/>
            <w:noWrap/>
            <w:vAlign w:val="bottom"/>
            <w:hideMark/>
          </w:tcPr>
          <w:p w:rsidR="005E1770" w:rsidRPr="008A0021" w:rsidRDefault="00710015" w:rsidP="00FC2B71">
            <w:pPr>
              <w:spacing w:after="0" w:line="240" w:lineRule="auto"/>
              <w:jc w:val="center"/>
              <w:rPr>
                <w:rFonts w:cs="Arial"/>
                <w:b/>
                <w:bCs/>
                <w:color w:val="171717"/>
                <w:sz w:val="20"/>
              </w:rPr>
            </w:pPr>
            <w:r w:rsidRPr="008A0021">
              <w:rPr>
                <w:rFonts w:cs="Arial"/>
                <w:b/>
                <w:bCs/>
                <w:color w:val="171717"/>
                <w:sz w:val="20"/>
              </w:rPr>
              <w:t>203</w:t>
            </w:r>
            <w:r w:rsidR="005E1770" w:rsidRPr="008A0021">
              <w:rPr>
                <w:rFonts w:cs="Arial"/>
                <w:b/>
                <w:bCs/>
                <w:color w:val="171717"/>
                <w:sz w:val="20"/>
              </w:rPr>
              <w:t>0</w:t>
            </w:r>
          </w:p>
        </w:tc>
      </w:tr>
      <w:tr w:rsidR="00BE5B0F" w:rsidRPr="008A0021" w:rsidTr="00BE5B0F">
        <w:trPr>
          <w:trHeight w:val="300"/>
          <w:jc w:val="center"/>
        </w:trPr>
        <w:tc>
          <w:tcPr>
            <w:tcW w:w="1024" w:type="dxa"/>
            <w:tcBorders>
              <w:top w:val="nil"/>
              <w:left w:val="nil"/>
              <w:bottom w:val="nil"/>
              <w:right w:val="single" w:sz="4" w:space="0" w:color="auto"/>
            </w:tcBorders>
            <w:shd w:val="clear" w:color="171717" w:fill="FFFFFF"/>
            <w:noWrap/>
            <w:vAlign w:val="bottom"/>
            <w:hideMark/>
          </w:tcPr>
          <w:p w:rsidR="005E1770" w:rsidRPr="008A0021" w:rsidRDefault="005E1770" w:rsidP="00FC2B71">
            <w:pPr>
              <w:spacing w:after="0" w:line="240" w:lineRule="auto"/>
              <w:jc w:val="left"/>
              <w:rPr>
                <w:rFonts w:cs="Arial"/>
                <w:color w:val="171717"/>
                <w:sz w:val="20"/>
              </w:rPr>
            </w:pPr>
            <w:r w:rsidRPr="008A0021">
              <w:rPr>
                <w:rFonts w:cs="Arial"/>
                <w:color w:val="171717"/>
                <w:sz w:val="20"/>
              </w:rPr>
              <w:t> </w:t>
            </w:r>
          </w:p>
        </w:tc>
        <w:tc>
          <w:tcPr>
            <w:tcW w:w="1036" w:type="dxa"/>
            <w:tcBorders>
              <w:top w:val="nil"/>
              <w:left w:val="single" w:sz="4" w:space="0" w:color="auto"/>
              <w:bottom w:val="single" w:sz="4" w:space="0" w:color="auto"/>
              <w:right w:val="single" w:sz="4" w:space="0" w:color="auto"/>
            </w:tcBorders>
            <w:shd w:val="clear" w:color="171717" w:fill="FFFFFF"/>
            <w:noWrap/>
            <w:vAlign w:val="bottom"/>
            <w:hideMark/>
          </w:tcPr>
          <w:p w:rsidR="005E1770" w:rsidRPr="008A0021" w:rsidRDefault="005E1770" w:rsidP="00FC2B71">
            <w:pPr>
              <w:spacing w:after="0" w:line="240" w:lineRule="auto"/>
              <w:jc w:val="center"/>
              <w:rPr>
                <w:rFonts w:cs="Arial"/>
                <w:b/>
                <w:bCs/>
                <w:color w:val="000000"/>
                <w:sz w:val="20"/>
              </w:rPr>
            </w:pPr>
            <w:r w:rsidRPr="008A0021">
              <w:rPr>
                <w:rFonts w:cs="Arial"/>
                <w:b/>
                <w:bCs/>
                <w:color w:val="000000"/>
                <w:sz w:val="20"/>
              </w:rPr>
              <w:t>TOTALES</w:t>
            </w:r>
          </w:p>
        </w:tc>
        <w:tc>
          <w:tcPr>
            <w:tcW w:w="868" w:type="dxa"/>
            <w:tcBorders>
              <w:top w:val="nil"/>
              <w:left w:val="nil"/>
              <w:bottom w:val="nil"/>
              <w:right w:val="single" w:sz="4" w:space="0" w:color="000000"/>
            </w:tcBorders>
            <w:shd w:val="clear" w:color="171717" w:fill="FFFFFF"/>
            <w:noWrap/>
            <w:vAlign w:val="bottom"/>
            <w:hideMark/>
          </w:tcPr>
          <w:p w:rsidR="005E1770" w:rsidRPr="008A0021" w:rsidRDefault="005E1770" w:rsidP="00FC2B71">
            <w:pPr>
              <w:spacing w:after="0" w:line="240" w:lineRule="auto"/>
              <w:jc w:val="center"/>
              <w:rPr>
                <w:rFonts w:cs="Arial"/>
                <w:b/>
                <w:bCs/>
                <w:color w:val="000000"/>
                <w:sz w:val="20"/>
              </w:rPr>
            </w:pPr>
            <w:r w:rsidRPr="008A0021">
              <w:rPr>
                <w:rFonts w:cs="Arial"/>
                <w:b/>
                <w:bCs/>
                <w:color w:val="000000"/>
                <w:sz w:val="20"/>
              </w:rPr>
              <w:t>COCHE</w:t>
            </w:r>
          </w:p>
        </w:tc>
        <w:tc>
          <w:tcPr>
            <w:tcW w:w="1035" w:type="dxa"/>
            <w:tcBorders>
              <w:top w:val="nil"/>
              <w:left w:val="nil"/>
              <w:bottom w:val="nil"/>
              <w:right w:val="single" w:sz="4" w:space="0" w:color="000000"/>
            </w:tcBorders>
            <w:shd w:val="clear" w:color="171717" w:fill="FFFFFF"/>
            <w:noWrap/>
            <w:vAlign w:val="bottom"/>
            <w:hideMark/>
          </w:tcPr>
          <w:p w:rsidR="005E1770" w:rsidRPr="008A0021" w:rsidRDefault="005E1770" w:rsidP="00FC2B71">
            <w:pPr>
              <w:spacing w:after="0" w:line="240" w:lineRule="auto"/>
              <w:jc w:val="center"/>
              <w:rPr>
                <w:rFonts w:cs="Arial"/>
                <w:b/>
                <w:bCs/>
                <w:color w:val="000000"/>
                <w:sz w:val="20"/>
              </w:rPr>
            </w:pPr>
            <w:r w:rsidRPr="008A0021">
              <w:rPr>
                <w:rFonts w:cs="Arial"/>
                <w:b/>
                <w:bCs/>
                <w:color w:val="000000"/>
                <w:sz w:val="20"/>
              </w:rPr>
              <w:t>PUB</w:t>
            </w:r>
          </w:p>
        </w:tc>
        <w:tc>
          <w:tcPr>
            <w:tcW w:w="864" w:type="dxa"/>
            <w:tcBorders>
              <w:top w:val="nil"/>
              <w:left w:val="nil"/>
              <w:bottom w:val="nil"/>
              <w:right w:val="single" w:sz="4" w:space="0" w:color="000000"/>
            </w:tcBorders>
            <w:shd w:val="clear" w:color="171717" w:fill="FFFFFF"/>
            <w:noWrap/>
            <w:vAlign w:val="bottom"/>
            <w:hideMark/>
          </w:tcPr>
          <w:p w:rsidR="005E1770" w:rsidRPr="008A0021" w:rsidRDefault="005E1770" w:rsidP="00FC2B71">
            <w:pPr>
              <w:spacing w:after="0" w:line="240" w:lineRule="auto"/>
              <w:jc w:val="center"/>
              <w:rPr>
                <w:rFonts w:cs="Arial"/>
                <w:b/>
                <w:bCs/>
                <w:color w:val="000000"/>
                <w:sz w:val="20"/>
              </w:rPr>
            </w:pPr>
            <w:r w:rsidRPr="008A0021">
              <w:rPr>
                <w:rFonts w:cs="Arial"/>
                <w:b/>
                <w:bCs/>
                <w:color w:val="000000"/>
                <w:sz w:val="20"/>
              </w:rPr>
              <w:t>TAXI</w:t>
            </w:r>
          </w:p>
        </w:tc>
        <w:tc>
          <w:tcPr>
            <w:tcW w:w="877" w:type="dxa"/>
            <w:tcBorders>
              <w:top w:val="nil"/>
              <w:left w:val="nil"/>
              <w:bottom w:val="nil"/>
              <w:right w:val="single" w:sz="4" w:space="0" w:color="auto"/>
            </w:tcBorders>
            <w:shd w:val="clear" w:color="171717" w:fill="FFFFFF"/>
            <w:noWrap/>
            <w:vAlign w:val="bottom"/>
            <w:hideMark/>
          </w:tcPr>
          <w:p w:rsidR="005E1770" w:rsidRPr="008A0021" w:rsidRDefault="005E1770" w:rsidP="00FC2B71">
            <w:pPr>
              <w:spacing w:after="0" w:line="240" w:lineRule="auto"/>
              <w:jc w:val="center"/>
              <w:rPr>
                <w:rFonts w:cs="Arial"/>
                <w:b/>
                <w:bCs/>
                <w:color w:val="000000"/>
                <w:sz w:val="20"/>
              </w:rPr>
            </w:pPr>
            <w:r w:rsidRPr="008A0021">
              <w:rPr>
                <w:rFonts w:cs="Arial"/>
                <w:b/>
                <w:bCs/>
                <w:color w:val="000000"/>
                <w:sz w:val="20"/>
              </w:rPr>
              <w:t>TRUCKS</w:t>
            </w:r>
          </w:p>
        </w:tc>
      </w:tr>
      <w:tr w:rsidR="00710015" w:rsidRPr="008A0021" w:rsidTr="00710015">
        <w:trPr>
          <w:trHeight w:val="300"/>
          <w:jc w:val="center"/>
        </w:trPr>
        <w:tc>
          <w:tcPr>
            <w:tcW w:w="1024" w:type="dxa"/>
            <w:tcBorders>
              <w:top w:val="single" w:sz="4" w:space="0" w:color="auto"/>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FC2B71">
            <w:pPr>
              <w:spacing w:after="0" w:line="240" w:lineRule="auto"/>
              <w:jc w:val="left"/>
              <w:rPr>
                <w:rFonts w:cs="Arial"/>
                <w:b/>
                <w:bCs/>
                <w:color w:val="171717"/>
                <w:sz w:val="20"/>
              </w:rPr>
            </w:pPr>
            <w:r w:rsidRPr="008A0021">
              <w:rPr>
                <w:rFonts w:cs="Arial"/>
                <w:b/>
                <w:bCs/>
                <w:color w:val="171717"/>
                <w:sz w:val="20"/>
              </w:rPr>
              <w:t>HPM</w:t>
            </w:r>
          </w:p>
        </w:tc>
        <w:tc>
          <w:tcPr>
            <w:tcW w:w="1036" w:type="dxa"/>
            <w:tcBorders>
              <w:top w:val="nil"/>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1,709,585</w:t>
            </w:r>
          </w:p>
        </w:tc>
        <w:tc>
          <w:tcPr>
            <w:tcW w:w="868"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276,233</w:t>
            </w:r>
          </w:p>
        </w:tc>
        <w:tc>
          <w:tcPr>
            <w:tcW w:w="1035"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1,300,888</w:t>
            </w:r>
          </w:p>
        </w:tc>
        <w:tc>
          <w:tcPr>
            <w:tcW w:w="864" w:type="dxa"/>
            <w:tcBorders>
              <w:top w:val="single" w:sz="4" w:space="0" w:color="auto"/>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114,620</w:t>
            </w:r>
          </w:p>
        </w:tc>
        <w:tc>
          <w:tcPr>
            <w:tcW w:w="877" w:type="dxa"/>
            <w:tcBorders>
              <w:top w:val="single" w:sz="4" w:space="0" w:color="auto"/>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17,845</w:t>
            </w:r>
          </w:p>
        </w:tc>
      </w:tr>
      <w:tr w:rsidR="00710015" w:rsidRPr="008A0021" w:rsidTr="00710015">
        <w:trPr>
          <w:trHeight w:val="300"/>
          <w:jc w:val="center"/>
        </w:trPr>
        <w:tc>
          <w:tcPr>
            <w:tcW w:w="1024" w:type="dxa"/>
            <w:tcBorders>
              <w:top w:val="nil"/>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FC2B71">
            <w:pPr>
              <w:spacing w:after="0" w:line="240" w:lineRule="auto"/>
              <w:jc w:val="left"/>
              <w:rPr>
                <w:rFonts w:cs="Arial"/>
                <w:b/>
                <w:bCs/>
                <w:color w:val="171717"/>
                <w:sz w:val="20"/>
              </w:rPr>
            </w:pPr>
            <w:r w:rsidRPr="008A0021">
              <w:rPr>
                <w:rFonts w:cs="Arial"/>
                <w:b/>
                <w:bCs/>
                <w:color w:val="171717"/>
                <w:sz w:val="20"/>
              </w:rPr>
              <w:t>HPT</w:t>
            </w:r>
          </w:p>
        </w:tc>
        <w:tc>
          <w:tcPr>
            <w:tcW w:w="1036" w:type="dxa"/>
            <w:tcBorders>
              <w:top w:val="nil"/>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1,154,793</w:t>
            </w:r>
          </w:p>
        </w:tc>
        <w:tc>
          <w:tcPr>
            <w:tcW w:w="868"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153,012</w:t>
            </w:r>
          </w:p>
        </w:tc>
        <w:tc>
          <w:tcPr>
            <w:tcW w:w="1035"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887,596</w:t>
            </w:r>
          </w:p>
        </w:tc>
        <w:tc>
          <w:tcPr>
            <w:tcW w:w="864" w:type="dxa"/>
            <w:tcBorders>
              <w:top w:val="nil"/>
              <w:left w:val="nil"/>
              <w:bottom w:val="nil"/>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100,697</w:t>
            </w:r>
          </w:p>
        </w:tc>
        <w:tc>
          <w:tcPr>
            <w:tcW w:w="877" w:type="dxa"/>
            <w:tcBorders>
              <w:top w:val="nil"/>
              <w:left w:val="nil"/>
              <w:bottom w:val="nil"/>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13,488</w:t>
            </w:r>
          </w:p>
        </w:tc>
      </w:tr>
      <w:tr w:rsidR="00710015" w:rsidRPr="008A0021" w:rsidTr="00710015">
        <w:trPr>
          <w:trHeight w:val="300"/>
          <w:jc w:val="center"/>
        </w:trPr>
        <w:tc>
          <w:tcPr>
            <w:tcW w:w="1024" w:type="dxa"/>
            <w:tcBorders>
              <w:top w:val="nil"/>
              <w:left w:val="single" w:sz="4" w:space="0" w:color="auto"/>
              <w:bottom w:val="single" w:sz="4" w:space="0" w:color="auto"/>
              <w:right w:val="single" w:sz="4" w:space="0" w:color="auto"/>
            </w:tcBorders>
            <w:shd w:val="clear" w:color="171717" w:fill="FFFFFF"/>
            <w:noWrap/>
            <w:vAlign w:val="bottom"/>
            <w:hideMark/>
          </w:tcPr>
          <w:p w:rsidR="00710015" w:rsidRPr="008A0021" w:rsidRDefault="00710015" w:rsidP="00FC2B71">
            <w:pPr>
              <w:spacing w:after="0" w:line="240" w:lineRule="auto"/>
              <w:jc w:val="left"/>
              <w:rPr>
                <w:rFonts w:cs="Arial"/>
                <w:b/>
                <w:bCs/>
                <w:color w:val="171717"/>
                <w:sz w:val="20"/>
              </w:rPr>
            </w:pPr>
            <w:r w:rsidRPr="008A0021">
              <w:rPr>
                <w:rFonts w:cs="Arial"/>
                <w:b/>
                <w:bCs/>
                <w:color w:val="171717"/>
                <w:sz w:val="20"/>
              </w:rPr>
              <w:t>HV</w:t>
            </w:r>
          </w:p>
        </w:tc>
        <w:tc>
          <w:tcPr>
            <w:tcW w:w="1036" w:type="dxa"/>
            <w:tcBorders>
              <w:top w:val="nil"/>
              <w:left w:val="nil"/>
              <w:bottom w:val="single" w:sz="4" w:space="0" w:color="auto"/>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b/>
                <w:color w:val="000000"/>
                <w:sz w:val="18"/>
              </w:rPr>
            </w:pPr>
            <w:r w:rsidRPr="008A0021">
              <w:rPr>
                <w:rFonts w:cs="Arial"/>
                <w:b/>
                <w:color w:val="000000"/>
                <w:sz w:val="18"/>
              </w:rPr>
              <w:t>863,527</w:t>
            </w:r>
          </w:p>
        </w:tc>
        <w:tc>
          <w:tcPr>
            <w:tcW w:w="868"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130,275</w:t>
            </w:r>
          </w:p>
        </w:tc>
        <w:tc>
          <w:tcPr>
            <w:tcW w:w="1035"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655,785</w:t>
            </w:r>
          </w:p>
        </w:tc>
        <w:tc>
          <w:tcPr>
            <w:tcW w:w="864" w:type="dxa"/>
            <w:tcBorders>
              <w:top w:val="nil"/>
              <w:left w:val="nil"/>
              <w:bottom w:val="single" w:sz="4" w:space="0" w:color="auto"/>
              <w:right w:val="nil"/>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63,973</w:t>
            </w:r>
          </w:p>
        </w:tc>
        <w:tc>
          <w:tcPr>
            <w:tcW w:w="877" w:type="dxa"/>
            <w:tcBorders>
              <w:top w:val="nil"/>
              <w:left w:val="nil"/>
              <w:bottom w:val="single" w:sz="4" w:space="0" w:color="auto"/>
              <w:right w:val="single" w:sz="4" w:space="0" w:color="auto"/>
            </w:tcBorders>
            <w:shd w:val="clear" w:color="171717" w:fill="FFFFFF"/>
            <w:noWrap/>
            <w:vAlign w:val="center"/>
            <w:hideMark/>
          </w:tcPr>
          <w:p w:rsidR="00710015" w:rsidRPr="008A0021" w:rsidRDefault="00710015" w:rsidP="00710015">
            <w:pPr>
              <w:autoSpaceDE w:val="0"/>
              <w:autoSpaceDN w:val="0"/>
              <w:adjustRightInd w:val="0"/>
              <w:spacing w:after="0" w:line="240" w:lineRule="auto"/>
              <w:jc w:val="right"/>
              <w:rPr>
                <w:rFonts w:cs="Arial"/>
                <w:color w:val="000000"/>
                <w:sz w:val="18"/>
              </w:rPr>
            </w:pPr>
            <w:r w:rsidRPr="008A0021">
              <w:rPr>
                <w:rFonts w:cs="Arial"/>
                <w:color w:val="000000"/>
                <w:sz w:val="18"/>
              </w:rPr>
              <w:t>13,495</w:t>
            </w:r>
          </w:p>
        </w:tc>
      </w:tr>
    </w:tbl>
    <w:p w:rsidR="00BE5B0F" w:rsidRPr="007226D7" w:rsidRDefault="00BE5B0F" w:rsidP="00ED1F70">
      <w:pPr>
        <w:spacing w:after="0" w:line="240" w:lineRule="auto"/>
        <w:jc w:val="left"/>
        <w:rPr>
          <w:b/>
          <w:lang w:val="es-ES"/>
        </w:rPr>
      </w:pPr>
    </w:p>
    <w:p w:rsidR="00ED1F70" w:rsidRPr="007226D7" w:rsidRDefault="00ED1F70" w:rsidP="00ED1F70">
      <w:pPr>
        <w:pStyle w:val="Heading2"/>
        <w:rPr>
          <w:lang w:val="es-ES"/>
        </w:rPr>
      </w:pPr>
      <w:bookmarkStart w:id="132" w:name="_Toc342751282"/>
      <w:bookmarkStart w:id="133" w:name="_Toc346541935"/>
      <w:r w:rsidRPr="007226D7">
        <w:rPr>
          <w:lang w:val="es-ES"/>
        </w:rPr>
        <w:lastRenderedPageBreak/>
        <w:t>Los indicadores de performance del modelo de transporte</w:t>
      </w:r>
      <w:bookmarkEnd w:id="132"/>
      <w:bookmarkEnd w:id="133"/>
    </w:p>
    <w:p w:rsidR="00ED1F70" w:rsidRPr="007226D7" w:rsidRDefault="00ED1F70" w:rsidP="00ED1F70">
      <w:r w:rsidRPr="007226D7">
        <w:rPr>
          <w:lang w:val="es-ES"/>
        </w:rPr>
        <w:t xml:space="preserve">A continuación se presentan los principales parámetros de funcionamiento del modelo de transporte obtenidos como resultados de las simulaciones llevadas a cabo para los años 2018, 202 y 2030. </w:t>
      </w:r>
      <w:r w:rsidRPr="007226D7">
        <w:t>Estos son:</w:t>
      </w:r>
    </w:p>
    <w:p w:rsidR="00ED1F70" w:rsidRPr="007226D7" w:rsidRDefault="00ED1F70" w:rsidP="00ED1F70">
      <w:pPr>
        <w:pStyle w:val="ListBullet"/>
        <w:numPr>
          <w:ilvl w:val="0"/>
          <w:numId w:val="66"/>
        </w:numPr>
        <w:rPr>
          <w:noProof/>
          <w:lang w:val="es-ES"/>
        </w:rPr>
      </w:pPr>
      <w:r w:rsidRPr="007226D7">
        <w:rPr>
          <w:noProof/>
          <w:lang w:val="es-ES"/>
        </w:rPr>
        <w:t>Demanda Captada - Número de pasajeros que suben al día.</w:t>
      </w:r>
    </w:p>
    <w:p w:rsidR="00ED1F70" w:rsidRPr="007226D7" w:rsidRDefault="00ED1F70" w:rsidP="00ED1F70">
      <w:pPr>
        <w:pStyle w:val="ListBullet"/>
        <w:numPr>
          <w:ilvl w:val="0"/>
          <w:numId w:val="66"/>
        </w:numPr>
        <w:rPr>
          <w:noProof/>
          <w:lang w:val="es-ES"/>
        </w:rPr>
      </w:pPr>
      <w:r w:rsidRPr="007226D7">
        <w:rPr>
          <w:noProof/>
          <w:lang w:val="es-ES"/>
        </w:rPr>
        <w:t>Numero de vehículos por kilometro [Privado] - Parámetro que indica la distancia total recorrida por los vehículos privados en los trayectos entre el origen y destino.</w:t>
      </w:r>
    </w:p>
    <w:p w:rsidR="00ED1F70" w:rsidRPr="007226D7" w:rsidRDefault="00ED1F70" w:rsidP="00ED1F70">
      <w:pPr>
        <w:pStyle w:val="ListBullet"/>
        <w:numPr>
          <w:ilvl w:val="0"/>
          <w:numId w:val="66"/>
        </w:numPr>
        <w:rPr>
          <w:noProof/>
          <w:lang w:val="es-ES"/>
        </w:rPr>
      </w:pPr>
      <w:r w:rsidRPr="007226D7">
        <w:rPr>
          <w:noProof/>
          <w:lang w:val="es-ES"/>
        </w:rPr>
        <w:t>Tiempo total de viaje en vehículo privado - Valor numérico que indica el tiempo total pasado en viaje en vehículo privado.</w:t>
      </w:r>
    </w:p>
    <w:p w:rsidR="00ED1F70" w:rsidRPr="007226D7" w:rsidRDefault="00ED1F70" w:rsidP="00ED1F70">
      <w:pPr>
        <w:pStyle w:val="ListBullet"/>
        <w:numPr>
          <w:ilvl w:val="0"/>
          <w:numId w:val="66"/>
        </w:numPr>
        <w:rPr>
          <w:noProof/>
          <w:lang w:val="es-ES"/>
        </w:rPr>
      </w:pPr>
      <w:r w:rsidRPr="007226D7">
        <w:rPr>
          <w:noProof/>
          <w:lang w:val="es-ES"/>
        </w:rPr>
        <w:t>Numero de vehículos por kilometro [T.te Público] - Parámetro que indica la distancia total recorrida por los vehículos del transporte público.</w:t>
      </w:r>
    </w:p>
    <w:p w:rsidR="00ED1F70" w:rsidRPr="007226D7" w:rsidRDefault="00ED1F70" w:rsidP="00ED1F70">
      <w:pPr>
        <w:pStyle w:val="ListBullet"/>
        <w:numPr>
          <w:ilvl w:val="0"/>
          <w:numId w:val="66"/>
        </w:numPr>
        <w:rPr>
          <w:noProof/>
          <w:lang w:val="es-ES"/>
        </w:rPr>
      </w:pPr>
      <w:r w:rsidRPr="007226D7">
        <w:rPr>
          <w:noProof/>
          <w:lang w:val="es-ES"/>
        </w:rPr>
        <w:t>Viajes por Km – Parámetro que indica la distancia total recorrida por el total de los pasajeros del sistema de transporte público.</w:t>
      </w:r>
    </w:p>
    <w:p w:rsidR="00ED1F70" w:rsidRPr="007226D7" w:rsidRDefault="00ED1F70" w:rsidP="00ED1F70">
      <w:pPr>
        <w:pStyle w:val="ListBullet"/>
        <w:numPr>
          <w:ilvl w:val="0"/>
          <w:numId w:val="66"/>
        </w:numPr>
        <w:rPr>
          <w:noProof/>
          <w:lang w:val="es-ES"/>
        </w:rPr>
      </w:pPr>
      <w:r w:rsidRPr="007226D7">
        <w:rPr>
          <w:noProof/>
          <w:lang w:val="es-ES"/>
        </w:rPr>
        <w:t>Tiempo total de viaje en transporte publico - Valor numérico que indica el tiempo total pasado en viaje para los usuarios del transporte público - incluye sólo el tiempo real de viaje y no considera el tiempo de parada.</w:t>
      </w:r>
    </w:p>
    <w:p w:rsidR="00FC2B71" w:rsidRPr="007226D7" w:rsidRDefault="00FC2B71">
      <w:pPr>
        <w:spacing w:after="0" w:line="240" w:lineRule="auto"/>
        <w:jc w:val="left"/>
        <w:rPr>
          <w:b/>
          <w:lang w:val="es-ES"/>
        </w:rPr>
      </w:pPr>
      <w:bookmarkStart w:id="134" w:name="_Toc342751283"/>
    </w:p>
    <w:p w:rsidR="00ED1F70" w:rsidRPr="007226D7" w:rsidRDefault="000B2336" w:rsidP="00ED1F70">
      <w:pPr>
        <w:pStyle w:val="Heading2"/>
        <w:rPr>
          <w:lang w:val="es-ES"/>
        </w:rPr>
      </w:pPr>
      <w:bookmarkStart w:id="135" w:name="_Toc346541936"/>
      <w:r w:rsidRPr="007226D7">
        <w:rPr>
          <w:lang w:val="es-ES"/>
        </w:rPr>
        <w:t>Análisis</w:t>
      </w:r>
      <w:r w:rsidR="00ED1F70" w:rsidRPr="007226D7">
        <w:rPr>
          <w:lang w:val="es-ES"/>
        </w:rPr>
        <w:t xml:space="preserve"> de modelo de transporte</w:t>
      </w:r>
      <w:bookmarkEnd w:id="134"/>
      <w:bookmarkEnd w:id="135"/>
    </w:p>
    <w:p w:rsidR="00ED1F70" w:rsidRPr="007226D7" w:rsidRDefault="00ED1F70" w:rsidP="00ED1F70">
      <w:pPr>
        <w:rPr>
          <w:lang w:val="es-ES"/>
        </w:rPr>
      </w:pPr>
      <w:bookmarkStart w:id="136" w:name="_Toc342751284"/>
      <w:r w:rsidRPr="007226D7">
        <w:rPr>
          <w:lang w:val="es-ES"/>
        </w:rPr>
        <w:t>La aplicación del instrumento modelístico ha permitido, en primer lugar, estimar los parámetros de prestación de las redes de transporte para todos los escenarios simulados y, en segundo lugar, determinar la demanda  de viajeros atraída por la infraestructura de proyecto en las distintas configuraciones de red para los diferentes horizontes temporales.</w:t>
      </w:r>
    </w:p>
    <w:p w:rsidR="00ED1F70" w:rsidRPr="007226D7" w:rsidRDefault="00ED1F70" w:rsidP="00ED1F70">
      <w:pPr>
        <w:rPr>
          <w:lang w:val="es-ES"/>
        </w:rPr>
      </w:pPr>
      <w:r w:rsidRPr="007226D7">
        <w:rPr>
          <w:lang w:val="es-ES"/>
        </w:rPr>
        <w:t>A continuación se muestran los resultados obtenidos para cada una de las simulaciones realizadas.</w:t>
      </w:r>
    </w:p>
    <w:p w:rsidR="003F360E" w:rsidRPr="007226D7" w:rsidRDefault="003E25C1" w:rsidP="000B2336">
      <w:pPr>
        <w:autoSpaceDE w:val="0"/>
        <w:autoSpaceDN w:val="0"/>
        <w:adjustRightInd w:val="0"/>
        <w:spacing w:after="0" w:line="240" w:lineRule="auto"/>
        <w:rPr>
          <w:rFonts w:ascii="ArialMT" w:hAnsi="ArialMT" w:cs="ArialMT"/>
          <w:szCs w:val="22"/>
          <w:lang w:val="es-ES"/>
        </w:rPr>
      </w:pPr>
      <w:r w:rsidRPr="007226D7">
        <w:rPr>
          <w:rFonts w:ascii="ArialMT" w:hAnsi="ArialMT" w:cs="ArialMT"/>
          <w:szCs w:val="22"/>
          <w:lang w:val="es-ES"/>
        </w:rPr>
        <w:t>Los valores presentados responden a la movilidad media horaria del período de análisis de</w:t>
      </w:r>
      <w:r w:rsidR="000B2336" w:rsidRPr="007226D7">
        <w:rPr>
          <w:rFonts w:ascii="ArialMT" w:hAnsi="ArialMT" w:cs="ArialMT"/>
          <w:szCs w:val="22"/>
          <w:lang w:val="es-ES"/>
        </w:rPr>
        <w:t xml:space="preserve"> </w:t>
      </w:r>
      <w:r w:rsidRPr="007226D7">
        <w:rPr>
          <w:rFonts w:ascii="ArialMT" w:hAnsi="ArialMT" w:cs="ArialMT"/>
          <w:szCs w:val="22"/>
          <w:lang w:val="es-ES"/>
        </w:rPr>
        <w:t>cada caso, así las HPM y HPT son la media de 2 h (7:00-9:00 h y 18:00-20:00 h) y la HV es la</w:t>
      </w:r>
      <w:r w:rsidR="000B2336" w:rsidRPr="007226D7">
        <w:rPr>
          <w:rFonts w:ascii="ArialMT" w:hAnsi="ArialMT" w:cs="ArialMT"/>
          <w:szCs w:val="22"/>
          <w:lang w:val="es-ES"/>
        </w:rPr>
        <w:t xml:space="preserve"> </w:t>
      </w:r>
      <w:r w:rsidRPr="007226D7">
        <w:rPr>
          <w:rFonts w:ascii="ArialMT" w:hAnsi="ArialMT" w:cs="ArialMT"/>
          <w:szCs w:val="22"/>
          <w:lang w:val="es-ES"/>
        </w:rPr>
        <w:t xml:space="preserve">media de las 13 h restantes (6:00-23:00 h descontando períodos punta). </w:t>
      </w:r>
    </w:p>
    <w:p w:rsidR="003F360E" w:rsidRPr="007226D7" w:rsidRDefault="003F360E" w:rsidP="003E25C1">
      <w:pPr>
        <w:autoSpaceDE w:val="0"/>
        <w:autoSpaceDN w:val="0"/>
        <w:adjustRightInd w:val="0"/>
        <w:spacing w:after="0" w:line="240" w:lineRule="auto"/>
        <w:jc w:val="left"/>
        <w:rPr>
          <w:rFonts w:ascii="ArialMT" w:hAnsi="ArialMT" w:cs="ArialMT"/>
          <w:szCs w:val="22"/>
          <w:lang w:val="es-ES"/>
        </w:rPr>
      </w:pPr>
    </w:p>
    <w:p w:rsidR="003E25C1" w:rsidRPr="007226D7" w:rsidRDefault="003E25C1" w:rsidP="003E25C1">
      <w:pPr>
        <w:autoSpaceDE w:val="0"/>
        <w:autoSpaceDN w:val="0"/>
        <w:adjustRightInd w:val="0"/>
        <w:spacing w:after="0" w:line="240" w:lineRule="auto"/>
        <w:jc w:val="left"/>
        <w:rPr>
          <w:rFonts w:ascii="ArialMT" w:hAnsi="ArialMT" w:cs="ArialMT"/>
          <w:szCs w:val="22"/>
          <w:lang w:val="es-ES"/>
        </w:rPr>
      </w:pPr>
      <w:r w:rsidRPr="007226D7">
        <w:rPr>
          <w:rFonts w:ascii="ArialMT" w:hAnsi="ArialMT" w:cs="ArialMT"/>
          <w:szCs w:val="22"/>
          <w:lang w:val="es-ES"/>
        </w:rPr>
        <w:t>Por tanto, los valores diarios</w:t>
      </w:r>
      <w:r w:rsidR="003F360E" w:rsidRPr="007226D7">
        <w:rPr>
          <w:rFonts w:ascii="ArialMT" w:hAnsi="ArialMT" w:cs="ArialMT"/>
          <w:szCs w:val="22"/>
          <w:lang w:val="es-ES"/>
        </w:rPr>
        <w:t xml:space="preserve"> </w:t>
      </w:r>
      <w:r w:rsidRPr="007226D7">
        <w:rPr>
          <w:rFonts w:ascii="ArialMT" w:hAnsi="ArialMT" w:cs="ArialMT"/>
          <w:szCs w:val="22"/>
          <w:lang w:val="es-ES"/>
        </w:rPr>
        <w:t>final diaria de 17 h (6:00-23:00 h) se obtiene mediante la siguiente formulación:</w:t>
      </w:r>
    </w:p>
    <w:p w:rsidR="003F360E" w:rsidRPr="007226D7" w:rsidRDefault="003F360E" w:rsidP="003E25C1">
      <w:pPr>
        <w:rPr>
          <w:rFonts w:ascii="ArialMT" w:hAnsi="ArialMT" w:cs="ArialMT"/>
          <w:szCs w:val="22"/>
          <w:lang w:val="es-ES"/>
        </w:rPr>
      </w:pPr>
    </w:p>
    <w:p w:rsidR="003E25C1" w:rsidRPr="007226D7" w:rsidRDefault="000B2336" w:rsidP="003F360E">
      <w:pPr>
        <w:jc w:val="center"/>
        <w:rPr>
          <w:rFonts w:ascii="ArialMT" w:hAnsi="ArialMT" w:cs="ArialMT"/>
          <w:szCs w:val="22"/>
          <w:lang w:val="es-ES"/>
        </w:rPr>
      </w:pPr>
      <w:r w:rsidRPr="007226D7">
        <w:rPr>
          <w:rFonts w:ascii="ArialMT" w:hAnsi="ArialMT" w:cs="ArialMT"/>
          <w:szCs w:val="22"/>
          <w:lang w:val="es-ES"/>
        </w:rPr>
        <w:t>Día</w:t>
      </w:r>
      <w:r w:rsidR="003E25C1" w:rsidRPr="007226D7">
        <w:rPr>
          <w:rFonts w:ascii="ArialMT" w:hAnsi="ArialMT" w:cs="ArialMT"/>
          <w:szCs w:val="22"/>
          <w:lang w:val="es-ES"/>
        </w:rPr>
        <w:t xml:space="preserve"> Lab= (2*HPM)+ (2*HPT)</w:t>
      </w:r>
      <w:proofErr w:type="gramStart"/>
      <w:r w:rsidR="003E25C1" w:rsidRPr="007226D7">
        <w:rPr>
          <w:rFonts w:ascii="ArialMT" w:hAnsi="ArialMT" w:cs="ArialMT"/>
          <w:szCs w:val="22"/>
          <w:lang w:val="es-ES"/>
        </w:rPr>
        <w:t>+(</w:t>
      </w:r>
      <w:proofErr w:type="gramEnd"/>
      <w:r w:rsidR="003E25C1" w:rsidRPr="007226D7">
        <w:rPr>
          <w:rFonts w:ascii="ArialMT" w:hAnsi="ArialMT" w:cs="ArialMT"/>
          <w:szCs w:val="22"/>
          <w:lang w:val="es-ES"/>
        </w:rPr>
        <w:t>13*HV)</w:t>
      </w:r>
    </w:p>
    <w:p w:rsidR="003F360E" w:rsidRPr="007226D7" w:rsidRDefault="003F360E" w:rsidP="003E25C1">
      <w:pPr>
        <w:rPr>
          <w:rFonts w:ascii="ArialMT" w:hAnsi="ArialMT" w:cs="ArialMT"/>
          <w:szCs w:val="22"/>
          <w:lang w:val="es-ES"/>
        </w:rPr>
      </w:pPr>
    </w:p>
    <w:p w:rsidR="003F360E" w:rsidRPr="007226D7" w:rsidRDefault="003F360E" w:rsidP="003F360E">
      <w:pPr>
        <w:rPr>
          <w:lang w:val="es-ES"/>
        </w:rPr>
      </w:pPr>
      <w:r w:rsidRPr="007226D7">
        <w:rPr>
          <w:rFonts w:ascii="ArialMT" w:hAnsi="ArialMT" w:cs="ArialMT"/>
          <w:szCs w:val="22"/>
          <w:lang w:val="es-ES"/>
        </w:rPr>
        <w:t xml:space="preserve">El valor horario se calcula en un valor diario según la fórmula expresada anteriormente y se proyecta anualmente a menos de un factor de equivalencia de 321 días / año. </w:t>
      </w:r>
    </w:p>
    <w:p w:rsidR="003F360E" w:rsidRPr="007226D7" w:rsidRDefault="003F360E" w:rsidP="003E25C1">
      <w:pPr>
        <w:rPr>
          <w:lang w:val="es-ES"/>
        </w:rPr>
      </w:pPr>
    </w:p>
    <w:p w:rsidR="00547525" w:rsidRPr="007226D7" w:rsidRDefault="00547525">
      <w:pPr>
        <w:spacing w:after="0" w:line="240" w:lineRule="auto"/>
        <w:jc w:val="left"/>
        <w:rPr>
          <w:lang w:val="es-ES"/>
        </w:rPr>
      </w:pPr>
      <w:r w:rsidRPr="007226D7">
        <w:rPr>
          <w:lang w:val="es-ES"/>
        </w:rPr>
        <w:br w:type="page"/>
      </w:r>
    </w:p>
    <w:p w:rsidR="00ED1F70" w:rsidRPr="007226D7" w:rsidRDefault="00ED1F70" w:rsidP="00ED1F70">
      <w:pPr>
        <w:pStyle w:val="Heading3"/>
        <w:rPr>
          <w:lang w:val="es-ES"/>
        </w:rPr>
      </w:pPr>
      <w:bookmarkStart w:id="137" w:name="_Ref346487147"/>
      <w:bookmarkStart w:id="138" w:name="_Toc346541937"/>
      <w:r w:rsidRPr="007226D7">
        <w:rPr>
          <w:lang w:val="es-ES"/>
        </w:rPr>
        <w:lastRenderedPageBreak/>
        <w:t>Escenario 1</w:t>
      </w:r>
      <w:r w:rsidR="00CA7543" w:rsidRPr="007226D7">
        <w:rPr>
          <w:lang w:val="es-ES"/>
        </w:rPr>
        <w:t>.</w:t>
      </w:r>
      <w:r w:rsidRPr="007226D7">
        <w:rPr>
          <w:lang w:val="es-ES"/>
        </w:rPr>
        <w:t>1</w:t>
      </w:r>
      <w:bookmarkEnd w:id="136"/>
      <w:r w:rsidR="00CA7543" w:rsidRPr="007226D7">
        <w:rPr>
          <w:lang w:val="es-ES"/>
        </w:rPr>
        <w:t xml:space="preserve"> - </w:t>
      </w:r>
      <w:r w:rsidR="00CA7543" w:rsidRPr="007226D7">
        <w:rPr>
          <w:i/>
          <w:lang w:val="es-ES"/>
        </w:rPr>
        <w:t>NO INTERVENCIÓN 2018</w:t>
      </w:r>
      <w:bookmarkEnd w:id="137"/>
      <w:bookmarkEnd w:id="138"/>
    </w:p>
    <w:p w:rsidR="00ED1F70" w:rsidRPr="007226D7" w:rsidRDefault="00ED1F70" w:rsidP="00ED1F70">
      <w:pPr>
        <w:rPr>
          <w:lang w:val="es-ES"/>
        </w:rPr>
      </w:pPr>
      <w:r w:rsidRPr="007226D7">
        <w:rPr>
          <w:lang w:val="es-ES"/>
        </w:rPr>
        <w:t>La</w:t>
      </w:r>
      <w:r w:rsidR="00CA7543" w:rsidRPr="007226D7">
        <w:rPr>
          <w:lang w:val="es-ES"/>
        </w:rPr>
        <w:t>s</w:t>
      </w:r>
      <w:r w:rsidRPr="007226D7">
        <w:rPr>
          <w:lang w:val="es-ES"/>
        </w:rPr>
        <w:t xml:space="preserve"> siguiente</w:t>
      </w:r>
      <w:r w:rsidR="00CA7543" w:rsidRPr="007226D7">
        <w:rPr>
          <w:lang w:val="es-ES"/>
        </w:rPr>
        <w:t>s</w:t>
      </w:r>
      <w:r w:rsidRPr="007226D7">
        <w:rPr>
          <w:lang w:val="es-ES"/>
        </w:rPr>
        <w:t xml:space="preserve"> tabla</w:t>
      </w:r>
      <w:r w:rsidR="00CA7543" w:rsidRPr="007226D7">
        <w:rPr>
          <w:lang w:val="es-ES"/>
        </w:rPr>
        <w:t>s</w:t>
      </w:r>
      <w:r w:rsidRPr="007226D7">
        <w:rPr>
          <w:lang w:val="es-ES"/>
        </w:rPr>
        <w:t xml:space="preserve"> muestra</w:t>
      </w:r>
      <w:r w:rsidR="00CA7543" w:rsidRPr="007226D7">
        <w:rPr>
          <w:lang w:val="es-ES"/>
        </w:rPr>
        <w:t>n</w:t>
      </w:r>
      <w:r w:rsidRPr="007226D7">
        <w:rPr>
          <w:lang w:val="es-ES"/>
        </w:rPr>
        <w:t xml:space="preserve"> los resultados del modelo de demanda asignada por la situación de NO INTERVENC</w:t>
      </w:r>
      <w:r w:rsidR="00FC103B" w:rsidRPr="007226D7">
        <w:rPr>
          <w:lang w:val="es-ES"/>
        </w:rPr>
        <w:t>IÓN 2018.</w:t>
      </w:r>
    </w:p>
    <w:p w:rsidR="00FC103B" w:rsidRPr="007226D7" w:rsidRDefault="00FC103B" w:rsidP="00FC103B">
      <w:pPr>
        <w:pStyle w:val="Figuras"/>
      </w:pPr>
      <w:r w:rsidRPr="007226D7">
        <w:rPr>
          <w:noProof/>
        </w:rPr>
        <w:t>Tabla 4.7 – 1 (serie)</w:t>
      </w:r>
      <w:r w:rsidRPr="007226D7">
        <w:t xml:space="preserve">: resultados de modelación </w:t>
      </w:r>
      <w:r w:rsidR="000B2336" w:rsidRPr="007226D7">
        <w:t>escenario</w:t>
      </w:r>
      <w:r w:rsidRPr="007226D7">
        <w:t xml:space="preserve"> 1.3</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737E6E" w:rsidRPr="007226D7" w:rsidTr="00737E6E">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737E6E" w:rsidRPr="007226D7" w:rsidTr="00737E6E">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Total Dìario</w:t>
            </w:r>
          </w:p>
        </w:tc>
      </w:tr>
      <w:tr w:rsidR="00737E6E" w:rsidRPr="007226D7" w:rsidTr="00737E6E">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214,267</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120,518</w:t>
            </w:r>
          </w:p>
        </w:tc>
        <w:tc>
          <w:tcPr>
            <w:tcW w:w="1038"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97,695</w:t>
            </w:r>
          </w:p>
        </w:tc>
        <w:tc>
          <w:tcPr>
            <w:tcW w:w="1553"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1,939,603</w:t>
            </w:r>
          </w:p>
        </w:tc>
      </w:tr>
      <w:tr w:rsidR="00737E6E" w:rsidRPr="007226D7" w:rsidTr="00737E6E">
        <w:trPr>
          <w:trHeight w:val="240"/>
        </w:trPr>
        <w:tc>
          <w:tcPr>
            <w:tcW w:w="1119" w:type="dxa"/>
            <w:vMerge/>
            <w:tcBorders>
              <w:top w:val="nil"/>
              <w:left w:val="single" w:sz="4" w:space="0" w:color="auto"/>
              <w:bottom w:val="single" w:sz="4" w:space="0" w:color="auto"/>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113,724</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107,923</w:t>
            </w:r>
          </w:p>
        </w:tc>
        <w:tc>
          <w:tcPr>
            <w:tcW w:w="1038"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79,416</w:t>
            </w:r>
          </w:p>
        </w:tc>
        <w:tc>
          <w:tcPr>
            <w:tcW w:w="1553"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1,475,702</w:t>
            </w:r>
          </w:p>
        </w:tc>
      </w:tr>
      <w:tr w:rsidR="00737E6E" w:rsidRPr="007226D7" w:rsidTr="00737E6E">
        <w:trPr>
          <w:trHeight w:val="240"/>
        </w:trPr>
        <w:tc>
          <w:tcPr>
            <w:tcW w:w="1119" w:type="dxa"/>
            <w:vMerge/>
            <w:tcBorders>
              <w:top w:val="nil"/>
              <w:left w:val="single" w:sz="4" w:space="0" w:color="auto"/>
              <w:bottom w:val="single" w:sz="4" w:space="0" w:color="auto"/>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14,974</w:t>
            </w:r>
          </w:p>
        </w:tc>
        <w:tc>
          <w:tcPr>
            <w:tcW w:w="1265" w:type="dxa"/>
            <w:tcBorders>
              <w:top w:val="nil"/>
              <w:left w:val="nil"/>
              <w:bottom w:val="single" w:sz="4" w:space="0" w:color="auto"/>
              <w:right w:val="nil"/>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11,463</w:t>
            </w:r>
          </w:p>
        </w:tc>
        <w:tc>
          <w:tcPr>
            <w:tcW w:w="1038"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11,310</w:t>
            </w:r>
          </w:p>
        </w:tc>
        <w:tc>
          <w:tcPr>
            <w:tcW w:w="1553" w:type="dxa"/>
            <w:tcBorders>
              <w:top w:val="nil"/>
              <w:left w:val="nil"/>
              <w:bottom w:val="single" w:sz="4" w:space="0" w:color="auto"/>
              <w:right w:val="single" w:sz="4" w:space="0" w:color="auto"/>
            </w:tcBorders>
            <w:shd w:val="clear" w:color="171717" w:fill="DBE5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199,904</w:t>
            </w:r>
          </w:p>
        </w:tc>
      </w:tr>
      <w:tr w:rsidR="00737E6E" w:rsidRPr="007226D7" w:rsidTr="00737E6E">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1,534,570</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1,151,548</w:t>
            </w:r>
          </w:p>
        </w:tc>
        <w:tc>
          <w:tcPr>
            <w:tcW w:w="1038"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917,321</w:t>
            </w:r>
          </w:p>
        </w:tc>
        <w:tc>
          <w:tcPr>
            <w:tcW w:w="1553"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17,297,406</w:t>
            </w:r>
          </w:p>
        </w:tc>
      </w:tr>
      <w:tr w:rsidR="00737E6E" w:rsidRPr="007226D7" w:rsidTr="00737E6E">
        <w:trPr>
          <w:trHeight w:val="240"/>
        </w:trPr>
        <w:tc>
          <w:tcPr>
            <w:tcW w:w="1119" w:type="dxa"/>
            <w:vMerge/>
            <w:tcBorders>
              <w:top w:val="nil"/>
              <w:left w:val="single" w:sz="4" w:space="0" w:color="auto"/>
              <w:bottom w:val="single" w:sz="4" w:space="0" w:color="auto"/>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834,112</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987,370</w:t>
            </w:r>
          </w:p>
        </w:tc>
        <w:tc>
          <w:tcPr>
            <w:tcW w:w="1038"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589,531</w:t>
            </w:r>
          </w:p>
        </w:tc>
        <w:tc>
          <w:tcPr>
            <w:tcW w:w="1553"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11,306,862</w:t>
            </w:r>
          </w:p>
        </w:tc>
      </w:tr>
      <w:tr w:rsidR="00737E6E" w:rsidRPr="007226D7" w:rsidTr="00737E6E">
        <w:trPr>
          <w:trHeight w:val="240"/>
        </w:trPr>
        <w:tc>
          <w:tcPr>
            <w:tcW w:w="1119" w:type="dxa"/>
            <w:vMerge/>
            <w:tcBorders>
              <w:top w:val="nil"/>
              <w:left w:val="single" w:sz="4" w:space="0" w:color="auto"/>
              <w:bottom w:val="single" w:sz="4" w:space="0" w:color="auto"/>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337,000</w:t>
            </w:r>
          </w:p>
        </w:tc>
        <w:tc>
          <w:tcPr>
            <w:tcW w:w="1265" w:type="dxa"/>
            <w:tcBorders>
              <w:top w:val="nil"/>
              <w:left w:val="nil"/>
              <w:bottom w:val="single" w:sz="4" w:space="0" w:color="auto"/>
              <w:right w:val="nil"/>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293,068</w:t>
            </w:r>
          </w:p>
        </w:tc>
        <w:tc>
          <w:tcPr>
            <w:tcW w:w="1038"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289,735</w:t>
            </w:r>
          </w:p>
        </w:tc>
        <w:tc>
          <w:tcPr>
            <w:tcW w:w="1553" w:type="dxa"/>
            <w:tcBorders>
              <w:top w:val="nil"/>
              <w:left w:val="nil"/>
              <w:bottom w:val="single" w:sz="4" w:space="0" w:color="auto"/>
              <w:right w:val="single" w:sz="4" w:space="0" w:color="auto"/>
            </w:tcBorders>
            <w:shd w:val="clear" w:color="171717" w:fill="C5D9F1"/>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5,026,694</w:t>
            </w:r>
          </w:p>
        </w:tc>
      </w:tr>
      <w:tr w:rsidR="00737E6E" w:rsidRPr="007226D7" w:rsidTr="00737E6E">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114,711</w:t>
            </w:r>
          </w:p>
        </w:tc>
        <w:tc>
          <w:tcPr>
            <w:tcW w:w="1265" w:type="dxa"/>
            <w:tcBorders>
              <w:top w:val="nil"/>
              <w:left w:val="nil"/>
              <w:bottom w:val="single" w:sz="4"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67,586</w:t>
            </w:r>
          </w:p>
        </w:tc>
        <w:tc>
          <w:tcPr>
            <w:tcW w:w="1038"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49,523</w:t>
            </w:r>
          </w:p>
        </w:tc>
        <w:tc>
          <w:tcPr>
            <w:tcW w:w="1553"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1,008,388</w:t>
            </w:r>
          </w:p>
        </w:tc>
      </w:tr>
      <w:tr w:rsidR="00737E6E" w:rsidRPr="007226D7" w:rsidTr="00737E6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57,173</w:t>
            </w:r>
          </w:p>
        </w:tc>
        <w:tc>
          <w:tcPr>
            <w:tcW w:w="1265" w:type="dxa"/>
            <w:tcBorders>
              <w:top w:val="nil"/>
              <w:left w:val="nil"/>
              <w:bottom w:val="single" w:sz="4"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54,902</w:t>
            </w:r>
          </w:p>
        </w:tc>
        <w:tc>
          <w:tcPr>
            <w:tcW w:w="1038"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31,935</w:t>
            </w:r>
          </w:p>
        </w:tc>
        <w:tc>
          <w:tcPr>
            <w:tcW w:w="1553" w:type="dxa"/>
            <w:tcBorders>
              <w:top w:val="nil"/>
              <w:left w:val="nil"/>
              <w:bottom w:val="single" w:sz="4"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639,303</w:t>
            </w:r>
          </w:p>
        </w:tc>
      </w:tr>
      <w:tr w:rsidR="00737E6E" w:rsidRPr="007226D7" w:rsidTr="00737E6E">
        <w:trPr>
          <w:trHeight w:val="255"/>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15,587</w:t>
            </w:r>
          </w:p>
        </w:tc>
        <w:tc>
          <w:tcPr>
            <w:tcW w:w="1265" w:type="dxa"/>
            <w:tcBorders>
              <w:top w:val="nil"/>
              <w:left w:val="nil"/>
              <w:bottom w:val="single" w:sz="8" w:space="0" w:color="auto"/>
              <w:right w:val="nil"/>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13,142</w:t>
            </w:r>
          </w:p>
        </w:tc>
        <w:tc>
          <w:tcPr>
            <w:tcW w:w="1038" w:type="dxa"/>
            <w:tcBorders>
              <w:top w:val="nil"/>
              <w:left w:val="nil"/>
              <w:bottom w:val="single" w:sz="8"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11,461</w:t>
            </w:r>
          </w:p>
        </w:tc>
        <w:tc>
          <w:tcPr>
            <w:tcW w:w="1553" w:type="dxa"/>
            <w:tcBorders>
              <w:top w:val="nil"/>
              <w:left w:val="nil"/>
              <w:bottom w:val="single" w:sz="8" w:space="0" w:color="auto"/>
              <w:right w:val="single" w:sz="4" w:space="0" w:color="auto"/>
            </w:tcBorders>
            <w:shd w:val="clear" w:color="171717" w:fill="95B3D7"/>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206,448</w:t>
            </w:r>
          </w:p>
        </w:tc>
      </w:tr>
    </w:tbl>
    <w:p w:rsidR="00737E6E" w:rsidRPr="007226D7" w:rsidRDefault="00737E6E" w:rsidP="00ED1F70">
      <w:pPr>
        <w:rPr>
          <w:sz w:val="4"/>
          <w:szCs w:val="4"/>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737E6E" w:rsidRPr="007226D7" w:rsidTr="00963155">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737E6E" w:rsidRPr="007226D7" w:rsidTr="00963155">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HPM</w:t>
            </w:r>
          </w:p>
        </w:tc>
        <w:tc>
          <w:tcPr>
            <w:tcW w:w="1086" w:type="dxa"/>
            <w:tcBorders>
              <w:top w:val="nil"/>
              <w:left w:val="nil"/>
              <w:bottom w:val="single" w:sz="8" w:space="0" w:color="auto"/>
              <w:right w:val="nil"/>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HPT</w:t>
            </w:r>
          </w:p>
        </w:tc>
        <w:tc>
          <w:tcPr>
            <w:tcW w:w="1086" w:type="dxa"/>
            <w:tcBorders>
              <w:top w:val="nil"/>
              <w:left w:val="nil"/>
              <w:bottom w:val="single" w:sz="8"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center"/>
              <w:rPr>
                <w:rFonts w:cs="Arial"/>
                <w:b/>
                <w:bCs/>
                <w:sz w:val="18"/>
                <w:szCs w:val="18"/>
              </w:rPr>
            </w:pPr>
            <w:r w:rsidRPr="007226D7">
              <w:rPr>
                <w:rFonts w:cs="Arial"/>
                <w:b/>
                <w:bCs/>
                <w:sz w:val="18"/>
                <w:szCs w:val="18"/>
              </w:rPr>
              <w:t>Total Dìario</w:t>
            </w:r>
          </w:p>
        </w:tc>
      </w:tr>
      <w:tr w:rsidR="00737E6E" w:rsidRPr="007226D7" w:rsidTr="00FC103B">
        <w:trPr>
          <w:trHeight w:hRule="exact" w:val="624"/>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1,090,300</w:t>
            </w:r>
          </w:p>
        </w:tc>
        <w:tc>
          <w:tcPr>
            <w:tcW w:w="1086" w:type="dxa"/>
            <w:tcBorders>
              <w:top w:val="nil"/>
              <w:left w:val="nil"/>
              <w:bottom w:val="single" w:sz="4" w:space="0" w:color="auto"/>
              <w:right w:val="nil"/>
            </w:tcBorders>
            <w:shd w:val="clear" w:color="171717" w:fill="D7E4BC"/>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740,989</w:t>
            </w:r>
          </w:p>
        </w:tc>
        <w:tc>
          <w:tcPr>
            <w:tcW w:w="1086" w:type="dxa"/>
            <w:tcBorders>
              <w:top w:val="nil"/>
              <w:left w:val="nil"/>
              <w:bottom w:val="single" w:sz="4" w:space="0" w:color="auto"/>
              <w:right w:val="single" w:sz="4" w:space="0" w:color="auto"/>
            </w:tcBorders>
            <w:shd w:val="clear" w:color="171717" w:fill="D7E4BC"/>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535,017</w:t>
            </w:r>
          </w:p>
        </w:tc>
        <w:tc>
          <w:tcPr>
            <w:tcW w:w="1625" w:type="dxa"/>
            <w:tcBorders>
              <w:top w:val="nil"/>
              <w:left w:val="nil"/>
              <w:bottom w:val="single" w:sz="4" w:space="0" w:color="auto"/>
              <w:right w:val="single" w:sz="4" w:space="0" w:color="auto"/>
            </w:tcBorders>
            <w:shd w:val="clear" w:color="171717" w:fill="D7E4BC"/>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10,617,802</w:t>
            </w:r>
          </w:p>
        </w:tc>
      </w:tr>
      <w:tr w:rsidR="00737E6E" w:rsidRPr="007226D7" w:rsidTr="00963155">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168,065</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161,661</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125,233</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2,287,477</w:t>
            </w:r>
          </w:p>
        </w:tc>
      </w:tr>
      <w:tr w:rsidR="00737E6E" w:rsidRPr="007226D7" w:rsidTr="00963155">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136,136</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104,085</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106,239</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1,861,552</w:t>
            </w:r>
          </w:p>
        </w:tc>
      </w:tr>
      <w:tr w:rsidR="00737E6E" w:rsidRPr="007226D7" w:rsidTr="00963155">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52,659</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28,611</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29,114</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541,025</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133</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178</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178</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2,929</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color w:val="C5C5C5"/>
                <w:sz w:val="18"/>
                <w:szCs w:val="18"/>
              </w:rPr>
            </w:pPr>
            <w:r w:rsidRPr="007226D7">
              <w:rPr>
                <w:rFonts w:cs="Arial"/>
                <w:color w:val="C5C5C5"/>
                <w:sz w:val="18"/>
                <w:szCs w:val="18"/>
              </w:rPr>
              <w:t>0</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6,026</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4,465</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44,252</w:t>
            </w:r>
          </w:p>
        </w:tc>
      </w:tr>
      <w:tr w:rsidR="00737E6E" w:rsidRPr="007226D7" w:rsidTr="00963155">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2,466</w:t>
            </w:r>
          </w:p>
        </w:tc>
        <w:tc>
          <w:tcPr>
            <w:tcW w:w="1086" w:type="dxa"/>
            <w:tcBorders>
              <w:top w:val="nil"/>
              <w:left w:val="nil"/>
              <w:bottom w:val="single" w:sz="4" w:space="0" w:color="auto"/>
              <w:right w:val="nil"/>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2,543</w:t>
            </w:r>
          </w:p>
        </w:tc>
        <w:tc>
          <w:tcPr>
            <w:tcW w:w="1086"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sz w:val="18"/>
                <w:szCs w:val="18"/>
              </w:rPr>
            </w:pPr>
            <w:r w:rsidRPr="007226D7">
              <w:rPr>
                <w:rFonts w:cs="Arial"/>
                <w:sz w:val="18"/>
                <w:szCs w:val="18"/>
              </w:rPr>
              <w:t>2,444</w:t>
            </w:r>
          </w:p>
        </w:tc>
        <w:tc>
          <w:tcPr>
            <w:tcW w:w="1625" w:type="dxa"/>
            <w:tcBorders>
              <w:top w:val="nil"/>
              <w:left w:val="nil"/>
              <w:bottom w:val="single" w:sz="4" w:space="0" w:color="auto"/>
              <w:right w:val="single" w:sz="4" w:space="0" w:color="auto"/>
            </w:tcBorders>
            <w:shd w:val="clear" w:color="171717" w:fill="FFFFFF"/>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41,785</w:t>
            </w:r>
          </w:p>
        </w:tc>
      </w:tr>
      <w:tr w:rsidR="00737E6E" w:rsidRPr="007226D7" w:rsidTr="00963155">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37E6E" w:rsidRPr="007226D7" w:rsidRDefault="00737E6E" w:rsidP="00737E6E">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737E6E" w:rsidRPr="007226D7" w:rsidRDefault="00737E6E" w:rsidP="00737E6E">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365,485</w:t>
            </w:r>
          </w:p>
        </w:tc>
        <w:tc>
          <w:tcPr>
            <w:tcW w:w="1086" w:type="dxa"/>
            <w:tcBorders>
              <w:top w:val="nil"/>
              <w:left w:val="nil"/>
              <w:bottom w:val="single" w:sz="8" w:space="0" w:color="auto"/>
              <w:right w:val="nil"/>
            </w:tcBorders>
            <w:shd w:val="clear" w:color="171717" w:fill="92D050"/>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301,542</w:t>
            </w:r>
          </w:p>
        </w:tc>
        <w:tc>
          <w:tcPr>
            <w:tcW w:w="1086" w:type="dxa"/>
            <w:tcBorders>
              <w:top w:val="nil"/>
              <w:left w:val="nil"/>
              <w:bottom w:val="single" w:sz="8" w:space="0" w:color="auto"/>
              <w:right w:val="single" w:sz="4" w:space="0" w:color="auto"/>
            </w:tcBorders>
            <w:shd w:val="clear" w:color="171717" w:fill="92D050"/>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264,997</w:t>
            </w:r>
          </w:p>
        </w:tc>
        <w:tc>
          <w:tcPr>
            <w:tcW w:w="1625" w:type="dxa"/>
            <w:tcBorders>
              <w:top w:val="nil"/>
              <w:left w:val="nil"/>
              <w:bottom w:val="single" w:sz="8" w:space="0" w:color="auto"/>
              <w:right w:val="single" w:sz="4" w:space="0" w:color="auto"/>
            </w:tcBorders>
            <w:shd w:val="clear" w:color="171717" w:fill="92D050"/>
            <w:noWrap/>
            <w:vAlign w:val="center"/>
            <w:hideMark/>
          </w:tcPr>
          <w:p w:rsidR="00737E6E" w:rsidRPr="007226D7" w:rsidRDefault="00737E6E" w:rsidP="00737E6E">
            <w:pPr>
              <w:spacing w:after="0" w:line="240" w:lineRule="auto"/>
              <w:jc w:val="right"/>
              <w:rPr>
                <w:rFonts w:cs="Arial"/>
                <w:b/>
                <w:bCs/>
                <w:sz w:val="18"/>
                <w:szCs w:val="18"/>
              </w:rPr>
            </w:pPr>
            <w:r w:rsidRPr="007226D7">
              <w:rPr>
                <w:rFonts w:cs="Arial"/>
                <w:b/>
                <w:bCs/>
                <w:sz w:val="18"/>
                <w:szCs w:val="18"/>
              </w:rPr>
              <w:t>4,779,019</w:t>
            </w:r>
          </w:p>
        </w:tc>
      </w:tr>
      <w:tr w:rsidR="00963155" w:rsidRPr="007226D7" w:rsidTr="00963155">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963155" w:rsidRPr="007226D7" w:rsidTr="00963155">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1323"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HV</w:t>
            </w:r>
          </w:p>
        </w:tc>
        <w:tc>
          <w:tcPr>
            <w:tcW w:w="1621"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Total Dìario</w:t>
            </w:r>
          </w:p>
        </w:tc>
      </w:tr>
      <w:tr w:rsidR="00963155" w:rsidRPr="007226D7" w:rsidTr="00963155">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963155" w:rsidRPr="007226D7" w:rsidRDefault="00963155" w:rsidP="00963155">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3"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545,005</w:t>
            </w:r>
          </w:p>
        </w:tc>
        <w:tc>
          <w:tcPr>
            <w:tcW w:w="1088"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407,160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268,272</w:t>
            </w:r>
          </w:p>
        </w:tc>
        <w:tc>
          <w:tcPr>
            <w:tcW w:w="1621"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5,391,866</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512,463</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379,919</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271,849</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5,318,801</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227,018</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145,951</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106,925</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2,135,961</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1 -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1</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2 -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2</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3 -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3</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4 -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4</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5 -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5</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CORREDORES Interconexión</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L1</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9,932</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9,734</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4,228</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94,296</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L2</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L3</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L4</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Metropolitano </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52,498</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43,680</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20,748</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462,080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Metropolitano - Alimentadoras</w:t>
            </w:r>
          </w:p>
        </w:tc>
        <w:tc>
          <w:tcPr>
            <w:tcW w:w="1323"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11,303</w:t>
            </w:r>
          </w:p>
        </w:tc>
        <w:tc>
          <w:tcPr>
            <w:tcW w:w="1088"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9,367</w:t>
            </w:r>
          </w:p>
        </w:tc>
        <w:tc>
          <w:tcPr>
            <w:tcW w:w="1088"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4,868</w:t>
            </w:r>
          </w:p>
        </w:tc>
        <w:tc>
          <w:tcPr>
            <w:tcW w:w="1621"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104,624</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963155" w:rsidRPr="007226D7" w:rsidRDefault="00963155" w:rsidP="00963155">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3" w:type="dxa"/>
            <w:tcBorders>
              <w:top w:val="nil"/>
              <w:left w:val="nil"/>
              <w:bottom w:val="single" w:sz="8" w:space="0" w:color="auto"/>
              <w:right w:val="nil"/>
            </w:tcBorders>
            <w:shd w:val="clear" w:color="171717" w:fill="75923C"/>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1,358,219</w:t>
            </w:r>
          </w:p>
        </w:tc>
        <w:tc>
          <w:tcPr>
            <w:tcW w:w="1088" w:type="dxa"/>
            <w:tcBorders>
              <w:top w:val="nil"/>
              <w:left w:val="nil"/>
              <w:bottom w:val="single" w:sz="8" w:space="0" w:color="auto"/>
              <w:right w:val="nil"/>
            </w:tcBorders>
            <w:shd w:val="clear" w:color="171717" w:fill="75923C"/>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995,811</w:t>
            </w:r>
          </w:p>
        </w:tc>
        <w:tc>
          <w:tcPr>
            <w:tcW w:w="1088" w:type="dxa"/>
            <w:tcBorders>
              <w:top w:val="nil"/>
              <w:left w:val="nil"/>
              <w:bottom w:val="single" w:sz="8" w:space="0" w:color="auto"/>
              <w:right w:val="single" w:sz="4" w:space="0" w:color="auto"/>
            </w:tcBorders>
            <w:shd w:val="clear" w:color="171717" w:fill="75923C"/>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676,890</w:t>
            </w:r>
          </w:p>
        </w:tc>
        <w:tc>
          <w:tcPr>
            <w:tcW w:w="1621" w:type="dxa"/>
            <w:tcBorders>
              <w:top w:val="nil"/>
              <w:left w:val="nil"/>
              <w:bottom w:val="single" w:sz="8" w:space="0" w:color="auto"/>
              <w:right w:val="single" w:sz="4" w:space="0" w:color="auto"/>
            </w:tcBorders>
            <w:shd w:val="clear" w:color="171717" w:fill="75923C"/>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13,507,628</w:t>
            </w:r>
          </w:p>
        </w:tc>
      </w:tr>
    </w:tbl>
    <w:p w:rsidR="00737E6E" w:rsidRPr="007226D7" w:rsidRDefault="00737E6E" w:rsidP="00963155">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963155" w:rsidRPr="007226D7" w:rsidRDefault="00963155" w:rsidP="00ED1F70">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963155" w:rsidRPr="007226D7" w:rsidTr="00963155">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963155" w:rsidRPr="007226D7" w:rsidTr="00963155">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Total Dìario</w:t>
            </w:r>
          </w:p>
        </w:tc>
      </w:tr>
      <w:tr w:rsidR="00963155" w:rsidRPr="007226D7" w:rsidTr="00963155">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963155" w:rsidRPr="007226D7" w:rsidRDefault="00963155" w:rsidP="00963155">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3,574,014</w:t>
            </w:r>
          </w:p>
        </w:tc>
        <w:tc>
          <w:tcPr>
            <w:tcW w:w="1175"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2,966,867</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2,078,257</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40,099,103</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4,032,649</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3,190,137</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2,440,129</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46,167,249</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1,693,159</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1,163,197</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906,577</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17,498,213</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963155" w:rsidRPr="007226D7" w:rsidRDefault="00963155"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137,020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141,447</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60,190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1,339,404</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color w:val="C5C5C5"/>
                <w:sz w:val="18"/>
                <w:szCs w:val="18"/>
              </w:rPr>
            </w:pPr>
            <w:r w:rsidRPr="007226D7">
              <w:rPr>
                <w:rFonts w:cs="Arial"/>
                <w:color w:val="C5C5C5"/>
                <w:sz w:val="18"/>
                <w:szCs w:val="18"/>
              </w:rPr>
              <w:t>0</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596,647</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514,459</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254,201</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5,526,825</w:t>
            </w:r>
          </w:p>
        </w:tc>
      </w:tr>
      <w:tr w:rsidR="00963155" w:rsidRPr="007226D7" w:rsidTr="00963155">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73,723</w:t>
            </w:r>
          </w:p>
        </w:tc>
        <w:tc>
          <w:tcPr>
            <w:tcW w:w="1175" w:type="dxa"/>
            <w:tcBorders>
              <w:top w:val="nil"/>
              <w:left w:val="nil"/>
              <w:bottom w:val="single" w:sz="4" w:space="0" w:color="auto"/>
              <w:right w:val="nil"/>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61,472</w:t>
            </w:r>
          </w:p>
        </w:tc>
        <w:tc>
          <w:tcPr>
            <w:tcW w:w="1175"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sz w:val="18"/>
                <w:szCs w:val="18"/>
              </w:rPr>
            </w:pPr>
            <w:r w:rsidRPr="007226D7">
              <w:rPr>
                <w:rFonts w:cs="Arial"/>
                <w:sz w:val="18"/>
                <w:szCs w:val="18"/>
              </w:rPr>
              <w:t>32,009</w:t>
            </w:r>
          </w:p>
        </w:tc>
        <w:tc>
          <w:tcPr>
            <w:tcW w:w="1454" w:type="dxa"/>
            <w:tcBorders>
              <w:top w:val="nil"/>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686,507</w:t>
            </w:r>
          </w:p>
        </w:tc>
      </w:tr>
      <w:tr w:rsidR="00963155" w:rsidRPr="007226D7" w:rsidTr="00963155">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963155" w:rsidRPr="007226D7" w:rsidRDefault="00963155" w:rsidP="00963155">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10,107,212</w:t>
            </w:r>
          </w:p>
        </w:tc>
        <w:tc>
          <w:tcPr>
            <w:tcW w:w="1175" w:type="dxa"/>
            <w:tcBorders>
              <w:top w:val="nil"/>
              <w:left w:val="nil"/>
              <w:bottom w:val="single" w:sz="8" w:space="0" w:color="auto"/>
              <w:right w:val="nil"/>
            </w:tcBorders>
            <w:shd w:val="clear" w:color="171717" w:fill="4F6228"/>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8,037,579</w:t>
            </w:r>
          </w:p>
        </w:tc>
        <w:tc>
          <w:tcPr>
            <w:tcW w:w="1175" w:type="dxa"/>
            <w:tcBorders>
              <w:top w:val="nil"/>
              <w:left w:val="nil"/>
              <w:bottom w:val="single" w:sz="8" w:space="0" w:color="auto"/>
              <w:right w:val="single" w:sz="4" w:space="0" w:color="auto"/>
            </w:tcBorders>
            <w:shd w:val="clear" w:color="171717" w:fill="4F6228"/>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5,771,363</w:t>
            </w:r>
          </w:p>
        </w:tc>
        <w:tc>
          <w:tcPr>
            <w:tcW w:w="1454" w:type="dxa"/>
            <w:tcBorders>
              <w:top w:val="nil"/>
              <w:left w:val="nil"/>
              <w:bottom w:val="single" w:sz="8" w:space="0" w:color="auto"/>
              <w:right w:val="single" w:sz="4" w:space="0" w:color="auto"/>
            </w:tcBorders>
            <w:shd w:val="clear" w:color="171717" w:fill="4F6228"/>
            <w:noWrap/>
            <w:vAlign w:val="center"/>
            <w:hideMark/>
          </w:tcPr>
          <w:p w:rsidR="00963155" w:rsidRPr="007226D7" w:rsidRDefault="00963155" w:rsidP="00963155">
            <w:pPr>
              <w:spacing w:after="0" w:line="240" w:lineRule="auto"/>
              <w:jc w:val="right"/>
              <w:rPr>
                <w:rFonts w:cs="Arial"/>
                <w:b/>
                <w:bCs/>
                <w:color w:val="FFFFFF"/>
                <w:sz w:val="18"/>
                <w:szCs w:val="18"/>
              </w:rPr>
            </w:pPr>
            <w:r w:rsidRPr="007226D7">
              <w:rPr>
                <w:rFonts w:cs="Arial"/>
                <w:b/>
                <w:bCs/>
                <w:color w:val="FFFFFF"/>
                <w:sz w:val="18"/>
                <w:szCs w:val="18"/>
              </w:rPr>
              <w:t>111,317,301</w:t>
            </w:r>
          </w:p>
        </w:tc>
      </w:tr>
    </w:tbl>
    <w:p w:rsidR="00963155" w:rsidRPr="007226D7" w:rsidRDefault="00963155" w:rsidP="00ED1F70">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963155" w:rsidRPr="007226D7" w:rsidTr="00963155">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963155" w:rsidRPr="007226D7" w:rsidTr="00963155">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963155" w:rsidRPr="007226D7" w:rsidRDefault="00963155" w:rsidP="00963155">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963155" w:rsidRPr="007226D7" w:rsidRDefault="00963155" w:rsidP="00963155">
            <w:pPr>
              <w:spacing w:after="0" w:line="240" w:lineRule="auto"/>
              <w:jc w:val="center"/>
              <w:rPr>
                <w:rFonts w:cs="Arial"/>
                <w:b/>
                <w:bCs/>
                <w:sz w:val="18"/>
                <w:szCs w:val="18"/>
              </w:rPr>
            </w:pPr>
            <w:r w:rsidRPr="007226D7">
              <w:rPr>
                <w:rFonts w:cs="Arial"/>
                <w:b/>
                <w:bCs/>
                <w:sz w:val="18"/>
                <w:szCs w:val="18"/>
              </w:rPr>
              <w:t>Total Dìario</w:t>
            </w:r>
          </w:p>
        </w:tc>
      </w:tr>
      <w:tr w:rsidR="00963155" w:rsidRPr="007226D7" w:rsidTr="00963155">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41,000,785</w:t>
            </w:r>
          </w:p>
        </w:tc>
        <w:tc>
          <w:tcPr>
            <w:tcW w:w="1247" w:type="dxa"/>
            <w:tcBorders>
              <w:top w:val="single" w:sz="4" w:space="0" w:color="auto"/>
              <w:left w:val="nil"/>
              <w:bottom w:val="single" w:sz="4" w:space="0" w:color="auto"/>
              <w:right w:val="nil"/>
            </w:tcBorders>
            <w:shd w:val="clear" w:color="171717" w:fill="FFFF99"/>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39,632,261</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37,005,765</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642,341,034</w:t>
            </w:r>
          </w:p>
        </w:tc>
      </w:tr>
      <w:tr w:rsidR="00963155" w:rsidRPr="007226D7" w:rsidTr="00963155">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963155" w:rsidRPr="007226D7" w:rsidRDefault="00963155" w:rsidP="00963155">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24.57%</w:t>
            </w:r>
          </w:p>
        </w:tc>
        <w:tc>
          <w:tcPr>
            <w:tcW w:w="1247" w:type="dxa"/>
            <w:tcBorders>
              <w:top w:val="nil"/>
              <w:left w:val="nil"/>
              <w:bottom w:val="single" w:sz="4" w:space="0" w:color="auto"/>
              <w:right w:val="nil"/>
            </w:tcBorders>
            <w:shd w:val="clear" w:color="171717" w:fill="FFFF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34.39%</w:t>
            </w:r>
          </w:p>
        </w:tc>
        <w:tc>
          <w:tcPr>
            <w:tcW w:w="1247" w:type="dxa"/>
            <w:tcBorders>
              <w:top w:val="nil"/>
              <w:left w:val="nil"/>
              <w:bottom w:val="single" w:sz="4" w:space="0" w:color="auto"/>
              <w:right w:val="single" w:sz="4" w:space="0" w:color="auto"/>
            </w:tcBorders>
            <w:shd w:val="clear" w:color="171717" w:fill="FFFF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26.52%</w:t>
            </w:r>
          </w:p>
        </w:tc>
        <w:tc>
          <w:tcPr>
            <w:tcW w:w="1379" w:type="dxa"/>
            <w:tcBorders>
              <w:top w:val="nil"/>
              <w:left w:val="nil"/>
              <w:bottom w:val="single" w:sz="4" w:space="0" w:color="auto"/>
              <w:right w:val="single" w:sz="4" w:space="0" w:color="auto"/>
            </w:tcBorders>
            <w:shd w:val="clear" w:color="171717" w:fill="FFFF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w:t>
            </w:r>
          </w:p>
        </w:tc>
      </w:tr>
      <w:tr w:rsidR="00963155" w:rsidRPr="007226D7" w:rsidTr="00963155">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963155" w:rsidRPr="007226D7" w:rsidRDefault="00963155" w:rsidP="00963155">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45.78</w:t>
            </w:r>
          </w:p>
        </w:tc>
        <w:tc>
          <w:tcPr>
            <w:tcW w:w="1247" w:type="dxa"/>
            <w:tcBorders>
              <w:top w:val="nil"/>
              <w:left w:val="nil"/>
              <w:bottom w:val="single" w:sz="4" w:space="0" w:color="auto"/>
              <w:right w:val="nil"/>
            </w:tcBorders>
            <w:shd w:val="clear" w:color="171717" w:fill="FFC0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49.27</w:t>
            </w:r>
          </w:p>
        </w:tc>
        <w:tc>
          <w:tcPr>
            <w:tcW w:w="1247" w:type="dxa"/>
            <w:tcBorders>
              <w:top w:val="nil"/>
              <w:left w:val="nil"/>
              <w:bottom w:val="single" w:sz="4" w:space="0" w:color="auto"/>
              <w:right w:val="single" w:sz="4" w:space="0" w:color="auto"/>
            </w:tcBorders>
            <w:shd w:val="clear" w:color="171717" w:fill="FFC0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45.48</w:t>
            </w:r>
          </w:p>
        </w:tc>
        <w:tc>
          <w:tcPr>
            <w:tcW w:w="1379" w:type="dxa"/>
            <w:tcBorders>
              <w:top w:val="nil"/>
              <w:left w:val="nil"/>
              <w:bottom w:val="single" w:sz="4" w:space="0" w:color="auto"/>
              <w:right w:val="single" w:sz="4" w:space="0" w:color="auto"/>
            </w:tcBorders>
            <w:shd w:val="clear" w:color="171717" w:fill="FFC000"/>
            <w:noWrap/>
            <w:vAlign w:val="center"/>
            <w:hideMark/>
          </w:tcPr>
          <w:p w:rsidR="00963155" w:rsidRPr="007226D7" w:rsidRDefault="00963155" w:rsidP="00963155">
            <w:pPr>
              <w:spacing w:after="0" w:line="240" w:lineRule="auto"/>
              <w:jc w:val="right"/>
              <w:rPr>
                <w:rFonts w:cs="Arial"/>
                <w:b/>
                <w:bCs/>
                <w:sz w:val="18"/>
                <w:szCs w:val="18"/>
              </w:rPr>
            </w:pPr>
            <w:r w:rsidRPr="007226D7">
              <w:rPr>
                <w:rFonts w:cs="Arial"/>
                <w:b/>
                <w:bCs/>
                <w:sz w:val="18"/>
                <w:szCs w:val="18"/>
              </w:rPr>
              <w:t>-</w:t>
            </w:r>
          </w:p>
        </w:tc>
      </w:tr>
    </w:tbl>
    <w:p w:rsidR="00737E6E" w:rsidRPr="007226D7" w:rsidRDefault="00737E6E" w:rsidP="00ED1F70">
      <w:pPr>
        <w:rPr>
          <w:lang w:val="es-ES"/>
        </w:rPr>
      </w:pPr>
      <w:r w:rsidRPr="007226D7">
        <w:rPr>
          <w:lang w:val="es-ES"/>
        </w:rPr>
        <w:t>**incluye sólo el tiempo real de viaje y no considere el tiempo de parada.</w:t>
      </w:r>
    </w:p>
    <w:p w:rsidR="00963155" w:rsidRPr="007226D7" w:rsidRDefault="00963155">
      <w:pPr>
        <w:spacing w:after="0" w:line="240" w:lineRule="auto"/>
        <w:jc w:val="left"/>
        <w:rPr>
          <w:lang w:val="es-ES"/>
        </w:rPr>
      </w:pPr>
      <w:bookmarkStart w:id="139" w:name="_Toc342751285"/>
    </w:p>
    <w:p w:rsidR="00963155" w:rsidRPr="007226D7" w:rsidRDefault="00963155">
      <w:pPr>
        <w:spacing w:after="0" w:line="240" w:lineRule="auto"/>
        <w:jc w:val="left"/>
        <w:rPr>
          <w:lang w:val="es-ES"/>
        </w:rPr>
      </w:pPr>
    </w:p>
    <w:p w:rsidR="00963155" w:rsidRPr="007226D7" w:rsidRDefault="00963155">
      <w:pPr>
        <w:spacing w:after="0" w:line="240" w:lineRule="auto"/>
        <w:jc w:val="left"/>
        <w:rPr>
          <w:lang w:val="es-ES"/>
        </w:rPr>
      </w:pPr>
    </w:p>
    <w:p w:rsidR="00547525" w:rsidRPr="007226D7" w:rsidRDefault="00547525">
      <w:pPr>
        <w:spacing w:after="0" w:line="240" w:lineRule="auto"/>
        <w:jc w:val="left"/>
        <w:rPr>
          <w:lang w:val="es-ES"/>
        </w:rPr>
      </w:pPr>
      <w:r w:rsidRPr="007226D7">
        <w:rPr>
          <w:lang w:val="es-ES"/>
        </w:rPr>
        <w:br w:type="page"/>
      </w:r>
    </w:p>
    <w:p w:rsidR="00ED1F70" w:rsidRPr="007226D7" w:rsidRDefault="00ED1F70" w:rsidP="00ED1F70">
      <w:pPr>
        <w:pStyle w:val="Heading3"/>
        <w:rPr>
          <w:lang w:val="es-ES"/>
        </w:rPr>
      </w:pPr>
      <w:bookmarkStart w:id="140" w:name="_Toc346541938"/>
      <w:r w:rsidRPr="007226D7">
        <w:rPr>
          <w:lang w:val="es-ES"/>
        </w:rPr>
        <w:lastRenderedPageBreak/>
        <w:t>Escenario 1</w:t>
      </w:r>
      <w:r w:rsidR="002B0CA1" w:rsidRPr="007226D7">
        <w:rPr>
          <w:lang w:val="es-ES"/>
        </w:rPr>
        <w:t>.</w:t>
      </w:r>
      <w:r w:rsidRPr="007226D7">
        <w:rPr>
          <w:lang w:val="es-ES"/>
        </w:rPr>
        <w:t>2</w:t>
      </w:r>
      <w:bookmarkEnd w:id="139"/>
      <w:r w:rsidR="002B0CA1" w:rsidRPr="007226D7">
        <w:rPr>
          <w:lang w:val="es-ES"/>
        </w:rPr>
        <w:t xml:space="preserve"> - </w:t>
      </w:r>
      <w:r w:rsidR="002B0CA1" w:rsidRPr="007226D7">
        <w:rPr>
          <w:i/>
          <w:lang w:val="es-ES"/>
        </w:rPr>
        <w:t>SITUACIÓN OPTIMIZADA 2018</w:t>
      </w:r>
      <w:bookmarkEnd w:id="140"/>
    </w:p>
    <w:p w:rsidR="00831B16" w:rsidRPr="007226D7" w:rsidRDefault="00ED1F70" w:rsidP="00831B16">
      <w:pPr>
        <w:rPr>
          <w:lang w:val="es-ES"/>
        </w:rPr>
      </w:pPr>
      <w:r w:rsidRPr="007226D7">
        <w:rPr>
          <w:lang w:val="es-ES"/>
        </w:rPr>
        <w:t>La siguiente tabla muestra los resultados del modelo de demanda asignada por la situación OPTIMIZADA 2018:</w:t>
      </w:r>
    </w:p>
    <w:p w:rsidR="00FC103B" w:rsidRPr="007226D7" w:rsidRDefault="00FC103B" w:rsidP="00FC103B">
      <w:pPr>
        <w:pStyle w:val="Figuras"/>
      </w:pPr>
      <w:r w:rsidRPr="007226D7">
        <w:rPr>
          <w:noProof/>
        </w:rPr>
        <w:t>Tabla 4.7 – 2 (serie)</w:t>
      </w:r>
      <w:r w:rsidRPr="007226D7">
        <w:t xml:space="preserve">: resultados de modelación </w:t>
      </w:r>
      <w:r w:rsidR="000B2336" w:rsidRPr="007226D7">
        <w:t>escenario</w:t>
      </w:r>
      <w:r w:rsidRPr="007226D7">
        <w:t xml:space="preserve"> 1.2</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2B0CA1" w:rsidP="008B28D6">
            <w:pPr>
              <w:spacing w:after="0" w:line="240" w:lineRule="auto"/>
              <w:jc w:val="center"/>
              <w:rPr>
                <w:rFonts w:cs="Arial"/>
                <w:b/>
                <w:bCs/>
                <w:sz w:val="18"/>
                <w:szCs w:val="18"/>
              </w:rPr>
            </w:pPr>
            <w:r w:rsidRPr="007226D7">
              <w:rPr>
                <w:rFonts w:cs="Arial"/>
                <w:b/>
                <w:bCs/>
                <w:sz w:val="18"/>
                <w:szCs w:val="18"/>
              </w:rPr>
              <w:t>ESC 1.2</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2B0CA1" w:rsidRPr="007226D7" w:rsidTr="002B0CA1">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221,460</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122,422</w:t>
            </w:r>
          </w:p>
        </w:tc>
        <w:tc>
          <w:tcPr>
            <w:tcW w:w="1038"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98,914</w:t>
            </w:r>
          </w:p>
        </w:tc>
        <w:tc>
          <w:tcPr>
            <w:tcW w:w="1553"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1,973,642</w:t>
            </w:r>
          </w:p>
        </w:tc>
      </w:tr>
      <w:tr w:rsidR="002B0CA1" w:rsidRPr="007226D7" w:rsidTr="002B0CA1">
        <w:trPr>
          <w:trHeight w:val="240"/>
        </w:trPr>
        <w:tc>
          <w:tcPr>
            <w:tcW w:w="1119" w:type="dxa"/>
            <w:vMerge/>
            <w:tcBorders>
              <w:top w:val="nil"/>
              <w:left w:val="single" w:sz="4" w:space="0" w:color="auto"/>
              <w:bottom w:val="single" w:sz="4" w:space="0" w:color="auto"/>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112,096</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103,140</w:t>
            </w:r>
          </w:p>
        </w:tc>
        <w:tc>
          <w:tcPr>
            <w:tcW w:w="1038"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73,474</w:t>
            </w:r>
          </w:p>
        </w:tc>
        <w:tc>
          <w:tcPr>
            <w:tcW w:w="1553"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1,385,628</w:t>
            </w:r>
          </w:p>
        </w:tc>
      </w:tr>
      <w:tr w:rsidR="002B0CA1" w:rsidRPr="007226D7" w:rsidTr="002B0CA1">
        <w:trPr>
          <w:trHeight w:val="240"/>
        </w:trPr>
        <w:tc>
          <w:tcPr>
            <w:tcW w:w="1119" w:type="dxa"/>
            <w:vMerge/>
            <w:tcBorders>
              <w:top w:val="nil"/>
              <w:left w:val="single" w:sz="4" w:space="0" w:color="auto"/>
              <w:bottom w:val="single" w:sz="4" w:space="0" w:color="auto"/>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15,366</w:t>
            </w:r>
          </w:p>
        </w:tc>
        <w:tc>
          <w:tcPr>
            <w:tcW w:w="1265" w:type="dxa"/>
            <w:tcBorders>
              <w:top w:val="nil"/>
              <w:left w:val="nil"/>
              <w:bottom w:val="single" w:sz="4" w:space="0" w:color="auto"/>
              <w:right w:val="nil"/>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11,569</w:t>
            </w:r>
          </w:p>
        </w:tc>
        <w:tc>
          <w:tcPr>
            <w:tcW w:w="1038"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11,336</w:t>
            </w:r>
          </w:p>
        </w:tc>
        <w:tc>
          <w:tcPr>
            <w:tcW w:w="1553" w:type="dxa"/>
            <w:tcBorders>
              <w:top w:val="nil"/>
              <w:left w:val="nil"/>
              <w:bottom w:val="single" w:sz="4" w:space="0" w:color="auto"/>
              <w:right w:val="single" w:sz="4" w:space="0" w:color="auto"/>
            </w:tcBorders>
            <w:shd w:val="clear" w:color="171717" w:fill="DBE5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201,240</w:t>
            </w:r>
          </w:p>
        </w:tc>
      </w:tr>
      <w:tr w:rsidR="002B0CA1" w:rsidRPr="007226D7" w:rsidTr="002B0CA1">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1,471,171</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1,103,450</w:t>
            </w:r>
          </w:p>
        </w:tc>
        <w:tc>
          <w:tcPr>
            <w:tcW w:w="1038"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885,388</w:t>
            </w:r>
          </w:p>
        </w:tc>
        <w:tc>
          <w:tcPr>
            <w:tcW w:w="1553"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16,659,281</w:t>
            </w:r>
          </w:p>
        </w:tc>
      </w:tr>
      <w:tr w:rsidR="002B0CA1" w:rsidRPr="007226D7" w:rsidTr="002B0CA1">
        <w:trPr>
          <w:trHeight w:val="240"/>
        </w:trPr>
        <w:tc>
          <w:tcPr>
            <w:tcW w:w="1119" w:type="dxa"/>
            <w:vMerge/>
            <w:tcBorders>
              <w:top w:val="nil"/>
              <w:left w:val="single" w:sz="4" w:space="0" w:color="auto"/>
              <w:bottom w:val="single" w:sz="4" w:space="0" w:color="auto"/>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778,734</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922,067</w:t>
            </w:r>
          </w:p>
        </w:tc>
        <w:tc>
          <w:tcPr>
            <w:tcW w:w="1038"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511,600</w:t>
            </w:r>
          </w:p>
        </w:tc>
        <w:tc>
          <w:tcPr>
            <w:tcW w:w="1553"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10,052,398</w:t>
            </w:r>
          </w:p>
        </w:tc>
      </w:tr>
      <w:tr w:rsidR="002B0CA1" w:rsidRPr="007226D7" w:rsidTr="002B0CA1">
        <w:trPr>
          <w:trHeight w:val="240"/>
        </w:trPr>
        <w:tc>
          <w:tcPr>
            <w:tcW w:w="1119" w:type="dxa"/>
            <w:vMerge/>
            <w:tcBorders>
              <w:top w:val="nil"/>
              <w:left w:val="single" w:sz="4" w:space="0" w:color="auto"/>
              <w:bottom w:val="single" w:sz="4" w:space="0" w:color="auto"/>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321,062</w:t>
            </w:r>
          </w:p>
        </w:tc>
        <w:tc>
          <w:tcPr>
            <w:tcW w:w="1265" w:type="dxa"/>
            <w:tcBorders>
              <w:top w:val="nil"/>
              <w:left w:val="nil"/>
              <w:bottom w:val="single" w:sz="4" w:space="0" w:color="auto"/>
              <w:right w:val="nil"/>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277,317</w:t>
            </w:r>
          </w:p>
        </w:tc>
        <w:tc>
          <w:tcPr>
            <w:tcW w:w="1038"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272,453</w:t>
            </w:r>
          </w:p>
        </w:tc>
        <w:tc>
          <w:tcPr>
            <w:tcW w:w="1553" w:type="dxa"/>
            <w:tcBorders>
              <w:top w:val="nil"/>
              <w:left w:val="nil"/>
              <w:bottom w:val="single" w:sz="4" w:space="0" w:color="auto"/>
              <w:right w:val="single" w:sz="4" w:space="0" w:color="auto"/>
            </w:tcBorders>
            <w:shd w:val="clear" w:color="171717" w:fill="C5D9F1"/>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4,738,643</w:t>
            </w:r>
          </w:p>
        </w:tc>
      </w:tr>
      <w:tr w:rsidR="002B0CA1" w:rsidRPr="007226D7" w:rsidTr="002B0CA1">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80,462</w:t>
            </w:r>
          </w:p>
        </w:tc>
        <w:tc>
          <w:tcPr>
            <w:tcW w:w="1265" w:type="dxa"/>
            <w:tcBorders>
              <w:top w:val="nil"/>
              <w:left w:val="nil"/>
              <w:bottom w:val="single" w:sz="4"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48,127</w:t>
            </w:r>
          </w:p>
        </w:tc>
        <w:tc>
          <w:tcPr>
            <w:tcW w:w="1038"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33,568</w:t>
            </w:r>
          </w:p>
        </w:tc>
        <w:tc>
          <w:tcPr>
            <w:tcW w:w="1553"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693,568</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39,260</w:t>
            </w:r>
          </w:p>
        </w:tc>
        <w:tc>
          <w:tcPr>
            <w:tcW w:w="1265" w:type="dxa"/>
            <w:tcBorders>
              <w:top w:val="nil"/>
              <w:left w:val="nil"/>
              <w:bottom w:val="single" w:sz="4"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38,183</w:t>
            </w:r>
          </w:p>
        </w:tc>
        <w:tc>
          <w:tcPr>
            <w:tcW w:w="1038"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18,803</w:t>
            </w:r>
          </w:p>
        </w:tc>
        <w:tc>
          <w:tcPr>
            <w:tcW w:w="1553" w:type="dxa"/>
            <w:tcBorders>
              <w:top w:val="nil"/>
              <w:left w:val="nil"/>
              <w:bottom w:val="single" w:sz="4"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399,331</w:t>
            </w:r>
          </w:p>
        </w:tc>
      </w:tr>
      <w:tr w:rsidR="002B0CA1" w:rsidRPr="007226D7" w:rsidTr="002B0CA1">
        <w:trPr>
          <w:trHeight w:val="255"/>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9,644</w:t>
            </w:r>
          </w:p>
        </w:tc>
        <w:tc>
          <w:tcPr>
            <w:tcW w:w="1265" w:type="dxa"/>
            <w:tcBorders>
              <w:top w:val="nil"/>
              <w:left w:val="nil"/>
              <w:bottom w:val="single" w:sz="8" w:space="0" w:color="auto"/>
              <w:right w:val="nil"/>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8,699</w:t>
            </w:r>
          </w:p>
        </w:tc>
        <w:tc>
          <w:tcPr>
            <w:tcW w:w="1038" w:type="dxa"/>
            <w:tcBorders>
              <w:top w:val="nil"/>
              <w:left w:val="nil"/>
              <w:bottom w:val="single" w:sz="8"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6,893</w:t>
            </w:r>
          </w:p>
        </w:tc>
        <w:tc>
          <w:tcPr>
            <w:tcW w:w="1553" w:type="dxa"/>
            <w:tcBorders>
              <w:top w:val="nil"/>
              <w:left w:val="nil"/>
              <w:bottom w:val="single" w:sz="8" w:space="0" w:color="auto"/>
              <w:right w:val="single" w:sz="4" w:space="0" w:color="auto"/>
            </w:tcBorders>
            <w:shd w:val="clear" w:color="171717" w:fill="95B3D7"/>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126,297</w:t>
            </w:r>
          </w:p>
        </w:tc>
      </w:tr>
    </w:tbl>
    <w:p w:rsidR="00831B16" w:rsidRPr="007226D7" w:rsidRDefault="00831B16" w:rsidP="00831B16">
      <w:pPr>
        <w:rPr>
          <w:sz w:val="4"/>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2B0CA1">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2B0CA1" w:rsidP="008B28D6">
            <w:pPr>
              <w:spacing w:after="0" w:line="240" w:lineRule="auto"/>
              <w:jc w:val="center"/>
              <w:rPr>
                <w:rFonts w:cs="Arial"/>
                <w:b/>
                <w:bCs/>
                <w:sz w:val="18"/>
                <w:szCs w:val="18"/>
              </w:rPr>
            </w:pPr>
            <w:r w:rsidRPr="007226D7">
              <w:rPr>
                <w:rFonts w:cs="Arial"/>
                <w:b/>
                <w:bCs/>
                <w:sz w:val="18"/>
                <w:szCs w:val="18"/>
              </w:rPr>
              <w:t>ESC 1.2</w:t>
            </w:r>
          </w:p>
        </w:tc>
      </w:tr>
      <w:tr w:rsidR="00831B16" w:rsidRPr="007226D7" w:rsidTr="002B0CA1">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2B0CA1" w:rsidRPr="007226D7" w:rsidTr="00FC103B">
        <w:trPr>
          <w:trHeight w:hRule="exact" w:val="624"/>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1,123,127</w:t>
            </w:r>
          </w:p>
        </w:tc>
        <w:tc>
          <w:tcPr>
            <w:tcW w:w="1088" w:type="dxa"/>
            <w:tcBorders>
              <w:top w:val="nil"/>
              <w:left w:val="nil"/>
              <w:bottom w:val="single" w:sz="4" w:space="0" w:color="auto"/>
              <w:right w:val="nil"/>
            </w:tcBorders>
            <w:shd w:val="clear" w:color="171717" w:fill="D7E4BC"/>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753,214</w:t>
            </w:r>
          </w:p>
        </w:tc>
        <w:tc>
          <w:tcPr>
            <w:tcW w:w="1088" w:type="dxa"/>
            <w:tcBorders>
              <w:top w:val="nil"/>
              <w:left w:val="nil"/>
              <w:bottom w:val="single" w:sz="4" w:space="0" w:color="auto"/>
              <w:right w:val="single" w:sz="4" w:space="0" w:color="auto"/>
            </w:tcBorders>
            <w:shd w:val="clear" w:color="171717" w:fill="D7E4BC"/>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541,880</w:t>
            </w:r>
          </w:p>
        </w:tc>
        <w:tc>
          <w:tcPr>
            <w:tcW w:w="1625" w:type="dxa"/>
            <w:tcBorders>
              <w:top w:val="nil"/>
              <w:left w:val="nil"/>
              <w:bottom w:val="single" w:sz="4" w:space="0" w:color="auto"/>
              <w:right w:val="single" w:sz="4" w:space="0" w:color="auto"/>
            </w:tcBorders>
            <w:shd w:val="clear" w:color="171717" w:fill="D7E4BC"/>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10,797,119</w:t>
            </w:r>
          </w:p>
        </w:tc>
      </w:tr>
      <w:tr w:rsidR="002B0CA1" w:rsidRPr="007226D7" w:rsidTr="002B0CA1">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79,451</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246,710</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181,556</w:t>
            </w:r>
          </w:p>
        </w:tc>
      </w:tr>
      <w:tr w:rsidR="002B0CA1" w:rsidRPr="007226D7" w:rsidTr="002B0CA1">
        <w:trPr>
          <w:trHeight w:val="499"/>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2B0CA1" w:rsidRPr="007226D7" w:rsidTr="002B0CA1">
        <w:trPr>
          <w:trHeight w:val="499"/>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2B0CA1" w:rsidRPr="007226D7" w:rsidTr="002B0CA1">
        <w:trPr>
          <w:trHeight w:val="240"/>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2B0CA1" w:rsidRPr="007226D7" w:rsidTr="002B0CA1">
        <w:trPr>
          <w:trHeight w:val="499"/>
        </w:trPr>
        <w:tc>
          <w:tcPr>
            <w:tcW w:w="1119" w:type="dxa"/>
            <w:vMerge/>
            <w:tcBorders>
              <w:top w:val="nil"/>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163,217</w:t>
            </w:r>
          </w:p>
        </w:tc>
        <w:tc>
          <w:tcPr>
            <w:tcW w:w="1088" w:type="dxa"/>
            <w:tcBorders>
              <w:top w:val="nil"/>
              <w:left w:val="nil"/>
              <w:bottom w:val="single" w:sz="8" w:space="0" w:color="auto"/>
              <w:right w:val="nil"/>
            </w:tcBorders>
            <w:shd w:val="clear" w:color="171717" w:fill="92D05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161,767</w:t>
            </w:r>
          </w:p>
        </w:tc>
        <w:tc>
          <w:tcPr>
            <w:tcW w:w="1088" w:type="dxa"/>
            <w:tcBorders>
              <w:top w:val="nil"/>
              <w:left w:val="nil"/>
              <w:bottom w:val="single" w:sz="8" w:space="0" w:color="auto"/>
              <w:right w:val="single" w:sz="4" w:space="0" w:color="auto"/>
            </w:tcBorders>
            <w:shd w:val="clear" w:color="171717" w:fill="92D05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158,855</w:t>
            </w:r>
          </w:p>
        </w:tc>
        <w:tc>
          <w:tcPr>
            <w:tcW w:w="1625" w:type="dxa"/>
            <w:tcBorders>
              <w:top w:val="nil"/>
              <w:left w:val="nil"/>
              <w:bottom w:val="single" w:sz="8" w:space="0" w:color="auto"/>
              <w:right w:val="single" w:sz="4" w:space="0" w:color="auto"/>
            </w:tcBorders>
            <w:shd w:val="clear" w:color="171717" w:fill="92D05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2,715,085</w:t>
            </w:r>
          </w:p>
        </w:tc>
      </w:tr>
      <w:tr w:rsidR="00831B16" w:rsidRPr="007226D7" w:rsidTr="002B0CA1">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2B0CA1" w:rsidRPr="007226D7">
              <w:rPr>
                <w:rFonts w:cs="Arial"/>
                <w:b/>
                <w:bCs/>
                <w:sz w:val="18"/>
                <w:szCs w:val="18"/>
              </w:rPr>
              <w:t>.2</w:t>
            </w:r>
          </w:p>
        </w:tc>
      </w:tr>
      <w:tr w:rsidR="00831B16" w:rsidRPr="007226D7" w:rsidTr="002B0CA1">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2B0CA1" w:rsidRPr="007226D7" w:rsidTr="002B0CA1">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2B0CA1" w:rsidRPr="007226D7" w:rsidRDefault="002B0CA1"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781,253</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548,617</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391,013</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7,742,909</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128,082</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81,174</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57,988</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1,172,356</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105,828</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79,646</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59,402</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1,143,174</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37,509</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20,923</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14,358</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303,518</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30,149</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20,445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16,772</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319,222</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48,523</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28,166</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20,629</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421,554</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18,499</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16,639</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14,030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252,666</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70,270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58,175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34,697</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707,951</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51,368</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49,957</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641,140</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91,199</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63,136</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44,644</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889,042</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67,317</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50,035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38,262</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732,110</w:t>
            </w:r>
          </w:p>
        </w:tc>
      </w:tr>
      <w:tr w:rsidR="002B0CA1" w:rsidRPr="007226D7" w:rsidTr="002B0CA1">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52,308</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34,305</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24,467</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491,297</w:t>
            </w:r>
          </w:p>
        </w:tc>
      </w:tr>
      <w:tr w:rsidR="002B0CA1" w:rsidRPr="007226D7" w:rsidTr="002B0CA1">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107,022</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91,566</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67,721</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1,277,548</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61,982</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46,844</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28,879</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593,084</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99,090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77,060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52,418</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1,033,734</w:t>
            </w:r>
          </w:p>
        </w:tc>
      </w:tr>
      <w:tr w:rsidR="002B0CA1" w:rsidRPr="007226D7" w:rsidTr="002B0CA1">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87,650</w:t>
            </w:r>
          </w:p>
        </w:tc>
        <w:tc>
          <w:tcPr>
            <w:tcW w:w="1088"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69,810</w:t>
            </w:r>
          </w:p>
        </w:tc>
        <w:tc>
          <w:tcPr>
            <w:tcW w:w="1088"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44,930</w:t>
            </w:r>
          </w:p>
        </w:tc>
        <w:tc>
          <w:tcPr>
            <w:tcW w:w="162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899,010</w:t>
            </w:r>
          </w:p>
        </w:tc>
      </w:tr>
      <w:tr w:rsidR="002B0CA1" w:rsidRPr="007226D7" w:rsidTr="002B0CA1">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2B0CA1" w:rsidRPr="007226D7" w:rsidRDefault="002B0CA1"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1,838,048</w:t>
            </w:r>
          </w:p>
        </w:tc>
        <w:tc>
          <w:tcPr>
            <w:tcW w:w="1088" w:type="dxa"/>
            <w:tcBorders>
              <w:top w:val="nil"/>
              <w:left w:val="nil"/>
              <w:bottom w:val="single" w:sz="8" w:space="0" w:color="auto"/>
              <w:right w:val="nil"/>
            </w:tcBorders>
            <w:shd w:val="clear" w:color="171717" w:fill="75923C"/>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1,336,497</w:t>
            </w:r>
          </w:p>
        </w:tc>
        <w:tc>
          <w:tcPr>
            <w:tcW w:w="1088" w:type="dxa"/>
            <w:tcBorders>
              <w:top w:val="nil"/>
              <w:left w:val="nil"/>
              <w:bottom w:val="single" w:sz="8" w:space="0" w:color="auto"/>
              <w:right w:val="single" w:sz="4" w:space="0" w:color="auto"/>
            </w:tcBorders>
            <w:shd w:val="clear" w:color="171717" w:fill="75923C"/>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943,940</w:t>
            </w:r>
          </w:p>
        </w:tc>
        <w:tc>
          <w:tcPr>
            <w:tcW w:w="1625" w:type="dxa"/>
            <w:tcBorders>
              <w:top w:val="nil"/>
              <w:left w:val="nil"/>
              <w:bottom w:val="single" w:sz="8" w:space="0" w:color="auto"/>
              <w:right w:val="single" w:sz="4" w:space="0" w:color="auto"/>
            </w:tcBorders>
            <w:shd w:val="clear" w:color="171717" w:fill="75923C"/>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18,620,315</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2B0CA1" w:rsidRPr="007226D7">
              <w:rPr>
                <w:rFonts w:cs="Arial"/>
                <w:b/>
                <w:bCs/>
                <w:sz w:val="18"/>
                <w:szCs w:val="18"/>
              </w:rPr>
              <w:t>.2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2B0CA1" w:rsidRPr="007226D7" w:rsidTr="002B0CA1">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2B0CA1" w:rsidRPr="007226D7" w:rsidRDefault="002B0CA1"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2,904,398</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2,161,733</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1,627,336</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31,287,631</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1,178,017</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725,124</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468,725</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9,899,707</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1,191,177</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957,353</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734,330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13,843,351</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289,461</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147,820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107,967</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2,278,133</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204,592</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139,428</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126,688</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2,334,984</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168,678</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108,790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83,421</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1,049,925</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70,722</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67,731</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59,463</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1,049,925</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215,517</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172,990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100,998</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2,089,988</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401,128</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401,954</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276,937</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5,206,345</w:t>
            </w:r>
          </w:p>
        </w:tc>
      </w:tr>
      <w:tr w:rsidR="002B0CA1" w:rsidRPr="007226D7" w:rsidTr="002B0CA1">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2B0CA1" w:rsidRPr="007226D7" w:rsidRDefault="002B0CA1"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561,853</w:t>
            </w:r>
          </w:p>
        </w:tc>
        <w:tc>
          <w:tcPr>
            <w:tcW w:w="1175" w:type="dxa"/>
            <w:tcBorders>
              <w:top w:val="single" w:sz="4" w:space="0" w:color="auto"/>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396,799</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299,785</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5,814,509</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466,187</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412,550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310,073</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5,788,427</w:t>
            </w:r>
          </w:p>
        </w:tc>
      </w:tr>
      <w:tr w:rsidR="002B0CA1" w:rsidRPr="007226D7" w:rsidTr="002B0CA1">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107,115</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68,403</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48,539</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982,044</w:t>
            </w:r>
          </w:p>
        </w:tc>
      </w:tr>
      <w:tr w:rsidR="002B0CA1" w:rsidRPr="007226D7" w:rsidTr="002B0CA1">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471</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466,037</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359,360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5,604,697</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827,671</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664,435</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395,908</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8,131,016</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947,216</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803,512</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535,015</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10,456,652</w:t>
            </w:r>
          </w:p>
        </w:tc>
      </w:tr>
      <w:tr w:rsidR="002B0CA1" w:rsidRPr="007226D7" w:rsidTr="002B0CA1">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493,434</w:t>
            </w:r>
          </w:p>
        </w:tc>
        <w:tc>
          <w:tcPr>
            <w:tcW w:w="1175" w:type="dxa"/>
            <w:tcBorders>
              <w:top w:val="nil"/>
              <w:left w:val="nil"/>
              <w:bottom w:val="single" w:sz="4" w:space="0" w:color="auto"/>
              <w:right w:val="nil"/>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394,644</w:t>
            </w:r>
          </w:p>
        </w:tc>
        <w:tc>
          <w:tcPr>
            <w:tcW w:w="1175"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259,169</w:t>
            </w:r>
          </w:p>
        </w:tc>
        <w:tc>
          <w:tcPr>
            <w:tcW w:w="1454" w:type="dxa"/>
            <w:tcBorders>
              <w:top w:val="nil"/>
              <w:left w:val="nil"/>
              <w:bottom w:val="single" w:sz="4" w:space="0" w:color="auto"/>
              <w:right w:val="single" w:sz="4" w:space="0" w:color="auto"/>
            </w:tcBorders>
            <w:shd w:val="clear" w:color="171717" w:fill="FFFFFF"/>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5,145,354</w:t>
            </w:r>
          </w:p>
        </w:tc>
      </w:tr>
      <w:tr w:rsidR="002B0CA1" w:rsidRPr="007226D7" w:rsidTr="002B0CA1">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2B0CA1" w:rsidRPr="007226D7" w:rsidRDefault="002B0CA1"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2B0CA1" w:rsidRPr="007226D7" w:rsidRDefault="002B0CA1"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10,027,637</w:t>
            </w:r>
          </w:p>
        </w:tc>
        <w:tc>
          <w:tcPr>
            <w:tcW w:w="1175" w:type="dxa"/>
            <w:tcBorders>
              <w:top w:val="nil"/>
              <w:left w:val="nil"/>
              <w:bottom w:val="single" w:sz="8" w:space="0" w:color="auto"/>
              <w:right w:val="nil"/>
            </w:tcBorders>
            <w:shd w:val="clear" w:color="171717" w:fill="4F6228"/>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8,089,305</w:t>
            </w:r>
          </w:p>
        </w:tc>
        <w:tc>
          <w:tcPr>
            <w:tcW w:w="1175" w:type="dxa"/>
            <w:tcBorders>
              <w:top w:val="nil"/>
              <w:left w:val="nil"/>
              <w:bottom w:val="single" w:sz="8" w:space="0" w:color="auto"/>
              <w:right w:val="single" w:sz="4" w:space="0" w:color="auto"/>
            </w:tcBorders>
            <w:shd w:val="clear" w:color="171717" w:fill="4F6228"/>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5,793,714</w:t>
            </w:r>
          </w:p>
        </w:tc>
        <w:tc>
          <w:tcPr>
            <w:tcW w:w="1454" w:type="dxa"/>
            <w:tcBorders>
              <w:top w:val="nil"/>
              <w:left w:val="nil"/>
              <w:bottom w:val="single" w:sz="8" w:space="0" w:color="auto"/>
              <w:right w:val="single" w:sz="4" w:space="0" w:color="auto"/>
            </w:tcBorders>
            <w:shd w:val="clear" w:color="171717" w:fill="4F6228"/>
            <w:noWrap/>
            <w:vAlign w:val="center"/>
            <w:hideMark/>
          </w:tcPr>
          <w:p w:rsidR="002B0CA1" w:rsidRPr="007226D7" w:rsidRDefault="002B0CA1" w:rsidP="002B0CA1">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110,962,686</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2B0CA1" w:rsidRPr="007226D7">
              <w:rPr>
                <w:rFonts w:cs="Arial"/>
                <w:b/>
                <w:bCs/>
                <w:sz w:val="18"/>
                <w:szCs w:val="18"/>
              </w:rPr>
              <w:t>.2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2B0CA1" w:rsidRPr="007226D7" w:rsidTr="002B0CA1">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38,630,915</w:t>
            </w:r>
          </w:p>
        </w:tc>
        <w:tc>
          <w:tcPr>
            <w:tcW w:w="1247" w:type="dxa"/>
            <w:tcBorders>
              <w:top w:val="single" w:sz="4" w:space="0" w:color="auto"/>
              <w:left w:val="nil"/>
              <w:bottom w:val="single" w:sz="4" w:space="0" w:color="auto"/>
              <w:right w:val="nil"/>
            </w:tcBorders>
            <w:shd w:val="clear" w:color="171717" w:fill="FFFF99"/>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38,349,474</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36,001,636</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621,982,048</w:t>
            </w:r>
          </w:p>
        </w:tc>
      </w:tr>
      <w:tr w:rsidR="002B0CA1" w:rsidRPr="007226D7" w:rsidTr="002B0CA1">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2B0CA1" w:rsidRPr="007226D7" w:rsidRDefault="002B0CA1"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63.65%</w:t>
            </w:r>
          </w:p>
        </w:tc>
        <w:tc>
          <w:tcPr>
            <w:tcW w:w="1247" w:type="dxa"/>
            <w:tcBorders>
              <w:top w:val="nil"/>
              <w:left w:val="nil"/>
              <w:bottom w:val="single" w:sz="4" w:space="0" w:color="auto"/>
              <w:right w:val="nil"/>
            </w:tcBorders>
            <w:shd w:val="clear" w:color="171717" w:fill="FFFF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77.44%</w:t>
            </w:r>
          </w:p>
        </w:tc>
        <w:tc>
          <w:tcPr>
            <w:tcW w:w="1247" w:type="dxa"/>
            <w:tcBorders>
              <w:top w:val="nil"/>
              <w:left w:val="nil"/>
              <w:bottom w:val="single" w:sz="4" w:space="0" w:color="auto"/>
              <w:right w:val="single" w:sz="4" w:space="0" w:color="auto"/>
            </w:tcBorders>
            <w:shd w:val="clear" w:color="171717" w:fill="FFFF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74.20%</w:t>
            </w:r>
          </w:p>
        </w:tc>
        <w:tc>
          <w:tcPr>
            <w:tcW w:w="1379" w:type="dxa"/>
            <w:tcBorders>
              <w:top w:val="nil"/>
              <w:left w:val="nil"/>
              <w:bottom w:val="single" w:sz="4" w:space="0" w:color="auto"/>
              <w:right w:val="single" w:sz="4" w:space="0" w:color="auto"/>
            </w:tcBorders>
            <w:shd w:val="clear" w:color="171717" w:fill="FFFF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2B0CA1" w:rsidRPr="007226D7" w:rsidTr="002B0CA1">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2B0CA1" w:rsidRPr="007226D7" w:rsidRDefault="002B0CA1"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41.78</w:t>
            </w:r>
          </w:p>
        </w:tc>
        <w:tc>
          <w:tcPr>
            <w:tcW w:w="1247" w:type="dxa"/>
            <w:tcBorders>
              <w:top w:val="nil"/>
              <w:left w:val="nil"/>
              <w:bottom w:val="single" w:sz="4" w:space="0" w:color="auto"/>
              <w:right w:val="nil"/>
            </w:tcBorders>
            <w:shd w:val="clear" w:color="171717" w:fill="FFC0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44.89</w:t>
            </w:r>
          </w:p>
        </w:tc>
        <w:tc>
          <w:tcPr>
            <w:tcW w:w="1247" w:type="dxa"/>
            <w:tcBorders>
              <w:top w:val="nil"/>
              <w:left w:val="nil"/>
              <w:bottom w:val="single" w:sz="4" w:space="0" w:color="auto"/>
              <w:right w:val="single" w:sz="4" w:space="0" w:color="auto"/>
            </w:tcBorders>
            <w:shd w:val="clear" w:color="171717" w:fill="FFC0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41.31</w:t>
            </w:r>
          </w:p>
        </w:tc>
        <w:tc>
          <w:tcPr>
            <w:tcW w:w="1379" w:type="dxa"/>
            <w:tcBorders>
              <w:top w:val="nil"/>
              <w:left w:val="nil"/>
              <w:bottom w:val="single" w:sz="4" w:space="0" w:color="auto"/>
              <w:right w:val="single" w:sz="4" w:space="0" w:color="auto"/>
            </w:tcBorders>
            <w:shd w:val="clear" w:color="171717" w:fill="FFC000"/>
            <w:noWrap/>
            <w:vAlign w:val="center"/>
            <w:hideMark/>
          </w:tcPr>
          <w:p w:rsidR="002B0CA1" w:rsidRPr="007226D7" w:rsidRDefault="002B0CA1" w:rsidP="002B0CA1">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ED1F70" w:rsidRPr="007226D7" w:rsidRDefault="00ED1F70" w:rsidP="00ED1F70">
      <w:pPr>
        <w:rPr>
          <w:lang w:val="es-ES"/>
        </w:rPr>
      </w:pPr>
    </w:p>
    <w:p w:rsidR="00ED1F70" w:rsidRPr="007226D7" w:rsidRDefault="00ED1F70" w:rsidP="00ED1F70">
      <w:pPr>
        <w:rPr>
          <w:lang w:val="es-ES"/>
        </w:rPr>
      </w:pPr>
    </w:p>
    <w:p w:rsidR="00547525" w:rsidRPr="007226D7" w:rsidRDefault="00547525">
      <w:pPr>
        <w:spacing w:after="0" w:line="240" w:lineRule="auto"/>
        <w:jc w:val="left"/>
        <w:rPr>
          <w:lang w:val="es-ES"/>
        </w:rPr>
      </w:pPr>
      <w:bookmarkStart w:id="141" w:name="_Toc342751286"/>
      <w:r w:rsidRPr="007226D7">
        <w:rPr>
          <w:lang w:val="es-ES"/>
        </w:rPr>
        <w:br w:type="page"/>
      </w:r>
    </w:p>
    <w:p w:rsidR="00ED1F70" w:rsidRPr="007226D7" w:rsidRDefault="00A97D29" w:rsidP="00ED1F70">
      <w:pPr>
        <w:pStyle w:val="Heading3"/>
        <w:rPr>
          <w:lang w:val="es-ES"/>
        </w:rPr>
      </w:pPr>
      <w:bookmarkStart w:id="142" w:name="_Toc346541939"/>
      <w:r w:rsidRPr="007226D7">
        <w:rPr>
          <w:lang w:val="es-ES"/>
        </w:rPr>
        <w:lastRenderedPageBreak/>
        <w:t>Escenario 1.</w:t>
      </w:r>
      <w:r w:rsidR="00ED1F70" w:rsidRPr="007226D7">
        <w:rPr>
          <w:lang w:val="es-ES"/>
        </w:rPr>
        <w:t>3</w:t>
      </w:r>
      <w:bookmarkEnd w:id="141"/>
      <w:r w:rsidRPr="007226D7">
        <w:rPr>
          <w:lang w:val="es-ES"/>
        </w:rPr>
        <w:t xml:space="preserve"> - </w:t>
      </w:r>
      <w:r w:rsidRPr="007226D7">
        <w:rPr>
          <w:i/>
          <w:lang w:val="es-ES"/>
        </w:rPr>
        <w:t>SITUACIÓN CON PROYECTO 2018</w:t>
      </w:r>
      <w:bookmarkEnd w:id="142"/>
    </w:p>
    <w:p w:rsidR="00831B16" w:rsidRPr="007226D7" w:rsidRDefault="00ED1F70" w:rsidP="00831B16">
      <w:pPr>
        <w:rPr>
          <w:lang w:val="es-ES"/>
        </w:rPr>
      </w:pPr>
      <w:r w:rsidRPr="007226D7">
        <w:rPr>
          <w:lang w:val="es-ES"/>
        </w:rPr>
        <w:t>En el siguiente cuadro se presenta los resultados del modelo de demanda asignada para la situación con proyecto 2018:</w:t>
      </w:r>
      <w:r w:rsidR="00831B16" w:rsidRPr="007226D7">
        <w:rPr>
          <w:lang w:val="es-ES"/>
        </w:rPr>
        <w:t xml:space="preserve"> </w:t>
      </w:r>
    </w:p>
    <w:p w:rsidR="00FC103B" w:rsidRPr="007226D7" w:rsidRDefault="00FC103B" w:rsidP="00FC103B">
      <w:pPr>
        <w:pStyle w:val="Figuras"/>
      </w:pPr>
      <w:r w:rsidRPr="007226D7">
        <w:rPr>
          <w:noProof/>
        </w:rPr>
        <w:t>Tabla 4.7 – 3 (serie)</w:t>
      </w:r>
      <w:r w:rsidRPr="007226D7">
        <w:t>: resultados de modelación escenar</w:t>
      </w:r>
      <w:r w:rsidR="000344EC" w:rsidRPr="007226D7">
        <w:t>i</w:t>
      </w:r>
      <w:r w:rsidRPr="007226D7">
        <w:t>o 1.3</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A97D29" w:rsidP="008B28D6">
            <w:pPr>
              <w:spacing w:after="0" w:line="240" w:lineRule="auto"/>
              <w:jc w:val="center"/>
              <w:rPr>
                <w:rFonts w:cs="Arial"/>
                <w:b/>
                <w:bCs/>
                <w:sz w:val="18"/>
                <w:szCs w:val="18"/>
              </w:rPr>
            </w:pPr>
            <w:r w:rsidRPr="007226D7">
              <w:rPr>
                <w:rFonts w:cs="Arial"/>
                <w:b/>
                <w:bCs/>
                <w:sz w:val="18"/>
                <w:szCs w:val="18"/>
              </w:rPr>
              <w:t>ESC 1.3</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A97D29" w:rsidRPr="007226D7" w:rsidTr="00A97D29">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221,460</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122,422</w:t>
            </w:r>
          </w:p>
        </w:tc>
        <w:tc>
          <w:tcPr>
            <w:tcW w:w="1038"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98,914</w:t>
            </w:r>
          </w:p>
        </w:tc>
        <w:tc>
          <w:tcPr>
            <w:tcW w:w="1553"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1,973,642</w:t>
            </w:r>
          </w:p>
        </w:tc>
      </w:tr>
      <w:tr w:rsidR="00A97D29" w:rsidRPr="007226D7" w:rsidTr="00A97D29">
        <w:trPr>
          <w:trHeight w:val="240"/>
        </w:trPr>
        <w:tc>
          <w:tcPr>
            <w:tcW w:w="1119" w:type="dxa"/>
            <w:vMerge/>
            <w:tcBorders>
              <w:top w:val="nil"/>
              <w:left w:val="single" w:sz="4" w:space="0" w:color="auto"/>
              <w:bottom w:val="single" w:sz="4" w:space="0" w:color="auto"/>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112,096</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103,140</w:t>
            </w:r>
          </w:p>
        </w:tc>
        <w:tc>
          <w:tcPr>
            <w:tcW w:w="1038"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73,474</w:t>
            </w:r>
          </w:p>
        </w:tc>
        <w:tc>
          <w:tcPr>
            <w:tcW w:w="1553"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1,385,628</w:t>
            </w:r>
          </w:p>
        </w:tc>
      </w:tr>
      <w:tr w:rsidR="00A97D29" w:rsidRPr="007226D7" w:rsidTr="00A97D29">
        <w:trPr>
          <w:trHeight w:val="240"/>
        </w:trPr>
        <w:tc>
          <w:tcPr>
            <w:tcW w:w="1119" w:type="dxa"/>
            <w:vMerge/>
            <w:tcBorders>
              <w:top w:val="nil"/>
              <w:left w:val="single" w:sz="4" w:space="0" w:color="auto"/>
              <w:bottom w:val="single" w:sz="4" w:space="0" w:color="auto"/>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15,366</w:t>
            </w:r>
          </w:p>
        </w:tc>
        <w:tc>
          <w:tcPr>
            <w:tcW w:w="1265" w:type="dxa"/>
            <w:tcBorders>
              <w:top w:val="nil"/>
              <w:left w:val="nil"/>
              <w:bottom w:val="single" w:sz="4" w:space="0" w:color="auto"/>
              <w:right w:val="nil"/>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11,569</w:t>
            </w:r>
          </w:p>
        </w:tc>
        <w:tc>
          <w:tcPr>
            <w:tcW w:w="1038"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11,336</w:t>
            </w:r>
          </w:p>
        </w:tc>
        <w:tc>
          <w:tcPr>
            <w:tcW w:w="1553" w:type="dxa"/>
            <w:tcBorders>
              <w:top w:val="nil"/>
              <w:left w:val="nil"/>
              <w:bottom w:val="single" w:sz="4" w:space="0" w:color="auto"/>
              <w:right w:val="single" w:sz="4" w:space="0" w:color="auto"/>
            </w:tcBorders>
            <w:shd w:val="clear" w:color="171717" w:fill="DBE5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201,240</w:t>
            </w:r>
          </w:p>
        </w:tc>
      </w:tr>
      <w:tr w:rsidR="00A97D29" w:rsidRPr="007226D7" w:rsidTr="00A97D29">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1,472,951</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1,104,032</w:t>
            </w:r>
          </w:p>
        </w:tc>
        <w:tc>
          <w:tcPr>
            <w:tcW w:w="1038"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884,899</w:t>
            </w:r>
          </w:p>
        </w:tc>
        <w:tc>
          <w:tcPr>
            <w:tcW w:w="1553"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16,657,652</w:t>
            </w:r>
          </w:p>
        </w:tc>
      </w:tr>
      <w:tr w:rsidR="00A97D29" w:rsidRPr="007226D7" w:rsidTr="00A97D29">
        <w:trPr>
          <w:trHeight w:val="240"/>
        </w:trPr>
        <w:tc>
          <w:tcPr>
            <w:tcW w:w="1119" w:type="dxa"/>
            <w:vMerge/>
            <w:tcBorders>
              <w:top w:val="nil"/>
              <w:left w:val="single" w:sz="4" w:space="0" w:color="auto"/>
              <w:bottom w:val="single" w:sz="4" w:space="0" w:color="auto"/>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778,892</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921,352</w:t>
            </w:r>
          </w:p>
        </w:tc>
        <w:tc>
          <w:tcPr>
            <w:tcW w:w="1038"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511,152</w:t>
            </w:r>
          </w:p>
        </w:tc>
        <w:tc>
          <w:tcPr>
            <w:tcW w:w="1553"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10,045,462</w:t>
            </w:r>
          </w:p>
        </w:tc>
      </w:tr>
      <w:tr w:rsidR="00A97D29" w:rsidRPr="007226D7" w:rsidTr="00A97D29">
        <w:trPr>
          <w:trHeight w:val="240"/>
        </w:trPr>
        <w:tc>
          <w:tcPr>
            <w:tcW w:w="1119" w:type="dxa"/>
            <w:vMerge/>
            <w:tcBorders>
              <w:top w:val="nil"/>
              <w:left w:val="single" w:sz="4" w:space="0" w:color="auto"/>
              <w:bottom w:val="single" w:sz="4" w:space="0" w:color="auto"/>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321,289</w:t>
            </w:r>
          </w:p>
        </w:tc>
        <w:tc>
          <w:tcPr>
            <w:tcW w:w="1265" w:type="dxa"/>
            <w:tcBorders>
              <w:top w:val="nil"/>
              <w:left w:val="nil"/>
              <w:bottom w:val="single" w:sz="4" w:space="0" w:color="auto"/>
              <w:right w:val="nil"/>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277,298</w:t>
            </w:r>
          </w:p>
        </w:tc>
        <w:tc>
          <w:tcPr>
            <w:tcW w:w="1038"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272,274</w:t>
            </w:r>
          </w:p>
        </w:tc>
        <w:tc>
          <w:tcPr>
            <w:tcW w:w="1553" w:type="dxa"/>
            <w:tcBorders>
              <w:top w:val="nil"/>
              <w:left w:val="nil"/>
              <w:bottom w:val="single" w:sz="4" w:space="0" w:color="auto"/>
              <w:right w:val="single" w:sz="4" w:space="0" w:color="auto"/>
            </w:tcBorders>
            <w:shd w:val="clear" w:color="171717" w:fill="C5D9F1"/>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4,736,733</w:t>
            </w:r>
          </w:p>
        </w:tc>
      </w:tr>
      <w:tr w:rsidR="00A97D29" w:rsidRPr="007226D7" w:rsidTr="00A97D29">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79,961</w:t>
            </w:r>
          </w:p>
        </w:tc>
        <w:tc>
          <w:tcPr>
            <w:tcW w:w="1265" w:type="dxa"/>
            <w:tcBorders>
              <w:top w:val="nil"/>
              <w:left w:val="nil"/>
              <w:bottom w:val="single" w:sz="4"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47,819</w:t>
            </w:r>
          </w:p>
        </w:tc>
        <w:tc>
          <w:tcPr>
            <w:tcW w:w="1038"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33,336</w:t>
            </w:r>
          </w:p>
        </w:tc>
        <w:tc>
          <w:tcPr>
            <w:tcW w:w="1553"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688,927</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39,090</w:t>
            </w:r>
          </w:p>
        </w:tc>
        <w:tc>
          <w:tcPr>
            <w:tcW w:w="1265" w:type="dxa"/>
            <w:tcBorders>
              <w:top w:val="nil"/>
              <w:left w:val="nil"/>
              <w:bottom w:val="single" w:sz="4"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38,010</w:t>
            </w:r>
          </w:p>
        </w:tc>
        <w:tc>
          <w:tcPr>
            <w:tcW w:w="1038"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18,692</w:t>
            </w:r>
          </w:p>
        </w:tc>
        <w:tc>
          <w:tcPr>
            <w:tcW w:w="1553" w:type="dxa"/>
            <w:tcBorders>
              <w:top w:val="nil"/>
              <w:left w:val="nil"/>
              <w:bottom w:val="single" w:sz="4"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397,200</w:t>
            </w:r>
          </w:p>
        </w:tc>
      </w:tr>
      <w:tr w:rsidR="00A97D29" w:rsidRPr="007226D7" w:rsidTr="00A97D29">
        <w:trPr>
          <w:trHeight w:val="255"/>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9,608</w:t>
            </w:r>
          </w:p>
        </w:tc>
        <w:tc>
          <w:tcPr>
            <w:tcW w:w="1265" w:type="dxa"/>
            <w:tcBorders>
              <w:top w:val="nil"/>
              <w:left w:val="nil"/>
              <w:bottom w:val="single" w:sz="8" w:space="0" w:color="auto"/>
              <w:right w:val="nil"/>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8,653</w:t>
            </w:r>
          </w:p>
        </w:tc>
        <w:tc>
          <w:tcPr>
            <w:tcW w:w="1038" w:type="dxa"/>
            <w:tcBorders>
              <w:top w:val="nil"/>
              <w:left w:val="nil"/>
              <w:bottom w:val="single" w:sz="8"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6,868</w:t>
            </w:r>
          </w:p>
        </w:tc>
        <w:tc>
          <w:tcPr>
            <w:tcW w:w="1553" w:type="dxa"/>
            <w:tcBorders>
              <w:top w:val="nil"/>
              <w:left w:val="nil"/>
              <w:bottom w:val="single" w:sz="8" w:space="0" w:color="auto"/>
              <w:right w:val="single" w:sz="4" w:space="0" w:color="auto"/>
            </w:tcBorders>
            <w:shd w:val="clear" w:color="171717" w:fill="95B3D7"/>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125,808</w:t>
            </w:r>
          </w:p>
        </w:tc>
      </w:tr>
    </w:tbl>
    <w:p w:rsidR="00831B16" w:rsidRPr="007226D7" w:rsidRDefault="00831B16" w:rsidP="00831B16">
      <w:pPr>
        <w:rPr>
          <w:sz w:val="4"/>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A97D29">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A97D29" w:rsidP="008B28D6">
            <w:pPr>
              <w:spacing w:after="0" w:line="240" w:lineRule="auto"/>
              <w:jc w:val="center"/>
              <w:rPr>
                <w:rFonts w:cs="Arial"/>
                <w:b/>
                <w:bCs/>
                <w:sz w:val="18"/>
                <w:szCs w:val="18"/>
              </w:rPr>
            </w:pPr>
            <w:r w:rsidRPr="007226D7">
              <w:rPr>
                <w:rFonts w:cs="Arial"/>
                <w:b/>
                <w:bCs/>
                <w:sz w:val="18"/>
                <w:szCs w:val="18"/>
              </w:rPr>
              <w:t>ESC 1.3</w:t>
            </w:r>
          </w:p>
        </w:tc>
      </w:tr>
      <w:tr w:rsidR="00831B16" w:rsidRPr="007226D7" w:rsidTr="00A97D29">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A97D29" w:rsidRPr="007226D7" w:rsidTr="00FC103B">
        <w:trPr>
          <w:trHeight w:hRule="exact" w:val="624"/>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1,123,127</w:t>
            </w:r>
          </w:p>
        </w:tc>
        <w:tc>
          <w:tcPr>
            <w:tcW w:w="1088" w:type="dxa"/>
            <w:tcBorders>
              <w:top w:val="nil"/>
              <w:left w:val="nil"/>
              <w:bottom w:val="single" w:sz="4" w:space="0" w:color="auto"/>
              <w:right w:val="nil"/>
            </w:tcBorders>
            <w:shd w:val="clear" w:color="171717" w:fill="D7E4BC"/>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753,214</w:t>
            </w:r>
          </w:p>
        </w:tc>
        <w:tc>
          <w:tcPr>
            <w:tcW w:w="1088" w:type="dxa"/>
            <w:tcBorders>
              <w:top w:val="nil"/>
              <w:left w:val="nil"/>
              <w:bottom w:val="single" w:sz="4" w:space="0" w:color="auto"/>
              <w:right w:val="single" w:sz="4" w:space="0" w:color="auto"/>
            </w:tcBorders>
            <w:shd w:val="clear" w:color="171717" w:fill="D7E4BC"/>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541,880</w:t>
            </w:r>
          </w:p>
        </w:tc>
        <w:tc>
          <w:tcPr>
            <w:tcW w:w="1625" w:type="dxa"/>
            <w:tcBorders>
              <w:top w:val="nil"/>
              <w:left w:val="nil"/>
              <w:bottom w:val="single" w:sz="4" w:space="0" w:color="auto"/>
              <w:right w:val="single" w:sz="4" w:space="0" w:color="auto"/>
            </w:tcBorders>
            <w:shd w:val="clear" w:color="171717" w:fill="D7E4BC"/>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10,797,119</w:t>
            </w:r>
          </w:p>
        </w:tc>
      </w:tr>
      <w:tr w:rsidR="00A97D29" w:rsidRPr="007226D7" w:rsidTr="00A97D29">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79,451</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248,258</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5,141</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5,141</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5,141</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87,399</w:t>
            </w:r>
          </w:p>
        </w:tc>
      </w:tr>
      <w:tr w:rsidR="00A97D29" w:rsidRPr="007226D7" w:rsidTr="00A97D29">
        <w:trPr>
          <w:trHeight w:val="499"/>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A97D29" w:rsidRPr="007226D7" w:rsidTr="00A97D29">
        <w:trPr>
          <w:trHeight w:val="499"/>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295</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6,198</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A97D29" w:rsidRPr="007226D7" w:rsidTr="00A97D29">
        <w:trPr>
          <w:trHeight w:val="240"/>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A97D29" w:rsidRPr="007226D7" w:rsidTr="00A97D29">
        <w:trPr>
          <w:trHeight w:val="499"/>
        </w:trPr>
        <w:tc>
          <w:tcPr>
            <w:tcW w:w="1119" w:type="dxa"/>
            <w:vMerge/>
            <w:tcBorders>
              <w:top w:val="nil"/>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158,359</w:t>
            </w:r>
          </w:p>
        </w:tc>
        <w:tc>
          <w:tcPr>
            <w:tcW w:w="1088" w:type="dxa"/>
            <w:tcBorders>
              <w:top w:val="nil"/>
              <w:left w:val="nil"/>
              <w:bottom w:val="single" w:sz="8" w:space="0" w:color="auto"/>
              <w:right w:val="nil"/>
            </w:tcBorders>
            <w:shd w:val="clear" w:color="171717" w:fill="92D05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156,910</w:t>
            </w:r>
          </w:p>
        </w:tc>
        <w:tc>
          <w:tcPr>
            <w:tcW w:w="1088" w:type="dxa"/>
            <w:tcBorders>
              <w:top w:val="nil"/>
              <w:left w:val="nil"/>
              <w:bottom w:val="single" w:sz="8" w:space="0" w:color="auto"/>
              <w:right w:val="single" w:sz="4" w:space="0" w:color="auto"/>
            </w:tcBorders>
            <w:shd w:val="clear" w:color="171717" w:fill="92D05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153,703</w:t>
            </w:r>
          </w:p>
        </w:tc>
        <w:tc>
          <w:tcPr>
            <w:tcW w:w="1625" w:type="dxa"/>
            <w:tcBorders>
              <w:top w:val="nil"/>
              <w:left w:val="nil"/>
              <w:bottom w:val="single" w:sz="8" w:space="0" w:color="auto"/>
              <w:right w:val="single" w:sz="4" w:space="0" w:color="auto"/>
            </w:tcBorders>
            <w:shd w:val="clear" w:color="171717" w:fill="92D05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2,628,673</w:t>
            </w:r>
          </w:p>
        </w:tc>
      </w:tr>
      <w:tr w:rsidR="00831B16" w:rsidRPr="007226D7" w:rsidTr="00A97D29">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A97D29" w:rsidRPr="007226D7">
              <w:rPr>
                <w:rFonts w:cs="Arial"/>
                <w:b/>
                <w:bCs/>
                <w:sz w:val="18"/>
                <w:szCs w:val="18"/>
              </w:rPr>
              <w:t>.3</w:t>
            </w:r>
          </w:p>
        </w:tc>
      </w:tr>
      <w:tr w:rsidR="00831B16" w:rsidRPr="007226D7" w:rsidTr="00A97D29">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A97D29" w:rsidRPr="007226D7" w:rsidTr="00A97D29">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A97D29" w:rsidRPr="007226D7" w:rsidRDefault="00A97D29"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793,852</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558,306</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399,058</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7,892,068</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126,284</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79,892</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57,276</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1,156,940</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102,481</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78,182</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58,657</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1,123,866</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37,935</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20,496</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14,808</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309,366</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30,727</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21,943</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17,429</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331,916</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49,488</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28,457</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21,094</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430,112</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17,990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16,858</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14,814</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262,277</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71,393</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58,996</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35,500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722,278</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51,382</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49,610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33,836</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641,852</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103,478</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74,975</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55,776</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1,081,994</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7,626</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5,672</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4,619</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86,643</w:t>
            </w:r>
          </w:p>
        </w:tc>
      </w:tr>
      <w:tr w:rsidR="00A97D29" w:rsidRPr="007226D7" w:rsidTr="00A97D29">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53,360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34,883</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24,832</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499,297</w:t>
            </w:r>
          </w:p>
        </w:tc>
      </w:tr>
      <w:tr w:rsidR="00A97D29" w:rsidRPr="007226D7" w:rsidTr="00A97D29">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106,892</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90,446</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68,065</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1,279,521</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74,428</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55,274</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33,273</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691,953</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32,136</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23,960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14,789</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304,448</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99,416</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77,499</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52,698</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1,038,904</w:t>
            </w:r>
          </w:p>
        </w:tc>
      </w:tr>
      <w:tr w:rsidR="00A97D29" w:rsidRPr="007226D7" w:rsidTr="00A97D29">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87,391</w:t>
            </w:r>
          </w:p>
        </w:tc>
        <w:tc>
          <w:tcPr>
            <w:tcW w:w="1088"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69,392</w:t>
            </w:r>
          </w:p>
        </w:tc>
        <w:tc>
          <w:tcPr>
            <w:tcW w:w="1088"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44,892</w:t>
            </w:r>
          </w:p>
        </w:tc>
        <w:tc>
          <w:tcPr>
            <w:tcW w:w="162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897,162</w:t>
            </w:r>
          </w:p>
        </w:tc>
      </w:tr>
      <w:tr w:rsidR="00A97D29" w:rsidRPr="007226D7" w:rsidTr="00A97D29">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A97D29" w:rsidRPr="007226D7" w:rsidRDefault="00A97D29"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1,846,258</w:t>
            </w:r>
          </w:p>
        </w:tc>
        <w:tc>
          <w:tcPr>
            <w:tcW w:w="1088" w:type="dxa"/>
            <w:tcBorders>
              <w:top w:val="nil"/>
              <w:left w:val="nil"/>
              <w:bottom w:val="single" w:sz="8" w:space="0" w:color="auto"/>
              <w:right w:val="nil"/>
            </w:tcBorders>
            <w:shd w:val="clear" w:color="171717" w:fill="75923C"/>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1,344,840</w:t>
            </w:r>
          </w:p>
        </w:tc>
        <w:tc>
          <w:tcPr>
            <w:tcW w:w="1088" w:type="dxa"/>
            <w:tcBorders>
              <w:top w:val="nil"/>
              <w:left w:val="nil"/>
              <w:bottom w:val="single" w:sz="8" w:space="0" w:color="auto"/>
              <w:right w:val="single" w:sz="4" w:space="0" w:color="auto"/>
            </w:tcBorders>
            <w:shd w:val="clear" w:color="171717" w:fill="75923C"/>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951,415</w:t>
            </w:r>
          </w:p>
        </w:tc>
        <w:tc>
          <w:tcPr>
            <w:tcW w:w="1625" w:type="dxa"/>
            <w:tcBorders>
              <w:top w:val="nil"/>
              <w:left w:val="nil"/>
              <w:bottom w:val="single" w:sz="8" w:space="0" w:color="auto"/>
              <w:right w:val="single" w:sz="4" w:space="0" w:color="auto"/>
            </w:tcBorders>
            <w:shd w:val="clear" w:color="171717" w:fill="75923C"/>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18,750,597</w:t>
            </w:r>
          </w:p>
        </w:tc>
      </w:tr>
    </w:tbl>
    <w:p w:rsidR="00831B16" w:rsidRPr="007226D7" w:rsidRDefault="00831B16" w:rsidP="00831B16">
      <w:pPr>
        <w:spacing w:before="120"/>
        <w:rPr>
          <w:lang w:val="es-ES"/>
        </w:rPr>
      </w:pPr>
      <w:r w:rsidRPr="007226D7">
        <w:rPr>
          <w:lang w:val="es-ES"/>
        </w:rPr>
        <w:t>*n</w:t>
      </w:r>
      <w:r w:rsidR="000344EC"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A97D29" w:rsidRPr="007226D7">
              <w:rPr>
                <w:rFonts w:cs="Arial"/>
                <w:b/>
                <w:bCs/>
                <w:sz w:val="18"/>
                <w:szCs w:val="18"/>
              </w:rPr>
              <w:t>.3</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A97D29" w:rsidRPr="007226D7" w:rsidTr="00A97D29">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A97D29" w:rsidRPr="007226D7" w:rsidRDefault="00A97D29"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2,950,020</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2,218,503</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1,661,779</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31,940,173</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1,160,355</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714,249</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462,886</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9,766,726</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1,141,608</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927,076</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721,060</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11,793,904</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282,986</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140,484</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105,277</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2,089,341</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222,916</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158,984</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138,635</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3,423,157</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171,809</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108,952</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85,288</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1,670,266</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67,670</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67,738</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63,052</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1,090,492</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219,886</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176,086</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103,589</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2,138,601</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395,898</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396,637</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275,967</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5,172,641</w:t>
            </w:r>
          </w:p>
        </w:tc>
      </w:tr>
      <w:tr w:rsidR="00A97D29" w:rsidRPr="007226D7" w:rsidTr="00A97D29">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A97D29" w:rsidRPr="007226D7" w:rsidRDefault="00A97D29"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651,467</w:t>
            </w:r>
          </w:p>
        </w:tc>
        <w:tc>
          <w:tcPr>
            <w:tcW w:w="1175" w:type="dxa"/>
            <w:tcBorders>
              <w:top w:val="single" w:sz="4" w:space="0" w:color="auto"/>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487,748</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390,824</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7,359,142</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34,082</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28,623</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21,341</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402,845</w:t>
            </w:r>
          </w:p>
        </w:tc>
      </w:tr>
      <w:tr w:rsidR="00A97D29" w:rsidRPr="007226D7" w:rsidTr="00A97D2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109,119</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70,129</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258,568</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3,719,880</w:t>
            </w:r>
          </w:p>
        </w:tc>
      </w:tr>
      <w:tr w:rsidR="00A97D29" w:rsidRPr="007226D7" w:rsidTr="00A97D2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470,718</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460,836</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361,514</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6,562,790</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964,473</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757,569</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442,933</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9,202,213</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244,957</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196,484</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123,711</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2,491,125</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942,129</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802,810</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534,882</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10,443,344</w:t>
            </w:r>
          </w:p>
        </w:tc>
      </w:tr>
      <w:tr w:rsidR="00A97D29" w:rsidRPr="007226D7" w:rsidTr="00A97D2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495,098</w:t>
            </w:r>
          </w:p>
        </w:tc>
        <w:tc>
          <w:tcPr>
            <w:tcW w:w="1175" w:type="dxa"/>
            <w:tcBorders>
              <w:top w:val="nil"/>
              <w:left w:val="nil"/>
              <w:bottom w:val="single" w:sz="4" w:space="0" w:color="auto"/>
              <w:right w:val="nil"/>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390,891</w:t>
            </w:r>
          </w:p>
        </w:tc>
        <w:tc>
          <w:tcPr>
            <w:tcW w:w="1175"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258,568</w:t>
            </w:r>
          </w:p>
        </w:tc>
        <w:tc>
          <w:tcPr>
            <w:tcW w:w="1454" w:type="dxa"/>
            <w:tcBorders>
              <w:top w:val="nil"/>
              <w:left w:val="nil"/>
              <w:bottom w:val="single" w:sz="4" w:space="0" w:color="auto"/>
              <w:right w:val="single" w:sz="4" w:space="0" w:color="auto"/>
            </w:tcBorders>
            <w:shd w:val="clear" w:color="171717" w:fill="FFFFFF"/>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5,133,362</w:t>
            </w:r>
          </w:p>
        </w:tc>
      </w:tr>
      <w:tr w:rsidR="00A97D29" w:rsidRPr="007226D7" w:rsidTr="00A97D2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97D29" w:rsidRPr="007226D7" w:rsidRDefault="00A97D29"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A97D29" w:rsidRPr="007226D7" w:rsidRDefault="00A97D29"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10,525,191</w:t>
            </w:r>
          </w:p>
        </w:tc>
        <w:tc>
          <w:tcPr>
            <w:tcW w:w="1175" w:type="dxa"/>
            <w:tcBorders>
              <w:top w:val="nil"/>
              <w:left w:val="nil"/>
              <w:bottom w:val="single" w:sz="8" w:space="0" w:color="auto"/>
              <w:right w:val="nil"/>
            </w:tcBorders>
            <w:shd w:val="clear" w:color="171717" w:fill="4F6228"/>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8,103,799</w:t>
            </w:r>
          </w:p>
        </w:tc>
        <w:tc>
          <w:tcPr>
            <w:tcW w:w="1175" w:type="dxa"/>
            <w:tcBorders>
              <w:top w:val="nil"/>
              <w:left w:val="nil"/>
              <w:bottom w:val="single" w:sz="8" w:space="0" w:color="auto"/>
              <w:right w:val="single" w:sz="4" w:space="0" w:color="auto"/>
            </w:tcBorders>
            <w:shd w:val="clear" w:color="171717" w:fill="4F6228"/>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6,009,874</w:t>
            </w:r>
          </w:p>
        </w:tc>
        <w:tc>
          <w:tcPr>
            <w:tcW w:w="1454" w:type="dxa"/>
            <w:tcBorders>
              <w:top w:val="nil"/>
              <w:left w:val="nil"/>
              <w:bottom w:val="single" w:sz="8" w:space="0" w:color="auto"/>
              <w:right w:val="single" w:sz="4" w:space="0" w:color="auto"/>
            </w:tcBorders>
            <w:shd w:val="clear" w:color="171717" w:fill="4F6228"/>
            <w:noWrap/>
            <w:vAlign w:val="center"/>
            <w:hideMark/>
          </w:tcPr>
          <w:p w:rsidR="00A97D29" w:rsidRPr="007226D7" w:rsidRDefault="00A97D29" w:rsidP="00A97D29">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114,400,002</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ESC 1</w:t>
            </w:r>
            <w:r w:rsidR="00A97D29" w:rsidRPr="007226D7">
              <w:rPr>
                <w:rFonts w:cs="Arial"/>
                <w:b/>
                <w:bCs/>
                <w:sz w:val="18"/>
                <w:szCs w:val="18"/>
              </w:rPr>
              <w:t>.3</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A97D29" w:rsidRPr="007226D7" w:rsidTr="00A97D29">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37,932,908</w:t>
            </w:r>
          </w:p>
        </w:tc>
        <w:tc>
          <w:tcPr>
            <w:tcW w:w="1247" w:type="dxa"/>
            <w:tcBorders>
              <w:top w:val="single" w:sz="4" w:space="0" w:color="auto"/>
              <w:left w:val="nil"/>
              <w:bottom w:val="single" w:sz="4" w:space="0" w:color="auto"/>
              <w:right w:val="nil"/>
            </w:tcBorders>
            <w:shd w:val="clear" w:color="171717" w:fill="FFFF99"/>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38,106,610</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36,011,377</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620,226,942</w:t>
            </w:r>
          </w:p>
        </w:tc>
      </w:tr>
      <w:tr w:rsidR="00A97D29" w:rsidRPr="007226D7" w:rsidTr="00A97D29">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A97D29" w:rsidRPr="007226D7" w:rsidRDefault="00A97D29"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64.39%</w:t>
            </w:r>
          </w:p>
        </w:tc>
        <w:tc>
          <w:tcPr>
            <w:tcW w:w="1247" w:type="dxa"/>
            <w:tcBorders>
              <w:top w:val="nil"/>
              <w:left w:val="nil"/>
              <w:bottom w:val="single" w:sz="4" w:space="0" w:color="auto"/>
              <w:right w:val="nil"/>
            </w:tcBorders>
            <w:shd w:val="clear" w:color="171717" w:fill="FFFF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78.55%</w:t>
            </w:r>
          </w:p>
        </w:tc>
        <w:tc>
          <w:tcPr>
            <w:tcW w:w="1247" w:type="dxa"/>
            <w:tcBorders>
              <w:top w:val="nil"/>
              <w:left w:val="nil"/>
              <w:bottom w:val="single" w:sz="4" w:space="0" w:color="auto"/>
              <w:right w:val="single" w:sz="4" w:space="0" w:color="auto"/>
            </w:tcBorders>
            <w:shd w:val="clear" w:color="171717" w:fill="FFFF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75.58%</w:t>
            </w:r>
          </w:p>
        </w:tc>
        <w:tc>
          <w:tcPr>
            <w:tcW w:w="1379" w:type="dxa"/>
            <w:tcBorders>
              <w:top w:val="nil"/>
              <w:left w:val="nil"/>
              <w:bottom w:val="single" w:sz="4" w:space="0" w:color="auto"/>
              <w:right w:val="single" w:sz="4" w:space="0" w:color="auto"/>
            </w:tcBorders>
            <w:shd w:val="clear" w:color="171717" w:fill="FFFF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A97D29" w:rsidRPr="007226D7" w:rsidTr="00A97D29">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A97D29" w:rsidRPr="007226D7" w:rsidRDefault="00A97D29"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40.53</w:t>
            </w:r>
          </w:p>
        </w:tc>
        <w:tc>
          <w:tcPr>
            <w:tcW w:w="1247" w:type="dxa"/>
            <w:tcBorders>
              <w:top w:val="nil"/>
              <w:left w:val="nil"/>
              <w:bottom w:val="single" w:sz="4" w:space="0" w:color="auto"/>
              <w:right w:val="nil"/>
            </w:tcBorders>
            <w:shd w:val="clear" w:color="171717" w:fill="FFC0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44.09</w:t>
            </w:r>
          </w:p>
        </w:tc>
        <w:tc>
          <w:tcPr>
            <w:tcW w:w="1247" w:type="dxa"/>
            <w:tcBorders>
              <w:top w:val="nil"/>
              <w:left w:val="nil"/>
              <w:bottom w:val="single" w:sz="4" w:space="0" w:color="auto"/>
              <w:right w:val="single" w:sz="4" w:space="0" w:color="auto"/>
            </w:tcBorders>
            <w:shd w:val="clear" w:color="171717" w:fill="FFC0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40.76</w:t>
            </w:r>
          </w:p>
        </w:tc>
        <w:tc>
          <w:tcPr>
            <w:tcW w:w="1379" w:type="dxa"/>
            <w:tcBorders>
              <w:top w:val="nil"/>
              <w:left w:val="nil"/>
              <w:bottom w:val="single" w:sz="4" w:space="0" w:color="auto"/>
              <w:right w:val="single" w:sz="4" w:space="0" w:color="auto"/>
            </w:tcBorders>
            <w:shd w:val="clear" w:color="171717" w:fill="FFC000"/>
            <w:noWrap/>
            <w:vAlign w:val="center"/>
            <w:hideMark/>
          </w:tcPr>
          <w:p w:rsidR="00A97D29" w:rsidRPr="007226D7" w:rsidRDefault="00A97D29" w:rsidP="00A97D29">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F10D3A" w:rsidRPr="006C214F" w:rsidRDefault="00CD6ED2" w:rsidP="00CD6ED2">
      <w:pPr>
        <w:spacing w:after="0" w:line="240" w:lineRule="auto"/>
        <w:rPr>
          <w:lang w:val="es-ES"/>
        </w:rPr>
      </w:pPr>
      <w:bookmarkStart w:id="143" w:name="_Toc342751287"/>
      <w:r w:rsidRPr="006C214F">
        <w:rPr>
          <w:lang w:val="es-ES"/>
        </w:rPr>
        <w:t>A continuación los detalles de la demanda, subidos y bajados de la Línea 2 del Metropolitano – Etapa 1 - Municipalidad de Ate - Esación Central.</w:t>
      </w:r>
    </w:p>
    <w:p w:rsidR="00F10D3A" w:rsidRPr="006C214F" w:rsidRDefault="00F10D3A">
      <w:pPr>
        <w:spacing w:after="0" w:line="240" w:lineRule="auto"/>
        <w:jc w:val="left"/>
        <w:rPr>
          <w:lang w:val="es-ES"/>
        </w:rPr>
      </w:pPr>
    </w:p>
    <w:p w:rsidR="00CD6ED2" w:rsidRPr="006C214F" w:rsidRDefault="00CD6ED2">
      <w:pPr>
        <w:spacing w:after="0" w:line="240" w:lineRule="auto"/>
        <w:jc w:val="left"/>
        <w:rPr>
          <w:lang w:val="es-ES"/>
        </w:rPr>
      </w:pPr>
    </w:p>
    <w:p w:rsidR="00200C3A" w:rsidRPr="006C214F" w:rsidRDefault="00200C3A">
      <w:pPr>
        <w:spacing w:after="0" w:line="240" w:lineRule="auto"/>
        <w:jc w:val="left"/>
        <w:rPr>
          <w:lang w:val="es-ES"/>
        </w:rPr>
      </w:pPr>
    </w:p>
    <w:p w:rsidR="00200C3A" w:rsidRPr="006C214F" w:rsidRDefault="00200C3A">
      <w:pPr>
        <w:spacing w:after="0" w:line="240" w:lineRule="auto"/>
        <w:jc w:val="left"/>
        <w:rPr>
          <w:lang w:val="es-ES"/>
        </w:rPr>
        <w:sectPr w:rsidR="00200C3A" w:rsidRPr="006C214F" w:rsidSect="00616C7B">
          <w:pgSz w:w="11907" w:h="16840" w:code="9"/>
          <w:pgMar w:top="1985" w:right="1134" w:bottom="1701" w:left="1418" w:header="720" w:footer="833" w:gutter="0"/>
          <w:paperSrc w:first="15" w:other="15"/>
          <w:cols w:space="720"/>
          <w:docGrid w:linePitch="299"/>
        </w:sectPr>
      </w:pPr>
    </w:p>
    <w:p w:rsidR="00200C3A" w:rsidRPr="007226D7" w:rsidRDefault="00200C3A" w:rsidP="00200C3A">
      <w:pPr>
        <w:spacing w:after="0" w:line="240" w:lineRule="auto"/>
        <w:jc w:val="center"/>
      </w:pPr>
      <w:r w:rsidRPr="007226D7">
        <w:rPr>
          <w:noProof/>
          <w:lang w:val="en-US" w:eastAsia="en-US"/>
        </w:rPr>
        <w:lastRenderedPageBreak/>
        <w:drawing>
          <wp:inline distT="0" distB="0" distL="0" distR="0" wp14:anchorId="377DF90B" wp14:editId="76C7EC4A">
            <wp:extent cx="3214838" cy="5209954"/>
            <wp:effectExtent l="19050" t="0" r="4612" b="0"/>
            <wp:docPr id="7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srcRect/>
                    <a:stretch>
                      <a:fillRect/>
                    </a:stretch>
                  </pic:blipFill>
                  <pic:spPr bwMode="auto">
                    <a:xfrm>
                      <a:off x="0" y="0"/>
                      <a:ext cx="3218269" cy="5215514"/>
                    </a:xfrm>
                    <a:prstGeom prst="rect">
                      <a:avLst/>
                    </a:prstGeom>
                    <a:noFill/>
                    <a:ln w="9525">
                      <a:noFill/>
                      <a:miter lim="800000"/>
                      <a:headEnd/>
                      <a:tailEnd/>
                    </a:ln>
                  </pic:spPr>
                </pic:pic>
              </a:graphicData>
            </a:graphic>
          </wp:inline>
        </w:drawing>
      </w:r>
    </w:p>
    <w:p w:rsidR="00200C3A" w:rsidRPr="007226D7" w:rsidRDefault="00FC103B" w:rsidP="00200C3A">
      <w:pPr>
        <w:pStyle w:val="Figuras"/>
      </w:pPr>
      <w:r w:rsidRPr="007226D7">
        <w:t xml:space="preserve">Tabla 4.7 – 4: </w:t>
      </w:r>
      <w:r w:rsidR="00225324" w:rsidRPr="007226D7">
        <w:t>Subidos y Bajados –HPM – 2018 - ESC 1.3</w:t>
      </w:r>
    </w:p>
    <w:p w:rsidR="00200C3A" w:rsidRPr="007226D7" w:rsidRDefault="00200C3A" w:rsidP="00DF101C">
      <w:pPr>
        <w:jc w:val="center"/>
      </w:pPr>
      <w:r w:rsidRPr="007226D7">
        <w:rPr>
          <w:noProof/>
          <w:lang w:val="en-US" w:eastAsia="en-US"/>
        </w:rPr>
        <w:lastRenderedPageBreak/>
        <w:drawing>
          <wp:inline distT="0" distB="0" distL="0" distR="0" wp14:anchorId="6EC0D628" wp14:editId="76E49F5C">
            <wp:extent cx="3193748" cy="5172965"/>
            <wp:effectExtent l="19050" t="0" r="6652" b="0"/>
            <wp:docPr id="7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3A73C7" w:rsidRPr="007226D7" w:rsidRDefault="003A73C7" w:rsidP="00200C3A"/>
    <w:p w:rsidR="00200C3A" w:rsidRPr="007226D7" w:rsidRDefault="00200C3A" w:rsidP="00200C3A">
      <w:pPr>
        <w:sectPr w:rsidR="00200C3A" w:rsidRPr="007226D7" w:rsidSect="00200C3A">
          <w:pgSz w:w="16840" w:h="11907" w:orient="landscape" w:code="9"/>
          <w:pgMar w:top="1418" w:right="1985" w:bottom="1134" w:left="1701" w:header="720" w:footer="833" w:gutter="0"/>
          <w:paperSrc w:first="15" w:other="15"/>
          <w:cols w:num="2" w:space="720"/>
          <w:docGrid w:linePitch="299"/>
        </w:sectPr>
      </w:pPr>
    </w:p>
    <w:p w:rsidR="00200C3A" w:rsidRPr="007226D7" w:rsidRDefault="003A73C7" w:rsidP="00200C3A">
      <w:r w:rsidRPr="007226D7">
        <w:rPr>
          <w:noProof/>
          <w:lang w:val="en-US" w:eastAsia="en-US"/>
        </w:rPr>
        <w:lastRenderedPageBreak/>
        <w:drawing>
          <wp:inline distT="0" distB="0" distL="0" distR="0" wp14:anchorId="3BC27CBD" wp14:editId="2F38434A">
            <wp:extent cx="8304028" cy="4710223"/>
            <wp:effectExtent l="0" t="0" r="0" b="0"/>
            <wp:docPr id="82"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200C3A" w:rsidRPr="007226D7" w:rsidRDefault="00AB0B9C" w:rsidP="00AB0B9C">
      <w:pPr>
        <w:pStyle w:val="Figuras"/>
      </w:pPr>
      <w:r w:rsidRPr="007226D7">
        <w:t>Figura 4.7-1: Gr</w:t>
      </w:r>
      <w:r w:rsidR="009563C7" w:rsidRPr="007226D7">
        <w:t>á</w:t>
      </w:r>
      <w:r w:rsidRPr="007226D7">
        <w:t>fico de los Subidos y Bajados –HPM – 2018 - ESC 1.3 – sentido E-O</w:t>
      </w:r>
    </w:p>
    <w:p w:rsidR="003A73C7" w:rsidRPr="007226D7" w:rsidRDefault="003A73C7">
      <w:pPr>
        <w:spacing w:after="0" w:line="240" w:lineRule="auto"/>
        <w:jc w:val="left"/>
        <w:rPr>
          <w:lang w:val="es-ES"/>
        </w:rPr>
      </w:pPr>
      <w:r w:rsidRPr="007226D7">
        <w:rPr>
          <w:lang w:val="es-ES"/>
        </w:rPr>
        <w:br w:type="page"/>
      </w:r>
    </w:p>
    <w:p w:rsidR="00200C3A" w:rsidRPr="007226D7" w:rsidRDefault="0036086D" w:rsidP="00200C3A">
      <w:r w:rsidRPr="007226D7">
        <w:rPr>
          <w:noProof/>
          <w:lang w:val="en-US" w:eastAsia="en-US"/>
        </w:rPr>
        <w:lastRenderedPageBreak/>
        <w:drawing>
          <wp:inline distT="0" distB="0" distL="0" distR="0" wp14:anchorId="1C7A458D" wp14:editId="19CAF9A2">
            <wp:extent cx="8312727" cy="4904510"/>
            <wp:effectExtent l="0" t="0" r="0" b="0"/>
            <wp:docPr id="83" name="Gra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AB0B9C" w:rsidRPr="007226D7" w:rsidRDefault="00AB0B9C" w:rsidP="00AB0B9C">
      <w:pPr>
        <w:pStyle w:val="Figuras"/>
      </w:pPr>
      <w:r w:rsidRPr="007226D7">
        <w:t>Figura 4.7-2: Gr</w:t>
      </w:r>
      <w:r w:rsidR="009563C7" w:rsidRPr="007226D7">
        <w:t>á</w:t>
      </w:r>
      <w:r w:rsidRPr="007226D7">
        <w:t>fico de los Subidos y Bajados –HPM – 2018 - ESC 1.3 – sentido O-E</w:t>
      </w:r>
    </w:p>
    <w:p w:rsidR="003A73C7" w:rsidRPr="007226D7" w:rsidRDefault="003A73C7" w:rsidP="00200C3A">
      <w:pPr>
        <w:rPr>
          <w:lang w:val="es-ES"/>
        </w:rPr>
      </w:pPr>
    </w:p>
    <w:p w:rsidR="003A73C7" w:rsidRPr="007226D7" w:rsidRDefault="003A73C7" w:rsidP="00200C3A">
      <w:pPr>
        <w:rPr>
          <w:lang w:val="es-ES"/>
        </w:rPr>
        <w:sectPr w:rsidR="003A73C7" w:rsidRPr="007226D7" w:rsidSect="003A73C7">
          <w:pgSz w:w="16840" w:h="11907" w:orient="landscape" w:code="9"/>
          <w:pgMar w:top="1418" w:right="1985" w:bottom="1134" w:left="1701" w:header="720" w:footer="833" w:gutter="0"/>
          <w:paperSrc w:first="15" w:other="15"/>
          <w:cols w:space="720"/>
          <w:docGrid w:linePitch="299"/>
        </w:sectPr>
      </w:pPr>
    </w:p>
    <w:p w:rsidR="003A73C7" w:rsidRPr="007226D7" w:rsidRDefault="00337EAA" w:rsidP="00337EAA">
      <w:pPr>
        <w:jc w:val="center"/>
      </w:pPr>
      <w:r w:rsidRPr="007226D7">
        <w:rPr>
          <w:noProof/>
          <w:lang w:val="en-US" w:eastAsia="en-US"/>
        </w:rPr>
        <w:lastRenderedPageBreak/>
        <w:drawing>
          <wp:inline distT="0" distB="0" distL="0" distR="0" wp14:anchorId="1AD7734D" wp14:editId="566F1455">
            <wp:extent cx="3193748" cy="5172965"/>
            <wp:effectExtent l="19050" t="0" r="6652" b="0"/>
            <wp:docPr id="8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337EAA" w:rsidRPr="007226D7" w:rsidRDefault="00FC103B" w:rsidP="00153D47">
      <w:pPr>
        <w:pStyle w:val="Figuras"/>
      </w:pPr>
      <w:r w:rsidRPr="007226D7">
        <w:t xml:space="preserve">Tabla 4.7 – 5: </w:t>
      </w:r>
      <w:r w:rsidR="00153D47" w:rsidRPr="007226D7">
        <w:t>Subidos y Bajados –HPT – 2018 - ESC 1.3</w:t>
      </w:r>
    </w:p>
    <w:p w:rsidR="00337EAA" w:rsidRPr="007226D7" w:rsidRDefault="00337EAA" w:rsidP="00DF101C">
      <w:pPr>
        <w:jc w:val="center"/>
      </w:pPr>
      <w:r w:rsidRPr="007226D7">
        <w:rPr>
          <w:noProof/>
          <w:lang w:val="en-US" w:eastAsia="en-US"/>
        </w:rPr>
        <w:lastRenderedPageBreak/>
        <w:drawing>
          <wp:inline distT="0" distB="0" distL="0" distR="0" wp14:anchorId="7E6BE607" wp14:editId="0C64A2FE">
            <wp:extent cx="3193748" cy="5172965"/>
            <wp:effectExtent l="19050" t="0" r="6652" b="0"/>
            <wp:docPr id="8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3A73C7" w:rsidRPr="007226D7" w:rsidRDefault="003A73C7" w:rsidP="00200C3A"/>
    <w:p w:rsidR="003A73C7" w:rsidRPr="007226D7" w:rsidRDefault="003A73C7" w:rsidP="00200C3A">
      <w:pPr>
        <w:sectPr w:rsidR="003A73C7" w:rsidRPr="007226D7" w:rsidSect="00337EAA">
          <w:pgSz w:w="16840" w:h="11907" w:orient="landscape" w:code="9"/>
          <w:pgMar w:top="1418" w:right="1985" w:bottom="1134" w:left="1701" w:header="720" w:footer="833" w:gutter="0"/>
          <w:paperSrc w:first="15" w:other="15"/>
          <w:cols w:num="2" w:space="720"/>
          <w:docGrid w:linePitch="299"/>
        </w:sectPr>
      </w:pPr>
    </w:p>
    <w:p w:rsidR="003A73C7" w:rsidRPr="007226D7" w:rsidRDefault="00337EAA" w:rsidP="00200C3A">
      <w:r w:rsidRPr="007226D7">
        <w:rPr>
          <w:noProof/>
          <w:lang w:val="en-US" w:eastAsia="en-US"/>
        </w:rPr>
        <w:lastRenderedPageBreak/>
        <w:drawing>
          <wp:inline distT="0" distB="0" distL="0" distR="0" wp14:anchorId="0BCD94E9" wp14:editId="68D66FAE">
            <wp:extent cx="8360228" cy="4963886"/>
            <wp:effectExtent l="0" t="0" r="0" b="0"/>
            <wp:docPr id="87" name="Gra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AB0B9C" w:rsidRPr="007226D7" w:rsidRDefault="00AB0B9C" w:rsidP="00AB0B9C">
      <w:pPr>
        <w:pStyle w:val="Figuras"/>
      </w:pPr>
      <w:r w:rsidRPr="007226D7">
        <w:t>Figura 4.7-3: Grafico de los Subidos y Bajados –HPT – 2018 - ESC 1.3 – sentido E-O</w:t>
      </w:r>
    </w:p>
    <w:p w:rsidR="003A73C7" w:rsidRPr="007226D7" w:rsidRDefault="00B63616" w:rsidP="00200C3A">
      <w:r w:rsidRPr="007226D7">
        <w:rPr>
          <w:noProof/>
          <w:lang w:val="en-US" w:eastAsia="en-US"/>
        </w:rPr>
        <w:lastRenderedPageBreak/>
        <w:drawing>
          <wp:inline distT="0" distB="0" distL="0" distR="0" wp14:anchorId="05875988" wp14:editId="3482586D">
            <wp:extent cx="8360228" cy="4963886"/>
            <wp:effectExtent l="0" t="0" r="0" b="0"/>
            <wp:docPr id="88" name="Gra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3A73C7" w:rsidRPr="007226D7" w:rsidRDefault="00AB0B9C" w:rsidP="00AB0B9C">
      <w:pPr>
        <w:pStyle w:val="Figuras"/>
      </w:pPr>
      <w:r w:rsidRPr="007226D7">
        <w:t>Figura 4.7-4: Grafico de los Subidos y Bajados –HPT – 2018 - ESC 1.3 – sentido O-E</w:t>
      </w:r>
    </w:p>
    <w:p w:rsidR="003A73C7" w:rsidRPr="007226D7" w:rsidRDefault="003A73C7" w:rsidP="00200C3A">
      <w:pPr>
        <w:rPr>
          <w:lang w:val="es-ES"/>
        </w:rPr>
        <w:sectPr w:rsidR="003A73C7" w:rsidRPr="007226D7" w:rsidSect="003A73C7">
          <w:pgSz w:w="16840" w:h="11907" w:orient="landscape" w:code="9"/>
          <w:pgMar w:top="1418" w:right="1985" w:bottom="1134" w:left="1701" w:header="720" w:footer="833" w:gutter="0"/>
          <w:paperSrc w:first="15" w:other="15"/>
          <w:cols w:space="720"/>
          <w:docGrid w:linePitch="299"/>
        </w:sectPr>
      </w:pPr>
    </w:p>
    <w:p w:rsidR="00200C3A" w:rsidRPr="007226D7" w:rsidRDefault="00DF101C" w:rsidP="00DF101C">
      <w:pPr>
        <w:jc w:val="center"/>
      </w:pPr>
      <w:r w:rsidRPr="007226D7">
        <w:rPr>
          <w:noProof/>
          <w:lang w:val="en-US" w:eastAsia="en-US"/>
        </w:rPr>
        <w:lastRenderedPageBreak/>
        <w:drawing>
          <wp:inline distT="0" distB="0" distL="0" distR="0" wp14:anchorId="078712E9" wp14:editId="63ED28CB">
            <wp:extent cx="3193748" cy="5172965"/>
            <wp:effectExtent l="19050" t="0" r="6652" b="0"/>
            <wp:docPr id="89"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FC103B" w:rsidP="00153D47">
      <w:pPr>
        <w:pStyle w:val="Figuras"/>
      </w:pPr>
      <w:r w:rsidRPr="007226D7">
        <w:t xml:space="preserve">Tabla 4.7 – 6: </w:t>
      </w:r>
      <w:r w:rsidR="00153D47" w:rsidRPr="007226D7">
        <w:t>Subidos y Bajados –HV – 2018 - ESC 1.3</w:t>
      </w:r>
    </w:p>
    <w:p w:rsidR="003A73C7" w:rsidRPr="007226D7" w:rsidRDefault="00DF101C" w:rsidP="00DF101C">
      <w:pPr>
        <w:jc w:val="center"/>
      </w:pPr>
      <w:r w:rsidRPr="007226D7">
        <w:rPr>
          <w:noProof/>
          <w:lang w:val="en-US" w:eastAsia="en-US"/>
        </w:rPr>
        <w:lastRenderedPageBreak/>
        <w:drawing>
          <wp:inline distT="0" distB="0" distL="0" distR="0" wp14:anchorId="1C42DDC6" wp14:editId="4C42A93B">
            <wp:extent cx="3193748" cy="5172965"/>
            <wp:effectExtent l="19050" t="0" r="6652" b="0"/>
            <wp:docPr id="90"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3A73C7" w:rsidRPr="007226D7" w:rsidRDefault="003A73C7" w:rsidP="00200C3A"/>
    <w:p w:rsidR="003A73C7" w:rsidRPr="007226D7" w:rsidRDefault="003A73C7" w:rsidP="00200C3A">
      <w:pPr>
        <w:sectPr w:rsidR="003A73C7" w:rsidRPr="007226D7" w:rsidSect="00DF101C">
          <w:pgSz w:w="16840" w:h="11907" w:orient="landscape" w:code="9"/>
          <w:pgMar w:top="1418" w:right="1985" w:bottom="1134" w:left="1701" w:header="720" w:footer="833" w:gutter="0"/>
          <w:paperSrc w:first="15" w:other="15"/>
          <w:cols w:num="2" w:space="720"/>
          <w:docGrid w:linePitch="299"/>
        </w:sectPr>
      </w:pPr>
    </w:p>
    <w:p w:rsidR="00200C3A" w:rsidRPr="007226D7" w:rsidRDefault="001D4F2E" w:rsidP="00200C3A">
      <w:r w:rsidRPr="007226D7">
        <w:rPr>
          <w:noProof/>
          <w:lang w:val="en-US" w:eastAsia="en-US"/>
        </w:rPr>
        <w:lastRenderedPageBreak/>
        <w:drawing>
          <wp:inline distT="0" distB="0" distL="0" distR="0" wp14:anchorId="34630E08" wp14:editId="571E1B54">
            <wp:extent cx="8348353" cy="4868884"/>
            <wp:effectExtent l="0" t="0" r="0" b="0"/>
            <wp:docPr id="91" name="Gra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AB0B9C" w:rsidRPr="007226D7" w:rsidRDefault="00AB0B9C" w:rsidP="00AB0B9C">
      <w:pPr>
        <w:pStyle w:val="Figuras"/>
      </w:pPr>
      <w:r w:rsidRPr="007226D7">
        <w:t>Figura 4.7-5: Grafico de los Subidos y Bajados –HV – 2018 - ESC 1.3 – sentido E-O</w:t>
      </w:r>
    </w:p>
    <w:p w:rsidR="0064194A" w:rsidRPr="007226D7" w:rsidRDefault="0064194A">
      <w:pPr>
        <w:spacing w:after="0" w:line="240" w:lineRule="auto"/>
        <w:jc w:val="left"/>
        <w:rPr>
          <w:lang w:val="es-ES"/>
        </w:rPr>
      </w:pPr>
      <w:r w:rsidRPr="007226D7">
        <w:rPr>
          <w:lang w:val="es-ES"/>
        </w:rPr>
        <w:br w:type="page"/>
      </w:r>
    </w:p>
    <w:p w:rsidR="003A73C7" w:rsidRPr="007226D7" w:rsidRDefault="001D4F2E" w:rsidP="00200C3A">
      <w:r w:rsidRPr="007226D7">
        <w:rPr>
          <w:noProof/>
          <w:lang w:val="en-US" w:eastAsia="en-US"/>
        </w:rPr>
        <w:lastRenderedPageBreak/>
        <w:drawing>
          <wp:inline distT="0" distB="0" distL="0" distR="0" wp14:anchorId="390B37DD" wp14:editId="7E6AE4A9">
            <wp:extent cx="8348353" cy="4868884"/>
            <wp:effectExtent l="0" t="0" r="0" b="0"/>
            <wp:docPr id="92" name="Gra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AB0B9C" w:rsidRPr="007226D7" w:rsidRDefault="00AB0B9C" w:rsidP="00AB0B9C">
      <w:pPr>
        <w:pStyle w:val="Figuras"/>
      </w:pPr>
      <w:r w:rsidRPr="007226D7">
        <w:t>Figura 4.7-6: Grafico de los Subidos y Bajados –HV – 2018 - ESC 1.3 – sentido O-E</w:t>
      </w:r>
    </w:p>
    <w:p w:rsidR="00200C3A" w:rsidRPr="007226D7" w:rsidRDefault="00200C3A" w:rsidP="00200C3A">
      <w:pPr>
        <w:rPr>
          <w:lang w:val="es-ES"/>
        </w:rPr>
      </w:pPr>
    </w:p>
    <w:p w:rsidR="00200C3A" w:rsidRPr="007226D7" w:rsidRDefault="00200C3A" w:rsidP="00200C3A">
      <w:pPr>
        <w:rPr>
          <w:lang w:val="es-ES"/>
        </w:rPr>
        <w:sectPr w:rsidR="00200C3A" w:rsidRPr="007226D7" w:rsidSect="003A73C7">
          <w:pgSz w:w="16840" w:h="11907" w:orient="landscape" w:code="9"/>
          <w:pgMar w:top="1418" w:right="1985" w:bottom="1134" w:left="1701" w:header="720" w:footer="833" w:gutter="0"/>
          <w:paperSrc w:first="15" w:other="15"/>
          <w:cols w:space="720"/>
          <w:docGrid w:linePitch="299"/>
        </w:sectPr>
      </w:pPr>
    </w:p>
    <w:p w:rsidR="00ED1F70" w:rsidRPr="007226D7" w:rsidRDefault="007D153F" w:rsidP="00ED1F70">
      <w:pPr>
        <w:pStyle w:val="Heading3"/>
        <w:rPr>
          <w:lang w:val="es-ES"/>
        </w:rPr>
      </w:pPr>
      <w:bookmarkStart w:id="144" w:name="_Toc346541940"/>
      <w:r w:rsidRPr="007226D7">
        <w:rPr>
          <w:lang w:val="es-ES"/>
        </w:rPr>
        <w:lastRenderedPageBreak/>
        <w:t>Escenario 2.</w:t>
      </w:r>
      <w:r w:rsidR="00ED1F70" w:rsidRPr="007226D7">
        <w:rPr>
          <w:lang w:val="es-ES"/>
        </w:rPr>
        <w:t>1</w:t>
      </w:r>
      <w:bookmarkEnd w:id="143"/>
      <w:r w:rsidRPr="007226D7">
        <w:rPr>
          <w:lang w:val="es-ES"/>
        </w:rPr>
        <w:t xml:space="preserve"> - </w:t>
      </w:r>
      <w:r w:rsidRPr="007226D7">
        <w:rPr>
          <w:i/>
          <w:lang w:val="es-ES"/>
        </w:rPr>
        <w:t>NO INTERVENCIÓN 2020</w:t>
      </w:r>
      <w:bookmarkEnd w:id="144"/>
    </w:p>
    <w:p w:rsidR="00831B16" w:rsidRPr="007226D7" w:rsidRDefault="00ED1F70" w:rsidP="00831B16">
      <w:pPr>
        <w:rPr>
          <w:lang w:val="es-ES"/>
        </w:rPr>
      </w:pPr>
      <w:r w:rsidRPr="007226D7">
        <w:rPr>
          <w:lang w:val="es-ES"/>
        </w:rPr>
        <w:t>La siguiente tabla muestra los resultados del modelo de demanda asignada la situación de NO INTERVENCIÓN 2020:</w:t>
      </w:r>
      <w:r w:rsidR="00831B16" w:rsidRPr="007226D7">
        <w:rPr>
          <w:lang w:val="es-ES"/>
        </w:rPr>
        <w:t xml:space="preserve"> </w:t>
      </w:r>
    </w:p>
    <w:p w:rsidR="00FC103B" w:rsidRPr="007226D7" w:rsidRDefault="00FC103B" w:rsidP="00FC103B">
      <w:pPr>
        <w:pStyle w:val="Figuras"/>
      </w:pPr>
      <w:r w:rsidRPr="007226D7">
        <w:rPr>
          <w:noProof/>
        </w:rPr>
        <w:t>Tabla 4.7 – 7 (serie)</w:t>
      </w:r>
      <w:r w:rsidRPr="007226D7">
        <w:t xml:space="preserve">: resultados de modelación </w:t>
      </w:r>
      <w:r w:rsidR="000B2336" w:rsidRPr="007226D7">
        <w:t>escenario</w:t>
      </w:r>
      <w:r w:rsidRPr="007226D7">
        <w:t xml:space="preserve"> 2.1</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7D153F" w:rsidP="008B28D6">
            <w:pPr>
              <w:spacing w:after="0" w:line="240" w:lineRule="auto"/>
              <w:jc w:val="center"/>
              <w:rPr>
                <w:rFonts w:cs="Arial"/>
                <w:b/>
                <w:bCs/>
                <w:sz w:val="18"/>
                <w:szCs w:val="18"/>
              </w:rPr>
            </w:pPr>
            <w:r w:rsidRPr="007226D7">
              <w:rPr>
                <w:rFonts w:cs="Arial"/>
                <w:b/>
                <w:bCs/>
                <w:sz w:val="18"/>
                <w:szCs w:val="18"/>
              </w:rPr>
              <w:t>ESC 2.1</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7D153F" w:rsidRPr="007226D7" w:rsidTr="007D153F">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223,102</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125,936</w:t>
            </w:r>
          </w:p>
        </w:tc>
        <w:tc>
          <w:tcPr>
            <w:tcW w:w="1038"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103,516</w:t>
            </w:r>
          </w:p>
        </w:tc>
        <w:tc>
          <w:tcPr>
            <w:tcW w:w="1553"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2,043,787</w:t>
            </w:r>
          </w:p>
        </w:tc>
      </w:tr>
      <w:tr w:rsidR="007D153F" w:rsidRPr="007226D7" w:rsidTr="007D153F">
        <w:trPr>
          <w:trHeight w:val="240"/>
        </w:trPr>
        <w:tc>
          <w:tcPr>
            <w:tcW w:w="1119" w:type="dxa"/>
            <w:vMerge/>
            <w:tcBorders>
              <w:top w:val="nil"/>
              <w:left w:val="single" w:sz="4" w:space="0" w:color="auto"/>
              <w:bottom w:val="single" w:sz="4" w:space="0" w:color="auto"/>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114,745</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108,301</w:t>
            </w:r>
          </w:p>
        </w:tc>
        <w:tc>
          <w:tcPr>
            <w:tcW w:w="1038"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78,010</w:t>
            </w:r>
          </w:p>
        </w:tc>
        <w:tc>
          <w:tcPr>
            <w:tcW w:w="1553"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1,460,217</w:t>
            </w:r>
          </w:p>
        </w:tc>
      </w:tr>
      <w:tr w:rsidR="007D153F" w:rsidRPr="007226D7" w:rsidTr="007D153F">
        <w:trPr>
          <w:trHeight w:val="240"/>
        </w:trPr>
        <w:tc>
          <w:tcPr>
            <w:tcW w:w="1119" w:type="dxa"/>
            <w:vMerge/>
            <w:tcBorders>
              <w:top w:val="nil"/>
              <w:left w:val="single" w:sz="4" w:space="0" w:color="auto"/>
              <w:bottom w:val="single" w:sz="4" w:space="0" w:color="auto"/>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15,369</w:t>
            </w:r>
          </w:p>
        </w:tc>
        <w:tc>
          <w:tcPr>
            <w:tcW w:w="1265" w:type="dxa"/>
            <w:tcBorders>
              <w:top w:val="nil"/>
              <w:left w:val="nil"/>
              <w:bottom w:val="single" w:sz="4" w:space="0" w:color="auto"/>
              <w:right w:val="nil"/>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11,790</w:t>
            </w:r>
          </w:p>
        </w:tc>
        <w:tc>
          <w:tcPr>
            <w:tcW w:w="1038"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11,665</w:t>
            </w:r>
          </w:p>
        </w:tc>
        <w:tc>
          <w:tcPr>
            <w:tcW w:w="1553" w:type="dxa"/>
            <w:tcBorders>
              <w:top w:val="nil"/>
              <w:left w:val="nil"/>
              <w:bottom w:val="single" w:sz="4" w:space="0" w:color="auto"/>
              <w:right w:val="single" w:sz="4" w:space="0" w:color="auto"/>
            </w:tcBorders>
            <w:shd w:val="clear" w:color="171717" w:fill="DBE5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205,968</w:t>
            </w:r>
          </w:p>
        </w:tc>
      </w:tr>
      <w:tr w:rsidR="007D153F" w:rsidRPr="007226D7" w:rsidTr="007D153F">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1,592,890</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1,198,718</w:t>
            </w:r>
          </w:p>
        </w:tc>
        <w:tc>
          <w:tcPr>
            <w:tcW w:w="1038"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968,090</w:t>
            </w:r>
          </w:p>
        </w:tc>
        <w:tc>
          <w:tcPr>
            <w:tcW w:w="1553"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18,168,383</w:t>
            </w:r>
          </w:p>
        </w:tc>
      </w:tr>
      <w:tr w:rsidR="007D153F" w:rsidRPr="007226D7" w:rsidTr="007D153F">
        <w:trPr>
          <w:trHeight w:val="240"/>
        </w:trPr>
        <w:tc>
          <w:tcPr>
            <w:tcW w:w="1119" w:type="dxa"/>
            <w:vMerge/>
            <w:tcBorders>
              <w:top w:val="nil"/>
              <w:left w:val="single" w:sz="4" w:space="0" w:color="auto"/>
              <w:bottom w:val="single" w:sz="4" w:space="0" w:color="auto"/>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855,610</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996,835</w:t>
            </w:r>
          </w:p>
        </w:tc>
        <w:tc>
          <w:tcPr>
            <w:tcW w:w="1038"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584,659</w:t>
            </w:r>
          </w:p>
        </w:tc>
        <w:tc>
          <w:tcPr>
            <w:tcW w:w="1553"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11,305,457</w:t>
            </w:r>
          </w:p>
        </w:tc>
      </w:tr>
      <w:tr w:rsidR="007D153F" w:rsidRPr="007226D7" w:rsidTr="007D153F">
        <w:trPr>
          <w:trHeight w:val="240"/>
        </w:trPr>
        <w:tc>
          <w:tcPr>
            <w:tcW w:w="1119" w:type="dxa"/>
            <w:vMerge/>
            <w:tcBorders>
              <w:top w:val="nil"/>
              <w:left w:val="single" w:sz="4" w:space="0" w:color="auto"/>
              <w:bottom w:val="single" w:sz="4" w:space="0" w:color="auto"/>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345,755</w:t>
            </w:r>
          </w:p>
        </w:tc>
        <w:tc>
          <w:tcPr>
            <w:tcW w:w="1265" w:type="dxa"/>
            <w:tcBorders>
              <w:top w:val="nil"/>
              <w:left w:val="nil"/>
              <w:bottom w:val="single" w:sz="4" w:space="0" w:color="auto"/>
              <w:right w:val="nil"/>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301,530</w:t>
            </w:r>
          </w:p>
        </w:tc>
        <w:tc>
          <w:tcPr>
            <w:tcW w:w="1038"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298,805</w:t>
            </w:r>
          </w:p>
        </w:tc>
        <w:tc>
          <w:tcPr>
            <w:tcW w:w="1553" w:type="dxa"/>
            <w:tcBorders>
              <w:top w:val="nil"/>
              <w:left w:val="nil"/>
              <w:bottom w:val="single" w:sz="4" w:space="0" w:color="auto"/>
              <w:right w:val="single" w:sz="4" w:space="0" w:color="auto"/>
            </w:tcBorders>
            <w:shd w:val="clear" w:color="171717" w:fill="C5D9F1"/>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5,179,040</w:t>
            </w:r>
          </w:p>
        </w:tc>
      </w:tr>
      <w:tr w:rsidR="007D153F" w:rsidRPr="007226D7" w:rsidTr="007D153F">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121,092</w:t>
            </w:r>
          </w:p>
        </w:tc>
        <w:tc>
          <w:tcPr>
            <w:tcW w:w="1265" w:type="dxa"/>
            <w:tcBorders>
              <w:top w:val="nil"/>
              <w:left w:val="nil"/>
              <w:bottom w:val="single" w:sz="4"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71,598</w:t>
            </w:r>
          </w:p>
        </w:tc>
        <w:tc>
          <w:tcPr>
            <w:tcW w:w="1038"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53,072</w:t>
            </w:r>
          </w:p>
        </w:tc>
        <w:tc>
          <w:tcPr>
            <w:tcW w:w="1553"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1,075,321</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59,395</w:t>
            </w:r>
          </w:p>
        </w:tc>
        <w:tc>
          <w:tcPr>
            <w:tcW w:w="1265" w:type="dxa"/>
            <w:tcBorders>
              <w:top w:val="nil"/>
              <w:left w:val="nil"/>
              <w:bottom w:val="single" w:sz="4"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56,080</w:t>
            </w:r>
          </w:p>
        </w:tc>
        <w:tc>
          <w:tcPr>
            <w:tcW w:w="1038"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31,955</w:t>
            </w:r>
          </w:p>
        </w:tc>
        <w:tc>
          <w:tcPr>
            <w:tcW w:w="1553" w:type="dxa"/>
            <w:tcBorders>
              <w:top w:val="nil"/>
              <w:left w:val="nil"/>
              <w:bottom w:val="single" w:sz="4"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646,363</w:t>
            </w:r>
          </w:p>
        </w:tc>
      </w:tr>
      <w:tr w:rsidR="007D153F" w:rsidRPr="007226D7" w:rsidTr="007D153F">
        <w:trPr>
          <w:trHeight w:val="255"/>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16,216</w:t>
            </w:r>
          </w:p>
        </w:tc>
        <w:tc>
          <w:tcPr>
            <w:tcW w:w="1265" w:type="dxa"/>
            <w:tcBorders>
              <w:top w:val="nil"/>
              <w:left w:val="nil"/>
              <w:bottom w:val="single" w:sz="8" w:space="0" w:color="auto"/>
              <w:right w:val="nil"/>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13,675</w:t>
            </w:r>
          </w:p>
        </w:tc>
        <w:tc>
          <w:tcPr>
            <w:tcW w:w="1038" w:type="dxa"/>
            <w:tcBorders>
              <w:top w:val="nil"/>
              <w:left w:val="nil"/>
              <w:bottom w:val="single" w:sz="8"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11,938</w:t>
            </w:r>
          </w:p>
        </w:tc>
        <w:tc>
          <w:tcPr>
            <w:tcW w:w="1553" w:type="dxa"/>
            <w:tcBorders>
              <w:top w:val="nil"/>
              <w:left w:val="nil"/>
              <w:bottom w:val="single" w:sz="8" w:space="0" w:color="auto"/>
              <w:right w:val="single" w:sz="4" w:space="0" w:color="auto"/>
            </w:tcBorders>
            <w:shd w:val="clear" w:color="171717" w:fill="95B3D7"/>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214,969</w:t>
            </w:r>
          </w:p>
        </w:tc>
      </w:tr>
    </w:tbl>
    <w:p w:rsidR="00831B16" w:rsidRPr="007226D7" w:rsidRDefault="00831B16" w:rsidP="00831B16">
      <w:pPr>
        <w:rPr>
          <w:sz w:val="2"/>
          <w:szCs w:val="4"/>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7D153F">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7D153F" w:rsidP="008B28D6">
            <w:pPr>
              <w:spacing w:after="0" w:line="240" w:lineRule="auto"/>
              <w:jc w:val="center"/>
              <w:rPr>
                <w:rFonts w:cs="Arial"/>
                <w:b/>
                <w:bCs/>
                <w:sz w:val="18"/>
                <w:szCs w:val="18"/>
              </w:rPr>
            </w:pPr>
            <w:r w:rsidRPr="007226D7">
              <w:rPr>
                <w:rFonts w:cs="Arial"/>
                <w:b/>
                <w:bCs/>
                <w:sz w:val="18"/>
                <w:szCs w:val="18"/>
              </w:rPr>
              <w:t>ESC 2.1</w:t>
            </w:r>
          </w:p>
        </w:tc>
      </w:tr>
      <w:tr w:rsidR="00831B16" w:rsidRPr="007226D7" w:rsidTr="007D153F">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7D153F" w:rsidRPr="007226D7" w:rsidTr="00FC103B">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1,117,842</w:t>
            </w:r>
          </w:p>
        </w:tc>
        <w:tc>
          <w:tcPr>
            <w:tcW w:w="1088" w:type="dxa"/>
            <w:tcBorders>
              <w:top w:val="nil"/>
              <w:left w:val="nil"/>
              <w:bottom w:val="single" w:sz="4" w:space="0" w:color="auto"/>
              <w:right w:val="nil"/>
            </w:tcBorders>
            <w:shd w:val="clear" w:color="171717" w:fill="D7E4BC"/>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762,828</w:t>
            </w:r>
          </w:p>
        </w:tc>
        <w:tc>
          <w:tcPr>
            <w:tcW w:w="1088" w:type="dxa"/>
            <w:tcBorders>
              <w:top w:val="nil"/>
              <w:left w:val="nil"/>
              <w:bottom w:val="single" w:sz="4" w:space="0" w:color="auto"/>
              <w:right w:val="single" w:sz="4" w:space="0" w:color="auto"/>
            </w:tcBorders>
            <w:shd w:val="clear" w:color="171717" w:fill="D7E4BC"/>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552,998</w:t>
            </w:r>
          </w:p>
        </w:tc>
        <w:tc>
          <w:tcPr>
            <w:tcW w:w="1625" w:type="dxa"/>
            <w:tcBorders>
              <w:top w:val="nil"/>
              <w:left w:val="nil"/>
              <w:bottom w:val="single" w:sz="4" w:space="0" w:color="auto"/>
              <w:right w:val="single" w:sz="4" w:space="0" w:color="auto"/>
            </w:tcBorders>
            <w:shd w:val="clear" w:color="171717" w:fill="D7E4BC"/>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10,950,312</w:t>
            </w:r>
          </w:p>
        </w:tc>
      </w:tr>
      <w:tr w:rsidR="007D153F" w:rsidRPr="007226D7" w:rsidTr="007D153F">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168,065</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161,661</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125,233</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2,287,477</w:t>
            </w:r>
          </w:p>
        </w:tc>
      </w:tr>
      <w:tr w:rsidR="007D153F" w:rsidRPr="007226D7" w:rsidTr="007D153F">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136,136</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104,085</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106,239</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1,861,552</w:t>
            </w:r>
          </w:p>
        </w:tc>
      </w:tr>
      <w:tr w:rsidR="007D153F" w:rsidRPr="007226D7" w:rsidTr="007D153F">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52,659</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28,611</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29,114</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541,025</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133</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178</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178</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2,929</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7D153F" w:rsidRPr="007226D7" w:rsidTr="007D153F">
        <w:trPr>
          <w:trHeight w:val="240"/>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2,466</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2,543</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2,444</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41,785</w:t>
            </w:r>
          </w:p>
        </w:tc>
      </w:tr>
      <w:tr w:rsidR="007D153F" w:rsidRPr="007226D7" w:rsidTr="007D153F">
        <w:trPr>
          <w:trHeight w:val="499"/>
        </w:trPr>
        <w:tc>
          <w:tcPr>
            <w:tcW w:w="1119" w:type="dxa"/>
            <w:vMerge/>
            <w:tcBorders>
              <w:top w:val="nil"/>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365,485</w:t>
            </w:r>
          </w:p>
        </w:tc>
        <w:tc>
          <w:tcPr>
            <w:tcW w:w="1088" w:type="dxa"/>
            <w:tcBorders>
              <w:top w:val="nil"/>
              <w:left w:val="nil"/>
              <w:bottom w:val="single" w:sz="8" w:space="0" w:color="auto"/>
              <w:right w:val="nil"/>
            </w:tcBorders>
            <w:shd w:val="clear" w:color="171717" w:fill="92D05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301,542</w:t>
            </w:r>
          </w:p>
        </w:tc>
        <w:tc>
          <w:tcPr>
            <w:tcW w:w="1088" w:type="dxa"/>
            <w:tcBorders>
              <w:top w:val="nil"/>
              <w:left w:val="nil"/>
              <w:bottom w:val="single" w:sz="8" w:space="0" w:color="auto"/>
              <w:right w:val="single" w:sz="4" w:space="0" w:color="auto"/>
            </w:tcBorders>
            <w:shd w:val="clear" w:color="171717" w:fill="92D05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264,997</w:t>
            </w:r>
          </w:p>
        </w:tc>
        <w:tc>
          <w:tcPr>
            <w:tcW w:w="1625" w:type="dxa"/>
            <w:tcBorders>
              <w:top w:val="nil"/>
              <w:left w:val="nil"/>
              <w:bottom w:val="single" w:sz="8" w:space="0" w:color="auto"/>
              <w:right w:val="single" w:sz="4" w:space="0" w:color="auto"/>
            </w:tcBorders>
            <w:shd w:val="clear" w:color="171717" w:fill="92D05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4,779,019</w:t>
            </w:r>
          </w:p>
        </w:tc>
      </w:tr>
      <w:tr w:rsidR="00831B16" w:rsidRPr="007226D7" w:rsidTr="007D153F">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7D153F">
            <w:pPr>
              <w:spacing w:after="0" w:line="240" w:lineRule="auto"/>
              <w:jc w:val="center"/>
              <w:rPr>
                <w:rFonts w:cs="Arial"/>
                <w:b/>
                <w:bCs/>
                <w:sz w:val="18"/>
                <w:szCs w:val="18"/>
              </w:rPr>
            </w:pPr>
            <w:r w:rsidRPr="007226D7">
              <w:rPr>
                <w:rFonts w:cs="Arial"/>
                <w:b/>
                <w:bCs/>
                <w:sz w:val="18"/>
                <w:szCs w:val="18"/>
              </w:rPr>
              <w:t xml:space="preserve">ESC </w:t>
            </w:r>
            <w:r w:rsidR="007D153F" w:rsidRPr="007226D7">
              <w:rPr>
                <w:rFonts w:cs="Arial"/>
                <w:b/>
                <w:bCs/>
                <w:sz w:val="18"/>
                <w:szCs w:val="18"/>
              </w:rPr>
              <w:t>2.1</w:t>
            </w:r>
          </w:p>
        </w:tc>
      </w:tr>
      <w:tr w:rsidR="00831B16" w:rsidRPr="007226D7" w:rsidTr="007D153F">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7D153F" w:rsidRPr="007226D7" w:rsidTr="007D153F">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7D153F" w:rsidRPr="007226D7" w:rsidRDefault="007D153F"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558,576</w:t>
            </w:r>
          </w:p>
        </w:tc>
        <w:tc>
          <w:tcPr>
            <w:tcW w:w="1088"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419,260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278,843</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5,580,631</w:t>
            </w:r>
          </w:p>
        </w:tc>
      </w:tr>
      <w:tr w:rsidR="007D153F" w:rsidRPr="007226D7" w:rsidTr="007D153F">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526,138</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391,787</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280,309</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5,479,867</w:t>
            </w:r>
          </w:p>
        </w:tc>
      </w:tr>
      <w:tr w:rsidR="007D153F" w:rsidRPr="007226D7" w:rsidTr="007D153F">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232,510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149,937</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109,939</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2,194,107</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11,245</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10,584</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4,666</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104,316</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56,042</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46,664</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22,231</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494,422</w:t>
            </w:r>
          </w:p>
        </w:tc>
      </w:tr>
      <w:tr w:rsidR="007D153F" w:rsidRPr="007226D7" w:rsidTr="007D153F">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11,975</w:t>
            </w:r>
          </w:p>
        </w:tc>
        <w:tc>
          <w:tcPr>
            <w:tcW w:w="1088"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9,828</w:t>
            </w:r>
          </w:p>
        </w:tc>
        <w:tc>
          <w:tcPr>
            <w:tcW w:w="1088"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5,169</w:t>
            </w:r>
          </w:p>
        </w:tc>
        <w:tc>
          <w:tcPr>
            <w:tcW w:w="162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110,802</w:t>
            </w:r>
          </w:p>
        </w:tc>
      </w:tr>
      <w:tr w:rsidR="007D153F" w:rsidRPr="007226D7" w:rsidTr="007D153F">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7D153F" w:rsidRPr="007226D7" w:rsidRDefault="007D153F"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1,396,486</w:t>
            </w:r>
          </w:p>
        </w:tc>
        <w:tc>
          <w:tcPr>
            <w:tcW w:w="1088" w:type="dxa"/>
            <w:tcBorders>
              <w:top w:val="nil"/>
              <w:left w:val="nil"/>
              <w:bottom w:val="single" w:sz="8" w:space="0" w:color="auto"/>
              <w:right w:val="nil"/>
            </w:tcBorders>
            <w:shd w:val="clear" w:color="171717" w:fill="75923C"/>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1,028,060</w:t>
            </w:r>
          </w:p>
        </w:tc>
        <w:tc>
          <w:tcPr>
            <w:tcW w:w="1088" w:type="dxa"/>
            <w:tcBorders>
              <w:top w:val="nil"/>
              <w:left w:val="nil"/>
              <w:bottom w:val="single" w:sz="8" w:space="0" w:color="auto"/>
              <w:right w:val="single" w:sz="4" w:space="0" w:color="auto"/>
            </w:tcBorders>
            <w:shd w:val="clear" w:color="171717" w:fill="75923C"/>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701,158</w:t>
            </w:r>
          </w:p>
        </w:tc>
        <w:tc>
          <w:tcPr>
            <w:tcW w:w="1625" w:type="dxa"/>
            <w:tcBorders>
              <w:top w:val="nil"/>
              <w:left w:val="nil"/>
              <w:bottom w:val="single" w:sz="8" w:space="0" w:color="auto"/>
              <w:right w:val="single" w:sz="4" w:space="0" w:color="auto"/>
            </w:tcBorders>
            <w:shd w:val="clear" w:color="171717" w:fill="75923C"/>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13,964,145</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7D153F" w:rsidRPr="007226D7">
              <w:rPr>
                <w:rFonts w:cs="Arial"/>
                <w:b/>
                <w:bCs/>
                <w:sz w:val="18"/>
                <w:szCs w:val="18"/>
              </w:rPr>
              <w:t>2.1</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7D153F" w:rsidRPr="007226D7" w:rsidTr="007D153F">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7D153F" w:rsidRPr="007226D7" w:rsidRDefault="007D153F"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3,640,880</w:t>
            </w:r>
          </w:p>
        </w:tc>
        <w:tc>
          <w:tcPr>
            <w:tcW w:w="1175"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3,048,167</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2,158,276</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41,435,682</w:t>
            </w:r>
          </w:p>
        </w:tc>
      </w:tr>
      <w:tr w:rsidR="007D153F" w:rsidRPr="007226D7" w:rsidTr="007D153F">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4,143,801</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3,281,408</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2,511,425</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47,498,943</w:t>
            </w:r>
          </w:p>
        </w:tc>
      </w:tr>
      <w:tr w:rsidR="007D153F" w:rsidRPr="007226D7" w:rsidTr="007D153F">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1,729,602</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1,187,026</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930,815</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17,933,851</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7D153F" w:rsidRPr="007226D7" w:rsidRDefault="007D153F"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155,526</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153,962</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67,363</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1,494,695</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632,536</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547,825</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271,812</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5,894,278</w:t>
            </w:r>
          </w:p>
        </w:tc>
      </w:tr>
      <w:tr w:rsidR="007D153F" w:rsidRPr="007226D7" w:rsidTr="007D153F">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78,010</w:t>
            </w:r>
          </w:p>
        </w:tc>
        <w:tc>
          <w:tcPr>
            <w:tcW w:w="1175" w:type="dxa"/>
            <w:tcBorders>
              <w:top w:val="nil"/>
              <w:left w:val="nil"/>
              <w:bottom w:val="single" w:sz="4" w:space="0" w:color="auto"/>
              <w:right w:val="nil"/>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64,590</w:t>
            </w:r>
          </w:p>
        </w:tc>
        <w:tc>
          <w:tcPr>
            <w:tcW w:w="1175"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33,873</w:t>
            </w:r>
          </w:p>
        </w:tc>
        <w:tc>
          <w:tcPr>
            <w:tcW w:w="1454" w:type="dxa"/>
            <w:tcBorders>
              <w:top w:val="nil"/>
              <w:left w:val="nil"/>
              <w:bottom w:val="single" w:sz="4" w:space="0" w:color="auto"/>
              <w:right w:val="single" w:sz="4" w:space="0" w:color="auto"/>
            </w:tcBorders>
            <w:shd w:val="clear" w:color="171717" w:fill="FFFFFF"/>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725,549</w:t>
            </w:r>
          </w:p>
        </w:tc>
      </w:tr>
      <w:tr w:rsidR="007D153F" w:rsidRPr="007226D7" w:rsidTr="007D153F">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7D153F" w:rsidRPr="007226D7" w:rsidRDefault="007D153F"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7D153F" w:rsidRPr="007226D7" w:rsidRDefault="007D153F"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10,380,355</w:t>
            </w:r>
          </w:p>
        </w:tc>
        <w:tc>
          <w:tcPr>
            <w:tcW w:w="1175" w:type="dxa"/>
            <w:tcBorders>
              <w:top w:val="nil"/>
              <w:left w:val="nil"/>
              <w:bottom w:val="single" w:sz="8" w:space="0" w:color="auto"/>
              <w:right w:val="nil"/>
            </w:tcBorders>
            <w:shd w:val="clear" w:color="171717" w:fill="4F6228"/>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8,282,978</w:t>
            </w:r>
          </w:p>
        </w:tc>
        <w:tc>
          <w:tcPr>
            <w:tcW w:w="1175" w:type="dxa"/>
            <w:tcBorders>
              <w:top w:val="nil"/>
              <w:left w:val="nil"/>
              <w:bottom w:val="single" w:sz="8" w:space="0" w:color="auto"/>
              <w:right w:val="single" w:sz="4" w:space="0" w:color="auto"/>
            </w:tcBorders>
            <w:shd w:val="clear" w:color="171717" w:fill="4F6228"/>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5,973,564</w:t>
            </w:r>
          </w:p>
        </w:tc>
        <w:tc>
          <w:tcPr>
            <w:tcW w:w="1454" w:type="dxa"/>
            <w:tcBorders>
              <w:top w:val="nil"/>
              <w:left w:val="nil"/>
              <w:bottom w:val="single" w:sz="8" w:space="0" w:color="auto"/>
              <w:right w:val="single" w:sz="4" w:space="0" w:color="auto"/>
            </w:tcBorders>
            <w:shd w:val="clear" w:color="171717" w:fill="4F6228"/>
            <w:noWrap/>
            <w:vAlign w:val="center"/>
            <w:hideMark/>
          </w:tcPr>
          <w:p w:rsidR="007D153F" w:rsidRPr="007226D7" w:rsidRDefault="007D153F" w:rsidP="007D153F">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114,982,998</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7D153F" w:rsidRPr="007226D7">
              <w:rPr>
                <w:rFonts w:cs="Arial"/>
                <w:b/>
                <w:bCs/>
                <w:sz w:val="18"/>
                <w:szCs w:val="18"/>
              </w:rPr>
              <w:t>2.1</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7D153F" w:rsidRPr="007226D7" w:rsidTr="007D153F">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41,336,384</w:t>
            </w:r>
          </w:p>
        </w:tc>
        <w:tc>
          <w:tcPr>
            <w:tcW w:w="1247" w:type="dxa"/>
            <w:tcBorders>
              <w:top w:val="single" w:sz="4" w:space="0" w:color="auto"/>
              <w:left w:val="nil"/>
              <w:bottom w:val="single" w:sz="4" w:space="0" w:color="auto"/>
              <w:right w:val="nil"/>
            </w:tcBorders>
            <w:shd w:val="clear" w:color="171717" w:fill="FFFF99"/>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39,882,344</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37,246,215</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646,638,251</w:t>
            </w:r>
          </w:p>
        </w:tc>
      </w:tr>
      <w:tr w:rsidR="007D153F" w:rsidRPr="007226D7" w:rsidTr="007D153F">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7D153F" w:rsidRPr="007226D7" w:rsidRDefault="007D153F"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24.93%</w:t>
            </w:r>
          </w:p>
        </w:tc>
        <w:tc>
          <w:tcPr>
            <w:tcW w:w="1247" w:type="dxa"/>
            <w:tcBorders>
              <w:top w:val="nil"/>
              <w:left w:val="nil"/>
              <w:bottom w:val="single" w:sz="4" w:space="0" w:color="auto"/>
              <w:right w:val="nil"/>
            </w:tcBorders>
            <w:shd w:val="clear" w:color="171717" w:fill="FFFF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34.77%</w:t>
            </w:r>
          </w:p>
        </w:tc>
        <w:tc>
          <w:tcPr>
            <w:tcW w:w="1247" w:type="dxa"/>
            <w:tcBorders>
              <w:top w:val="nil"/>
              <w:left w:val="nil"/>
              <w:bottom w:val="single" w:sz="4" w:space="0" w:color="auto"/>
              <w:right w:val="single" w:sz="4" w:space="0" w:color="auto"/>
            </w:tcBorders>
            <w:shd w:val="clear" w:color="171717" w:fill="FFFF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26.79%</w:t>
            </w:r>
          </w:p>
        </w:tc>
        <w:tc>
          <w:tcPr>
            <w:tcW w:w="1379" w:type="dxa"/>
            <w:tcBorders>
              <w:top w:val="nil"/>
              <w:left w:val="nil"/>
              <w:bottom w:val="single" w:sz="4" w:space="0" w:color="auto"/>
              <w:right w:val="single" w:sz="4" w:space="0" w:color="auto"/>
            </w:tcBorders>
            <w:shd w:val="clear" w:color="171717" w:fill="FFFF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7D153F" w:rsidRPr="007226D7" w:rsidTr="007D153F">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7D153F" w:rsidRPr="007226D7" w:rsidRDefault="007D153F"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46.29</w:t>
            </w:r>
          </w:p>
        </w:tc>
        <w:tc>
          <w:tcPr>
            <w:tcW w:w="1247" w:type="dxa"/>
            <w:tcBorders>
              <w:top w:val="nil"/>
              <w:left w:val="nil"/>
              <w:bottom w:val="single" w:sz="4" w:space="0" w:color="auto"/>
              <w:right w:val="nil"/>
            </w:tcBorders>
            <w:shd w:val="clear" w:color="171717" w:fill="FFC0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49.70</w:t>
            </w:r>
          </w:p>
        </w:tc>
        <w:tc>
          <w:tcPr>
            <w:tcW w:w="1247" w:type="dxa"/>
            <w:tcBorders>
              <w:top w:val="nil"/>
              <w:left w:val="nil"/>
              <w:bottom w:val="single" w:sz="4" w:space="0" w:color="auto"/>
              <w:right w:val="single" w:sz="4" w:space="0" w:color="auto"/>
            </w:tcBorders>
            <w:shd w:val="clear" w:color="171717" w:fill="FFC0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45.82</w:t>
            </w:r>
          </w:p>
        </w:tc>
        <w:tc>
          <w:tcPr>
            <w:tcW w:w="1379" w:type="dxa"/>
            <w:tcBorders>
              <w:top w:val="nil"/>
              <w:left w:val="nil"/>
              <w:bottom w:val="single" w:sz="4" w:space="0" w:color="auto"/>
              <w:right w:val="single" w:sz="4" w:space="0" w:color="auto"/>
            </w:tcBorders>
            <w:shd w:val="clear" w:color="171717" w:fill="FFC000"/>
            <w:noWrap/>
            <w:vAlign w:val="center"/>
            <w:hideMark/>
          </w:tcPr>
          <w:p w:rsidR="007D153F" w:rsidRPr="007226D7" w:rsidRDefault="007D153F" w:rsidP="007D153F">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1333AF" w:rsidRPr="007226D7" w:rsidRDefault="001333AF">
      <w:pPr>
        <w:spacing w:after="0" w:line="240" w:lineRule="auto"/>
        <w:jc w:val="left"/>
        <w:rPr>
          <w:lang w:val="es-ES"/>
        </w:rPr>
      </w:pPr>
      <w:bookmarkStart w:id="145" w:name="_Toc342751288"/>
    </w:p>
    <w:p w:rsidR="001333AF" w:rsidRPr="007226D7" w:rsidRDefault="001333AF">
      <w:pPr>
        <w:spacing w:after="0" w:line="240" w:lineRule="auto"/>
        <w:jc w:val="left"/>
        <w:rPr>
          <w:lang w:val="es-ES"/>
        </w:rPr>
      </w:pPr>
    </w:p>
    <w:p w:rsidR="00547525" w:rsidRPr="007226D7" w:rsidRDefault="00547525">
      <w:pPr>
        <w:spacing w:after="0" w:line="240" w:lineRule="auto"/>
        <w:jc w:val="left"/>
        <w:rPr>
          <w:lang w:val="es-ES"/>
        </w:rPr>
      </w:pPr>
      <w:r w:rsidRPr="007226D7">
        <w:rPr>
          <w:lang w:val="es-ES"/>
        </w:rPr>
        <w:br w:type="page"/>
      </w:r>
    </w:p>
    <w:p w:rsidR="00ED1F70" w:rsidRPr="007226D7" w:rsidRDefault="004336CD" w:rsidP="00ED1F70">
      <w:pPr>
        <w:pStyle w:val="Heading3"/>
        <w:rPr>
          <w:lang w:val="es-ES"/>
        </w:rPr>
      </w:pPr>
      <w:bookmarkStart w:id="146" w:name="_Toc346541941"/>
      <w:r w:rsidRPr="007226D7">
        <w:rPr>
          <w:lang w:val="es-ES"/>
        </w:rPr>
        <w:lastRenderedPageBreak/>
        <w:t>Escenario 2.</w:t>
      </w:r>
      <w:r w:rsidR="00ED1F70" w:rsidRPr="007226D7">
        <w:rPr>
          <w:lang w:val="es-ES"/>
        </w:rPr>
        <w:t>2</w:t>
      </w:r>
      <w:bookmarkEnd w:id="145"/>
      <w:r w:rsidRPr="007226D7">
        <w:rPr>
          <w:lang w:val="es-ES"/>
        </w:rPr>
        <w:t xml:space="preserve"> - </w:t>
      </w:r>
      <w:r w:rsidRPr="007226D7">
        <w:rPr>
          <w:i/>
          <w:lang w:val="es-ES"/>
        </w:rPr>
        <w:t>SITUACIÓN OPTIMIZADA 2020</w:t>
      </w:r>
      <w:bookmarkEnd w:id="146"/>
    </w:p>
    <w:p w:rsidR="00831B16" w:rsidRPr="007226D7" w:rsidRDefault="00ED1F70" w:rsidP="00831B16">
      <w:pPr>
        <w:rPr>
          <w:lang w:val="es-ES"/>
        </w:rPr>
      </w:pPr>
      <w:r w:rsidRPr="007226D7">
        <w:rPr>
          <w:lang w:val="es-ES"/>
        </w:rPr>
        <w:t>La siguiente tabla muestra los resultados del modelo de demanda asignada por la situación OPTIMIZADA 2020:</w:t>
      </w:r>
      <w:r w:rsidR="00831B16" w:rsidRPr="007226D7">
        <w:rPr>
          <w:lang w:val="es-ES"/>
        </w:rPr>
        <w:t xml:space="preserve"> </w:t>
      </w:r>
    </w:p>
    <w:p w:rsidR="00FC103B" w:rsidRPr="007226D7" w:rsidRDefault="00FC103B" w:rsidP="00FC103B">
      <w:pPr>
        <w:pStyle w:val="Figuras"/>
      </w:pPr>
      <w:r w:rsidRPr="007226D7">
        <w:rPr>
          <w:noProof/>
        </w:rPr>
        <w:t>Tabla 4.7 – 8 (serie)</w:t>
      </w:r>
      <w:r w:rsidRPr="007226D7">
        <w:t xml:space="preserve">: resultados de modelación </w:t>
      </w:r>
      <w:r w:rsidR="000B2336" w:rsidRPr="007226D7">
        <w:t>escenario</w:t>
      </w:r>
      <w:r w:rsidRPr="007226D7">
        <w:t xml:space="preserve"> 2.2</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96806" w:rsidP="008B28D6">
            <w:pPr>
              <w:spacing w:after="0" w:line="240" w:lineRule="auto"/>
              <w:jc w:val="center"/>
              <w:rPr>
                <w:rFonts w:cs="Arial"/>
                <w:b/>
                <w:bCs/>
                <w:sz w:val="18"/>
                <w:szCs w:val="18"/>
              </w:rPr>
            </w:pPr>
            <w:r w:rsidRPr="007226D7">
              <w:rPr>
                <w:rFonts w:cs="Arial"/>
                <w:b/>
                <w:bCs/>
                <w:sz w:val="18"/>
                <w:szCs w:val="18"/>
              </w:rPr>
              <w:t>ESC 2.2</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230,064</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127,257</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103,992</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2,066,532</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112,549</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101,373</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70,300</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1,341,750</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15,833</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11,907</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11,700</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207,581</w:t>
            </w:r>
          </w:p>
        </w:tc>
      </w:tr>
      <w:tr w:rsidR="00896806" w:rsidRPr="007226D7" w:rsidTr="00896806">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1,525,382</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1,146,570</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928,572</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17,415,338</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800,045</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909,046</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494,374</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9,845,039</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330,750</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285,359</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281,069</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4,886,119</w:t>
            </w:r>
          </w:p>
        </w:tc>
      </w:tr>
      <w:tr w:rsidR="00896806" w:rsidRPr="007226D7" w:rsidTr="00896806">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84,874</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50,560</w:t>
            </w:r>
          </w:p>
        </w:tc>
        <w:tc>
          <w:tcPr>
            <w:tcW w:w="1038"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35,539</w:t>
            </w:r>
          </w:p>
        </w:tc>
        <w:tc>
          <w:tcPr>
            <w:tcW w:w="1553"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732,879</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41,162</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38,103</w:t>
            </w:r>
          </w:p>
        </w:tc>
        <w:tc>
          <w:tcPr>
            <w:tcW w:w="1038"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18,379</w:t>
            </w:r>
          </w:p>
        </w:tc>
        <w:tc>
          <w:tcPr>
            <w:tcW w:w="1553"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397,458</w:t>
            </w:r>
          </w:p>
        </w:tc>
      </w:tr>
      <w:tr w:rsidR="00896806" w:rsidRPr="007226D7" w:rsidTr="00896806">
        <w:trPr>
          <w:trHeight w:val="255"/>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10,171</w:t>
            </w:r>
          </w:p>
        </w:tc>
        <w:tc>
          <w:tcPr>
            <w:tcW w:w="1265" w:type="dxa"/>
            <w:tcBorders>
              <w:top w:val="nil"/>
              <w:left w:val="nil"/>
              <w:bottom w:val="single" w:sz="8"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9,056</w:t>
            </w:r>
          </w:p>
        </w:tc>
        <w:tc>
          <w:tcPr>
            <w:tcW w:w="1038"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7,222</w:t>
            </w:r>
          </w:p>
        </w:tc>
        <w:tc>
          <w:tcPr>
            <w:tcW w:w="1553"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132,341</w:t>
            </w:r>
          </w:p>
        </w:tc>
      </w:tr>
    </w:tbl>
    <w:p w:rsidR="00831B16" w:rsidRPr="007226D7" w:rsidRDefault="00831B16" w:rsidP="00831B16">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89680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96806" w:rsidP="008B28D6">
            <w:pPr>
              <w:spacing w:after="0" w:line="240" w:lineRule="auto"/>
              <w:jc w:val="center"/>
              <w:rPr>
                <w:rFonts w:cs="Arial"/>
                <w:b/>
                <w:bCs/>
                <w:sz w:val="18"/>
                <w:szCs w:val="18"/>
              </w:rPr>
            </w:pPr>
            <w:r w:rsidRPr="007226D7">
              <w:rPr>
                <w:rFonts w:cs="Arial"/>
                <w:b/>
                <w:bCs/>
                <w:sz w:val="18"/>
                <w:szCs w:val="18"/>
              </w:rPr>
              <w:t>ESC 2.2</w:t>
            </w:r>
          </w:p>
        </w:tc>
      </w:tr>
      <w:tr w:rsidR="00831B16" w:rsidRPr="007226D7" w:rsidTr="0089680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FC103B">
        <w:trPr>
          <w:trHeight w:hRule="exact" w:val="567"/>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1,158,174</w:t>
            </w:r>
          </w:p>
        </w:tc>
        <w:tc>
          <w:tcPr>
            <w:tcW w:w="1088" w:type="dxa"/>
            <w:tcBorders>
              <w:top w:val="nil"/>
              <w:left w:val="nil"/>
              <w:bottom w:val="single" w:sz="4" w:space="0" w:color="auto"/>
              <w:right w:val="nil"/>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778,632</w:t>
            </w:r>
          </w:p>
        </w:tc>
        <w:tc>
          <w:tcPr>
            <w:tcW w:w="1088"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562,853</w:t>
            </w:r>
          </w:p>
        </w:tc>
        <w:tc>
          <w:tcPr>
            <w:tcW w:w="1625"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11,190,697</w:t>
            </w:r>
          </w:p>
        </w:tc>
      </w:tr>
      <w:tr w:rsidR="00896806" w:rsidRPr="007226D7" w:rsidTr="00896806">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E66C64" w:rsidP="00896806">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79,451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246,710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181,556</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163,217</w:t>
            </w:r>
          </w:p>
        </w:tc>
        <w:tc>
          <w:tcPr>
            <w:tcW w:w="1088" w:type="dxa"/>
            <w:tcBorders>
              <w:top w:val="nil"/>
              <w:left w:val="nil"/>
              <w:bottom w:val="single" w:sz="8" w:space="0" w:color="auto"/>
              <w:right w:val="nil"/>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161,767</w:t>
            </w:r>
          </w:p>
        </w:tc>
        <w:tc>
          <w:tcPr>
            <w:tcW w:w="1088"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158,855</w:t>
            </w:r>
          </w:p>
        </w:tc>
        <w:tc>
          <w:tcPr>
            <w:tcW w:w="1625"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2,635,633</w:t>
            </w:r>
          </w:p>
        </w:tc>
      </w:tr>
      <w:tr w:rsidR="00831B16" w:rsidRPr="007226D7" w:rsidTr="0089680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96806" w:rsidRPr="007226D7">
              <w:rPr>
                <w:rFonts w:cs="Arial"/>
                <w:b/>
                <w:bCs/>
                <w:sz w:val="18"/>
                <w:szCs w:val="18"/>
              </w:rPr>
              <w:t>2.2</w:t>
            </w:r>
          </w:p>
        </w:tc>
      </w:tr>
      <w:tr w:rsidR="00831B16" w:rsidRPr="007226D7" w:rsidTr="0089680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785,975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558,805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399,541</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7,883,592</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139,319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88,990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64,731</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1,298,121</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116,576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89,248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66,832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1,280,463</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39,610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21,457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15,243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320,293</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31,178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21,210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16,798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323,151</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50,183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29,643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22,407</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450,943</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21,154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18,479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15,903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286,005</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73,621</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59,594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36,917</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746,351</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55,919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52,932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35,518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679,436</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94,374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66,075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47,572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939,334</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69,853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50,552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40,558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768,064</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52,490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33,500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24,079</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485,007</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111,738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94,227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72,638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1,356,224</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52,060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39,839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23,410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488,128</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88,263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69,194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45,370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904,724</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84,680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68,748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43,898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877,530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1,866,992</w:t>
            </w:r>
          </w:p>
        </w:tc>
        <w:tc>
          <w:tcPr>
            <w:tcW w:w="1088" w:type="dxa"/>
            <w:tcBorders>
              <w:top w:val="nil"/>
              <w:left w:val="nil"/>
              <w:bottom w:val="single" w:sz="8" w:space="0" w:color="auto"/>
              <w:right w:val="nil"/>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1,362,493</w:t>
            </w:r>
          </w:p>
        </w:tc>
        <w:tc>
          <w:tcPr>
            <w:tcW w:w="1088"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971,415</w:t>
            </w:r>
          </w:p>
        </w:tc>
        <w:tc>
          <w:tcPr>
            <w:tcW w:w="1625"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19,087,366</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96806" w:rsidRPr="007226D7">
              <w:rPr>
                <w:rFonts w:cs="Arial"/>
                <w:b/>
                <w:bCs/>
                <w:sz w:val="18"/>
                <w:szCs w:val="18"/>
              </w:rPr>
              <w:t>2.2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2,997,368</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2,260,582</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1,702,988</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32,654,745</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1,277,343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782,485</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516,713</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10,836,925</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1,362,053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1,090,516</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845,038</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15,890,632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313,209</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156,486</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117,549</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2,467,527</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222,954</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151,185</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130,943</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2,450,537</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186,542</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119,624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96,220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1,863,192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85,595</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78,981</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72,350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1,269,702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220,700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177,550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106,165</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2,176,645</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446,963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434,139</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295,109</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5,598,621</w:t>
            </w:r>
          </w:p>
        </w:tc>
      </w:tr>
      <w:tr w:rsidR="00896806" w:rsidRPr="007226D7" w:rsidTr="0089680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588,207</w:t>
            </w:r>
          </w:p>
        </w:tc>
        <w:tc>
          <w:tcPr>
            <w:tcW w:w="1175"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419,435</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319,394</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6,167,406</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505,917</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432,663</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343,761</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6,346,053</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107,102</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67,660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48,767</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983,495</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495,213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494,290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396,299</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7,130,892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723,939</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591,055</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335,311</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6,989,031</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868,637</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746,811</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477,473</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9,438,045</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472,762</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389,737</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249,893</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4,973,607</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10,874,504</w:t>
            </w:r>
          </w:p>
        </w:tc>
        <w:tc>
          <w:tcPr>
            <w:tcW w:w="1175" w:type="dxa"/>
            <w:tcBorders>
              <w:top w:val="nil"/>
              <w:left w:val="nil"/>
              <w:bottom w:val="single" w:sz="8" w:space="0" w:color="auto"/>
              <w:right w:val="nil"/>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8,393,198</w:t>
            </w:r>
          </w:p>
        </w:tc>
        <w:tc>
          <w:tcPr>
            <w:tcW w:w="1175"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6,053,973</w:t>
            </w:r>
          </w:p>
        </w:tc>
        <w:tc>
          <w:tcPr>
            <w:tcW w:w="1454"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117,237,054</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96806" w:rsidRPr="007226D7">
              <w:rPr>
                <w:rFonts w:cs="Arial"/>
                <w:b/>
                <w:bCs/>
                <w:sz w:val="18"/>
                <w:szCs w:val="18"/>
              </w:rPr>
              <w:t>2.2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39,418,933</w:t>
            </w:r>
          </w:p>
        </w:tc>
        <w:tc>
          <w:tcPr>
            <w:tcW w:w="1247" w:type="dxa"/>
            <w:tcBorders>
              <w:top w:val="single" w:sz="4" w:space="0" w:color="auto"/>
              <w:left w:val="nil"/>
              <w:bottom w:val="single" w:sz="4" w:space="0" w:color="auto"/>
              <w:right w:val="nil"/>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38,961,723</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36,419,234</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630,211,349</w:t>
            </w:r>
          </w:p>
        </w:tc>
      </w:tr>
      <w:tr w:rsidR="00896806" w:rsidRPr="007226D7" w:rsidTr="00896806">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61.20%</w:t>
            </w:r>
          </w:p>
        </w:tc>
        <w:tc>
          <w:tcPr>
            <w:tcW w:w="1247" w:type="dxa"/>
            <w:tcBorders>
              <w:top w:val="nil"/>
              <w:left w:val="nil"/>
              <w:bottom w:val="single" w:sz="4" w:space="0" w:color="auto"/>
              <w:right w:val="nil"/>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74.99%</w:t>
            </w:r>
          </w:p>
        </w:tc>
        <w:tc>
          <w:tcPr>
            <w:tcW w:w="1247"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72.59%</w:t>
            </w:r>
          </w:p>
        </w:tc>
        <w:tc>
          <w:tcPr>
            <w:tcW w:w="1379"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896806" w:rsidRPr="007226D7" w:rsidTr="00896806">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43.35</w:t>
            </w:r>
          </w:p>
        </w:tc>
        <w:tc>
          <w:tcPr>
            <w:tcW w:w="1247" w:type="dxa"/>
            <w:tcBorders>
              <w:top w:val="nil"/>
              <w:left w:val="nil"/>
              <w:bottom w:val="single" w:sz="4" w:space="0" w:color="auto"/>
              <w:right w:val="nil"/>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46.18</w:t>
            </w:r>
          </w:p>
        </w:tc>
        <w:tc>
          <w:tcPr>
            <w:tcW w:w="1247"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42.33</w:t>
            </w:r>
          </w:p>
        </w:tc>
        <w:tc>
          <w:tcPr>
            <w:tcW w:w="1379"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547525" w:rsidRPr="007226D7" w:rsidRDefault="00547525">
      <w:pPr>
        <w:spacing w:after="0" w:line="240" w:lineRule="auto"/>
        <w:jc w:val="left"/>
        <w:rPr>
          <w:lang w:val="es-ES"/>
        </w:rPr>
      </w:pPr>
      <w:bookmarkStart w:id="147" w:name="_Toc342751289"/>
      <w:r w:rsidRPr="007226D7">
        <w:rPr>
          <w:lang w:val="es-ES"/>
        </w:rPr>
        <w:br w:type="page"/>
      </w:r>
    </w:p>
    <w:p w:rsidR="00ED1F70" w:rsidRPr="007226D7" w:rsidRDefault="00ED1F70" w:rsidP="00ED1F70">
      <w:pPr>
        <w:pStyle w:val="Heading3"/>
        <w:rPr>
          <w:lang w:val="es-ES"/>
        </w:rPr>
      </w:pPr>
      <w:bookmarkStart w:id="148" w:name="_Toc346541942"/>
      <w:r w:rsidRPr="007226D7">
        <w:rPr>
          <w:lang w:val="es-ES"/>
        </w:rPr>
        <w:lastRenderedPageBreak/>
        <w:t>Escenario 2</w:t>
      </w:r>
      <w:bookmarkEnd w:id="147"/>
      <w:r w:rsidR="00896806" w:rsidRPr="007226D7">
        <w:rPr>
          <w:lang w:val="es-ES"/>
        </w:rPr>
        <w:t xml:space="preserve">.3 - </w:t>
      </w:r>
      <w:r w:rsidR="00896806" w:rsidRPr="007226D7">
        <w:rPr>
          <w:i/>
          <w:lang w:val="es-ES"/>
        </w:rPr>
        <w:t>SITUACIÓN CON PROYECTO 2020</w:t>
      </w:r>
      <w:bookmarkEnd w:id="148"/>
    </w:p>
    <w:p w:rsidR="00831B16" w:rsidRPr="007226D7" w:rsidRDefault="00ED1F70" w:rsidP="00831B16">
      <w:pPr>
        <w:rPr>
          <w:lang w:val="es-ES"/>
        </w:rPr>
      </w:pPr>
      <w:r w:rsidRPr="007226D7">
        <w:rPr>
          <w:lang w:val="es-ES"/>
        </w:rPr>
        <w:t>En el siguiente cuadro se presenta los resultados del modelo de demanda asignada para la situación con proyecto 2020:</w:t>
      </w:r>
      <w:r w:rsidR="00831B16" w:rsidRPr="007226D7">
        <w:rPr>
          <w:lang w:val="es-ES"/>
        </w:rPr>
        <w:t xml:space="preserve"> </w:t>
      </w:r>
    </w:p>
    <w:p w:rsidR="00FC103B" w:rsidRPr="007226D7" w:rsidRDefault="00FC103B" w:rsidP="00FC103B">
      <w:pPr>
        <w:pStyle w:val="Figuras"/>
      </w:pPr>
      <w:r w:rsidRPr="007226D7">
        <w:rPr>
          <w:noProof/>
        </w:rPr>
        <w:t>Tabla 4.7 – 9 (serie)</w:t>
      </w:r>
      <w:r w:rsidRPr="007226D7">
        <w:t xml:space="preserve">: resultados de modelación </w:t>
      </w:r>
      <w:r w:rsidR="000B2336" w:rsidRPr="007226D7">
        <w:t>escenario</w:t>
      </w:r>
      <w:r w:rsidRPr="007226D7">
        <w:t xml:space="preserve"> 2.3</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96806" w:rsidP="008B28D6">
            <w:pPr>
              <w:spacing w:after="0" w:line="240" w:lineRule="auto"/>
              <w:jc w:val="center"/>
              <w:rPr>
                <w:rFonts w:cs="Arial"/>
                <w:b/>
                <w:bCs/>
                <w:sz w:val="18"/>
                <w:szCs w:val="18"/>
              </w:rPr>
            </w:pPr>
            <w:r w:rsidRPr="007226D7">
              <w:rPr>
                <w:rFonts w:cs="Arial"/>
                <w:b/>
                <w:bCs/>
                <w:sz w:val="18"/>
                <w:szCs w:val="18"/>
              </w:rPr>
              <w:t>ESC 2.3</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230,064</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127,257</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103,992</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2,066,532</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112,549</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101,373</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70,300</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1,341,750</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15,833</w:t>
            </w:r>
          </w:p>
        </w:tc>
        <w:tc>
          <w:tcPr>
            <w:tcW w:w="1265" w:type="dxa"/>
            <w:tcBorders>
              <w:top w:val="nil"/>
              <w:left w:val="nil"/>
              <w:bottom w:val="single" w:sz="4" w:space="0" w:color="auto"/>
              <w:right w:val="nil"/>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11,907</w:t>
            </w:r>
          </w:p>
        </w:tc>
        <w:tc>
          <w:tcPr>
            <w:tcW w:w="1038"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11,700</w:t>
            </w:r>
          </w:p>
        </w:tc>
        <w:tc>
          <w:tcPr>
            <w:tcW w:w="1553" w:type="dxa"/>
            <w:tcBorders>
              <w:top w:val="nil"/>
              <w:left w:val="nil"/>
              <w:bottom w:val="single" w:sz="4" w:space="0" w:color="auto"/>
              <w:right w:val="single" w:sz="4" w:space="0" w:color="auto"/>
            </w:tcBorders>
            <w:shd w:val="clear" w:color="171717" w:fill="DBE5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207,581</w:t>
            </w:r>
          </w:p>
        </w:tc>
      </w:tr>
      <w:tr w:rsidR="00896806" w:rsidRPr="007226D7" w:rsidTr="00896806">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1,526,356</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1,147,335</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930,517</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17,444,102</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800,785</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908,526</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495,179</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9,855,954</w:t>
            </w:r>
          </w:p>
        </w:tc>
      </w:tr>
      <w:tr w:rsidR="00896806" w:rsidRPr="007226D7" w:rsidTr="00896806">
        <w:trPr>
          <w:trHeight w:val="240"/>
        </w:trPr>
        <w:tc>
          <w:tcPr>
            <w:tcW w:w="1119" w:type="dxa"/>
            <w:vMerge/>
            <w:tcBorders>
              <w:top w:val="nil"/>
              <w:left w:val="single" w:sz="4" w:space="0" w:color="auto"/>
              <w:bottom w:val="single" w:sz="4" w:space="0" w:color="auto"/>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330,783</w:t>
            </w:r>
          </w:p>
        </w:tc>
        <w:tc>
          <w:tcPr>
            <w:tcW w:w="1265" w:type="dxa"/>
            <w:tcBorders>
              <w:top w:val="nil"/>
              <w:left w:val="nil"/>
              <w:bottom w:val="single" w:sz="4" w:space="0" w:color="auto"/>
              <w:right w:val="nil"/>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285,413</w:t>
            </w:r>
          </w:p>
        </w:tc>
        <w:tc>
          <w:tcPr>
            <w:tcW w:w="1038"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281,032</w:t>
            </w:r>
          </w:p>
        </w:tc>
        <w:tc>
          <w:tcPr>
            <w:tcW w:w="1553" w:type="dxa"/>
            <w:tcBorders>
              <w:top w:val="nil"/>
              <w:left w:val="nil"/>
              <w:bottom w:val="single" w:sz="4" w:space="0" w:color="auto"/>
              <w:right w:val="single" w:sz="4" w:space="0" w:color="auto"/>
            </w:tcBorders>
            <w:shd w:val="clear" w:color="171717" w:fill="C5D9F1"/>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4,885,805</w:t>
            </w:r>
          </w:p>
        </w:tc>
      </w:tr>
      <w:tr w:rsidR="00896806" w:rsidRPr="007226D7" w:rsidTr="00896806">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84,307</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50,297</w:t>
            </w:r>
          </w:p>
        </w:tc>
        <w:tc>
          <w:tcPr>
            <w:tcW w:w="1038"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35,275</w:t>
            </w:r>
          </w:p>
        </w:tc>
        <w:tc>
          <w:tcPr>
            <w:tcW w:w="1553"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727,777</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40,941</w:t>
            </w:r>
          </w:p>
        </w:tc>
        <w:tc>
          <w:tcPr>
            <w:tcW w:w="1265" w:type="dxa"/>
            <w:tcBorders>
              <w:top w:val="nil"/>
              <w:left w:val="nil"/>
              <w:bottom w:val="single" w:sz="4"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37,942</w:t>
            </w:r>
          </w:p>
        </w:tc>
        <w:tc>
          <w:tcPr>
            <w:tcW w:w="1038"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18,281</w:t>
            </w:r>
          </w:p>
        </w:tc>
        <w:tc>
          <w:tcPr>
            <w:tcW w:w="1553" w:type="dxa"/>
            <w:tcBorders>
              <w:top w:val="nil"/>
              <w:left w:val="nil"/>
              <w:bottom w:val="single" w:sz="4"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395,415</w:t>
            </w:r>
          </w:p>
        </w:tc>
      </w:tr>
      <w:tr w:rsidR="00896806" w:rsidRPr="007226D7" w:rsidTr="00896806">
        <w:trPr>
          <w:trHeight w:val="255"/>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10,130</w:t>
            </w:r>
          </w:p>
        </w:tc>
        <w:tc>
          <w:tcPr>
            <w:tcW w:w="1265" w:type="dxa"/>
            <w:tcBorders>
              <w:top w:val="nil"/>
              <w:left w:val="nil"/>
              <w:bottom w:val="single" w:sz="8" w:space="0" w:color="auto"/>
              <w:right w:val="nil"/>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9,023</w:t>
            </w:r>
          </w:p>
        </w:tc>
        <w:tc>
          <w:tcPr>
            <w:tcW w:w="1038"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7,206</w:t>
            </w:r>
          </w:p>
        </w:tc>
        <w:tc>
          <w:tcPr>
            <w:tcW w:w="1553" w:type="dxa"/>
            <w:tcBorders>
              <w:top w:val="nil"/>
              <w:left w:val="nil"/>
              <w:bottom w:val="single" w:sz="8" w:space="0" w:color="auto"/>
              <w:right w:val="single" w:sz="4" w:space="0" w:color="auto"/>
            </w:tcBorders>
            <w:shd w:val="clear" w:color="171717" w:fill="95B3D7"/>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131,982</w:t>
            </w:r>
          </w:p>
        </w:tc>
      </w:tr>
    </w:tbl>
    <w:p w:rsidR="00831B16" w:rsidRPr="007226D7" w:rsidRDefault="00831B16" w:rsidP="00831B16">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89680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96806" w:rsidP="008B28D6">
            <w:pPr>
              <w:spacing w:after="0" w:line="240" w:lineRule="auto"/>
              <w:jc w:val="center"/>
              <w:rPr>
                <w:rFonts w:cs="Arial"/>
                <w:b/>
                <w:bCs/>
                <w:sz w:val="18"/>
                <w:szCs w:val="18"/>
              </w:rPr>
            </w:pPr>
            <w:r w:rsidRPr="007226D7">
              <w:rPr>
                <w:rFonts w:cs="Arial"/>
                <w:b/>
                <w:bCs/>
                <w:sz w:val="18"/>
                <w:szCs w:val="18"/>
              </w:rPr>
              <w:t>ESC 2.3</w:t>
            </w:r>
          </w:p>
        </w:tc>
      </w:tr>
      <w:tr w:rsidR="00831B16" w:rsidRPr="007226D7" w:rsidTr="0089680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FC103B">
        <w:trPr>
          <w:trHeight w:hRule="exact" w:val="624"/>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1,158,174</w:t>
            </w:r>
          </w:p>
        </w:tc>
        <w:tc>
          <w:tcPr>
            <w:tcW w:w="1088" w:type="dxa"/>
            <w:tcBorders>
              <w:top w:val="nil"/>
              <w:left w:val="nil"/>
              <w:bottom w:val="single" w:sz="4" w:space="0" w:color="auto"/>
              <w:right w:val="nil"/>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778,632</w:t>
            </w:r>
          </w:p>
        </w:tc>
        <w:tc>
          <w:tcPr>
            <w:tcW w:w="1088"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562,853</w:t>
            </w:r>
          </w:p>
        </w:tc>
        <w:tc>
          <w:tcPr>
            <w:tcW w:w="1625" w:type="dxa"/>
            <w:tcBorders>
              <w:top w:val="nil"/>
              <w:left w:val="nil"/>
              <w:bottom w:val="single" w:sz="4" w:space="0" w:color="auto"/>
              <w:right w:val="single" w:sz="4" w:space="0" w:color="auto"/>
            </w:tcBorders>
            <w:shd w:val="clear" w:color="171717" w:fill="D7E4BC"/>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11,190,697</w:t>
            </w:r>
          </w:p>
        </w:tc>
      </w:tr>
      <w:tr w:rsidR="00896806" w:rsidRPr="007226D7" w:rsidTr="00896806">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79,451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248,258</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11,180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1,818</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896806" w:rsidRPr="007226D7" w:rsidTr="0089680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896806" w:rsidRPr="007226D7" w:rsidTr="0089680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153,836</w:t>
            </w:r>
          </w:p>
        </w:tc>
        <w:tc>
          <w:tcPr>
            <w:tcW w:w="1088" w:type="dxa"/>
            <w:tcBorders>
              <w:top w:val="nil"/>
              <w:left w:val="nil"/>
              <w:bottom w:val="single" w:sz="8" w:space="0" w:color="auto"/>
              <w:right w:val="nil"/>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152,387</w:t>
            </w:r>
          </w:p>
        </w:tc>
        <w:tc>
          <w:tcPr>
            <w:tcW w:w="1088"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148,895</w:t>
            </w:r>
          </w:p>
        </w:tc>
        <w:tc>
          <w:tcPr>
            <w:tcW w:w="1625" w:type="dxa"/>
            <w:tcBorders>
              <w:top w:val="nil"/>
              <w:left w:val="nil"/>
              <w:bottom w:val="single" w:sz="8" w:space="0" w:color="auto"/>
              <w:right w:val="single" w:sz="4" w:space="0" w:color="auto"/>
            </w:tcBorders>
            <w:shd w:val="clear" w:color="171717" w:fill="92D05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2,548,074</w:t>
            </w:r>
          </w:p>
        </w:tc>
      </w:tr>
      <w:tr w:rsidR="00831B16" w:rsidRPr="007226D7" w:rsidTr="0089680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96806" w:rsidRPr="007226D7">
              <w:rPr>
                <w:rFonts w:cs="Arial"/>
                <w:b/>
                <w:bCs/>
                <w:sz w:val="18"/>
                <w:szCs w:val="18"/>
              </w:rPr>
              <w:t>2.3</w:t>
            </w:r>
          </w:p>
        </w:tc>
      </w:tr>
      <w:tr w:rsidR="00831B16" w:rsidRPr="007226D7" w:rsidTr="0089680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769,174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550,694</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398,922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7,825,729</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135,428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85,115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62,326</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1,251,329</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107,899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82,021</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62,714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1,195,118</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40,117</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21,482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15,957</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330,635</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29,456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20,860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16,698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317,701</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50,008</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29,619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22,480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451,497</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20,685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18,077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16,381</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290,476</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73,535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59,762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39,698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782,665</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49,126</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48,075</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33,021</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623,672</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107,241</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77,942</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59,144</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1,139,233</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51,660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33,969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23,955</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482,669</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107,225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92,439</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68,212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1,286,081</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78,645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59,708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35,498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738,180</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63,439</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44,798</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28,478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586,692</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8,294</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6,471</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3,548</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75,654</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85,587</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67,247</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45,193</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893,179</w:t>
            </w:r>
          </w:p>
        </w:tc>
      </w:tr>
      <w:tr w:rsidR="00896806" w:rsidRPr="007226D7" w:rsidTr="0089680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84,555</w:t>
            </w:r>
          </w:p>
        </w:tc>
        <w:tc>
          <w:tcPr>
            <w:tcW w:w="1088"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68,006</w:t>
            </w:r>
          </w:p>
        </w:tc>
        <w:tc>
          <w:tcPr>
            <w:tcW w:w="1088"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43,762</w:t>
            </w:r>
          </w:p>
        </w:tc>
        <w:tc>
          <w:tcPr>
            <w:tcW w:w="162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874,023</w:t>
            </w:r>
          </w:p>
        </w:tc>
      </w:tr>
      <w:tr w:rsidR="00896806" w:rsidRPr="007226D7" w:rsidTr="0089680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1,862,074</w:t>
            </w:r>
          </w:p>
        </w:tc>
        <w:tc>
          <w:tcPr>
            <w:tcW w:w="1088" w:type="dxa"/>
            <w:tcBorders>
              <w:top w:val="nil"/>
              <w:left w:val="nil"/>
              <w:bottom w:val="single" w:sz="8" w:space="0" w:color="auto"/>
              <w:right w:val="nil"/>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1,366,287</w:t>
            </w:r>
          </w:p>
        </w:tc>
        <w:tc>
          <w:tcPr>
            <w:tcW w:w="1088"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975,985</w:t>
            </w:r>
          </w:p>
        </w:tc>
        <w:tc>
          <w:tcPr>
            <w:tcW w:w="1625" w:type="dxa"/>
            <w:tcBorders>
              <w:top w:val="nil"/>
              <w:left w:val="nil"/>
              <w:bottom w:val="single" w:sz="8" w:space="0" w:color="auto"/>
              <w:right w:val="single" w:sz="4" w:space="0" w:color="auto"/>
            </w:tcBorders>
            <w:shd w:val="clear" w:color="171717" w:fill="75923C"/>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19,144,532</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96806" w:rsidRPr="007226D7">
              <w:rPr>
                <w:rFonts w:cs="Arial"/>
                <w:b/>
                <w:bCs/>
                <w:sz w:val="18"/>
                <w:szCs w:val="18"/>
              </w:rPr>
              <w:t>2.3</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2,844,891</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2,173,954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1,662,844</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31,654,658</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1,251,601</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755,030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499,727</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10,509,710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1,221,850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963,756</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770,696</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14,390,263</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304,837</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151,014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115,274</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2,410,268</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207,433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146,905</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127,555</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2,366,892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186,361</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118,520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95,690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1,853,732</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83,267</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76,827</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265,935</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3,777,336</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219,905</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180,432</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106,599</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2,186,467</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372,734</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382,414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499,717</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8,006,614</w:t>
            </w:r>
          </w:p>
        </w:tc>
      </w:tr>
      <w:tr w:rsidR="00896806" w:rsidRPr="007226D7" w:rsidTr="0089680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688,460</w:t>
            </w:r>
          </w:p>
        </w:tc>
        <w:tc>
          <w:tcPr>
            <w:tcW w:w="1175" w:type="dxa"/>
            <w:tcBorders>
              <w:top w:val="single" w:sz="4" w:space="0" w:color="auto"/>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508,040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415,262</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7,791,410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105,378</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68,101</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48,417</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976,376</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480,468</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483,674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369,556</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6,732,519</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995,852</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810,491</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466,573</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9,678,129</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589,279</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456,227</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299,649</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5,986,445</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35,603</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32,374</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18,308</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373,963</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832,551</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717,980</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473,044</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9,250,633</w:t>
            </w:r>
          </w:p>
        </w:tc>
      </w:tr>
      <w:tr w:rsidR="00896806" w:rsidRPr="007226D7" w:rsidTr="0089680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471,317</w:t>
            </w:r>
          </w:p>
        </w:tc>
        <w:tc>
          <w:tcPr>
            <w:tcW w:w="1175" w:type="dxa"/>
            <w:tcBorders>
              <w:top w:val="nil"/>
              <w:left w:val="nil"/>
              <w:bottom w:val="single" w:sz="4" w:space="0" w:color="auto"/>
              <w:right w:val="nil"/>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383,367</w:t>
            </w:r>
          </w:p>
        </w:tc>
        <w:tc>
          <w:tcPr>
            <w:tcW w:w="1175"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249,531</w:t>
            </w:r>
          </w:p>
        </w:tc>
        <w:tc>
          <w:tcPr>
            <w:tcW w:w="1454" w:type="dxa"/>
            <w:tcBorders>
              <w:top w:val="nil"/>
              <w:left w:val="nil"/>
              <w:bottom w:val="single" w:sz="4" w:space="0" w:color="auto"/>
              <w:right w:val="single" w:sz="4" w:space="0" w:color="auto"/>
            </w:tcBorders>
            <w:shd w:val="clear" w:color="171717" w:fill="FFFFFF"/>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4,953,273</w:t>
            </w:r>
          </w:p>
        </w:tc>
      </w:tr>
      <w:tr w:rsidR="00896806" w:rsidRPr="007226D7" w:rsidTr="0089680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96806" w:rsidRPr="007226D7" w:rsidRDefault="0089680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10,891,787</w:t>
            </w:r>
          </w:p>
        </w:tc>
        <w:tc>
          <w:tcPr>
            <w:tcW w:w="1175" w:type="dxa"/>
            <w:tcBorders>
              <w:top w:val="nil"/>
              <w:left w:val="nil"/>
              <w:bottom w:val="single" w:sz="8" w:space="0" w:color="auto"/>
              <w:right w:val="nil"/>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8,409,107</w:t>
            </w:r>
          </w:p>
        </w:tc>
        <w:tc>
          <w:tcPr>
            <w:tcW w:w="1175"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6,484,377</w:t>
            </w:r>
          </w:p>
        </w:tc>
        <w:tc>
          <w:tcPr>
            <w:tcW w:w="1454" w:type="dxa"/>
            <w:tcBorders>
              <w:top w:val="nil"/>
              <w:left w:val="nil"/>
              <w:bottom w:val="single" w:sz="8" w:space="0" w:color="auto"/>
              <w:right w:val="single" w:sz="4" w:space="0" w:color="auto"/>
            </w:tcBorders>
            <w:shd w:val="clear" w:color="171717" w:fill="4F6228"/>
            <w:noWrap/>
            <w:vAlign w:val="center"/>
            <w:hideMark/>
          </w:tcPr>
          <w:p w:rsidR="00896806" w:rsidRPr="007226D7" w:rsidRDefault="00896806" w:rsidP="0089680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122,898,686</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proofErr w:type="gramStart"/>
            <w:r w:rsidRPr="007226D7">
              <w:rPr>
                <w:rFonts w:cs="Arial"/>
                <w:b/>
                <w:bCs/>
                <w:sz w:val="18"/>
                <w:szCs w:val="18"/>
              </w:rPr>
              <w:t>11</w:t>
            </w:r>
            <w:proofErr w:type="gramEnd"/>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96806" w:rsidRPr="007226D7" w:rsidTr="00896806">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37,598,896</w:t>
            </w:r>
          </w:p>
        </w:tc>
        <w:tc>
          <w:tcPr>
            <w:tcW w:w="1247" w:type="dxa"/>
            <w:tcBorders>
              <w:top w:val="single" w:sz="4" w:space="0" w:color="auto"/>
              <w:left w:val="nil"/>
              <w:bottom w:val="single" w:sz="4" w:space="0" w:color="auto"/>
              <w:right w:val="nil"/>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37,732,657</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35,804,226</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616,118,038</w:t>
            </w:r>
          </w:p>
        </w:tc>
      </w:tr>
      <w:tr w:rsidR="00896806" w:rsidRPr="007226D7" w:rsidTr="00896806">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60.78%</w:t>
            </w:r>
          </w:p>
        </w:tc>
        <w:tc>
          <w:tcPr>
            <w:tcW w:w="1247" w:type="dxa"/>
            <w:tcBorders>
              <w:top w:val="nil"/>
              <w:left w:val="nil"/>
              <w:bottom w:val="single" w:sz="4" w:space="0" w:color="auto"/>
              <w:right w:val="nil"/>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75.47%</w:t>
            </w:r>
          </w:p>
        </w:tc>
        <w:tc>
          <w:tcPr>
            <w:tcW w:w="1247"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73.40%</w:t>
            </w:r>
          </w:p>
        </w:tc>
        <w:tc>
          <w:tcPr>
            <w:tcW w:w="1379" w:type="dxa"/>
            <w:tcBorders>
              <w:top w:val="nil"/>
              <w:left w:val="nil"/>
              <w:bottom w:val="single" w:sz="4" w:space="0" w:color="auto"/>
              <w:right w:val="single" w:sz="4" w:space="0" w:color="auto"/>
            </w:tcBorders>
            <w:shd w:val="clear" w:color="171717" w:fill="FFFF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896806" w:rsidRPr="007226D7" w:rsidTr="00896806">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40.80</w:t>
            </w:r>
          </w:p>
        </w:tc>
        <w:tc>
          <w:tcPr>
            <w:tcW w:w="1247" w:type="dxa"/>
            <w:tcBorders>
              <w:top w:val="nil"/>
              <w:left w:val="nil"/>
              <w:bottom w:val="single" w:sz="4" w:space="0" w:color="auto"/>
              <w:right w:val="nil"/>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44.16</w:t>
            </w:r>
          </w:p>
        </w:tc>
        <w:tc>
          <w:tcPr>
            <w:tcW w:w="1247"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40.99</w:t>
            </w:r>
          </w:p>
        </w:tc>
        <w:tc>
          <w:tcPr>
            <w:tcW w:w="1379" w:type="dxa"/>
            <w:tcBorders>
              <w:top w:val="nil"/>
              <w:left w:val="nil"/>
              <w:bottom w:val="single" w:sz="4" w:space="0" w:color="auto"/>
              <w:right w:val="single" w:sz="4" w:space="0" w:color="auto"/>
            </w:tcBorders>
            <w:shd w:val="clear" w:color="171717" w:fill="FFC000"/>
            <w:noWrap/>
            <w:vAlign w:val="center"/>
            <w:hideMark/>
          </w:tcPr>
          <w:p w:rsidR="00896806" w:rsidRPr="007226D7" w:rsidRDefault="00896806" w:rsidP="0089680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153D47" w:rsidRPr="007226D7" w:rsidRDefault="00153D47" w:rsidP="00153D47">
      <w:pPr>
        <w:rPr>
          <w:lang w:val="es-ES"/>
        </w:rPr>
      </w:pPr>
      <w:bookmarkStart w:id="149" w:name="_Toc342751290"/>
    </w:p>
    <w:p w:rsidR="00153D47" w:rsidRPr="007226D7" w:rsidRDefault="008C40DF" w:rsidP="00153D47">
      <w:pPr>
        <w:spacing w:after="0" w:line="240" w:lineRule="auto"/>
        <w:jc w:val="left"/>
        <w:rPr>
          <w:lang w:val="es-ES"/>
        </w:rPr>
      </w:pPr>
      <w:r w:rsidRPr="007226D7">
        <w:rPr>
          <w:lang w:val="es-ES"/>
        </w:rPr>
        <w:t>A continuación se muestran los datos de demanda, subidas y bajadas de la Línea 2 del metro de Lima.</w:t>
      </w:r>
    </w:p>
    <w:p w:rsidR="00B01A94" w:rsidRPr="007226D7" w:rsidRDefault="00B01A94" w:rsidP="00153D47">
      <w:pPr>
        <w:spacing w:after="0" w:line="240" w:lineRule="auto"/>
        <w:jc w:val="left"/>
        <w:rPr>
          <w:lang w:val="es-ES"/>
        </w:rPr>
      </w:pPr>
    </w:p>
    <w:p w:rsidR="00B01A94" w:rsidRPr="007226D7" w:rsidRDefault="00B01A94" w:rsidP="00153D47">
      <w:pPr>
        <w:spacing w:after="0" w:line="240" w:lineRule="auto"/>
        <w:jc w:val="left"/>
        <w:rPr>
          <w:lang w:val="es-ES"/>
        </w:rPr>
        <w:sectPr w:rsidR="00B01A94" w:rsidRPr="007226D7" w:rsidSect="00616C7B">
          <w:pgSz w:w="11907" w:h="16840" w:code="9"/>
          <w:pgMar w:top="1985" w:right="1134" w:bottom="1701" w:left="1418" w:header="720" w:footer="833" w:gutter="0"/>
          <w:paperSrc w:first="15" w:other="15"/>
          <w:cols w:space="720"/>
          <w:docGrid w:linePitch="299"/>
        </w:sectPr>
      </w:pPr>
    </w:p>
    <w:p w:rsidR="00153D47" w:rsidRPr="007226D7" w:rsidRDefault="00310DC6" w:rsidP="00153D47">
      <w:pPr>
        <w:spacing w:after="0" w:line="240" w:lineRule="auto"/>
        <w:jc w:val="center"/>
      </w:pPr>
      <w:r w:rsidRPr="007226D7">
        <w:rPr>
          <w:noProof/>
          <w:lang w:val="en-US" w:eastAsia="en-US"/>
        </w:rPr>
        <w:lastRenderedPageBreak/>
        <w:drawing>
          <wp:inline distT="0" distB="0" distL="0" distR="0" wp14:anchorId="65D31D41" wp14:editId="6F163C2C">
            <wp:extent cx="3193748" cy="5172965"/>
            <wp:effectExtent l="19050" t="0" r="6652" b="0"/>
            <wp:docPr id="79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FC103B" w:rsidP="00153D47">
      <w:pPr>
        <w:pStyle w:val="Figuras"/>
      </w:pPr>
      <w:r w:rsidRPr="007226D7">
        <w:t xml:space="preserve">Tabla 4.7 – 10: </w:t>
      </w:r>
      <w:r w:rsidR="00153D47" w:rsidRPr="007226D7">
        <w:t>Subidos y Bajados –HPM – 2020 - ESC 2.3</w:t>
      </w:r>
    </w:p>
    <w:p w:rsidR="00153D47" w:rsidRPr="007226D7" w:rsidRDefault="00310DC6" w:rsidP="00153D47">
      <w:pPr>
        <w:jc w:val="center"/>
        <w:rPr>
          <w:lang w:val="es-ES"/>
        </w:rPr>
      </w:pPr>
      <w:r w:rsidRPr="007226D7">
        <w:rPr>
          <w:noProof/>
          <w:lang w:val="en-US" w:eastAsia="en-US"/>
        </w:rPr>
        <w:lastRenderedPageBreak/>
        <w:drawing>
          <wp:inline distT="0" distB="0" distL="0" distR="0" wp14:anchorId="430F63F6" wp14:editId="407AB77F">
            <wp:extent cx="3193748" cy="5172965"/>
            <wp:effectExtent l="19050" t="0" r="6652" b="0"/>
            <wp:docPr id="79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153D47" w:rsidP="00153D47">
      <w:pPr>
        <w:rPr>
          <w:lang w:val="es-ES"/>
        </w:rPr>
      </w:pPr>
    </w:p>
    <w:p w:rsidR="00153D47" w:rsidRPr="007226D7" w:rsidRDefault="00153D47" w:rsidP="00153D47">
      <w:pPr>
        <w:rPr>
          <w:lang w:val="es-ES"/>
        </w:rPr>
        <w:sectPr w:rsidR="00153D47" w:rsidRPr="007226D7" w:rsidSect="00200C3A">
          <w:pgSz w:w="16840" w:h="11907" w:orient="landscape" w:code="9"/>
          <w:pgMar w:top="1418" w:right="1985" w:bottom="1134" w:left="1701" w:header="720" w:footer="833" w:gutter="0"/>
          <w:paperSrc w:first="15" w:other="15"/>
          <w:cols w:num="2" w:space="720"/>
          <w:docGrid w:linePitch="299"/>
        </w:sectPr>
      </w:pPr>
    </w:p>
    <w:p w:rsidR="00153D47" w:rsidRPr="007226D7" w:rsidRDefault="00310DC6" w:rsidP="00153D47">
      <w:pPr>
        <w:rPr>
          <w:lang w:val="es-ES"/>
        </w:rPr>
      </w:pPr>
      <w:r w:rsidRPr="007226D7">
        <w:rPr>
          <w:noProof/>
          <w:lang w:val="en-US" w:eastAsia="en-US"/>
        </w:rPr>
        <w:lastRenderedPageBreak/>
        <w:drawing>
          <wp:inline distT="0" distB="0" distL="0" distR="0" wp14:anchorId="3EDE68E4" wp14:editId="756ABFED">
            <wp:extent cx="8383979" cy="4892634"/>
            <wp:effectExtent l="0" t="0" r="0" b="0"/>
            <wp:docPr id="799"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153D47" w:rsidRPr="007226D7" w:rsidRDefault="00AB0B9C" w:rsidP="00AB0B9C">
      <w:pPr>
        <w:pStyle w:val="Figuras"/>
      </w:pPr>
      <w:r w:rsidRPr="007226D7">
        <w:t>Figura 4.7-7: Grafico de los Subidos y Bajados –HPM – 2020 - ESC 2.3 – sentido E-O</w:t>
      </w:r>
    </w:p>
    <w:p w:rsidR="00153D47" w:rsidRPr="007226D7" w:rsidRDefault="00153D47" w:rsidP="00153D47">
      <w:pPr>
        <w:spacing w:after="0" w:line="240" w:lineRule="auto"/>
        <w:jc w:val="left"/>
        <w:rPr>
          <w:lang w:val="es-ES"/>
        </w:rPr>
      </w:pPr>
      <w:r w:rsidRPr="007226D7">
        <w:rPr>
          <w:lang w:val="es-ES"/>
        </w:rPr>
        <w:br w:type="page"/>
      </w:r>
    </w:p>
    <w:p w:rsidR="00153D47" w:rsidRPr="007226D7" w:rsidRDefault="00310DC6" w:rsidP="00153D47">
      <w:pPr>
        <w:rPr>
          <w:lang w:val="es-ES"/>
        </w:rPr>
      </w:pPr>
      <w:r w:rsidRPr="007226D7">
        <w:rPr>
          <w:noProof/>
          <w:lang w:val="en-US" w:eastAsia="en-US"/>
        </w:rPr>
        <w:lastRenderedPageBreak/>
        <w:drawing>
          <wp:inline distT="0" distB="0" distL="0" distR="0" wp14:anchorId="1B51E3C8" wp14:editId="2F9C2CB9">
            <wp:extent cx="8383979" cy="4952011"/>
            <wp:effectExtent l="0" t="0" r="0" b="0"/>
            <wp:docPr id="128"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AB0B9C" w:rsidRPr="007226D7" w:rsidRDefault="00AB0B9C" w:rsidP="00AB0B9C">
      <w:pPr>
        <w:pStyle w:val="Figuras"/>
      </w:pPr>
      <w:r w:rsidRPr="007226D7">
        <w:t>Figura 4.7-8: Grafico de los Subidos y Bajados –HPM – 2020 - ESC 2.3 – sentido O-E</w:t>
      </w:r>
    </w:p>
    <w:p w:rsidR="00153D47" w:rsidRPr="007226D7" w:rsidRDefault="00153D47" w:rsidP="00153D47">
      <w:pPr>
        <w:rPr>
          <w:lang w:val="es-ES"/>
        </w:rPr>
        <w:sectPr w:rsidR="00153D47" w:rsidRPr="007226D7" w:rsidSect="003A73C7">
          <w:pgSz w:w="16840" w:h="11907" w:orient="landscape" w:code="9"/>
          <w:pgMar w:top="1418" w:right="1985" w:bottom="1134" w:left="1701" w:header="720" w:footer="833" w:gutter="0"/>
          <w:paperSrc w:first="15" w:other="15"/>
          <w:cols w:space="720"/>
          <w:docGrid w:linePitch="299"/>
        </w:sectPr>
      </w:pPr>
    </w:p>
    <w:p w:rsidR="00153D47" w:rsidRPr="007226D7" w:rsidRDefault="00310DC6" w:rsidP="00153D47">
      <w:pPr>
        <w:jc w:val="center"/>
        <w:rPr>
          <w:lang w:val="es-ES"/>
        </w:rPr>
      </w:pPr>
      <w:r w:rsidRPr="007226D7">
        <w:rPr>
          <w:noProof/>
          <w:lang w:val="en-US" w:eastAsia="en-US"/>
        </w:rPr>
        <w:lastRenderedPageBreak/>
        <w:drawing>
          <wp:inline distT="0" distB="0" distL="0" distR="0" wp14:anchorId="156C9079" wp14:editId="00EF2E94">
            <wp:extent cx="3193748" cy="5172965"/>
            <wp:effectExtent l="19050" t="0" r="6652" b="0"/>
            <wp:docPr id="12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FC103B" w:rsidP="000165A4">
      <w:pPr>
        <w:pStyle w:val="Figuras"/>
      </w:pPr>
      <w:r w:rsidRPr="007226D7">
        <w:t xml:space="preserve">Tabla 4.7 – 11: </w:t>
      </w:r>
      <w:r w:rsidR="000165A4" w:rsidRPr="007226D7">
        <w:t>Subidos y B</w:t>
      </w:r>
      <w:r w:rsidR="00422974" w:rsidRPr="007226D7">
        <w:t>ajados –HPT</w:t>
      </w:r>
      <w:r w:rsidR="000165A4" w:rsidRPr="007226D7">
        <w:t xml:space="preserve"> – 2020 - ESC 2.3</w:t>
      </w:r>
    </w:p>
    <w:p w:rsidR="00153D47" w:rsidRPr="007226D7" w:rsidRDefault="00310DC6" w:rsidP="00153D47">
      <w:pPr>
        <w:jc w:val="center"/>
        <w:rPr>
          <w:lang w:val="es-ES"/>
        </w:rPr>
      </w:pPr>
      <w:r w:rsidRPr="007226D7">
        <w:rPr>
          <w:noProof/>
          <w:lang w:val="en-US" w:eastAsia="en-US"/>
        </w:rPr>
        <w:lastRenderedPageBreak/>
        <w:drawing>
          <wp:inline distT="0" distB="0" distL="0" distR="0" wp14:anchorId="72DA9537" wp14:editId="469B5AB0">
            <wp:extent cx="3193748" cy="5172965"/>
            <wp:effectExtent l="19050" t="0" r="6652" b="0"/>
            <wp:docPr id="1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153D47" w:rsidP="00153D47">
      <w:pPr>
        <w:rPr>
          <w:lang w:val="es-ES"/>
        </w:rPr>
      </w:pPr>
    </w:p>
    <w:p w:rsidR="00153D47" w:rsidRPr="007226D7" w:rsidRDefault="00153D47" w:rsidP="00153D47">
      <w:pPr>
        <w:rPr>
          <w:lang w:val="es-ES"/>
        </w:rPr>
        <w:sectPr w:rsidR="00153D47" w:rsidRPr="007226D7" w:rsidSect="00337EAA">
          <w:pgSz w:w="16840" w:h="11907" w:orient="landscape" w:code="9"/>
          <w:pgMar w:top="1418" w:right="1985" w:bottom="1134" w:left="1701" w:header="720" w:footer="833" w:gutter="0"/>
          <w:paperSrc w:first="15" w:other="15"/>
          <w:cols w:num="2" w:space="720"/>
          <w:docGrid w:linePitch="299"/>
        </w:sectPr>
      </w:pPr>
    </w:p>
    <w:p w:rsidR="00153D47" w:rsidRPr="007226D7" w:rsidRDefault="00310DC6" w:rsidP="00153D47">
      <w:r w:rsidRPr="007226D7">
        <w:rPr>
          <w:noProof/>
          <w:lang w:val="en-US" w:eastAsia="en-US"/>
        </w:rPr>
        <w:lastRenderedPageBreak/>
        <w:drawing>
          <wp:inline distT="0" distB="0" distL="0" distR="0" wp14:anchorId="50F2F2F8" wp14:editId="135FF68D">
            <wp:extent cx="8372103" cy="4975761"/>
            <wp:effectExtent l="0" t="0" r="0" b="0"/>
            <wp:docPr id="132"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AB0B9C" w:rsidRPr="007226D7" w:rsidRDefault="00AB0B9C" w:rsidP="00AB0B9C">
      <w:pPr>
        <w:pStyle w:val="Figuras"/>
      </w:pPr>
      <w:r w:rsidRPr="007226D7">
        <w:t>Figura 4.7-9: Grafico de los Subidos y Bajados –HPT – 2020 - ESC 2.3 – sentido E-O</w:t>
      </w:r>
    </w:p>
    <w:p w:rsidR="00153D47" w:rsidRPr="007226D7" w:rsidRDefault="00310DC6" w:rsidP="00153D47">
      <w:r w:rsidRPr="007226D7">
        <w:rPr>
          <w:noProof/>
          <w:lang w:val="en-US" w:eastAsia="en-US"/>
        </w:rPr>
        <w:lastRenderedPageBreak/>
        <w:drawing>
          <wp:inline distT="0" distB="0" distL="0" distR="0" wp14:anchorId="63824C9F" wp14:editId="18C261F5">
            <wp:extent cx="8372103" cy="4845133"/>
            <wp:effectExtent l="0" t="0" r="0" b="0"/>
            <wp:docPr id="133"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AB0B9C" w:rsidRPr="007226D7" w:rsidRDefault="00AB0B9C" w:rsidP="00AB0B9C">
      <w:pPr>
        <w:pStyle w:val="Figuras"/>
      </w:pPr>
      <w:r w:rsidRPr="007226D7">
        <w:t>Figura 4.7-10: Grafico de los Subidos y Bajados –HPT – 2020 - ESC 2.3 – sentido O-E</w:t>
      </w:r>
    </w:p>
    <w:p w:rsidR="00153D47" w:rsidRPr="007226D7" w:rsidRDefault="00153D47" w:rsidP="00153D47">
      <w:pPr>
        <w:rPr>
          <w:lang w:val="es-ES"/>
        </w:rPr>
      </w:pPr>
    </w:p>
    <w:p w:rsidR="00153D47" w:rsidRPr="007226D7" w:rsidRDefault="00153D47" w:rsidP="00153D47">
      <w:pPr>
        <w:rPr>
          <w:lang w:val="es-ES"/>
        </w:rPr>
        <w:sectPr w:rsidR="00153D47" w:rsidRPr="007226D7" w:rsidSect="003A73C7">
          <w:pgSz w:w="16840" w:h="11907" w:orient="landscape" w:code="9"/>
          <w:pgMar w:top="1418" w:right="1985" w:bottom="1134" w:left="1701" w:header="720" w:footer="833" w:gutter="0"/>
          <w:paperSrc w:first="15" w:other="15"/>
          <w:cols w:space="720"/>
          <w:docGrid w:linePitch="299"/>
        </w:sectPr>
      </w:pPr>
    </w:p>
    <w:p w:rsidR="00153D47" w:rsidRPr="007226D7" w:rsidRDefault="00310DC6" w:rsidP="00153D47">
      <w:pPr>
        <w:jc w:val="center"/>
      </w:pPr>
      <w:r w:rsidRPr="007226D7">
        <w:rPr>
          <w:noProof/>
          <w:lang w:val="en-US" w:eastAsia="en-US"/>
        </w:rPr>
        <w:lastRenderedPageBreak/>
        <w:drawing>
          <wp:inline distT="0" distB="0" distL="0" distR="0" wp14:anchorId="7434A095" wp14:editId="22017741">
            <wp:extent cx="3193748" cy="5172965"/>
            <wp:effectExtent l="19050" t="0" r="6652" b="0"/>
            <wp:docPr id="13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0165A4" w:rsidRPr="007226D7" w:rsidRDefault="00FC103B" w:rsidP="000165A4">
      <w:pPr>
        <w:pStyle w:val="Figuras"/>
      </w:pPr>
      <w:r w:rsidRPr="007226D7">
        <w:t xml:space="preserve">Tabla 4.7 – 12: </w:t>
      </w:r>
      <w:r w:rsidR="000165A4" w:rsidRPr="007226D7">
        <w:t>Subidos y Bajados –HV – 2020 - ESC 2.3</w:t>
      </w:r>
    </w:p>
    <w:p w:rsidR="00153D47" w:rsidRPr="007226D7" w:rsidRDefault="00310DC6" w:rsidP="00153D47">
      <w:pPr>
        <w:jc w:val="center"/>
        <w:rPr>
          <w:lang w:val="es-ES"/>
        </w:rPr>
      </w:pPr>
      <w:r w:rsidRPr="007226D7">
        <w:rPr>
          <w:noProof/>
          <w:lang w:val="en-US" w:eastAsia="en-US"/>
        </w:rPr>
        <w:lastRenderedPageBreak/>
        <w:drawing>
          <wp:inline distT="0" distB="0" distL="0" distR="0" wp14:anchorId="2D48CD82" wp14:editId="5D00C659">
            <wp:extent cx="3193748" cy="5172965"/>
            <wp:effectExtent l="19050" t="0" r="6652" b="0"/>
            <wp:docPr id="13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153D47" w:rsidRPr="007226D7" w:rsidRDefault="00153D47" w:rsidP="00153D47">
      <w:pPr>
        <w:rPr>
          <w:lang w:val="es-ES"/>
        </w:rPr>
      </w:pPr>
    </w:p>
    <w:p w:rsidR="00153D47" w:rsidRPr="007226D7" w:rsidRDefault="00153D47" w:rsidP="00153D47">
      <w:pPr>
        <w:rPr>
          <w:lang w:val="es-ES"/>
        </w:rPr>
        <w:sectPr w:rsidR="00153D47" w:rsidRPr="007226D7" w:rsidSect="00DF101C">
          <w:pgSz w:w="16840" w:h="11907" w:orient="landscape" w:code="9"/>
          <w:pgMar w:top="1418" w:right="1985" w:bottom="1134" w:left="1701" w:header="720" w:footer="833" w:gutter="0"/>
          <w:paperSrc w:first="15" w:other="15"/>
          <w:cols w:num="2" w:space="720"/>
          <w:docGrid w:linePitch="299"/>
        </w:sectPr>
      </w:pPr>
    </w:p>
    <w:p w:rsidR="00153D47" w:rsidRPr="007226D7" w:rsidRDefault="00310DC6" w:rsidP="00153D47">
      <w:pPr>
        <w:rPr>
          <w:lang w:val="es-ES"/>
        </w:rPr>
      </w:pPr>
      <w:r w:rsidRPr="007226D7">
        <w:rPr>
          <w:noProof/>
          <w:lang w:val="en-US" w:eastAsia="en-US"/>
        </w:rPr>
        <w:lastRenderedPageBreak/>
        <w:drawing>
          <wp:inline distT="0" distB="0" distL="0" distR="0" wp14:anchorId="01C6212C" wp14:editId="28F34A7C">
            <wp:extent cx="8348353" cy="4916385"/>
            <wp:effectExtent l="0" t="0" r="0" b="0"/>
            <wp:docPr id="136" name="Gra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153D47" w:rsidRPr="007226D7" w:rsidRDefault="00AB0B9C" w:rsidP="00AB0B9C">
      <w:pPr>
        <w:pStyle w:val="Figuras"/>
      </w:pPr>
      <w:r w:rsidRPr="007226D7">
        <w:t xml:space="preserve">Figura 4.7-11: Grafico de los Subidos y Bajados –HV – 2020 - ESC 2.3 – sentido E-O </w:t>
      </w:r>
      <w:r w:rsidR="00153D47" w:rsidRPr="007226D7">
        <w:br w:type="page"/>
      </w:r>
    </w:p>
    <w:p w:rsidR="00153D47" w:rsidRPr="007226D7" w:rsidRDefault="00310DC6" w:rsidP="00153D47">
      <w:pPr>
        <w:rPr>
          <w:lang w:val="es-ES"/>
        </w:rPr>
      </w:pPr>
      <w:r w:rsidRPr="007226D7">
        <w:rPr>
          <w:noProof/>
          <w:lang w:val="en-US" w:eastAsia="en-US"/>
        </w:rPr>
        <w:lastRenderedPageBreak/>
        <w:drawing>
          <wp:inline distT="0" distB="0" distL="0" distR="0" wp14:anchorId="187D450D" wp14:editId="18CED193">
            <wp:extent cx="8360228" cy="4940136"/>
            <wp:effectExtent l="0" t="0" r="0" b="0"/>
            <wp:docPr id="137" name="Gra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153D47" w:rsidRPr="007226D7" w:rsidRDefault="00AB0B9C" w:rsidP="00AB0B9C">
      <w:pPr>
        <w:pStyle w:val="Figuras"/>
      </w:pPr>
      <w:r w:rsidRPr="007226D7">
        <w:t>Figura 4.7-12: Grafico de los Subidos y Bajados –HV – 2020 - ESC 2.3 – sentido O-E</w:t>
      </w:r>
    </w:p>
    <w:p w:rsidR="00153D47" w:rsidRPr="007226D7" w:rsidRDefault="00153D47" w:rsidP="00153D47">
      <w:pPr>
        <w:rPr>
          <w:lang w:val="es-ES"/>
        </w:rPr>
      </w:pPr>
    </w:p>
    <w:p w:rsidR="00AB0B9C" w:rsidRPr="007226D7" w:rsidRDefault="00AB0B9C" w:rsidP="00153D47">
      <w:pPr>
        <w:rPr>
          <w:lang w:val="es-ES"/>
        </w:rPr>
        <w:sectPr w:rsidR="00AB0B9C" w:rsidRPr="007226D7" w:rsidSect="003A73C7">
          <w:pgSz w:w="16840" w:h="11907" w:orient="landscape" w:code="9"/>
          <w:pgMar w:top="1418" w:right="1985" w:bottom="1134" w:left="1701" w:header="720" w:footer="833" w:gutter="0"/>
          <w:paperSrc w:first="15" w:other="15"/>
          <w:cols w:space="720"/>
          <w:docGrid w:linePitch="299"/>
        </w:sectPr>
      </w:pPr>
    </w:p>
    <w:p w:rsidR="00ED1F70" w:rsidRPr="007226D7" w:rsidRDefault="00ED1F70" w:rsidP="00ED1F70">
      <w:pPr>
        <w:pStyle w:val="Heading3"/>
        <w:rPr>
          <w:lang w:val="es-ES"/>
        </w:rPr>
      </w:pPr>
      <w:bookmarkStart w:id="150" w:name="_Toc346541943"/>
      <w:r w:rsidRPr="007226D7">
        <w:rPr>
          <w:lang w:val="es-ES"/>
        </w:rPr>
        <w:lastRenderedPageBreak/>
        <w:t>Escenario 3</w:t>
      </w:r>
      <w:bookmarkEnd w:id="149"/>
      <w:r w:rsidR="00896806" w:rsidRPr="007226D7">
        <w:rPr>
          <w:lang w:val="es-ES"/>
        </w:rPr>
        <w:t xml:space="preserve">.1 - </w:t>
      </w:r>
      <w:r w:rsidR="00896806" w:rsidRPr="007226D7">
        <w:rPr>
          <w:i/>
          <w:lang w:val="es-ES"/>
        </w:rPr>
        <w:t>NO INTERVENCIÓN 2030</w:t>
      </w:r>
      <w:bookmarkEnd w:id="150"/>
    </w:p>
    <w:p w:rsidR="00831B16" w:rsidRPr="007226D7" w:rsidRDefault="00ED1F70" w:rsidP="00831B16">
      <w:pPr>
        <w:rPr>
          <w:lang w:val="es-ES"/>
        </w:rPr>
      </w:pPr>
      <w:r w:rsidRPr="007226D7">
        <w:rPr>
          <w:lang w:val="es-ES"/>
        </w:rPr>
        <w:t>La siguiente tabla muestra los resultados del modelo de demanda asignada la situación de NO INTERVENCIÓN 2030:</w:t>
      </w:r>
      <w:r w:rsidR="00831B16" w:rsidRPr="007226D7">
        <w:rPr>
          <w:lang w:val="es-ES"/>
        </w:rPr>
        <w:t xml:space="preserve"> </w:t>
      </w:r>
    </w:p>
    <w:p w:rsidR="00FC103B" w:rsidRPr="007226D7" w:rsidRDefault="00FC103B" w:rsidP="00FC103B">
      <w:pPr>
        <w:pStyle w:val="Figuras"/>
      </w:pPr>
      <w:r w:rsidRPr="007226D7">
        <w:rPr>
          <w:noProof/>
        </w:rPr>
        <w:t>Tabla 4.7 – 13 (serie)</w:t>
      </w:r>
      <w:r w:rsidRPr="007226D7">
        <w:t xml:space="preserve">: resultados de modelación </w:t>
      </w:r>
      <w:r w:rsidR="000B2336" w:rsidRPr="007226D7">
        <w:t>escenario</w:t>
      </w:r>
      <w:r w:rsidRPr="007226D7">
        <w:t xml:space="preserve"> 3.1</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45F42" w:rsidP="008B28D6">
            <w:pPr>
              <w:spacing w:after="0" w:line="240" w:lineRule="auto"/>
              <w:jc w:val="center"/>
              <w:rPr>
                <w:rFonts w:cs="Arial"/>
                <w:b/>
                <w:bCs/>
                <w:sz w:val="18"/>
                <w:szCs w:val="18"/>
              </w:rPr>
            </w:pPr>
            <w:r w:rsidRPr="007226D7">
              <w:rPr>
                <w:rFonts w:cs="Arial"/>
                <w:b/>
                <w:bCs/>
                <w:sz w:val="18"/>
                <w:szCs w:val="18"/>
              </w:rPr>
              <w:t>ESC 3.1</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45F42" w:rsidRPr="007226D7" w:rsidTr="00845F42">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270,141</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152,146</w:t>
            </w:r>
          </w:p>
        </w:tc>
        <w:tc>
          <w:tcPr>
            <w:tcW w:w="1038"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130,402</w:t>
            </w:r>
          </w:p>
        </w:tc>
        <w:tc>
          <w:tcPr>
            <w:tcW w:w="1553"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2,539,801</w:t>
            </w:r>
          </w:p>
        </w:tc>
      </w:tr>
      <w:tr w:rsidR="00845F42" w:rsidRPr="007226D7" w:rsidTr="00845F42">
        <w:trPr>
          <w:trHeight w:val="240"/>
        </w:trPr>
        <w:tc>
          <w:tcPr>
            <w:tcW w:w="1119" w:type="dxa"/>
            <w:vMerge/>
            <w:tcBorders>
              <w:top w:val="nil"/>
              <w:left w:val="single" w:sz="4" w:space="0" w:color="auto"/>
              <w:bottom w:val="single" w:sz="4" w:space="0" w:color="auto"/>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120,171</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110,096</w:t>
            </w:r>
          </w:p>
        </w:tc>
        <w:tc>
          <w:tcPr>
            <w:tcW w:w="1038"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72,909</w:t>
            </w:r>
          </w:p>
        </w:tc>
        <w:tc>
          <w:tcPr>
            <w:tcW w:w="1553"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1,408,355</w:t>
            </w:r>
          </w:p>
        </w:tc>
      </w:tr>
      <w:tr w:rsidR="00845F42" w:rsidRPr="007226D7" w:rsidTr="00845F42">
        <w:trPr>
          <w:trHeight w:val="240"/>
        </w:trPr>
        <w:tc>
          <w:tcPr>
            <w:tcW w:w="1119" w:type="dxa"/>
            <w:vMerge/>
            <w:tcBorders>
              <w:top w:val="nil"/>
              <w:left w:val="single" w:sz="4" w:space="0" w:color="auto"/>
              <w:bottom w:val="single" w:sz="4" w:space="0" w:color="auto"/>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17,309</w:t>
            </w:r>
          </w:p>
        </w:tc>
        <w:tc>
          <w:tcPr>
            <w:tcW w:w="1265" w:type="dxa"/>
            <w:tcBorders>
              <w:top w:val="nil"/>
              <w:left w:val="nil"/>
              <w:bottom w:val="single" w:sz="4" w:space="0" w:color="auto"/>
              <w:right w:val="nil"/>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13,312</w:t>
            </w:r>
          </w:p>
        </w:tc>
        <w:tc>
          <w:tcPr>
            <w:tcW w:w="1038"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13,389</w:t>
            </w:r>
          </w:p>
        </w:tc>
        <w:tc>
          <w:tcPr>
            <w:tcW w:w="1553" w:type="dxa"/>
            <w:tcBorders>
              <w:top w:val="nil"/>
              <w:left w:val="nil"/>
              <w:bottom w:val="single" w:sz="4" w:space="0" w:color="auto"/>
              <w:right w:val="single" w:sz="4" w:space="0" w:color="auto"/>
            </w:tcBorders>
            <w:shd w:val="clear" w:color="171717" w:fill="DBE5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235,294</w:t>
            </w:r>
          </w:p>
        </w:tc>
      </w:tr>
      <w:tr w:rsidR="00845F42" w:rsidRPr="007226D7" w:rsidTr="00845F42">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1,886,369</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1,420,501</w:t>
            </w:r>
          </w:p>
        </w:tc>
        <w:tc>
          <w:tcPr>
            <w:tcW w:w="1038"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1,190,305</w:t>
            </w:r>
          </w:p>
        </w:tc>
        <w:tc>
          <w:tcPr>
            <w:tcW w:w="1553"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22,087,703</w:t>
            </w:r>
          </w:p>
        </w:tc>
      </w:tr>
      <w:tr w:rsidR="00845F42" w:rsidRPr="007226D7" w:rsidTr="00845F42">
        <w:trPr>
          <w:trHeight w:val="240"/>
        </w:trPr>
        <w:tc>
          <w:tcPr>
            <w:tcW w:w="1119" w:type="dxa"/>
            <w:vMerge/>
            <w:tcBorders>
              <w:top w:val="nil"/>
              <w:left w:val="single" w:sz="4" w:space="0" w:color="auto"/>
              <w:bottom w:val="single" w:sz="4" w:space="0" w:color="auto"/>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958,423</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1,037,328</w:t>
            </w:r>
          </w:p>
        </w:tc>
        <w:tc>
          <w:tcPr>
            <w:tcW w:w="1038"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572,574</w:t>
            </w:r>
          </w:p>
        </w:tc>
        <w:tc>
          <w:tcPr>
            <w:tcW w:w="1553"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11,434,967</w:t>
            </w:r>
          </w:p>
        </w:tc>
      </w:tr>
      <w:tr w:rsidR="00845F42" w:rsidRPr="007226D7" w:rsidTr="00845F42">
        <w:trPr>
          <w:trHeight w:val="240"/>
        </w:trPr>
        <w:tc>
          <w:tcPr>
            <w:tcW w:w="1119" w:type="dxa"/>
            <w:vMerge/>
            <w:tcBorders>
              <w:top w:val="nil"/>
              <w:left w:val="single" w:sz="4" w:space="0" w:color="auto"/>
              <w:bottom w:val="single" w:sz="4" w:space="0" w:color="auto"/>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389,733</w:t>
            </w:r>
          </w:p>
        </w:tc>
        <w:tc>
          <w:tcPr>
            <w:tcW w:w="1265" w:type="dxa"/>
            <w:tcBorders>
              <w:top w:val="nil"/>
              <w:left w:val="nil"/>
              <w:bottom w:val="single" w:sz="4" w:space="0" w:color="auto"/>
              <w:right w:val="nil"/>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340,469</w:t>
            </w:r>
          </w:p>
        </w:tc>
        <w:tc>
          <w:tcPr>
            <w:tcW w:w="1038"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343,058</w:t>
            </w:r>
          </w:p>
        </w:tc>
        <w:tc>
          <w:tcPr>
            <w:tcW w:w="1553" w:type="dxa"/>
            <w:tcBorders>
              <w:top w:val="nil"/>
              <w:left w:val="nil"/>
              <w:bottom w:val="single" w:sz="4" w:space="0" w:color="auto"/>
              <w:right w:val="single" w:sz="4" w:space="0" w:color="auto"/>
            </w:tcBorders>
            <w:shd w:val="clear" w:color="171717" w:fill="C5D9F1"/>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5,920,157</w:t>
            </w:r>
          </w:p>
        </w:tc>
      </w:tr>
      <w:tr w:rsidR="00845F42" w:rsidRPr="007226D7" w:rsidTr="00845F42">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157,000</w:t>
            </w:r>
          </w:p>
        </w:tc>
        <w:tc>
          <w:tcPr>
            <w:tcW w:w="1265" w:type="dxa"/>
            <w:tcBorders>
              <w:top w:val="nil"/>
              <w:left w:val="nil"/>
              <w:bottom w:val="single" w:sz="4"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91,515</w:t>
            </w:r>
          </w:p>
        </w:tc>
        <w:tc>
          <w:tcPr>
            <w:tcW w:w="1038"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68,834</w:t>
            </w:r>
          </w:p>
        </w:tc>
        <w:tc>
          <w:tcPr>
            <w:tcW w:w="1553"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1,391,875</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71,815</w:t>
            </w:r>
          </w:p>
        </w:tc>
        <w:tc>
          <w:tcPr>
            <w:tcW w:w="1265" w:type="dxa"/>
            <w:tcBorders>
              <w:top w:val="nil"/>
              <w:left w:val="nil"/>
              <w:bottom w:val="single" w:sz="4"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61,987</w:t>
            </w:r>
          </w:p>
        </w:tc>
        <w:tc>
          <w:tcPr>
            <w:tcW w:w="1038"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32,407</w:t>
            </w:r>
          </w:p>
        </w:tc>
        <w:tc>
          <w:tcPr>
            <w:tcW w:w="1553" w:type="dxa"/>
            <w:tcBorders>
              <w:top w:val="nil"/>
              <w:left w:val="nil"/>
              <w:bottom w:val="single" w:sz="4"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688,889</w:t>
            </w:r>
          </w:p>
        </w:tc>
      </w:tr>
      <w:tr w:rsidR="00845F42" w:rsidRPr="007226D7" w:rsidTr="00845F42">
        <w:trPr>
          <w:trHeight w:val="255"/>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19,640</w:t>
            </w:r>
          </w:p>
        </w:tc>
        <w:tc>
          <w:tcPr>
            <w:tcW w:w="1265" w:type="dxa"/>
            <w:tcBorders>
              <w:top w:val="nil"/>
              <w:left w:val="nil"/>
              <w:bottom w:val="single" w:sz="8" w:space="0" w:color="auto"/>
              <w:right w:val="nil"/>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16,406</w:t>
            </w:r>
          </w:p>
        </w:tc>
        <w:tc>
          <w:tcPr>
            <w:tcW w:w="1038" w:type="dxa"/>
            <w:tcBorders>
              <w:top w:val="nil"/>
              <w:left w:val="nil"/>
              <w:bottom w:val="single" w:sz="8"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14,425</w:t>
            </w:r>
          </w:p>
        </w:tc>
        <w:tc>
          <w:tcPr>
            <w:tcW w:w="1553" w:type="dxa"/>
            <w:tcBorders>
              <w:top w:val="nil"/>
              <w:left w:val="nil"/>
              <w:bottom w:val="single" w:sz="8" w:space="0" w:color="auto"/>
              <w:right w:val="single" w:sz="4" w:space="0" w:color="auto"/>
            </w:tcBorders>
            <w:shd w:val="clear" w:color="171717" w:fill="95B3D7"/>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259,616</w:t>
            </w:r>
          </w:p>
        </w:tc>
      </w:tr>
    </w:tbl>
    <w:p w:rsidR="00831B16" w:rsidRPr="007226D7" w:rsidRDefault="00831B16" w:rsidP="00831B16">
      <w:pPr>
        <w:rPr>
          <w:sz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845F42">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45F42" w:rsidP="008B28D6">
            <w:pPr>
              <w:spacing w:after="0" w:line="240" w:lineRule="auto"/>
              <w:jc w:val="center"/>
              <w:rPr>
                <w:rFonts w:cs="Arial"/>
                <w:b/>
                <w:bCs/>
                <w:sz w:val="18"/>
                <w:szCs w:val="18"/>
              </w:rPr>
            </w:pPr>
            <w:r w:rsidRPr="007226D7">
              <w:rPr>
                <w:rFonts w:cs="Arial"/>
                <w:b/>
                <w:bCs/>
                <w:sz w:val="18"/>
                <w:szCs w:val="18"/>
              </w:rPr>
              <w:t>ESC 3.1</w:t>
            </w:r>
          </w:p>
        </w:tc>
      </w:tr>
      <w:tr w:rsidR="00831B16" w:rsidRPr="007226D7" w:rsidTr="00845F42">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45F42" w:rsidRPr="007226D7" w:rsidTr="00FC103B">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1,250,131</w:t>
            </w:r>
          </w:p>
        </w:tc>
        <w:tc>
          <w:tcPr>
            <w:tcW w:w="1088" w:type="dxa"/>
            <w:tcBorders>
              <w:top w:val="nil"/>
              <w:left w:val="nil"/>
              <w:bottom w:val="single" w:sz="4" w:space="0" w:color="auto"/>
              <w:right w:val="nil"/>
            </w:tcBorders>
            <w:shd w:val="clear" w:color="171717" w:fill="D7E4BC"/>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864,208</w:t>
            </w:r>
          </w:p>
        </w:tc>
        <w:tc>
          <w:tcPr>
            <w:tcW w:w="1088" w:type="dxa"/>
            <w:tcBorders>
              <w:top w:val="nil"/>
              <w:left w:val="nil"/>
              <w:bottom w:val="single" w:sz="4" w:space="0" w:color="auto"/>
              <w:right w:val="single" w:sz="4" w:space="0" w:color="auto"/>
            </w:tcBorders>
            <w:shd w:val="clear" w:color="171717" w:fill="D7E4BC"/>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639,784</w:t>
            </w:r>
          </w:p>
        </w:tc>
        <w:tc>
          <w:tcPr>
            <w:tcW w:w="1625" w:type="dxa"/>
            <w:tcBorders>
              <w:top w:val="nil"/>
              <w:left w:val="nil"/>
              <w:bottom w:val="single" w:sz="4" w:space="0" w:color="auto"/>
              <w:right w:val="single" w:sz="4" w:space="0" w:color="auto"/>
            </w:tcBorders>
            <w:shd w:val="clear" w:color="171717" w:fill="D7E4BC"/>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12,545,874</w:t>
            </w:r>
          </w:p>
        </w:tc>
      </w:tr>
      <w:tr w:rsidR="00845F42" w:rsidRPr="007226D7" w:rsidTr="00845F42">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168,065</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161,661</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125,233</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2,287,477</w:t>
            </w:r>
          </w:p>
        </w:tc>
      </w:tr>
      <w:tr w:rsidR="00845F42" w:rsidRPr="007226D7" w:rsidTr="00845F42">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136,136</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104,085</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106,239</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1,861,552</w:t>
            </w:r>
          </w:p>
        </w:tc>
      </w:tr>
      <w:tr w:rsidR="00845F42" w:rsidRPr="007226D7" w:rsidTr="00845F42">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52,659</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28,611</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29,114</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541,025</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133</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178</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178</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2,929</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845F42" w:rsidRPr="007226D7" w:rsidTr="00845F42">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2,466</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2,543</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2,444</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41,785</w:t>
            </w:r>
          </w:p>
        </w:tc>
      </w:tr>
      <w:tr w:rsidR="00845F42" w:rsidRPr="007226D7" w:rsidTr="00845F42">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365,485</w:t>
            </w:r>
          </w:p>
        </w:tc>
        <w:tc>
          <w:tcPr>
            <w:tcW w:w="1088" w:type="dxa"/>
            <w:tcBorders>
              <w:top w:val="nil"/>
              <w:left w:val="nil"/>
              <w:bottom w:val="single" w:sz="8" w:space="0" w:color="auto"/>
              <w:right w:val="nil"/>
            </w:tcBorders>
            <w:shd w:val="clear" w:color="171717" w:fill="92D05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301,542</w:t>
            </w:r>
          </w:p>
        </w:tc>
        <w:tc>
          <w:tcPr>
            <w:tcW w:w="1088" w:type="dxa"/>
            <w:tcBorders>
              <w:top w:val="nil"/>
              <w:left w:val="nil"/>
              <w:bottom w:val="single" w:sz="8" w:space="0" w:color="auto"/>
              <w:right w:val="single" w:sz="4" w:space="0" w:color="auto"/>
            </w:tcBorders>
            <w:shd w:val="clear" w:color="171717" w:fill="92D05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264,997</w:t>
            </w:r>
          </w:p>
        </w:tc>
        <w:tc>
          <w:tcPr>
            <w:tcW w:w="1625" w:type="dxa"/>
            <w:tcBorders>
              <w:top w:val="nil"/>
              <w:left w:val="nil"/>
              <w:bottom w:val="single" w:sz="8" w:space="0" w:color="auto"/>
              <w:right w:val="single" w:sz="4" w:space="0" w:color="auto"/>
            </w:tcBorders>
            <w:shd w:val="clear" w:color="171717" w:fill="92D05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4,779,019</w:t>
            </w:r>
          </w:p>
        </w:tc>
      </w:tr>
      <w:tr w:rsidR="00831B16" w:rsidRPr="007226D7" w:rsidTr="00845F42">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45F42" w:rsidRPr="007226D7">
              <w:rPr>
                <w:rFonts w:cs="Arial"/>
                <w:b/>
                <w:bCs/>
                <w:sz w:val="18"/>
                <w:szCs w:val="18"/>
              </w:rPr>
              <w:t>3.1</w:t>
            </w:r>
          </w:p>
        </w:tc>
      </w:tr>
      <w:tr w:rsidR="00831B16" w:rsidRPr="007226D7" w:rsidTr="00845F42">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45F42" w:rsidRPr="007226D7" w:rsidTr="00845F42">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845F42" w:rsidRPr="007226D7" w:rsidRDefault="00845F42"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623,112</w:t>
            </w:r>
          </w:p>
        </w:tc>
        <w:tc>
          <w:tcPr>
            <w:tcW w:w="1088"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474,053</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324,845</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6,417,315</w:t>
            </w:r>
          </w:p>
        </w:tc>
      </w:tr>
      <w:tr w:rsidR="00845F42" w:rsidRPr="007226D7" w:rsidTr="00845F42">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589,875</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444,372</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325,823</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6,304,193</w:t>
            </w:r>
          </w:p>
        </w:tc>
      </w:tr>
      <w:tr w:rsidR="00845F42" w:rsidRPr="007226D7" w:rsidTr="00845F42">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261,276</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168,192</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125,330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2,488,226</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19,501</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16,129</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7,527</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169,111</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75,408</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61,917</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29,402</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656,876</w:t>
            </w:r>
          </w:p>
        </w:tc>
      </w:tr>
      <w:tr w:rsidR="00845F42" w:rsidRPr="007226D7" w:rsidTr="00845F42">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14,794</w:t>
            </w:r>
          </w:p>
        </w:tc>
        <w:tc>
          <w:tcPr>
            <w:tcW w:w="1088"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12,502</w:t>
            </w:r>
          </w:p>
        </w:tc>
        <w:tc>
          <w:tcPr>
            <w:tcW w:w="1088"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7,240</w:t>
            </w:r>
          </w:p>
        </w:tc>
        <w:tc>
          <w:tcPr>
            <w:tcW w:w="162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148,711</w:t>
            </w:r>
          </w:p>
        </w:tc>
      </w:tr>
      <w:tr w:rsidR="00845F42" w:rsidRPr="007226D7" w:rsidTr="00845F42">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845F42" w:rsidRPr="007226D7" w:rsidRDefault="00845F42"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1,583,966</w:t>
            </w:r>
          </w:p>
        </w:tc>
        <w:tc>
          <w:tcPr>
            <w:tcW w:w="1088" w:type="dxa"/>
            <w:tcBorders>
              <w:top w:val="nil"/>
              <w:left w:val="nil"/>
              <w:bottom w:val="single" w:sz="8" w:space="0" w:color="auto"/>
              <w:right w:val="nil"/>
            </w:tcBorders>
            <w:shd w:val="clear" w:color="171717" w:fill="75923C"/>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1,177,165</w:t>
            </w:r>
          </w:p>
        </w:tc>
        <w:tc>
          <w:tcPr>
            <w:tcW w:w="1088" w:type="dxa"/>
            <w:tcBorders>
              <w:top w:val="nil"/>
              <w:left w:val="nil"/>
              <w:bottom w:val="single" w:sz="8" w:space="0" w:color="auto"/>
              <w:right w:val="single" w:sz="4" w:space="0" w:color="auto"/>
            </w:tcBorders>
            <w:shd w:val="clear" w:color="171717" w:fill="75923C"/>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820,167</w:t>
            </w:r>
          </w:p>
        </w:tc>
        <w:tc>
          <w:tcPr>
            <w:tcW w:w="1625" w:type="dxa"/>
            <w:tcBorders>
              <w:top w:val="nil"/>
              <w:left w:val="nil"/>
              <w:bottom w:val="single" w:sz="8" w:space="0" w:color="auto"/>
              <w:right w:val="single" w:sz="4" w:space="0" w:color="auto"/>
            </w:tcBorders>
            <w:shd w:val="clear" w:color="171717" w:fill="75923C"/>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16,184,432</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45F42" w:rsidRPr="007226D7">
              <w:rPr>
                <w:rFonts w:cs="Arial"/>
                <w:b/>
                <w:bCs/>
                <w:sz w:val="18"/>
                <w:szCs w:val="18"/>
              </w:rPr>
              <w:t>3.1</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45F42" w:rsidRPr="007226D7" w:rsidTr="00845F42">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45F42" w:rsidRPr="007226D7" w:rsidRDefault="00845F42"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3,965,285</w:t>
            </w:r>
          </w:p>
        </w:tc>
        <w:tc>
          <w:tcPr>
            <w:tcW w:w="1175"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3,384,707</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2,467,429</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46,776,561</w:t>
            </w:r>
          </w:p>
        </w:tc>
      </w:tr>
      <w:tr w:rsidR="00845F42" w:rsidRPr="007226D7" w:rsidTr="00845F42">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4,603,366</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3,673,439</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2,892,811</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54,160,153</w:t>
            </w:r>
          </w:p>
        </w:tc>
      </w:tr>
      <w:tr w:rsidR="00845F42" w:rsidRPr="007226D7" w:rsidTr="00845F42">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1,887,905</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1,298,821</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1,035,042</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19,828,998</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45F42" w:rsidRPr="007226D7" w:rsidRDefault="00845F42"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272,929</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237,470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110,395</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2,455,933</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832,931</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711,643</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358,643</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7,751,506</w:t>
            </w:r>
          </w:p>
        </w:tc>
      </w:tr>
      <w:tr w:rsidR="00845F42" w:rsidRPr="007226D7" w:rsidTr="00845F42">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99,073</w:t>
            </w:r>
          </w:p>
        </w:tc>
        <w:tc>
          <w:tcPr>
            <w:tcW w:w="1175" w:type="dxa"/>
            <w:tcBorders>
              <w:top w:val="nil"/>
              <w:left w:val="nil"/>
              <w:bottom w:val="single" w:sz="4" w:space="0" w:color="auto"/>
              <w:right w:val="nil"/>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83,667</w:t>
            </w:r>
          </w:p>
        </w:tc>
        <w:tc>
          <w:tcPr>
            <w:tcW w:w="1175"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48,759</w:t>
            </w:r>
          </w:p>
        </w:tc>
        <w:tc>
          <w:tcPr>
            <w:tcW w:w="1454" w:type="dxa"/>
            <w:tcBorders>
              <w:top w:val="nil"/>
              <w:left w:val="nil"/>
              <w:bottom w:val="single" w:sz="4" w:space="0" w:color="auto"/>
              <w:right w:val="single" w:sz="4" w:space="0" w:color="auto"/>
            </w:tcBorders>
            <w:shd w:val="clear" w:color="171717" w:fill="FFFFFF"/>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999,347</w:t>
            </w:r>
          </w:p>
        </w:tc>
      </w:tr>
      <w:tr w:rsidR="00845F42" w:rsidRPr="007226D7" w:rsidTr="00845F42">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45F42" w:rsidRPr="007226D7" w:rsidRDefault="00845F42"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845F42" w:rsidRPr="007226D7" w:rsidRDefault="00845F42"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11,661,489</w:t>
            </w:r>
          </w:p>
        </w:tc>
        <w:tc>
          <w:tcPr>
            <w:tcW w:w="1175" w:type="dxa"/>
            <w:tcBorders>
              <w:top w:val="nil"/>
              <w:left w:val="nil"/>
              <w:bottom w:val="single" w:sz="8" w:space="0" w:color="auto"/>
              <w:right w:val="nil"/>
            </w:tcBorders>
            <w:shd w:val="clear" w:color="171717" w:fill="4F6228"/>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9,389,747</w:t>
            </w:r>
          </w:p>
        </w:tc>
        <w:tc>
          <w:tcPr>
            <w:tcW w:w="1175" w:type="dxa"/>
            <w:tcBorders>
              <w:top w:val="nil"/>
              <w:left w:val="nil"/>
              <w:bottom w:val="single" w:sz="8" w:space="0" w:color="auto"/>
              <w:right w:val="single" w:sz="4" w:space="0" w:color="auto"/>
            </w:tcBorders>
            <w:shd w:val="clear" w:color="171717" w:fill="4F6228"/>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6,913,079</w:t>
            </w:r>
          </w:p>
        </w:tc>
        <w:tc>
          <w:tcPr>
            <w:tcW w:w="1454" w:type="dxa"/>
            <w:tcBorders>
              <w:top w:val="nil"/>
              <w:left w:val="nil"/>
              <w:bottom w:val="single" w:sz="8" w:space="0" w:color="auto"/>
              <w:right w:val="single" w:sz="4" w:space="0" w:color="auto"/>
            </w:tcBorders>
            <w:shd w:val="clear" w:color="171717" w:fill="4F6228"/>
            <w:noWrap/>
            <w:vAlign w:val="center"/>
            <w:hideMark/>
          </w:tcPr>
          <w:p w:rsidR="00845F42" w:rsidRPr="007226D7" w:rsidRDefault="00845F42" w:rsidP="00845F42">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131,972,499</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845F42" w:rsidRPr="007226D7">
              <w:rPr>
                <w:rFonts w:cs="Arial"/>
                <w:b/>
                <w:bCs/>
                <w:sz w:val="18"/>
                <w:szCs w:val="18"/>
              </w:rPr>
              <w:t>3.1</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845F42" w:rsidRPr="007226D7" w:rsidTr="00845F42">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42,883,846</w:t>
            </w:r>
          </w:p>
        </w:tc>
        <w:tc>
          <w:tcPr>
            <w:tcW w:w="1247" w:type="dxa"/>
            <w:tcBorders>
              <w:top w:val="single" w:sz="4" w:space="0" w:color="auto"/>
              <w:left w:val="nil"/>
              <w:bottom w:val="single" w:sz="4" w:space="0" w:color="auto"/>
              <w:right w:val="nil"/>
            </w:tcBorders>
            <w:shd w:val="clear" w:color="171717" w:fill="FFFF99"/>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41,069,925</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38,141,291</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663,744,327</w:t>
            </w:r>
          </w:p>
        </w:tc>
      </w:tr>
      <w:tr w:rsidR="00845F42" w:rsidRPr="007226D7" w:rsidTr="00845F42">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845F42" w:rsidRPr="007226D7" w:rsidRDefault="00845F42"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26.70%</w:t>
            </w:r>
          </w:p>
        </w:tc>
        <w:tc>
          <w:tcPr>
            <w:tcW w:w="1247" w:type="dxa"/>
            <w:tcBorders>
              <w:top w:val="nil"/>
              <w:left w:val="nil"/>
              <w:bottom w:val="single" w:sz="4" w:space="0" w:color="auto"/>
              <w:right w:val="nil"/>
            </w:tcBorders>
            <w:shd w:val="clear" w:color="171717" w:fill="FFFF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36.21%</w:t>
            </w:r>
          </w:p>
        </w:tc>
        <w:tc>
          <w:tcPr>
            <w:tcW w:w="1247" w:type="dxa"/>
            <w:tcBorders>
              <w:top w:val="nil"/>
              <w:left w:val="nil"/>
              <w:bottom w:val="single" w:sz="4" w:space="0" w:color="auto"/>
              <w:right w:val="single" w:sz="4" w:space="0" w:color="auto"/>
            </w:tcBorders>
            <w:shd w:val="clear" w:color="171717" w:fill="FFFF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28.19%</w:t>
            </w:r>
          </w:p>
        </w:tc>
        <w:tc>
          <w:tcPr>
            <w:tcW w:w="1379" w:type="dxa"/>
            <w:tcBorders>
              <w:top w:val="nil"/>
              <w:left w:val="nil"/>
              <w:bottom w:val="single" w:sz="4" w:space="0" w:color="auto"/>
              <w:right w:val="single" w:sz="4" w:space="0" w:color="auto"/>
            </w:tcBorders>
            <w:shd w:val="clear" w:color="171717" w:fill="FFFF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845F42" w:rsidRPr="007226D7" w:rsidTr="00845F42">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845F42" w:rsidRPr="007226D7" w:rsidRDefault="00845F42"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48.17</w:t>
            </w:r>
          </w:p>
        </w:tc>
        <w:tc>
          <w:tcPr>
            <w:tcW w:w="1247" w:type="dxa"/>
            <w:tcBorders>
              <w:top w:val="nil"/>
              <w:left w:val="nil"/>
              <w:bottom w:val="single" w:sz="4" w:space="0" w:color="auto"/>
              <w:right w:val="nil"/>
            </w:tcBorders>
            <w:shd w:val="clear" w:color="171717" w:fill="FFC0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51.31</w:t>
            </w:r>
          </w:p>
        </w:tc>
        <w:tc>
          <w:tcPr>
            <w:tcW w:w="1247" w:type="dxa"/>
            <w:tcBorders>
              <w:top w:val="nil"/>
              <w:left w:val="nil"/>
              <w:bottom w:val="single" w:sz="4" w:space="0" w:color="auto"/>
              <w:right w:val="single" w:sz="4" w:space="0" w:color="auto"/>
            </w:tcBorders>
            <w:shd w:val="clear" w:color="171717" w:fill="FFC0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46.85</w:t>
            </w:r>
          </w:p>
        </w:tc>
        <w:tc>
          <w:tcPr>
            <w:tcW w:w="1379" w:type="dxa"/>
            <w:tcBorders>
              <w:top w:val="nil"/>
              <w:left w:val="nil"/>
              <w:bottom w:val="single" w:sz="4" w:space="0" w:color="auto"/>
              <w:right w:val="single" w:sz="4" w:space="0" w:color="auto"/>
            </w:tcBorders>
            <w:shd w:val="clear" w:color="171717" w:fill="FFC000"/>
            <w:noWrap/>
            <w:vAlign w:val="center"/>
            <w:hideMark/>
          </w:tcPr>
          <w:p w:rsidR="00845F42" w:rsidRPr="007226D7" w:rsidRDefault="00845F42" w:rsidP="00845F42">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547525" w:rsidRPr="007226D7" w:rsidRDefault="00547525">
      <w:pPr>
        <w:spacing w:after="0" w:line="240" w:lineRule="auto"/>
        <w:jc w:val="left"/>
        <w:rPr>
          <w:lang w:val="es-ES"/>
        </w:rPr>
      </w:pPr>
      <w:bookmarkStart w:id="151" w:name="_Toc342751291"/>
      <w:r w:rsidRPr="007226D7">
        <w:rPr>
          <w:lang w:val="es-ES"/>
        </w:rPr>
        <w:br w:type="page"/>
      </w:r>
    </w:p>
    <w:p w:rsidR="00ED1F70" w:rsidRPr="007226D7" w:rsidRDefault="00ED1F70" w:rsidP="00ED1F70">
      <w:pPr>
        <w:pStyle w:val="Heading3"/>
        <w:rPr>
          <w:lang w:val="es-ES"/>
        </w:rPr>
      </w:pPr>
      <w:bookmarkStart w:id="152" w:name="_Toc346541944"/>
      <w:r w:rsidRPr="007226D7">
        <w:rPr>
          <w:lang w:val="es-ES"/>
        </w:rPr>
        <w:lastRenderedPageBreak/>
        <w:t>Escenario 3</w:t>
      </w:r>
      <w:r w:rsidR="008B28D6" w:rsidRPr="007226D7">
        <w:rPr>
          <w:lang w:val="es-ES"/>
        </w:rPr>
        <w:t>.</w:t>
      </w:r>
      <w:r w:rsidRPr="007226D7">
        <w:rPr>
          <w:lang w:val="es-ES"/>
        </w:rPr>
        <w:t>2</w:t>
      </w:r>
      <w:bookmarkEnd w:id="151"/>
      <w:r w:rsidR="008B28D6" w:rsidRPr="007226D7">
        <w:rPr>
          <w:lang w:val="es-ES"/>
        </w:rPr>
        <w:t xml:space="preserve"> - </w:t>
      </w:r>
      <w:r w:rsidR="008B28D6" w:rsidRPr="007226D7">
        <w:rPr>
          <w:i/>
          <w:lang w:val="es-ES"/>
        </w:rPr>
        <w:t>SITUACIÓN OPTIMIZADA 2020</w:t>
      </w:r>
      <w:bookmarkEnd w:id="152"/>
    </w:p>
    <w:p w:rsidR="00831B16" w:rsidRPr="007226D7" w:rsidRDefault="00ED1F70" w:rsidP="00831B16">
      <w:pPr>
        <w:rPr>
          <w:lang w:val="es-ES"/>
        </w:rPr>
      </w:pPr>
      <w:r w:rsidRPr="007226D7">
        <w:rPr>
          <w:lang w:val="es-ES"/>
        </w:rPr>
        <w:t>La siguiente tabla muestra los resultados del modelo de demanda asignada por la situación OPTIMIZADA 2020:</w:t>
      </w:r>
      <w:r w:rsidR="00831B16" w:rsidRPr="007226D7">
        <w:rPr>
          <w:lang w:val="es-ES"/>
        </w:rPr>
        <w:t xml:space="preserve"> </w:t>
      </w:r>
    </w:p>
    <w:p w:rsidR="00FC103B" w:rsidRPr="007226D7" w:rsidRDefault="00FC103B" w:rsidP="00FC103B">
      <w:pPr>
        <w:pStyle w:val="Figuras"/>
      </w:pPr>
      <w:r w:rsidRPr="007226D7">
        <w:rPr>
          <w:noProof/>
        </w:rPr>
        <w:t>Tabla 4.7 – 14 (serie)</w:t>
      </w:r>
      <w:r w:rsidRPr="007226D7">
        <w:t xml:space="preserve">: resultados de modelación </w:t>
      </w:r>
      <w:r w:rsidR="000B2336" w:rsidRPr="007226D7">
        <w:t>escenario</w:t>
      </w:r>
      <w:r w:rsidRPr="007226D7">
        <w:t xml:space="preserve"> 3.2</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9F189B" w:rsidP="008B28D6">
            <w:pPr>
              <w:spacing w:after="0" w:line="240" w:lineRule="auto"/>
              <w:jc w:val="center"/>
              <w:rPr>
                <w:rFonts w:cs="Arial"/>
                <w:b/>
                <w:bCs/>
                <w:sz w:val="18"/>
                <w:szCs w:val="18"/>
              </w:rPr>
            </w:pPr>
            <w:r w:rsidRPr="007226D7">
              <w:rPr>
                <w:rFonts w:cs="Arial"/>
                <w:b/>
                <w:bCs/>
                <w:sz w:val="18"/>
                <w:szCs w:val="18"/>
              </w:rPr>
              <w:t>ESC 3.2</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9F189B">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276,233</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153,012</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130,275</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2,552,061</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114,620</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100,697</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63,973</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1,262,287</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17,845</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13,488</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13,495</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238,095</w:t>
            </w:r>
          </w:p>
        </w:tc>
      </w:tr>
      <w:tr w:rsidR="009F189B" w:rsidRPr="007226D7" w:rsidTr="009F189B">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1,779,704</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1,250,067</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1,134,942</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20,813,784</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864,447</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918,682</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474,816</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9,738,871</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373,269</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323,736</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324,316</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5,610,121</w:t>
            </w:r>
          </w:p>
        </w:tc>
      </w:tr>
      <w:tr w:rsidR="009F189B" w:rsidRPr="007226D7" w:rsidTr="009F189B">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109,187</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64,919</w:t>
            </w:r>
          </w:p>
        </w:tc>
        <w:tc>
          <w:tcPr>
            <w:tcW w:w="1038"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45,923</w:t>
            </w:r>
          </w:p>
        </w:tc>
        <w:tc>
          <w:tcPr>
            <w:tcW w:w="1553"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945,216</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49,753</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41,712</w:t>
            </w:r>
          </w:p>
        </w:tc>
        <w:tc>
          <w:tcPr>
            <w:tcW w:w="1038"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18,903</w:t>
            </w:r>
          </w:p>
        </w:tc>
        <w:tc>
          <w:tcPr>
            <w:tcW w:w="1553"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428,675</w:t>
            </w:r>
          </w:p>
        </w:tc>
      </w:tr>
      <w:tr w:rsidR="009F189B" w:rsidRPr="007226D7" w:rsidTr="009F189B">
        <w:trPr>
          <w:trHeight w:val="255"/>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12,797</w:t>
            </w:r>
          </w:p>
        </w:tc>
        <w:tc>
          <w:tcPr>
            <w:tcW w:w="1265" w:type="dxa"/>
            <w:tcBorders>
              <w:top w:val="nil"/>
              <w:left w:val="nil"/>
              <w:bottom w:val="single" w:sz="8"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11,160</w:t>
            </w:r>
          </w:p>
        </w:tc>
        <w:tc>
          <w:tcPr>
            <w:tcW w:w="1038"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9,117</w:t>
            </w:r>
          </w:p>
        </w:tc>
        <w:tc>
          <w:tcPr>
            <w:tcW w:w="1553"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166,431</w:t>
            </w:r>
          </w:p>
        </w:tc>
      </w:tr>
    </w:tbl>
    <w:p w:rsidR="00831B16" w:rsidRPr="007226D7" w:rsidRDefault="00831B16" w:rsidP="00831B16">
      <w:pPr>
        <w:rPr>
          <w:sz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9F189B">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9F189B" w:rsidP="008B28D6">
            <w:pPr>
              <w:spacing w:after="0" w:line="240" w:lineRule="auto"/>
              <w:jc w:val="center"/>
              <w:rPr>
                <w:rFonts w:cs="Arial"/>
                <w:b/>
                <w:bCs/>
                <w:sz w:val="18"/>
                <w:szCs w:val="18"/>
              </w:rPr>
            </w:pPr>
            <w:r w:rsidRPr="007226D7">
              <w:rPr>
                <w:rFonts w:cs="Arial"/>
                <w:b/>
                <w:bCs/>
                <w:sz w:val="18"/>
                <w:szCs w:val="18"/>
              </w:rPr>
              <w:t>ESC 3.2</w:t>
            </w:r>
          </w:p>
        </w:tc>
      </w:tr>
      <w:tr w:rsidR="00831B16" w:rsidRPr="007226D7" w:rsidTr="009F189B">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FC103B">
        <w:trPr>
          <w:trHeight w:hRule="exact" w:val="567"/>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1,300,888</w:t>
            </w:r>
          </w:p>
        </w:tc>
        <w:tc>
          <w:tcPr>
            <w:tcW w:w="1088" w:type="dxa"/>
            <w:tcBorders>
              <w:top w:val="nil"/>
              <w:left w:val="nil"/>
              <w:bottom w:val="single" w:sz="4" w:space="0" w:color="auto"/>
              <w:right w:val="nil"/>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887,596</w:t>
            </w:r>
          </w:p>
        </w:tc>
        <w:tc>
          <w:tcPr>
            <w:tcW w:w="1088"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655,785</w:t>
            </w:r>
          </w:p>
        </w:tc>
        <w:tc>
          <w:tcPr>
            <w:tcW w:w="1625"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12,902,168</w:t>
            </w:r>
          </w:p>
        </w:tc>
      </w:tr>
      <w:tr w:rsidR="009F189B" w:rsidRPr="007226D7" w:rsidTr="009F189B">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79,451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14,512</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246,710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10,680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181,556</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163,217</w:t>
            </w:r>
          </w:p>
        </w:tc>
        <w:tc>
          <w:tcPr>
            <w:tcW w:w="1088" w:type="dxa"/>
            <w:tcBorders>
              <w:top w:val="nil"/>
              <w:left w:val="nil"/>
              <w:bottom w:val="single" w:sz="8" w:space="0" w:color="auto"/>
              <w:right w:val="nil"/>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161,767</w:t>
            </w:r>
          </w:p>
        </w:tc>
        <w:tc>
          <w:tcPr>
            <w:tcW w:w="1088"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158,855</w:t>
            </w:r>
          </w:p>
        </w:tc>
        <w:tc>
          <w:tcPr>
            <w:tcW w:w="1625"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2,715,085</w:t>
            </w:r>
          </w:p>
        </w:tc>
      </w:tr>
      <w:tr w:rsidR="00831B16" w:rsidRPr="007226D7" w:rsidTr="009F189B">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9F189B" w:rsidP="008B28D6">
            <w:pPr>
              <w:spacing w:after="0" w:line="240" w:lineRule="auto"/>
              <w:jc w:val="center"/>
              <w:rPr>
                <w:rFonts w:cs="Arial"/>
                <w:b/>
                <w:bCs/>
                <w:sz w:val="18"/>
                <w:szCs w:val="18"/>
              </w:rPr>
            </w:pPr>
            <w:r w:rsidRPr="007226D7">
              <w:rPr>
                <w:rFonts w:cs="Arial"/>
                <w:b/>
                <w:bCs/>
                <w:sz w:val="18"/>
                <w:szCs w:val="18"/>
              </w:rPr>
              <w:t>ESC 3.2</w:t>
            </w:r>
          </w:p>
        </w:tc>
      </w:tr>
      <w:tr w:rsidR="00831B16" w:rsidRPr="007226D7" w:rsidTr="009F189B">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9F189B">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9F189B" w:rsidRPr="007226D7" w:rsidRDefault="009F189B"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868,059</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627,088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458,419</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8,949,741</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165,282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104,890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81,103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1,594,684</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127,843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100,144</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78,625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1,478,099</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45,799</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25,221</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18,303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379,979</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34,362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22,142</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19,632</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368,224</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57,204</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35,145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27,558</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542,952</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23,306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20,553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19,237</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337,799</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78,796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65,831</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42,284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838,946</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59,342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58,702</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39,739</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752,695</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112,120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80,599</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59,331</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1,156,741</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75,198</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58,454</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46,055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866,019</w:t>
            </w:r>
          </w:p>
        </w:tc>
      </w:tr>
      <w:tr w:rsidR="009F189B" w:rsidRPr="007226D7" w:rsidTr="009F189B">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56,516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37,026</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27,375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542,958</w:t>
            </w:r>
          </w:p>
        </w:tc>
      </w:tr>
      <w:tr w:rsidR="009F189B" w:rsidRPr="007226D7" w:rsidTr="009F189B">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119,894</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100,967</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79,473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1,474,872</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58,337</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47,058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27,261</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565,188</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90,070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72,335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45,975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922,485</w:t>
            </w:r>
          </w:p>
        </w:tc>
      </w:tr>
      <w:tr w:rsidR="009F189B" w:rsidRPr="007226D7" w:rsidTr="009F189B">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91,585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76,887</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50,134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988,686</w:t>
            </w:r>
          </w:p>
        </w:tc>
      </w:tr>
      <w:tr w:rsidR="009F189B" w:rsidRPr="007226D7" w:rsidTr="009F189B">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9F189B" w:rsidRPr="007226D7" w:rsidRDefault="009F189B"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2,063,713</w:t>
            </w:r>
          </w:p>
        </w:tc>
        <w:tc>
          <w:tcPr>
            <w:tcW w:w="1088" w:type="dxa"/>
            <w:tcBorders>
              <w:top w:val="nil"/>
              <w:left w:val="nil"/>
              <w:bottom w:val="single" w:sz="8" w:space="0" w:color="auto"/>
              <w:right w:val="nil"/>
            </w:tcBorders>
            <w:shd w:val="clear" w:color="171717" w:fill="75923C"/>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1,533,043</w:t>
            </w:r>
          </w:p>
        </w:tc>
        <w:tc>
          <w:tcPr>
            <w:tcW w:w="1088" w:type="dxa"/>
            <w:tcBorders>
              <w:top w:val="nil"/>
              <w:left w:val="nil"/>
              <w:bottom w:val="single" w:sz="8" w:space="0" w:color="auto"/>
              <w:right w:val="single" w:sz="4" w:space="0" w:color="auto"/>
            </w:tcBorders>
            <w:shd w:val="clear" w:color="171717" w:fill="75923C"/>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1,120,504</w:t>
            </w:r>
          </w:p>
        </w:tc>
        <w:tc>
          <w:tcPr>
            <w:tcW w:w="1625" w:type="dxa"/>
            <w:tcBorders>
              <w:top w:val="nil"/>
              <w:left w:val="nil"/>
              <w:bottom w:val="single" w:sz="8" w:space="0" w:color="auto"/>
              <w:right w:val="single" w:sz="4" w:space="0" w:color="auto"/>
            </w:tcBorders>
            <w:shd w:val="clear" w:color="171717" w:fill="75923C"/>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21,760,068</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9F189B" w:rsidRPr="007226D7">
              <w:rPr>
                <w:rFonts w:cs="Arial"/>
                <w:b/>
                <w:bCs/>
                <w:sz w:val="18"/>
                <w:szCs w:val="18"/>
              </w:rPr>
              <w:t>3.2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9F189B">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9F189B" w:rsidRPr="007226D7" w:rsidRDefault="009F189B"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3,381,628</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2,570,955</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1,984,869</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37,708,463</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1,517,269</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913,427</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638,242</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13,158,538</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1,495,245</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1,239,718</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1,001,744</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18,492,599</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375,066</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188,001</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142,535</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2,979,089</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251,723</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165,803</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156,791</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2,873,334</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214,247</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142,312</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119,015</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2,260,313</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97,669</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91,057</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90,178</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1,549,765</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237,265</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195,524</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121,426</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2,444,116</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481,998</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490,372</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332,431</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6,266,343</w:t>
            </w:r>
          </w:p>
        </w:tc>
      </w:tr>
      <w:tr w:rsidR="009F189B" w:rsidRPr="007226D7" w:rsidTr="009F189B">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9F189B" w:rsidRPr="007226D7" w:rsidRDefault="009F189B"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711,042</w:t>
            </w:r>
          </w:p>
        </w:tc>
        <w:tc>
          <w:tcPr>
            <w:tcW w:w="1175" w:type="dxa"/>
            <w:tcBorders>
              <w:top w:val="single" w:sz="4" w:space="0" w:color="auto"/>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517,265</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402,171</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7,684,837</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558,649</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513,542</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403,273</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7,386,931</w:t>
            </w:r>
          </w:p>
        </w:tc>
      </w:tr>
      <w:tr w:rsidR="009F189B" w:rsidRPr="007226D7" w:rsidTr="009F189B">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117,217</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77,246</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56,222</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1,119,813</w:t>
            </w:r>
          </w:p>
        </w:tc>
      </w:tr>
      <w:tr w:rsidR="009F189B" w:rsidRPr="007226D7" w:rsidTr="009F189B">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539,402</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535,672</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433,855</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7,790,262</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838,789</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717,439</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406,659</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8,399,022</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932,915</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807,456</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503,455</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10,025,656</w:t>
            </w:r>
          </w:p>
        </w:tc>
      </w:tr>
      <w:tr w:rsidR="009F189B" w:rsidRPr="007226D7" w:rsidTr="009F189B">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1,018,650</w:t>
            </w:r>
          </w:p>
        </w:tc>
        <w:tc>
          <w:tcPr>
            <w:tcW w:w="1175"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434,832</w:t>
            </w:r>
          </w:p>
        </w:tc>
        <w:tc>
          <w:tcPr>
            <w:tcW w:w="117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287,059</w:t>
            </w:r>
          </w:p>
        </w:tc>
        <w:tc>
          <w:tcPr>
            <w:tcW w:w="1454"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6,638,732</w:t>
            </w:r>
          </w:p>
        </w:tc>
      </w:tr>
      <w:tr w:rsidR="009F189B" w:rsidRPr="007226D7" w:rsidTr="009F189B">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9F189B" w:rsidRPr="007226D7" w:rsidRDefault="009F189B"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12,768,774</w:t>
            </w:r>
          </w:p>
        </w:tc>
        <w:tc>
          <w:tcPr>
            <w:tcW w:w="1175" w:type="dxa"/>
            <w:tcBorders>
              <w:top w:val="nil"/>
              <w:left w:val="nil"/>
              <w:bottom w:val="single" w:sz="8" w:space="0" w:color="auto"/>
              <w:right w:val="nil"/>
            </w:tcBorders>
            <w:shd w:val="clear" w:color="171717" w:fill="4F6228"/>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9,600,620</w:t>
            </w:r>
          </w:p>
        </w:tc>
        <w:tc>
          <w:tcPr>
            <w:tcW w:w="1175" w:type="dxa"/>
            <w:tcBorders>
              <w:top w:val="nil"/>
              <w:left w:val="nil"/>
              <w:bottom w:val="single" w:sz="8" w:space="0" w:color="auto"/>
              <w:right w:val="single" w:sz="4" w:space="0" w:color="auto"/>
            </w:tcBorders>
            <w:shd w:val="clear" w:color="171717" w:fill="4F6228"/>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7,079,925</w:t>
            </w:r>
          </w:p>
        </w:tc>
        <w:tc>
          <w:tcPr>
            <w:tcW w:w="1454" w:type="dxa"/>
            <w:tcBorders>
              <w:top w:val="nil"/>
              <w:left w:val="nil"/>
              <w:bottom w:val="single" w:sz="8" w:space="0" w:color="auto"/>
              <w:right w:val="single" w:sz="4" w:space="0" w:color="auto"/>
            </w:tcBorders>
            <w:shd w:val="clear" w:color="171717" w:fill="4F6228"/>
            <w:noWrap/>
            <w:vAlign w:val="center"/>
            <w:hideMark/>
          </w:tcPr>
          <w:p w:rsidR="009F189B" w:rsidRPr="007226D7" w:rsidRDefault="009F189B" w:rsidP="009F189B">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136,777,814</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9F189B" w:rsidRPr="007226D7">
              <w:rPr>
                <w:rFonts w:cs="Arial"/>
                <w:b/>
                <w:bCs/>
                <w:sz w:val="18"/>
                <w:szCs w:val="18"/>
              </w:rPr>
              <w:t>3.2</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9F189B">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41,188,141</w:t>
            </w:r>
          </w:p>
        </w:tc>
        <w:tc>
          <w:tcPr>
            <w:tcW w:w="1247" w:type="dxa"/>
            <w:tcBorders>
              <w:top w:val="single" w:sz="4" w:space="0" w:color="auto"/>
              <w:left w:val="nil"/>
              <w:bottom w:val="single" w:sz="4" w:space="0" w:color="auto"/>
              <w:right w:val="nil"/>
            </w:tcBorders>
            <w:shd w:val="clear" w:color="171717" w:fill="FFFF99"/>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40,437,135</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37,685,187</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653,157,989</w:t>
            </w:r>
          </w:p>
        </w:tc>
      </w:tr>
      <w:tr w:rsidR="009F189B" w:rsidRPr="007226D7" w:rsidTr="009F189B">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58.64%</w:t>
            </w:r>
          </w:p>
        </w:tc>
        <w:tc>
          <w:tcPr>
            <w:tcW w:w="1247" w:type="dxa"/>
            <w:tcBorders>
              <w:top w:val="nil"/>
              <w:left w:val="nil"/>
              <w:bottom w:val="single" w:sz="4" w:space="0" w:color="auto"/>
              <w:right w:val="nil"/>
            </w:tcBorders>
            <w:shd w:val="clear" w:color="171717" w:fill="FFFF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72.72%</w:t>
            </w:r>
          </w:p>
        </w:tc>
        <w:tc>
          <w:tcPr>
            <w:tcW w:w="1247" w:type="dxa"/>
            <w:tcBorders>
              <w:top w:val="nil"/>
              <w:left w:val="nil"/>
              <w:bottom w:val="single" w:sz="4" w:space="0" w:color="auto"/>
              <w:right w:val="single" w:sz="4" w:space="0" w:color="auto"/>
            </w:tcBorders>
            <w:shd w:val="clear" w:color="171717" w:fill="FFFF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70.86%</w:t>
            </w:r>
          </w:p>
        </w:tc>
        <w:tc>
          <w:tcPr>
            <w:tcW w:w="1379" w:type="dxa"/>
            <w:tcBorders>
              <w:top w:val="nil"/>
              <w:left w:val="nil"/>
              <w:bottom w:val="single" w:sz="4" w:space="0" w:color="auto"/>
              <w:right w:val="single" w:sz="4" w:space="0" w:color="auto"/>
            </w:tcBorders>
            <w:shd w:val="clear" w:color="171717" w:fill="FFFF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9F189B" w:rsidRPr="007226D7" w:rsidTr="009F189B">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45.95</w:t>
            </w:r>
          </w:p>
        </w:tc>
        <w:tc>
          <w:tcPr>
            <w:tcW w:w="1247" w:type="dxa"/>
            <w:tcBorders>
              <w:top w:val="nil"/>
              <w:left w:val="nil"/>
              <w:bottom w:val="single" w:sz="4" w:space="0" w:color="auto"/>
              <w:right w:val="nil"/>
            </w:tcBorders>
            <w:shd w:val="clear" w:color="171717" w:fill="FFC0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48.73</w:t>
            </w:r>
          </w:p>
        </w:tc>
        <w:tc>
          <w:tcPr>
            <w:tcW w:w="1247" w:type="dxa"/>
            <w:tcBorders>
              <w:top w:val="nil"/>
              <w:left w:val="nil"/>
              <w:bottom w:val="single" w:sz="4" w:space="0" w:color="auto"/>
              <w:right w:val="single" w:sz="4" w:space="0" w:color="auto"/>
            </w:tcBorders>
            <w:shd w:val="clear" w:color="171717" w:fill="FFC0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44.49</w:t>
            </w:r>
          </w:p>
        </w:tc>
        <w:tc>
          <w:tcPr>
            <w:tcW w:w="1379" w:type="dxa"/>
            <w:tcBorders>
              <w:top w:val="nil"/>
              <w:left w:val="nil"/>
              <w:bottom w:val="single" w:sz="4" w:space="0" w:color="auto"/>
              <w:right w:val="single" w:sz="4" w:space="0" w:color="auto"/>
            </w:tcBorders>
            <w:shd w:val="clear" w:color="171717" w:fill="FFC00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547525" w:rsidRPr="007226D7" w:rsidRDefault="00547525">
      <w:pPr>
        <w:spacing w:after="0" w:line="240" w:lineRule="auto"/>
        <w:jc w:val="left"/>
        <w:rPr>
          <w:lang w:val="es-ES"/>
        </w:rPr>
      </w:pPr>
      <w:bookmarkStart w:id="153" w:name="_Toc342751292"/>
      <w:r w:rsidRPr="007226D7">
        <w:rPr>
          <w:lang w:val="es-ES"/>
        </w:rPr>
        <w:br w:type="page"/>
      </w:r>
    </w:p>
    <w:p w:rsidR="00ED1F70" w:rsidRPr="007226D7" w:rsidRDefault="009F189B" w:rsidP="00ED1F70">
      <w:pPr>
        <w:pStyle w:val="Heading3"/>
        <w:rPr>
          <w:lang w:val="es-ES"/>
        </w:rPr>
      </w:pPr>
      <w:bookmarkStart w:id="154" w:name="_Toc346541945"/>
      <w:r w:rsidRPr="007226D7">
        <w:rPr>
          <w:lang w:val="es-ES"/>
        </w:rPr>
        <w:lastRenderedPageBreak/>
        <w:t>Escenario 3.</w:t>
      </w:r>
      <w:r w:rsidR="00ED1F70" w:rsidRPr="007226D7">
        <w:rPr>
          <w:lang w:val="es-ES"/>
        </w:rPr>
        <w:t>3</w:t>
      </w:r>
      <w:bookmarkEnd w:id="153"/>
      <w:r w:rsidRPr="007226D7">
        <w:rPr>
          <w:lang w:val="es-ES"/>
        </w:rPr>
        <w:t xml:space="preserve"> - </w:t>
      </w:r>
      <w:r w:rsidRPr="007226D7">
        <w:rPr>
          <w:i/>
          <w:lang w:val="es-ES"/>
        </w:rPr>
        <w:t>SITUACIÓN CON PROYECTO 2030</w:t>
      </w:r>
      <w:bookmarkEnd w:id="154"/>
    </w:p>
    <w:p w:rsidR="00831B16" w:rsidRPr="007226D7" w:rsidRDefault="00ED1F70" w:rsidP="00831B16">
      <w:pPr>
        <w:rPr>
          <w:lang w:val="es-ES"/>
        </w:rPr>
      </w:pPr>
      <w:r w:rsidRPr="007226D7">
        <w:rPr>
          <w:lang w:val="es-ES"/>
        </w:rPr>
        <w:t>En el siguiente cuadro se presenta los resultados del modelo de demanda asignada para la situación con proyecto 2030:</w:t>
      </w:r>
      <w:r w:rsidR="00831B16" w:rsidRPr="007226D7">
        <w:rPr>
          <w:lang w:val="es-ES"/>
        </w:rPr>
        <w:t xml:space="preserve"> </w:t>
      </w:r>
    </w:p>
    <w:p w:rsidR="00FC103B" w:rsidRPr="007226D7" w:rsidRDefault="00FC103B" w:rsidP="00FC103B">
      <w:pPr>
        <w:pStyle w:val="Figuras"/>
      </w:pPr>
      <w:r w:rsidRPr="007226D7">
        <w:rPr>
          <w:noProof/>
        </w:rPr>
        <w:t>Tabla 4.7 – 15 (serie)</w:t>
      </w:r>
      <w:r w:rsidRPr="007226D7">
        <w:t xml:space="preserve">: resultados de modelación </w:t>
      </w:r>
      <w:r w:rsidR="000B2336" w:rsidRPr="007226D7">
        <w:t>escenario</w:t>
      </w:r>
      <w:r w:rsidRPr="007226D7">
        <w:t xml:space="preserve"> 3.3</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9F189B" w:rsidP="008B28D6">
            <w:pPr>
              <w:spacing w:after="0" w:line="240" w:lineRule="auto"/>
              <w:jc w:val="center"/>
              <w:rPr>
                <w:rFonts w:cs="Arial"/>
                <w:b/>
                <w:bCs/>
                <w:sz w:val="18"/>
                <w:szCs w:val="18"/>
              </w:rPr>
            </w:pPr>
            <w:r w:rsidRPr="007226D7">
              <w:rPr>
                <w:rFonts w:cs="Arial"/>
                <w:b/>
                <w:bCs/>
                <w:sz w:val="18"/>
                <w:szCs w:val="18"/>
              </w:rPr>
              <w:t>ESC 3.3</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9F189B">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276,233</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153,012</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130,275</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2,552,061</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114,620</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100,697</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63,973</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1,262,287</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17,845</w:t>
            </w:r>
          </w:p>
        </w:tc>
        <w:tc>
          <w:tcPr>
            <w:tcW w:w="1265" w:type="dxa"/>
            <w:tcBorders>
              <w:top w:val="nil"/>
              <w:left w:val="nil"/>
              <w:bottom w:val="single" w:sz="4" w:space="0" w:color="auto"/>
              <w:right w:val="nil"/>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13,488</w:t>
            </w:r>
          </w:p>
        </w:tc>
        <w:tc>
          <w:tcPr>
            <w:tcW w:w="1038"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13,495</w:t>
            </w:r>
          </w:p>
        </w:tc>
        <w:tc>
          <w:tcPr>
            <w:tcW w:w="1553" w:type="dxa"/>
            <w:tcBorders>
              <w:top w:val="nil"/>
              <w:left w:val="nil"/>
              <w:bottom w:val="single" w:sz="4" w:space="0" w:color="auto"/>
              <w:right w:val="single" w:sz="4" w:space="0" w:color="auto"/>
            </w:tcBorders>
            <w:shd w:val="clear" w:color="171717" w:fill="DBE5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238,095</w:t>
            </w:r>
          </w:p>
        </w:tc>
      </w:tr>
      <w:tr w:rsidR="009F189B" w:rsidRPr="007226D7" w:rsidTr="009F189B">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1,781,513</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1,351,200</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1,135,877</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21,031,822</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865,165</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918,467</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474,890</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9,740,830</w:t>
            </w:r>
          </w:p>
        </w:tc>
      </w:tr>
      <w:tr w:rsidR="009F189B" w:rsidRPr="007226D7" w:rsidTr="009F189B">
        <w:trPr>
          <w:trHeight w:val="240"/>
        </w:trPr>
        <w:tc>
          <w:tcPr>
            <w:tcW w:w="1119" w:type="dxa"/>
            <w:vMerge/>
            <w:tcBorders>
              <w:top w:val="nil"/>
              <w:left w:val="single" w:sz="4" w:space="0" w:color="auto"/>
              <w:bottom w:val="single" w:sz="4" w:space="0" w:color="auto"/>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373,422</w:t>
            </w:r>
          </w:p>
        </w:tc>
        <w:tc>
          <w:tcPr>
            <w:tcW w:w="1265" w:type="dxa"/>
            <w:tcBorders>
              <w:top w:val="nil"/>
              <w:left w:val="nil"/>
              <w:bottom w:val="single" w:sz="4" w:space="0" w:color="auto"/>
              <w:right w:val="nil"/>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323,669</w:t>
            </w:r>
          </w:p>
        </w:tc>
        <w:tc>
          <w:tcPr>
            <w:tcW w:w="1038"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324,249</w:t>
            </w:r>
          </w:p>
        </w:tc>
        <w:tc>
          <w:tcPr>
            <w:tcW w:w="1553" w:type="dxa"/>
            <w:tcBorders>
              <w:top w:val="nil"/>
              <w:left w:val="nil"/>
              <w:bottom w:val="single" w:sz="4" w:space="0" w:color="auto"/>
              <w:right w:val="single" w:sz="4" w:space="0" w:color="auto"/>
            </w:tcBorders>
            <w:shd w:val="clear" w:color="171717" w:fill="C5D9F1"/>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5,609,425</w:t>
            </w:r>
          </w:p>
        </w:tc>
      </w:tr>
      <w:tr w:rsidR="009F189B" w:rsidRPr="007226D7" w:rsidTr="009F189B">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108,611</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64,467</w:t>
            </w:r>
          </w:p>
        </w:tc>
        <w:tc>
          <w:tcPr>
            <w:tcW w:w="1038"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45,557</w:t>
            </w:r>
          </w:p>
        </w:tc>
        <w:tc>
          <w:tcPr>
            <w:tcW w:w="1553"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938,403</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49,527</w:t>
            </w:r>
          </w:p>
        </w:tc>
        <w:tc>
          <w:tcPr>
            <w:tcW w:w="1265" w:type="dxa"/>
            <w:tcBorders>
              <w:top w:val="nil"/>
              <w:left w:val="nil"/>
              <w:bottom w:val="single" w:sz="4"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41,520</w:t>
            </w:r>
          </w:p>
        </w:tc>
        <w:tc>
          <w:tcPr>
            <w:tcW w:w="1038"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18,785</w:t>
            </w:r>
          </w:p>
        </w:tc>
        <w:tc>
          <w:tcPr>
            <w:tcW w:w="1553" w:type="dxa"/>
            <w:tcBorders>
              <w:top w:val="nil"/>
              <w:left w:val="nil"/>
              <w:bottom w:val="single" w:sz="4"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426,305</w:t>
            </w:r>
          </w:p>
        </w:tc>
      </w:tr>
      <w:tr w:rsidR="009F189B" w:rsidRPr="007226D7" w:rsidTr="009F189B">
        <w:trPr>
          <w:trHeight w:val="255"/>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12,747</w:t>
            </w:r>
          </w:p>
        </w:tc>
        <w:tc>
          <w:tcPr>
            <w:tcW w:w="1265" w:type="dxa"/>
            <w:tcBorders>
              <w:top w:val="nil"/>
              <w:left w:val="nil"/>
              <w:bottom w:val="single" w:sz="8" w:space="0" w:color="auto"/>
              <w:right w:val="nil"/>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11,135</w:t>
            </w:r>
          </w:p>
        </w:tc>
        <w:tc>
          <w:tcPr>
            <w:tcW w:w="1038"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9,079</w:t>
            </w:r>
          </w:p>
        </w:tc>
        <w:tc>
          <w:tcPr>
            <w:tcW w:w="1553" w:type="dxa"/>
            <w:tcBorders>
              <w:top w:val="nil"/>
              <w:left w:val="nil"/>
              <w:bottom w:val="single" w:sz="8" w:space="0" w:color="auto"/>
              <w:right w:val="single" w:sz="4" w:space="0" w:color="auto"/>
            </w:tcBorders>
            <w:shd w:val="clear" w:color="171717" w:fill="95B3D7"/>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165,797</w:t>
            </w:r>
          </w:p>
        </w:tc>
      </w:tr>
    </w:tbl>
    <w:p w:rsidR="00831B16" w:rsidRPr="007226D7" w:rsidRDefault="00831B16" w:rsidP="00831B16">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9F189B">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B45CF6" w:rsidP="008B28D6">
            <w:pPr>
              <w:spacing w:after="0" w:line="240" w:lineRule="auto"/>
              <w:jc w:val="center"/>
              <w:rPr>
                <w:rFonts w:cs="Arial"/>
                <w:b/>
                <w:bCs/>
                <w:sz w:val="18"/>
                <w:szCs w:val="18"/>
              </w:rPr>
            </w:pPr>
            <w:r w:rsidRPr="007226D7">
              <w:rPr>
                <w:rFonts w:cs="Arial"/>
                <w:b/>
                <w:bCs/>
                <w:sz w:val="18"/>
                <w:szCs w:val="18"/>
              </w:rPr>
              <w:t>ESC 3.3</w:t>
            </w:r>
          </w:p>
        </w:tc>
      </w:tr>
      <w:tr w:rsidR="00831B16" w:rsidRPr="007226D7" w:rsidTr="009F189B">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9F189B" w:rsidRPr="007226D7" w:rsidTr="00FC103B">
        <w:trPr>
          <w:trHeight w:val="567"/>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1,300,888</w:t>
            </w:r>
          </w:p>
        </w:tc>
        <w:tc>
          <w:tcPr>
            <w:tcW w:w="1088" w:type="dxa"/>
            <w:tcBorders>
              <w:top w:val="nil"/>
              <w:left w:val="nil"/>
              <w:bottom w:val="single" w:sz="4" w:space="0" w:color="auto"/>
              <w:right w:val="nil"/>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887,596</w:t>
            </w:r>
          </w:p>
        </w:tc>
        <w:tc>
          <w:tcPr>
            <w:tcW w:w="1088"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655,785</w:t>
            </w:r>
          </w:p>
        </w:tc>
        <w:tc>
          <w:tcPr>
            <w:tcW w:w="1625" w:type="dxa"/>
            <w:tcBorders>
              <w:top w:val="nil"/>
              <w:left w:val="nil"/>
              <w:bottom w:val="single" w:sz="4" w:space="0" w:color="auto"/>
              <w:right w:val="single" w:sz="4" w:space="0" w:color="auto"/>
            </w:tcBorders>
            <w:shd w:val="clear" w:color="171717" w:fill="D7E4BC"/>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12,902,168</w:t>
            </w:r>
          </w:p>
        </w:tc>
      </w:tr>
      <w:tr w:rsidR="009F189B" w:rsidRPr="007226D7" w:rsidTr="009F189B">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118,245</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5,378</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91,429</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79,451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1,549</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26,338</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248,258</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11,817</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532</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11,180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144</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144</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1,818</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9F189B" w:rsidRPr="007226D7" w:rsidTr="009F189B">
        <w:trPr>
          <w:trHeight w:val="240"/>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9F189B" w:rsidRPr="007226D7" w:rsidTr="009F189B">
        <w:trPr>
          <w:trHeight w:val="499"/>
        </w:trPr>
        <w:tc>
          <w:tcPr>
            <w:tcW w:w="1119" w:type="dxa"/>
            <w:vMerge/>
            <w:tcBorders>
              <w:top w:val="nil"/>
              <w:left w:val="single" w:sz="4" w:space="0" w:color="auto"/>
              <w:bottom w:val="single" w:sz="8" w:space="0" w:color="000000"/>
              <w:right w:val="single" w:sz="4" w:space="0" w:color="auto"/>
            </w:tcBorders>
            <w:vAlign w:val="center"/>
            <w:hideMark/>
          </w:tcPr>
          <w:p w:rsidR="009F189B" w:rsidRPr="007226D7" w:rsidRDefault="009F189B"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153,836</w:t>
            </w:r>
          </w:p>
        </w:tc>
        <w:tc>
          <w:tcPr>
            <w:tcW w:w="1088" w:type="dxa"/>
            <w:tcBorders>
              <w:top w:val="nil"/>
              <w:left w:val="nil"/>
              <w:bottom w:val="single" w:sz="8" w:space="0" w:color="auto"/>
              <w:right w:val="nil"/>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152,387</w:t>
            </w:r>
          </w:p>
        </w:tc>
        <w:tc>
          <w:tcPr>
            <w:tcW w:w="1088"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148,895</w:t>
            </w:r>
          </w:p>
        </w:tc>
        <w:tc>
          <w:tcPr>
            <w:tcW w:w="1625" w:type="dxa"/>
            <w:tcBorders>
              <w:top w:val="nil"/>
              <w:left w:val="nil"/>
              <w:bottom w:val="single" w:sz="8" w:space="0" w:color="auto"/>
              <w:right w:val="single" w:sz="4" w:space="0" w:color="auto"/>
            </w:tcBorders>
            <w:shd w:val="clear" w:color="171717" w:fill="92D050"/>
            <w:noWrap/>
            <w:vAlign w:val="center"/>
            <w:hideMark/>
          </w:tcPr>
          <w:p w:rsidR="009F189B" w:rsidRPr="007226D7" w:rsidRDefault="009F189B" w:rsidP="009F189B">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2,548,074</w:t>
            </w:r>
          </w:p>
        </w:tc>
      </w:tr>
      <w:tr w:rsidR="00831B16" w:rsidRPr="007226D7" w:rsidTr="009F189B">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9F189B" w:rsidP="008B28D6">
            <w:pPr>
              <w:spacing w:after="0" w:line="240" w:lineRule="auto"/>
              <w:jc w:val="center"/>
              <w:rPr>
                <w:rFonts w:cs="Arial"/>
                <w:b/>
                <w:bCs/>
                <w:sz w:val="18"/>
                <w:szCs w:val="18"/>
              </w:rPr>
            </w:pPr>
            <w:r w:rsidRPr="007226D7">
              <w:rPr>
                <w:rFonts w:cs="Arial"/>
                <w:b/>
                <w:bCs/>
                <w:sz w:val="18"/>
                <w:szCs w:val="18"/>
              </w:rPr>
              <w:t>ESC 3.</w:t>
            </w:r>
            <w:r w:rsidR="00B45CF6" w:rsidRPr="007226D7">
              <w:rPr>
                <w:rFonts w:cs="Arial"/>
                <w:b/>
                <w:bCs/>
                <w:sz w:val="18"/>
                <w:szCs w:val="18"/>
              </w:rPr>
              <w:t>3</w:t>
            </w:r>
          </w:p>
        </w:tc>
      </w:tr>
      <w:tr w:rsidR="00831B16" w:rsidRPr="007226D7" w:rsidTr="009F189B">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848,158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615,745</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456,601</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8,863,617</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160,213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100,300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77,768</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1,532,010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118,713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92,120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73,306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1,374,645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46,864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25,692</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19,299</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395,993</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31,771</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22,531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18,655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351,119</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57,206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35,260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27,727</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545,380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23,294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19,970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19,096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334,775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77,824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65,857</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41,984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833,154</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52,000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53,349</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36,806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689,176</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123,576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94,338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72,975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1,384,503</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56,259</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37,098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27,536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544,682</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114,743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98,926</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75,445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1,408,123</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90,312</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71,243</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42,324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873,322</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70,255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53,566</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35,081</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703,694</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9,205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8,477</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4,913</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99,233</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86,734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69,751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45,135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899,725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90,427</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76,239</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49,700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979,432</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2,057,554</w:t>
            </w:r>
          </w:p>
        </w:tc>
        <w:tc>
          <w:tcPr>
            <w:tcW w:w="1088" w:type="dxa"/>
            <w:tcBorders>
              <w:top w:val="nil"/>
              <w:left w:val="nil"/>
              <w:bottom w:val="single" w:sz="8" w:space="0" w:color="auto"/>
              <w:right w:val="nil"/>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1,540,462</w:t>
            </w:r>
          </w:p>
        </w:tc>
        <w:tc>
          <w:tcPr>
            <w:tcW w:w="1088"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1,124,350</w:t>
            </w:r>
          </w:p>
        </w:tc>
        <w:tc>
          <w:tcPr>
            <w:tcW w:w="1625"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21,812,582</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9F189B" w:rsidRPr="007226D7">
              <w:rPr>
                <w:rFonts w:cs="Arial"/>
                <w:b/>
                <w:bCs/>
                <w:sz w:val="18"/>
                <w:szCs w:val="18"/>
              </w:rPr>
              <w:t>3.</w:t>
            </w:r>
            <w:r w:rsidR="00B45CF6" w:rsidRPr="007226D7">
              <w:rPr>
                <w:rFonts w:cs="Arial"/>
                <w:b/>
                <w:bCs/>
                <w:sz w:val="18"/>
                <w:szCs w:val="18"/>
              </w:rPr>
              <w:t>3</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3,201,972</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2,458,615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1,931,694</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36,433,196</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1,477,072</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878,699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615,463</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12,712,561</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1,347,724</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1,090,679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900,612</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16,584,763</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367,762</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182,749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140,286</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2,924,740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226,474</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167,183</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143,066</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2,647,172</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215,394</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141,444</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118,567</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2,255,047</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95,173</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87,675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88,840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1,520,616</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235,029</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198,117</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121,124</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2,440,904</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398,959</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430,131</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298,349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5,536,717</w:t>
            </w:r>
          </w:p>
        </w:tc>
      </w:tr>
      <w:tr w:rsidR="00B45CF6" w:rsidRPr="007226D7" w:rsidTr="00B45CF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825,508</w:t>
            </w:r>
          </w:p>
        </w:tc>
        <w:tc>
          <w:tcPr>
            <w:tcW w:w="1175"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626,594</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519,545</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9,658,290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116,482</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76,616</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56,241</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1,117,329</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518,366</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516,486</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411,925</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7,424,729</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1,164,796</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978,242</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568,193</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11,672,585</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656,818</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545,445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374,409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7,271,843</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40,382</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42,790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26,115</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505,842</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886,267</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772,819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490,488</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9,694,516</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507,858</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430,019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285,220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5,583,615</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12,282,037</w:t>
            </w:r>
          </w:p>
        </w:tc>
        <w:tc>
          <w:tcPr>
            <w:tcW w:w="1175" w:type="dxa"/>
            <w:tcBorders>
              <w:top w:val="nil"/>
              <w:left w:val="nil"/>
              <w:bottom w:val="single" w:sz="8" w:space="0" w:color="auto"/>
              <w:right w:val="nil"/>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9,624,303</w:t>
            </w:r>
          </w:p>
        </w:tc>
        <w:tc>
          <w:tcPr>
            <w:tcW w:w="1175"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7,090,137</w:t>
            </w:r>
          </w:p>
        </w:tc>
        <w:tc>
          <w:tcPr>
            <w:tcW w:w="1454"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135,984,464</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9F189B" w:rsidRPr="007226D7">
              <w:rPr>
                <w:rFonts w:cs="Arial"/>
                <w:b/>
                <w:bCs/>
                <w:sz w:val="18"/>
                <w:szCs w:val="18"/>
              </w:rPr>
              <w:t>3.</w:t>
            </w:r>
            <w:r w:rsidR="00B45CF6" w:rsidRPr="007226D7">
              <w:rPr>
                <w:rFonts w:cs="Arial"/>
                <w:b/>
                <w:bCs/>
                <w:sz w:val="18"/>
                <w:szCs w:val="18"/>
              </w:rPr>
              <w:t>3</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39,088,903</w:t>
            </w:r>
          </w:p>
        </w:tc>
        <w:tc>
          <w:tcPr>
            <w:tcW w:w="1247" w:type="dxa"/>
            <w:tcBorders>
              <w:top w:val="single" w:sz="4" w:space="0" w:color="auto"/>
              <w:left w:val="nil"/>
              <w:bottom w:val="single" w:sz="4" w:space="0" w:color="auto"/>
              <w:right w:val="nil"/>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38,595,634</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36,467,012</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629,440,234</w:t>
            </w:r>
          </w:p>
        </w:tc>
      </w:tr>
      <w:tr w:rsidR="00B45CF6" w:rsidRPr="007226D7" w:rsidTr="00B45CF6">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58.17%</w:t>
            </w:r>
          </w:p>
        </w:tc>
        <w:tc>
          <w:tcPr>
            <w:tcW w:w="1247" w:type="dxa"/>
            <w:tcBorders>
              <w:top w:val="nil"/>
              <w:left w:val="nil"/>
              <w:bottom w:val="single" w:sz="4" w:space="0" w:color="auto"/>
              <w:right w:val="nil"/>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73.55%</w:t>
            </w:r>
          </w:p>
        </w:tc>
        <w:tc>
          <w:tcPr>
            <w:tcW w:w="1247"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71.45%</w:t>
            </w:r>
          </w:p>
        </w:tc>
        <w:tc>
          <w:tcPr>
            <w:tcW w:w="1379"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B45CF6" w:rsidRPr="007226D7" w:rsidTr="00B45CF6">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43.03</w:t>
            </w:r>
          </w:p>
        </w:tc>
        <w:tc>
          <w:tcPr>
            <w:tcW w:w="1247" w:type="dxa"/>
            <w:tcBorders>
              <w:top w:val="nil"/>
              <w:left w:val="nil"/>
              <w:bottom w:val="single" w:sz="4" w:space="0" w:color="auto"/>
              <w:right w:val="nil"/>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45.84</w:t>
            </w:r>
          </w:p>
        </w:tc>
        <w:tc>
          <w:tcPr>
            <w:tcW w:w="1247"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42.27</w:t>
            </w:r>
          </w:p>
        </w:tc>
        <w:tc>
          <w:tcPr>
            <w:tcW w:w="1379"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B01A94" w:rsidRPr="007226D7" w:rsidRDefault="008C40DF" w:rsidP="00B01A94">
      <w:pPr>
        <w:spacing w:after="0" w:line="240" w:lineRule="auto"/>
        <w:jc w:val="left"/>
        <w:rPr>
          <w:lang w:val="es-ES"/>
        </w:rPr>
      </w:pPr>
      <w:bookmarkStart w:id="155" w:name="_Toc342751293"/>
      <w:r w:rsidRPr="007226D7">
        <w:rPr>
          <w:lang w:val="es-ES"/>
        </w:rPr>
        <w:t>A continuación se muestran los datos de demanda, subidas y bajadas de la Línea 2 del metro de Lima.</w:t>
      </w:r>
    </w:p>
    <w:p w:rsidR="00B01A94" w:rsidRPr="007226D7" w:rsidRDefault="00B01A94" w:rsidP="00B01A94">
      <w:pPr>
        <w:spacing w:after="0" w:line="240" w:lineRule="auto"/>
        <w:jc w:val="left"/>
        <w:rPr>
          <w:color w:val="FF0000"/>
          <w:lang w:val="es-ES"/>
        </w:rPr>
      </w:pPr>
    </w:p>
    <w:p w:rsidR="00B01A94" w:rsidRPr="007226D7" w:rsidRDefault="00B01A94" w:rsidP="00B01A94">
      <w:pPr>
        <w:spacing w:after="0" w:line="240" w:lineRule="auto"/>
        <w:jc w:val="left"/>
        <w:rPr>
          <w:lang w:val="es-ES"/>
        </w:rPr>
        <w:sectPr w:rsidR="00B01A94" w:rsidRPr="007226D7" w:rsidSect="00616C7B">
          <w:pgSz w:w="11907" w:h="16840" w:code="9"/>
          <w:pgMar w:top="1985" w:right="1134" w:bottom="1701" w:left="1418" w:header="720" w:footer="833" w:gutter="0"/>
          <w:paperSrc w:first="15" w:other="15"/>
          <w:cols w:space="720"/>
          <w:docGrid w:linePitch="299"/>
        </w:sectPr>
      </w:pPr>
    </w:p>
    <w:p w:rsidR="00B01A94" w:rsidRPr="007226D7" w:rsidRDefault="00310DC6" w:rsidP="00B01A94">
      <w:pPr>
        <w:spacing w:after="0" w:line="240" w:lineRule="auto"/>
        <w:jc w:val="center"/>
      </w:pPr>
      <w:r w:rsidRPr="007226D7">
        <w:rPr>
          <w:noProof/>
          <w:lang w:val="en-US" w:eastAsia="en-US"/>
        </w:rPr>
        <w:lastRenderedPageBreak/>
        <w:drawing>
          <wp:inline distT="0" distB="0" distL="0" distR="0" wp14:anchorId="514AC3AD" wp14:editId="3C41A46E">
            <wp:extent cx="3193748" cy="5172965"/>
            <wp:effectExtent l="19050" t="0" r="6652" b="0"/>
            <wp:docPr id="13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t xml:space="preserve">Tabla 4.7 – 16: </w:t>
      </w:r>
      <w:r w:rsidR="00B01A94" w:rsidRPr="007226D7">
        <w:t>Subidos y Bajados –HPM – 20</w:t>
      </w:r>
      <w:r w:rsidR="00637C4F" w:rsidRPr="007226D7">
        <w:t>3</w:t>
      </w:r>
      <w:r w:rsidR="00B01A94" w:rsidRPr="007226D7">
        <w:t xml:space="preserve">0 - ESC </w:t>
      </w:r>
      <w:r w:rsidR="00637C4F" w:rsidRPr="007226D7">
        <w:t>3</w:t>
      </w:r>
      <w:r w:rsidR="00B01A94" w:rsidRPr="007226D7">
        <w:t>.3</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3D4DEEF8" wp14:editId="71D58638">
            <wp:extent cx="3193748" cy="5172965"/>
            <wp:effectExtent l="19050" t="0" r="6652" b="0"/>
            <wp:docPr id="13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200C3A">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278B024A" wp14:editId="1AE39299">
            <wp:extent cx="8360228" cy="4904510"/>
            <wp:effectExtent l="0" t="0" r="0" b="0"/>
            <wp:docPr id="140" name="Gra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B01A94" w:rsidRPr="007226D7" w:rsidRDefault="00AB0B9C" w:rsidP="00AB0B9C">
      <w:pPr>
        <w:pStyle w:val="Figuras"/>
      </w:pPr>
      <w:r w:rsidRPr="007226D7">
        <w:t xml:space="preserve">Figura 4.7-13: Grafico de los Subidos y Bajados –HPM – 2030 - ESC 3.3 – sentido O-E </w:t>
      </w:r>
      <w:r w:rsidR="00B01A94" w:rsidRPr="007226D7">
        <w:br w:type="page"/>
      </w:r>
    </w:p>
    <w:p w:rsidR="00B01A94" w:rsidRPr="007226D7" w:rsidRDefault="00310DC6" w:rsidP="00B01A94">
      <w:pPr>
        <w:rPr>
          <w:lang w:val="es-ES"/>
        </w:rPr>
      </w:pPr>
      <w:r w:rsidRPr="007226D7">
        <w:rPr>
          <w:noProof/>
          <w:lang w:val="en-US" w:eastAsia="en-US"/>
        </w:rPr>
        <w:lastRenderedPageBreak/>
        <w:drawing>
          <wp:inline distT="0" distB="0" distL="0" distR="0" wp14:anchorId="277BB686" wp14:editId="5015FC55">
            <wp:extent cx="8360228" cy="4880759"/>
            <wp:effectExtent l="0" t="0" r="0" b="0"/>
            <wp:docPr id="141" name="Gra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01A94" w:rsidRPr="007226D7" w:rsidRDefault="00AB0B9C" w:rsidP="00AB0B9C">
      <w:pPr>
        <w:pStyle w:val="Figuras"/>
      </w:pPr>
      <w:r w:rsidRPr="007226D7">
        <w:t>Figura 4.7-14: Grafico de los Subidos y Bajados –HPM – 2030 - ESC 3.3 – sentido O-E</w:t>
      </w: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B01A94" w:rsidRPr="007226D7" w:rsidRDefault="00310DC6" w:rsidP="00B01A94">
      <w:pPr>
        <w:jc w:val="center"/>
        <w:rPr>
          <w:lang w:val="es-ES"/>
        </w:rPr>
      </w:pPr>
      <w:r w:rsidRPr="007226D7">
        <w:rPr>
          <w:noProof/>
          <w:lang w:val="en-US" w:eastAsia="en-US"/>
        </w:rPr>
        <w:lastRenderedPageBreak/>
        <w:drawing>
          <wp:inline distT="0" distB="0" distL="0" distR="0" wp14:anchorId="767E37EB" wp14:editId="633439EA">
            <wp:extent cx="3193748" cy="5172965"/>
            <wp:effectExtent l="19050" t="0" r="6652" b="0"/>
            <wp:docPr id="142"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t>Tabla 4.7 – 17</w:t>
      </w:r>
      <w:proofErr w:type="gramStart"/>
      <w:r w:rsidRPr="007226D7">
        <w:t>:</w:t>
      </w:r>
      <w:r w:rsidR="00B01A94" w:rsidRPr="007226D7">
        <w:t>Subidos</w:t>
      </w:r>
      <w:proofErr w:type="gramEnd"/>
      <w:r w:rsidR="00B01A94" w:rsidRPr="007226D7">
        <w:t xml:space="preserve"> y Bajados –H</w:t>
      </w:r>
      <w:r w:rsidR="00B0588F" w:rsidRPr="007226D7">
        <w:t>PT</w:t>
      </w:r>
      <w:r w:rsidR="00B01A94" w:rsidRPr="007226D7">
        <w:t xml:space="preserve"> – 20</w:t>
      </w:r>
      <w:r w:rsidR="00B0588F" w:rsidRPr="007226D7">
        <w:t>30 - ESC 3</w:t>
      </w:r>
      <w:r w:rsidR="00B01A94" w:rsidRPr="007226D7">
        <w:t>.3</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659EB679" wp14:editId="14CB3273">
            <wp:extent cx="3193748" cy="5172965"/>
            <wp:effectExtent l="19050" t="0" r="6652" b="0"/>
            <wp:docPr id="143"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337EAA">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525B2E3B" wp14:editId="0F098014">
            <wp:extent cx="8324602" cy="4928260"/>
            <wp:effectExtent l="0" t="0" r="0" b="0"/>
            <wp:docPr id="144" name="Gra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AB0B9C" w:rsidRPr="007226D7" w:rsidRDefault="00AB0B9C" w:rsidP="00AB0B9C">
      <w:pPr>
        <w:pStyle w:val="Figuras"/>
      </w:pPr>
      <w:r w:rsidRPr="007226D7">
        <w:t>Figura 4.7-15: Grafico de los Subidos y Bajados –HPT – 2030 - ESC 3.3 – sentido E-O</w:t>
      </w:r>
    </w:p>
    <w:p w:rsidR="00B01A94" w:rsidRPr="007226D7" w:rsidRDefault="00B01A94" w:rsidP="00B01A94">
      <w:pPr>
        <w:spacing w:after="0" w:line="240" w:lineRule="auto"/>
        <w:jc w:val="left"/>
        <w:rPr>
          <w:lang w:val="es-ES"/>
        </w:rPr>
      </w:pPr>
      <w:r w:rsidRPr="007226D7">
        <w:rPr>
          <w:lang w:val="es-ES"/>
        </w:rPr>
        <w:br w:type="page"/>
      </w:r>
    </w:p>
    <w:p w:rsidR="00B01A94" w:rsidRPr="007226D7" w:rsidRDefault="00310DC6" w:rsidP="00B01A94">
      <w:pPr>
        <w:rPr>
          <w:lang w:val="es-ES"/>
        </w:rPr>
      </w:pPr>
      <w:r w:rsidRPr="007226D7">
        <w:rPr>
          <w:noProof/>
          <w:lang w:val="en-US" w:eastAsia="en-US"/>
        </w:rPr>
        <w:lastRenderedPageBreak/>
        <w:drawing>
          <wp:inline distT="0" distB="0" distL="0" distR="0" wp14:anchorId="7A832F4B" wp14:editId="15BA3AA6">
            <wp:extent cx="8324602" cy="4928260"/>
            <wp:effectExtent l="0" t="0" r="0" b="0"/>
            <wp:docPr id="145" name="Gra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AB0B9C" w:rsidRPr="007226D7" w:rsidRDefault="00AB0B9C" w:rsidP="00AB0B9C">
      <w:pPr>
        <w:pStyle w:val="Figuras"/>
      </w:pPr>
      <w:r w:rsidRPr="007226D7">
        <w:t>Figura 4.7-16: Grafico de los Subidos y Bajados –HPT – 2030 - ESC 3.3 – sentido O-E</w:t>
      </w:r>
    </w:p>
    <w:p w:rsidR="00B01A94" w:rsidRPr="007226D7" w:rsidRDefault="00B01A94" w:rsidP="00B01A94">
      <w:pPr>
        <w:rPr>
          <w:lang w:val="es-ES"/>
        </w:rPr>
      </w:pP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B01A94" w:rsidRPr="007226D7" w:rsidRDefault="00310DC6" w:rsidP="00B01A94">
      <w:pPr>
        <w:jc w:val="center"/>
        <w:rPr>
          <w:lang w:val="es-ES"/>
        </w:rPr>
      </w:pPr>
      <w:r w:rsidRPr="007226D7">
        <w:rPr>
          <w:noProof/>
          <w:lang w:val="en-US" w:eastAsia="en-US"/>
        </w:rPr>
        <w:lastRenderedPageBreak/>
        <w:drawing>
          <wp:inline distT="0" distB="0" distL="0" distR="0" wp14:anchorId="2468A316" wp14:editId="5D453FFB">
            <wp:extent cx="3193748" cy="5172965"/>
            <wp:effectExtent l="19050" t="0" r="6652" b="0"/>
            <wp:docPr id="14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t>Tabla 4.7 – 18</w:t>
      </w:r>
      <w:proofErr w:type="gramStart"/>
      <w:r w:rsidRPr="007226D7">
        <w:t>:</w:t>
      </w:r>
      <w:r w:rsidR="00B01A94" w:rsidRPr="007226D7">
        <w:t>Subidos</w:t>
      </w:r>
      <w:proofErr w:type="gramEnd"/>
      <w:r w:rsidR="00B01A94" w:rsidRPr="007226D7">
        <w:t xml:space="preserve"> y Bajados –HV – 20</w:t>
      </w:r>
      <w:r w:rsidR="00DC271F" w:rsidRPr="007226D7">
        <w:t>3</w:t>
      </w:r>
      <w:r w:rsidR="00B01A94" w:rsidRPr="007226D7">
        <w:t xml:space="preserve">0 - ESC </w:t>
      </w:r>
      <w:r w:rsidR="00DC271F" w:rsidRPr="007226D7">
        <w:t>3</w:t>
      </w:r>
      <w:r w:rsidR="00B01A94" w:rsidRPr="007226D7">
        <w:t>.3</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44B47AD7" wp14:editId="5AD97135">
            <wp:extent cx="3193748" cy="5172965"/>
            <wp:effectExtent l="19050" t="0" r="6652" b="0"/>
            <wp:docPr id="147"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DF101C">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62D8D5B2" wp14:editId="338AE688">
            <wp:extent cx="8312727" cy="4916385"/>
            <wp:effectExtent l="0" t="0" r="0" b="0"/>
            <wp:docPr id="148" name="Gra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AB0B9C" w:rsidRPr="007226D7" w:rsidRDefault="00AB0B9C" w:rsidP="00AB0B9C">
      <w:pPr>
        <w:pStyle w:val="Figuras"/>
      </w:pPr>
      <w:r w:rsidRPr="007226D7">
        <w:t>Figura 4.7-17: Grafico de los Subidos y Bajados –HV – 2030 - ESC 3.3 – sentido E-O</w:t>
      </w:r>
    </w:p>
    <w:p w:rsidR="00B01A94" w:rsidRPr="007226D7" w:rsidRDefault="00B01A94" w:rsidP="00B01A94">
      <w:pPr>
        <w:spacing w:after="0" w:line="240" w:lineRule="auto"/>
        <w:jc w:val="left"/>
        <w:rPr>
          <w:lang w:val="es-ES"/>
        </w:rPr>
      </w:pPr>
      <w:r w:rsidRPr="007226D7">
        <w:rPr>
          <w:lang w:val="es-ES"/>
        </w:rPr>
        <w:br w:type="page"/>
      </w:r>
    </w:p>
    <w:p w:rsidR="00B01A94" w:rsidRPr="007226D7" w:rsidRDefault="00310DC6" w:rsidP="00B01A94">
      <w:pPr>
        <w:rPr>
          <w:lang w:val="es-ES"/>
        </w:rPr>
      </w:pPr>
      <w:r w:rsidRPr="007226D7">
        <w:rPr>
          <w:noProof/>
          <w:lang w:val="en-US" w:eastAsia="en-US"/>
        </w:rPr>
        <w:lastRenderedPageBreak/>
        <w:drawing>
          <wp:inline distT="0" distB="0" distL="0" distR="0" wp14:anchorId="72BAB337" wp14:editId="7F7A2D94">
            <wp:extent cx="8312727" cy="4928260"/>
            <wp:effectExtent l="0" t="0" r="0" b="0"/>
            <wp:docPr id="149" name="Gra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AB0B9C" w:rsidRPr="007226D7" w:rsidRDefault="00AB0B9C" w:rsidP="00AB0B9C">
      <w:pPr>
        <w:pStyle w:val="Figuras"/>
      </w:pPr>
      <w:r w:rsidRPr="007226D7">
        <w:t>Figura 4.7-18: Grafico de los Subidos y Bajados –HV – 2030 - ESC 3.3 – sentido O-E</w:t>
      </w:r>
    </w:p>
    <w:p w:rsidR="00B01A94" w:rsidRPr="007226D7" w:rsidRDefault="00B01A94" w:rsidP="00B01A94">
      <w:pPr>
        <w:rPr>
          <w:lang w:val="es-ES"/>
        </w:rPr>
      </w:pP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ED1F70" w:rsidRPr="007226D7" w:rsidRDefault="00B45CF6" w:rsidP="00ED1F70">
      <w:pPr>
        <w:pStyle w:val="Heading3"/>
        <w:rPr>
          <w:i/>
          <w:lang w:val="es-ES"/>
        </w:rPr>
      </w:pPr>
      <w:bookmarkStart w:id="156" w:name="_Ref346487161"/>
      <w:bookmarkStart w:id="157" w:name="_Toc346541946"/>
      <w:r w:rsidRPr="007226D7">
        <w:rPr>
          <w:lang w:val="es-ES"/>
        </w:rPr>
        <w:lastRenderedPageBreak/>
        <w:t>Escenario 3.</w:t>
      </w:r>
      <w:r w:rsidR="00ED1F70" w:rsidRPr="007226D7">
        <w:rPr>
          <w:lang w:val="es-ES"/>
        </w:rPr>
        <w:t>4</w:t>
      </w:r>
      <w:bookmarkEnd w:id="155"/>
      <w:r w:rsidRPr="007226D7">
        <w:rPr>
          <w:lang w:val="es-ES"/>
        </w:rPr>
        <w:t xml:space="preserve"> - </w:t>
      </w:r>
      <w:r w:rsidRPr="007226D7">
        <w:rPr>
          <w:i/>
          <w:lang w:val="es-ES"/>
        </w:rPr>
        <w:t>PROYECTO 2030 + LÍNEAS 3 Y 4 DEL TREN ELECTRICO</w:t>
      </w:r>
      <w:bookmarkEnd w:id="156"/>
      <w:bookmarkEnd w:id="157"/>
    </w:p>
    <w:p w:rsidR="00831B16" w:rsidRPr="007226D7" w:rsidRDefault="00ED1F70" w:rsidP="00831B16">
      <w:pPr>
        <w:rPr>
          <w:lang w:val="es-ES"/>
        </w:rPr>
      </w:pPr>
      <w:r w:rsidRPr="007226D7">
        <w:rPr>
          <w:lang w:val="es-ES"/>
        </w:rPr>
        <w:t>En el siguiente cuadro se presenta los resultados del modelo de demanda asignada para la situación con proyecto 2030 integrado con las líneas 3 y 4 de</w:t>
      </w:r>
      <w:r w:rsidR="000B2336" w:rsidRPr="007226D7">
        <w:rPr>
          <w:lang w:val="es-ES"/>
        </w:rPr>
        <w:t>l</w:t>
      </w:r>
      <w:r w:rsidRPr="007226D7">
        <w:rPr>
          <w:lang w:val="es-ES"/>
        </w:rPr>
        <w:t xml:space="preserve"> Metro de Lima:</w:t>
      </w:r>
    </w:p>
    <w:p w:rsidR="00FC103B" w:rsidRPr="007226D7" w:rsidRDefault="00FC103B" w:rsidP="00FC103B">
      <w:pPr>
        <w:pStyle w:val="Figuras"/>
      </w:pPr>
      <w:r w:rsidRPr="007226D7">
        <w:rPr>
          <w:noProof/>
        </w:rPr>
        <w:t>Tabla 4.7 – 19 (serie)</w:t>
      </w:r>
      <w:r w:rsidRPr="007226D7">
        <w:t xml:space="preserve">: resultados de modelación </w:t>
      </w:r>
      <w:r w:rsidR="000B2336" w:rsidRPr="007226D7">
        <w:t>escenario</w:t>
      </w:r>
      <w:r w:rsidRPr="007226D7">
        <w:t xml:space="preserve"> 3.4</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831B16" w:rsidRPr="007226D7" w:rsidTr="008B28D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B45CF6" w:rsidP="008B28D6">
            <w:pPr>
              <w:spacing w:after="0" w:line="240" w:lineRule="auto"/>
              <w:jc w:val="center"/>
              <w:rPr>
                <w:rFonts w:cs="Arial"/>
                <w:b/>
                <w:bCs/>
                <w:sz w:val="18"/>
                <w:szCs w:val="18"/>
              </w:rPr>
            </w:pPr>
            <w:r w:rsidRPr="007226D7">
              <w:rPr>
                <w:rFonts w:cs="Arial"/>
                <w:b/>
                <w:bCs/>
                <w:sz w:val="18"/>
                <w:szCs w:val="18"/>
              </w:rPr>
              <w:t>ESC 3.4</w:t>
            </w:r>
          </w:p>
        </w:tc>
      </w:tr>
      <w:tr w:rsidR="00831B16" w:rsidRPr="007226D7" w:rsidTr="008B28D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276,233</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153,012</w:t>
            </w:r>
          </w:p>
        </w:tc>
        <w:tc>
          <w:tcPr>
            <w:tcW w:w="1038"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130,275</w:t>
            </w:r>
          </w:p>
        </w:tc>
        <w:tc>
          <w:tcPr>
            <w:tcW w:w="1553"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2,552,061</w:t>
            </w:r>
          </w:p>
        </w:tc>
      </w:tr>
      <w:tr w:rsidR="00B45CF6" w:rsidRPr="007226D7" w:rsidTr="00B45CF6">
        <w:trPr>
          <w:trHeight w:val="240"/>
        </w:trPr>
        <w:tc>
          <w:tcPr>
            <w:tcW w:w="1119" w:type="dxa"/>
            <w:vMerge/>
            <w:tcBorders>
              <w:top w:val="nil"/>
              <w:left w:val="single" w:sz="4" w:space="0" w:color="auto"/>
              <w:bottom w:val="single" w:sz="4" w:space="0" w:color="auto"/>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114,620</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100,697</w:t>
            </w:r>
          </w:p>
        </w:tc>
        <w:tc>
          <w:tcPr>
            <w:tcW w:w="1038"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63,973</w:t>
            </w:r>
          </w:p>
        </w:tc>
        <w:tc>
          <w:tcPr>
            <w:tcW w:w="1553"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1,262,287</w:t>
            </w:r>
          </w:p>
        </w:tc>
      </w:tr>
      <w:tr w:rsidR="00B45CF6" w:rsidRPr="007226D7" w:rsidTr="00B45CF6">
        <w:trPr>
          <w:trHeight w:val="240"/>
        </w:trPr>
        <w:tc>
          <w:tcPr>
            <w:tcW w:w="1119" w:type="dxa"/>
            <w:vMerge/>
            <w:tcBorders>
              <w:top w:val="nil"/>
              <w:left w:val="single" w:sz="4" w:space="0" w:color="auto"/>
              <w:bottom w:val="single" w:sz="4" w:space="0" w:color="auto"/>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17,845</w:t>
            </w:r>
          </w:p>
        </w:tc>
        <w:tc>
          <w:tcPr>
            <w:tcW w:w="1265" w:type="dxa"/>
            <w:tcBorders>
              <w:top w:val="nil"/>
              <w:left w:val="nil"/>
              <w:bottom w:val="single" w:sz="4" w:space="0" w:color="auto"/>
              <w:right w:val="nil"/>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13,488</w:t>
            </w:r>
          </w:p>
        </w:tc>
        <w:tc>
          <w:tcPr>
            <w:tcW w:w="1038"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13,495</w:t>
            </w:r>
          </w:p>
        </w:tc>
        <w:tc>
          <w:tcPr>
            <w:tcW w:w="1553" w:type="dxa"/>
            <w:tcBorders>
              <w:top w:val="nil"/>
              <w:left w:val="nil"/>
              <w:bottom w:val="single" w:sz="4" w:space="0" w:color="auto"/>
              <w:right w:val="single" w:sz="4" w:space="0" w:color="auto"/>
            </w:tcBorders>
            <w:shd w:val="clear" w:color="171717" w:fill="DBE5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238,095</w:t>
            </w:r>
          </w:p>
        </w:tc>
      </w:tr>
      <w:tr w:rsidR="00B45CF6" w:rsidRPr="007226D7" w:rsidTr="00B45CF6">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1,778,188</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1,351,200</w:t>
            </w:r>
          </w:p>
        </w:tc>
        <w:tc>
          <w:tcPr>
            <w:tcW w:w="1038"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1,135,877</w:t>
            </w:r>
          </w:p>
        </w:tc>
        <w:tc>
          <w:tcPr>
            <w:tcW w:w="1553"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21,025,173</w:t>
            </w:r>
          </w:p>
        </w:tc>
      </w:tr>
      <w:tr w:rsidR="00B45CF6" w:rsidRPr="007226D7" w:rsidTr="00B45CF6">
        <w:trPr>
          <w:trHeight w:val="240"/>
        </w:trPr>
        <w:tc>
          <w:tcPr>
            <w:tcW w:w="1119" w:type="dxa"/>
            <w:vMerge/>
            <w:tcBorders>
              <w:top w:val="nil"/>
              <w:left w:val="single" w:sz="4" w:space="0" w:color="auto"/>
              <w:bottom w:val="single" w:sz="4" w:space="0" w:color="auto"/>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862,925</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918,467</w:t>
            </w:r>
          </w:p>
        </w:tc>
        <w:tc>
          <w:tcPr>
            <w:tcW w:w="1038"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474,890</w:t>
            </w:r>
          </w:p>
        </w:tc>
        <w:tc>
          <w:tcPr>
            <w:tcW w:w="1553"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9,736,350</w:t>
            </w:r>
          </w:p>
        </w:tc>
      </w:tr>
      <w:tr w:rsidR="00B45CF6" w:rsidRPr="007226D7" w:rsidTr="00B45CF6">
        <w:trPr>
          <w:trHeight w:val="240"/>
        </w:trPr>
        <w:tc>
          <w:tcPr>
            <w:tcW w:w="1119" w:type="dxa"/>
            <w:vMerge/>
            <w:tcBorders>
              <w:top w:val="nil"/>
              <w:left w:val="single" w:sz="4" w:space="0" w:color="auto"/>
              <w:bottom w:val="single" w:sz="4" w:space="0" w:color="auto"/>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373,407</w:t>
            </w:r>
          </w:p>
        </w:tc>
        <w:tc>
          <w:tcPr>
            <w:tcW w:w="1265" w:type="dxa"/>
            <w:tcBorders>
              <w:top w:val="nil"/>
              <w:left w:val="nil"/>
              <w:bottom w:val="single" w:sz="4" w:space="0" w:color="auto"/>
              <w:right w:val="nil"/>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323,669</w:t>
            </w:r>
          </w:p>
        </w:tc>
        <w:tc>
          <w:tcPr>
            <w:tcW w:w="1038"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324,249</w:t>
            </w:r>
          </w:p>
        </w:tc>
        <w:tc>
          <w:tcPr>
            <w:tcW w:w="1553" w:type="dxa"/>
            <w:tcBorders>
              <w:top w:val="nil"/>
              <w:left w:val="nil"/>
              <w:bottom w:val="single" w:sz="4" w:space="0" w:color="auto"/>
              <w:right w:val="single" w:sz="4" w:space="0" w:color="auto"/>
            </w:tcBorders>
            <w:shd w:val="clear" w:color="171717" w:fill="C5D9F1"/>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5,609,393</w:t>
            </w:r>
          </w:p>
        </w:tc>
      </w:tr>
      <w:tr w:rsidR="00B45CF6" w:rsidRPr="007226D7" w:rsidTr="00B45CF6">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107,135</w:t>
            </w:r>
          </w:p>
        </w:tc>
        <w:tc>
          <w:tcPr>
            <w:tcW w:w="1265" w:type="dxa"/>
            <w:tcBorders>
              <w:top w:val="nil"/>
              <w:left w:val="nil"/>
              <w:bottom w:val="single" w:sz="4"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64,467</w:t>
            </w:r>
          </w:p>
        </w:tc>
        <w:tc>
          <w:tcPr>
            <w:tcW w:w="1038"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45,557</w:t>
            </w:r>
          </w:p>
        </w:tc>
        <w:tc>
          <w:tcPr>
            <w:tcW w:w="1553"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935,452</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48,967</w:t>
            </w:r>
          </w:p>
        </w:tc>
        <w:tc>
          <w:tcPr>
            <w:tcW w:w="1265" w:type="dxa"/>
            <w:tcBorders>
              <w:top w:val="nil"/>
              <w:left w:val="nil"/>
              <w:bottom w:val="single" w:sz="4"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41,520</w:t>
            </w:r>
          </w:p>
        </w:tc>
        <w:tc>
          <w:tcPr>
            <w:tcW w:w="1038"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18,785</w:t>
            </w:r>
          </w:p>
        </w:tc>
        <w:tc>
          <w:tcPr>
            <w:tcW w:w="1553" w:type="dxa"/>
            <w:tcBorders>
              <w:top w:val="nil"/>
              <w:left w:val="nil"/>
              <w:bottom w:val="single" w:sz="4"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425,184</w:t>
            </w:r>
          </w:p>
        </w:tc>
      </w:tr>
      <w:tr w:rsidR="00B45CF6" w:rsidRPr="007226D7" w:rsidTr="00B45CF6">
        <w:trPr>
          <w:trHeight w:val="255"/>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12,704</w:t>
            </w:r>
          </w:p>
        </w:tc>
        <w:tc>
          <w:tcPr>
            <w:tcW w:w="1265" w:type="dxa"/>
            <w:tcBorders>
              <w:top w:val="nil"/>
              <w:left w:val="nil"/>
              <w:bottom w:val="single" w:sz="8" w:space="0" w:color="auto"/>
              <w:right w:val="nil"/>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11,135</w:t>
            </w:r>
          </w:p>
        </w:tc>
        <w:tc>
          <w:tcPr>
            <w:tcW w:w="1038" w:type="dxa"/>
            <w:tcBorders>
              <w:top w:val="nil"/>
              <w:left w:val="nil"/>
              <w:bottom w:val="single" w:sz="8"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9,079</w:t>
            </w:r>
          </w:p>
        </w:tc>
        <w:tc>
          <w:tcPr>
            <w:tcW w:w="1553" w:type="dxa"/>
            <w:tcBorders>
              <w:top w:val="nil"/>
              <w:left w:val="nil"/>
              <w:bottom w:val="single" w:sz="8" w:space="0" w:color="auto"/>
              <w:right w:val="single" w:sz="4" w:space="0" w:color="auto"/>
            </w:tcBorders>
            <w:shd w:val="clear" w:color="171717" w:fill="95B3D7"/>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165,710</w:t>
            </w:r>
          </w:p>
        </w:tc>
      </w:tr>
    </w:tbl>
    <w:p w:rsidR="00831B16" w:rsidRPr="007226D7" w:rsidRDefault="00831B16" w:rsidP="00831B16">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831B16" w:rsidRPr="007226D7" w:rsidTr="00B45CF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B45CF6" w:rsidP="008B28D6">
            <w:pPr>
              <w:spacing w:after="0" w:line="240" w:lineRule="auto"/>
              <w:jc w:val="center"/>
              <w:rPr>
                <w:rFonts w:cs="Arial"/>
                <w:b/>
                <w:bCs/>
                <w:sz w:val="18"/>
                <w:szCs w:val="18"/>
              </w:rPr>
            </w:pPr>
            <w:r w:rsidRPr="007226D7">
              <w:rPr>
                <w:rFonts w:cs="Arial"/>
                <w:b/>
                <w:bCs/>
                <w:sz w:val="18"/>
                <w:szCs w:val="18"/>
              </w:rPr>
              <w:t>ESC 3.4</w:t>
            </w:r>
          </w:p>
        </w:tc>
      </w:tr>
      <w:tr w:rsidR="00831B16" w:rsidRPr="007226D7" w:rsidTr="00B45CF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FC103B">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1,300,888</w:t>
            </w:r>
          </w:p>
        </w:tc>
        <w:tc>
          <w:tcPr>
            <w:tcW w:w="1088" w:type="dxa"/>
            <w:tcBorders>
              <w:top w:val="nil"/>
              <w:left w:val="nil"/>
              <w:bottom w:val="single" w:sz="4" w:space="0" w:color="auto"/>
              <w:right w:val="nil"/>
            </w:tcBorders>
            <w:shd w:val="clear" w:color="171717" w:fill="D7E4BC"/>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887,596</w:t>
            </w:r>
          </w:p>
        </w:tc>
        <w:tc>
          <w:tcPr>
            <w:tcW w:w="1088" w:type="dxa"/>
            <w:tcBorders>
              <w:top w:val="nil"/>
              <w:left w:val="nil"/>
              <w:bottom w:val="single" w:sz="4" w:space="0" w:color="auto"/>
              <w:right w:val="single" w:sz="4" w:space="0" w:color="auto"/>
            </w:tcBorders>
            <w:shd w:val="clear" w:color="171717" w:fill="D7E4BC"/>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655,785</w:t>
            </w:r>
          </w:p>
        </w:tc>
        <w:tc>
          <w:tcPr>
            <w:tcW w:w="1625" w:type="dxa"/>
            <w:tcBorders>
              <w:top w:val="nil"/>
              <w:left w:val="nil"/>
              <w:bottom w:val="single" w:sz="4" w:space="0" w:color="auto"/>
              <w:right w:val="single" w:sz="4" w:space="0" w:color="auto"/>
            </w:tcBorders>
            <w:shd w:val="clear" w:color="171717" w:fill="D7E4BC"/>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12,902,168</w:t>
            </w:r>
          </w:p>
        </w:tc>
      </w:tr>
      <w:tr w:rsidR="00B45CF6" w:rsidRPr="007226D7" w:rsidTr="00B45CF6">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42,753</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726,806</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17,332</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294,640</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20,050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340,851</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6,956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118,245</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4,674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79,451</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6,128</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104,174</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9,435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160,391</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14,603</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248,258</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3,373</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57,333</w:t>
            </w:r>
          </w:p>
        </w:tc>
      </w:tr>
      <w:tr w:rsidR="00B45CF6" w:rsidRPr="007226D7" w:rsidTr="00B45CF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10,425</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177,226</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1,328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1,328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13,941</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1,065</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532</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11,180</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1,241</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1,241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621</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13,036</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1,177</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1,177</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589</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12,362</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44,252</w:t>
            </w:r>
          </w:p>
        </w:tc>
      </w:tr>
      <w:tr w:rsidR="00B45CF6" w:rsidRPr="007226D7" w:rsidTr="00B45CF6">
        <w:trPr>
          <w:trHeight w:val="240"/>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53,868</w:t>
            </w:r>
          </w:p>
        </w:tc>
      </w:tr>
      <w:tr w:rsidR="00B45CF6" w:rsidRPr="007226D7" w:rsidTr="00B45CF6">
        <w:trPr>
          <w:trHeight w:val="499"/>
        </w:trPr>
        <w:tc>
          <w:tcPr>
            <w:tcW w:w="1119" w:type="dxa"/>
            <w:vMerge/>
            <w:tcBorders>
              <w:top w:val="nil"/>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149,715</w:t>
            </w:r>
          </w:p>
        </w:tc>
        <w:tc>
          <w:tcPr>
            <w:tcW w:w="1088" w:type="dxa"/>
            <w:tcBorders>
              <w:top w:val="nil"/>
              <w:left w:val="nil"/>
              <w:bottom w:val="single" w:sz="8" w:space="0" w:color="auto"/>
              <w:right w:val="nil"/>
            </w:tcBorders>
            <w:shd w:val="clear" w:color="171717" w:fill="92D05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148,266</w:t>
            </w:r>
          </w:p>
        </w:tc>
        <w:tc>
          <w:tcPr>
            <w:tcW w:w="1088" w:type="dxa"/>
            <w:tcBorders>
              <w:top w:val="nil"/>
              <w:left w:val="nil"/>
              <w:bottom w:val="single" w:sz="8" w:space="0" w:color="auto"/>
              <w:right w:val="single" w:sz="4" w:space="0" w:color="auto"/>
            </w:tcBorders>
            <w:shd w:val="clear" w:color="171717" w:fill="92D05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143,081</w:t>
            </w:r>
          </w:p>
        </w:tc>
        <w:tc>
          <w:tcPr>
            <w:tcW w:w="1625" w:type="dxa"/>
            <w:tcBorders>
              <w:top w:val="nil"/>
              <w:left w:val="nil"/>
              <w:bottom w:val="single" w:sz="8" w:space="0" w:color="auto"/>
              <w:right w:val="single" w:sz="4" w:space="0" w:color="auto"/>
            </w:tcBorders>
            <w:shd w:val="clear" w:color="171717" w:fill="92D05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2,456,012</w:t>
            </w:r>
          </w:p>
        </w:tc>
      </w:tr>
      <w:tr w:rsidR="00831B16" w:rsidRPr="007226D7" w:rsidTr="00B45CF6">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B45CF6" w:rsidRPr="007226D7">
              <w:rPr>
                <w:rFonts w:cs="Arial"/>
                <w:b/>
                <w:bCs/>
                <w:sz w:val="18"/>
                <w:szCs w:val="18"/>
              </w:rPr>
              <w:t>3.4</w:t>
            </w:r>
          </w:p>
        </w:tc>
      </w:tr>
      <w:tr w:rsidR="00831B16" w:rsidRPr="007226D7" w:rsidTr="00B45CF6">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817,602</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598,670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447,894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8,655,166</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157,894</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96,598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74,392</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1,476,080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101,248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71,422</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59,058</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1,113,095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40,950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21,103</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16,177</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334,407</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57,480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35,414</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26,724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533,206</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77,365</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65,489</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41,611</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826,651</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49,927</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50,726</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35,769</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666,303</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123,952</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91,282</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71,226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1,356,406</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54,059</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35,336</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27,069</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530,690</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103,676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89,852</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69,006</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1,284,140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92,086</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76,308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45,014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921,970</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111,328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92,548</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57,674</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1,157,515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85,873</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78,599</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50,578</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986,458</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48,968</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34,651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24,932</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491,356</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58,279</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45,031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31,688</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618,565</w:t>
            </w:r>
          </w:p>
        </w:tc>
      </w:tr>
      <w:tr w:rsidR="00B45CF6" w:rsidRPr="007226D7" w:rsidTr="00B45CF6">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81,912</w:t>
            </w:r>
          </w:p>
        </w:tc>
        <w:tc>
          <w:tcPr>
            <w:tcW w:w="1088"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66,271</w:t>
            </w:r>
          </w:p>
        </w:tc>
        <w:tc>
          <w:tcPr>
            <w:tcW w:w="1088"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43,132</w:t>
            </w:r>
          </w:p>
        </w:tc>
        <w:tc>
          <w:tcPr>
            <w:tcW w:w="162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857,082</w:t>
            </w:r>
          </w:p>
        </w:tc>
      </w:tr>
      <w:tr w:rsidR="00B45CF6" w:rsidRPr="007226D7" w:rsidTr="00B45CF6">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2,062,601</w:t>
            </w:r>
          </w:p>
        </w:tc>
        <w:tc>
          <w:tcPr>
            <w:tcW w:w="1088" w:type="dxa"/>
            <w:tcBorders>
              <w:top w:val="nil"/>
              <w:left w:val="nil"/>
              <w:bottom w:val="single" w:sz="8" w:space="0" w:color="auto"/>
              <w:right w:val="nil"/>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1,549,300</w:t>
            </w:r>
          </w:p>
        </w:tc>
        <w:tc>
          <w:tcPr>
            <w:tcW w:w="1088"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1,121,945</w:t>
            </w:r>
          </w:p>
        </w:tc>
        <w:tc>
          <w:tcPr>
            <w:tcW w:w="1625" w:type="dxa"/>
            <w:tcBorders>
              <w:top w:val="nil"/>
              <w:left w:val="nil"/>
              <w:bottom w:val="single" w:sz="8" w:space="0" w:color="auto"/>
              <w:right w:val="single" w:sz="4" w:space="0" w:color="auto"/>
            </w:tcBorders>
            <w:shd w:val="clear" w:color="171717" w:fill="75923C"/>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21,809,088</w:t>
            </w:r>
          </w:p>
        </w:tc>
      </w:tr>
    </w:tbl>
    <w:p w:rsidR="00831B16" w:rsidRPr="007226D7" w:rsidRDefault="00831B16" w:rsidP="00831B16">
      <w:pPr>
        <w:spacing w:before="120"/>
        <w:rPr>
          <w:lang w:val="es-ES"/>
        </w:rPr>
      </w:pPr>
      <w:r w:rsidRPr="007226D7">
        <w:rPr>
          <w:lang w:val="es-ES"/>
        </w:rPr>
        <w:t>*n</w:t>
      </w:r>
      <w:r w:rsidR="000B2336" w:rsidRPr="007226D7">
        <w:rPr>
          <w:lang w:val="es-ES"/>
        </w:rPr>
        <w:t>ú</w:t>
      </w:r>
      <w:r w:rsidRPr="007226D7">
        <w:rPr>
          <w:lang w:val="es-ES"/>
        </w:rPr>
        <w:t>mero total de segmentos de viaje realizado por todos los viajeros</w:t>
      </w:r>
    </w:p>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B45CF6" w:rsidRPr="007226D7">
              <w:rPr>
                <w:rFonts w:cs="Arial"/>
                <w:b/>
                <w:bCs/>
                <w:sz w:val="18"/>
                <w:szCs w:val="18"/>
              </w:rPr>
              <w:t>3.4</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C0C0C0"/>
                <w:sz w:val="18"/>
                <w:szCs w:val="18"/>
              </w:rPr>
            </w:pPr>
            <w:r w:rsidRPr="007226D7">
              <w:rPr>
                <w:rFonts w:cs="Arial"/>
                <w:b/>
                <w:bCs/>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3,038,615</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2,329,589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1,854,941</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34,850,641</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1,473,221</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858,809</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601,872</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12,488,395</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1,116,774</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826,455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699,942</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12,985,704</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343,946</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166,978</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131,189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2,727,305</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213,097</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138,855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109,169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2,123,101</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232,785</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196,863</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120,099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2,420,583</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378,327</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401,248</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286,204</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5,279,801</w:t>
            </w:r>
          </w:p>
        </w:tc>
      </w:tr>
      <w:tr w:rsidR="00B45CF6" w:rsidRPr="007226D7" w:rsidTr="00B45CF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800,207</w:t>
            </w:r>
          </w:p>
        </w:tc>
        <w:tc>
          <w:tcPr>
            <w:tcW w:w="1175" w:type="dxa"/>
            <w:tcBorders>
              <w:top w:val="single" w:sz="4" w:space="0" w:color="auto"/>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593,026</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489,166</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9,145,624</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C0C0C0"/>
                <w:sz w:val="18"/>
                <w:szCs w:val="18"/>
              </w:rPr>
            </w:pPr>
            <w:r w:rsidRPr="007226D7">
              <w:rPr>
                <w:rFonts w:cs="Arial"/>
                <w:color w:val="C0C0C0"/>
                <w:sz w:val="18"/>
                <w:szCs w:val="18"/>
              </w:rPr>
              <w:t>0</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 -</w:t>
            </w:r>
            <w:proofErr w:type="gramStart"/>
            <w:r w:rsidRPr="007226D7">
              <w:rPr>
                <w:rFonts w:cs="Arial"/>
                <w:b/>
                <w:bCs/>
                <w:sz w:val="18"/>
                <w:szCs w:val="18"/>
              </w:rPr>
              <w:t xml:space="preserve">  </w:t>
            </w:r>
            <w:proofErr w:type="gramEnd"/>
            <w:r w:rsidRPr="007226D7">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110,403</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71,348</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53,637</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1,060,783</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421,978</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405,650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339,660</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6,070,836</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1,198,150</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1,053,802</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611,619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12,454,950</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855,256</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764,610</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492,294</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9,639,553</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794,073</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797,496</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534,919</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10,137,085</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466,143</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347,885</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271,273</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5,154,605</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564,715</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465,353</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313,385</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6,134,142</w:t>
            </w:r>
          </w:p>
        </w:tc>
      </w:tr>
      <w:tr w:rsidR="00B45CF6" w:rsidRPr="007226D7" w:rsidTr="00B45CF6">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438,376</w:t>
            </w:r>
          </w:p>
        </w:tc>
        <w:tc>
          <w:tcPr>
            <w:tcW w:w="1175" w:type="dxa"/>
            <w:tcBorders>
              <w:top w:val="nil"/>
              <w:left w:val="nil"/>
              <w:bottom w:val="single" w:sz="4" w:space="0" w:color="auto"/>
              <w:right w:val="nil"/>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341,887</w:t>
            </w:r>
          </w:p>
        </w:tc>
        <w:tc>
          <w:tcPr>
            <w:tcW w:w="1175"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color w:val="000000"/>
                <w:sz w:val="18"/>
                <w:szCs w:val="18"/>
              </w:rPr>
            </w:pPr>
            <w:r w:rsidRPr="007226D7">
              <w:rPr>
                <w:rFonts w:cs="Arial"/>
                <w:color w:val="000000"/>
                <w:sz w:val="18"/>
                <w:szCs w:val="18"/>
              </w:rPr>
              <w:t>549,142</w:t>
            </w:r>
          </w:p>
        </w:tc>
        <w:tc>
          <w:tcPr>
            <w:tcW w:w="1454" w:type="dxa"/>
            <w:tcBorders>
              <w:top w:val="nil"/>
              <w:left w:val="nil"/>
              <w:bottom w:val="single" w:sz="4" w:space="0" w:color="auto"/>
              <w:right w:val="single" w:sz="4" w:space="0" w:color="auto"/>
            </w:tcBorders>
            <w:shd w:val="clear" w:color="171717" w:fill="FFFFFF"/>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8,699,372</w:t>
            </w:r>
          </w:p>
        </w:tc>
      </w:tr>
      <w:tr w:rsidR="00B45CF6" w:rsidRPr="007226D7" w:rsidTr="00B45CF6">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45CF6" w:rsidRPr="007226D7" w:rsidRDefault="00B45CF6" w:rsidP="008B28D6">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8B28D6">
            <w:pPr>
              <w:spacing w:after="0" w:line="240" w:lineRule="auto"/>
              <w:jc w:val="left"/>
              <w:rPr>
                <w:rFonts w:cs="Arial"/>
                <w:b/>
                <w:bCs/>
                <w:color w:val="FFFFFF"/>
                <w:sz w:val="18"/>
                <w:szCs w:val="18"/>
              </w:rPr>
            </w:pPr>
            <w:r w:rsidRPr="007226D7">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12,446,066</w:t>
            </w:r>
          </w:p>
        </w:tc>
        <w:tc>
          <w:tcPr>
            <w:tcW w:w="1175" w:type="dxa"/>
            <w:tcBorders>
              <w:top w:val="nil"/>
              <w:left w:val="nil"/>
              <w:bottom w:val="single" w:sz="8" w:space="0" w:color="auto"/>
              <w:right w:val="nil"/>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9,759,852</w:t>
            </w:r>
          </w:p>
        </w:tc>
        <w:tc>
          <w:tcPr>
            <w:tcW w:w="1175"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7,458,511</w:t>
            </w:r>
          </w:p>
        </w:tc>
        <w:tc>
          <w:tcPr>
            <w:tcW w:w="1454" w:type="dxa"/>
            <w:tcBorders>
              <w:top w:val="nil"/>
              <w:left w:val="nil"/>
              <w:bottom w:val="single" w:sz="8" w:space="0" w:color="auto"/>
              <w:right w:val="single" w:sz="4" w:space="0" w:color="auto"/>
            </w:tcBorders>
            <w:shd w:val="clear" w:color="171717" w:fill="4F6228"/>
            <w:noWrap/>
            <w:vAlign w:val="center"/>
            <w:hideMark/>
          </w:tcPr>
          <w:p w:rsidR="00B45CF6" w:rsidRPr="007226D7" w:rsidRDefault="00B45CF6" w:rsidP="00B45CF6">
            <w:pPr>
              <w:autoSpaceDE w:val="0"/>
              <w:autoSpaceDN w:val="0"/>
              <w:adjustRightInd w:val="0"/>
              <w:spacing w:after="0" w:line="240" w:lineRule="auto"/>
              <w:jc w:val="right"/>
              <w:rPr>
                <w:rFonts w:cs="Arial"/>
                <w:b/>
                <w:bCs/>
                <w:color w:val="FFFFFF"/>
                <w:sz w:val="18"/>
                <w:szCs w:val="18"/>
              </w:rPr>
            </w:pPr>
            <w:r w:rsidRPr="007226D7">
              <w:rPr>
                <w:rFonts w:cs="Arial"/>
                <w:b/>
                <w:bCs/>
                <w:color w:val="FFFFFF"/>
                <w:sz w:val="18"/>
                <w:szCs w:val="18"/>
              </w:rPr>
              <w:t>141,372,479</w:t>
            </w:r>
          </w:p>
        </w:tc>
      </w:tr>
    </w:tbl>
    <w:p w:rsidR="00831B16" w:rsidRPr="007226D7" w:rsidRDefault="00831B16" w:rsidP="00831B16">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831B16" w:rsidRPr="007226D7" w:rsidTr="008B28D6">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831B16" w:rsidRPr="007226D7" w:rsidRDefault="00831B16" w:rsidP="008B28D6">
            <w:pPr>
              <w:spacing w:after="0" w:line="240" w:lineRule="auto"/>
              <w:jc w:val="left"/>
              <w:rPr>
                <w:rFonts w:cs="Arial"/>
                <w:b/>
                <w:bCs/>
                <w:sz w:val="18"/>
                <w:szCs w:val="18"/>
              </w:rPr>
            </w:pPr>
            <w:r w:rsidRPr="007226D7">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 xml:space="preserve">ESC </w:t>
            </w:r>
            <w:r w:rsidR="00B45CF6" w:rsidRPr="007226D7">
              <w:rPr>
                <w:rFonts w:cs="Arial"/>
                <w:b/>
                <w:bCs/>
                <w:sz w:val="18"/>
                <w:szCs w:val="18"/>
              </w:rPr>
              <w:t>3.4</w:t>
            </w:r>
          </w:p>
        </w:tc>
      </w:tr>
      <w:tr w:rsidR="00831B16" w:rsidRPr="007226D7" w:rsidTr="008B28D6">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831B16" w:rsidRPr="007226D7" w:rsidRDefault="00831B16" w:rsidP="008B28D6">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831B16" w:rsidRPr="007226D7" w:rsidRDefault="00831B16" w:rsidP="008B28D6">
            <w:pPr>
              <w:spacing w:after="0" w:line="240" w:lineRule="auto"/>
              <w:jc w:val="center"/>
              <w:rPr>
                <w:rFonts w:cs="Arial"/>
                <w:b/>
                <w:bCs/>
                <w:sz w:val="18"/>
                <w:szCs w:val="18"/>
              </w:rPr>
            </w:pPr>
            <w:r w:rsidRPr="007226D7">
              <w:rPr>
                <w:rFonts w:cs="Arial"/>
                <w:b/>
                <w:bCs/>
                <w:sz w:val="18"/>
                <w:szCs w:val="18"/>
              </w:rPr>
              <w:t>Total Dìario</w:t>
            </w:r>
          </w:p>
        </w:tc>
      </w:tr>
      <w:tr w:rsidR="00B45CF6" w:rsidRPr="007226D7" w:rsidTr="00B45CF6">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36,845,017</w:t>
            </w:r>
          </w:p>
        </w:tc>
        <w:tc>
          <w:tcPr>
            <w:tcW w:w="1247" w:type="dxa"/>
            <w:tcBorders>
              <w:top w:val="single" w:sz="4" w:space="0" w:color="auto"/>
              <w:left w:val="nil"/>
              <w:bottom w:val="single" w:sz="4" w:space="0" w:color="auto"/>
              <w:right w:val="nil"/>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35,946,425</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34,581,705</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595,145,043</w:t>
            </w:r>
          </w:p>
        </w:tc>
      </w:tr>
      <w:tr w:rsidR="00B45CF6" w:rsidRPr="007226D7" w:rsidTr="00B45CF6">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8B28D6">
            <w:pPr>
              <w:spacing w:after="0" w:line="240" w:lineRule="auto"/>
              <w:jc w:val="left"/>
              <w:rPr>
                <w:rFonts w:cs="Arial"/>
                <w:sz w:val="18"/>
                <w:szCs w:val="18"/>
              </w:rPr>
            </w:pPr>
            <w:r w:rsidRPr="007226D7">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58.55%</w:t>
            </w:r>
          </w:p>
        </w:tc>
        <w:tc>
          <w:tcPr>
            <w:tcW w:w="1247" w:type="dxa"/>
            <w:tcBorders>
              <w:top w:val="nil"/>
              <w:left w:val="nil"/>
              <w:bottom w:val="single" w:sz="4" w:space="0" w:color="auto"/>
              <w:right w:val="nil"/>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74.55%</w:t>
            </w:r>
          </w:p>
        </w:tc>
        <w:tc>
          <w:tcPr>
            <w:tcW w:w="1247"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71.08%</w:t>
            </w:r>
          </w:p>
        </w:tc>
        <w:tc>
          <w:tcPr>
            <w:tcW w:w="1379" w:type="dxa"/>
            <w:tcBorders>
              <w:top w:val="nil"/>
              <w:left w:val="nil"/>
              <w:bottom w:val="single" w:sz="4" w:space="0" w:color="auto"/>
              <w:right w:val="single" w:sz="4" w:space="0" w:color="auto"/>
            </w:tcBorders>
            <w:shd w:val="clear" w:color="171717" w:fill="FFFF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r w:rsidR="00B45CF6" w:rsidRPr="007226D7" w:rsidTr="00B45CF6">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8B28D6">
            <w:pPr>
              <w:spacing w:after="0" w:line="240" w:lineRule="auto"/>
              <w:jc w:val="left"/>
              <w:rPr>
                <w:rFonts w:cs="Arial"/>
                <w:b/>
                <w:bCs/>
                <w:sz w:val="18"/>
                <w:szCs w:val="18"/>
              </w:rPr>
            </w:pPr>
            <w:r w:rsidRPr="007226D7">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39.99</w:t>
            </w:r>
          </w:p>
        </w:tc>
        <w:tc>
          <w:tcPr>
            <w:tcW w:w="1247" w:type="dxa"/>
            <w:tcBorders>
              <w:top w:val="nil"/>
              <w:left w:val="nil"/>
              <w:bottom w:val="single" w:sz="4" w:space="0" w:color="auto"/>
              <w:right w:val="nil"/>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42.70</w:t>
            </w:r>
          </w:p>
        </w:tc>
        <w:tc>
          <w:tcPr>
            <w:tcW w:w="1247"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39.60</w:t>
            </w:r>
          </w:p>
        </w:tc>
        <w:tc>
          <w:tcPr>
            <w:tcW w:w="1379" w:type="dxa"/>
            <w:tcBorders>
              <w:top w:val="nil"/>
              <w:left w:val="nil"/>
              <w:bottom w:val="single" w:sz="4" w:space="0" w:color="auto"/>
              <w:right w:val="single" w:sz="4" w:space="0" w:color="auto"/>
            </w:tcBorders>
            <w:shd w:val="clear" w:color="171717" w:fill="FFC000"/>
            <w:noWrap/>
            <w:vAlign w:val="center"/>
            <w:hideMark/>
          </w:tcPr>
          <w:p w:rsidR="00B45CF6" w:rsidRPr="007226D7" w:rsidRDefault="00B45CF6" w:rsidP="00B45CF6">
            <w:pPr>
              <w:autoSpaceDE w:val="0"/>
              <w:autoSpaceDN w:val="0"/>
              <w:adjustRightInd w:val="0"/>
              <w:spacing w:after="0" w:line="240" w:lineRule="auto"/>
              <w:jc w:val="right"/>
              <w:rPr>
                <w:rFonts w:cs="Arial"/>
                <w:b/>
                <w:bCs/>
                <w:color w:val="000000"/>
                <w:sz w:val="18"/>
                <w:szCs w:val="18"/>
              </w:rPr>
            </w:pPr>
            <w:r w:rsidRPr="007226D7">
              <w:rPr>
                <w:rFonts w:cs="Arial"/>
                <w:b/>
                <w:bCs/>
                <w:color w:val="000000"/>
                <w:sz w:val="18"/>
                <w:szCs w:val="18"/>
              </w:rPr>
              <w:t>-</w:t>
            </w:r>
          </w:p>
        </w:tc>
      </w:tr>
    </w:tbl>
    <w:p w:rsidR="00831B16" w:rsidRPr="007226D7" w:rsidRDefault="00831B16" w:rsidP="00831B16">
      <w:pPr>
        <w:rPr>
          <w:lang w:val="es-ES"/>
        </w:rPr>
      </w:pPr>
      <w:r w:rsidRPr="007226D7">
        <w:rPr>
          <w:lang w:val="es-ES"/>
        </w:rPr>
        <w:t>**incluye sólo el tiempo real de viaje y no considere el tiempo de parada.</w:t>
      </w:r>
    </w:p>
    <w:p w:rsidR="00ED1F70" w:rsidRPr="007226D7" w:rsidRDefault="00ED1F70" w:rsidP="00ED1F70">
      <w:pPr>
        <w:rPr>
          <w:lang w:val="es-ES"/>
        </w:rPr>
      </w:pPr>
    </w:p>
    <w:p w:rsidR="00ED1F70" w:rsidRPr="007226D7" w:rsidRDefault="00ED1F70" w:rsidP="00ED1F70">
      <w:pPr>
        <w:rPr>
          <w:lang w:val="es-ES"/>
        </w:rPr>
      </w:pPr>
    </w:p>
    <w:p w:rsidR="00ED1F70" w:rsidRPr="007226D7" w:rsidRDefault="00ED1F70" w:rsidP="00ED1F70">
      <w:pPr>
        <w:rPr>
          <w:lang w:val="es-ES"/>
        </w:rPr>
      </w:pPr>
    </w:p>
    <w:p w:rsidR="00ED1F70" w:rsidRPr="007226D7" w:rsidRDefault="00ED1F70" w:rsidP="00ED1F70">
      <w:pPr>
        <w:rPr>
          <w:lang w:val="es-ES"/>
        </w:rPr>
      </w:pPr>
    </w:p>
    <w:p w:rsidR="00ED1F70" w:rsidRPr="007226D7" w:rsidRDefault="00ED1F70" w:rsidP="00ED1F70">
      <w:pPr>
        <w:rPr>
          <w:lang w:val="es-ES"/>
        </w:rPr>
      </w:pPr>
    </w:p>
    <w:p w:rsidR="00B01A94" w:rsidRPr="007226D7" w:rsidRDefault="008C40DF" w:rsidP="00B01A94">
      <w:pPr>
        <w:spacing w:after="0" w:line="240" w:lineRule="auto"/>
        <w:jc w:val="left"/>
        <w:rPr>
          <w:lang w:val="es-ES"/>
        </w:rPr>
      </w:pPr>
      <w:bookmarkStart w:id="158" w:name="_Toc334040081"/>
      <w:bookmarkStart w:id="159" w:name="_Toc342751294"/>
      <w:bookmarkEnd w:id="130"/>
      <w:bookmarkEnd w:id="131"/>
      <w:r w:rsidRPr="007226D7">
        <w:rPr>
          <w:lang w:val="es-ES"/>
        </w:rPr>
        <w:t>A continuación se muestran los datos de demanda, subidas y bajadas de la Línea 2 del metro de Lima.</w:t>
      </w:r>
    </w:p>
    <w:p w:rsidR="00B01A94" w:rsidRPr="007226D7" w:rsidRDefault="00B01A94" w:rsidP="00B01A94">
      <w:pPr>
        <w:spacing w:after="0" w:line="240" w:lineRule="auto"/>
        <w:jc w:val="left"/>
        <w:rPr>
          <w:color w:val="FF0000"/>
          <w:lang w:val="es-ES"/>
        </w:rPr>
      </w:pPr>
    </w:p>
    <w:p w:rsidR="00B01A94" w:rsidRPr="007226D7" w:rsidRDefault="00B01A94" w:rsidP="00B01A94">
      <w:pPr>
        <w:spacing w:after="0" w:line="240" w:lineRule="auto"/>
        <w:jc w:val="left"/>
        <w:rPr>
          <w:lang w:val="es-ES"/>
        </w:rPr>
        <w:sectPr w:rsidR="00B01A94" w:rsidRPr="007226D7" w:rsidSect="00616C7B">
          <w:pgSz w:w="11907" w:h="16840" w:code="9"/>
          <w:pgMar w:top="1985" w:right="1134" w:bottom="1701" w:left="1418" w:header="720" w:footer="833" w:gutter="0"/>
          <w:paperSrc w:first="15" w:other="15"/>
          <w:cols w:space="720"/>
          <w:docGrid w:linePitch="299"/>
        </w:sectPr>
      </w:pPr>
    </w:p>
    <w:p w:rsidR="00B01A94" w:rsidRPr="007226D7" w:rsidRDefault="00310DC6" w:rsidP="00B01A94">
      <w:pPr>
        <w:spacing w:after="0" w:line="240" w:lineRule="auto"/>
        <w:jc w:val="center"/>
      </w:pPr>
      <w:r w:rsidRPr="007226D7">
        <w:rPr>
          <w:noProof/>
          <w:lang w:val="en-US" w:eastAsia="en-US"/>
        </w:rPr>
        <w:lastRenderedPageBreak/>
        <w:drawing>
          <wp:inline distT="0" distB="0" distL="0" distR="0" wp14:anchorId="0D33767D" wp14:editId="0A55464C">
            <wp:extent cx="3193748" cy="5172965"/>
            <wp:effectExtent l="19050" t="0" r="6652" b="0"/>
            <wp:docPr id="150"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rPr>
          <w:noProof/>
        </w:rPr>
        <w:t xml:space="preserve">Tabla 4.7 – 20: </w:t>
      </w:r>
      <w:r w:rsidR="00B01A94" w:rsidRPr="007226D7">
        <w:t>Subidos y Bajados –HPM – 20</w:t>
      </w:r>
      <w:r w:rsidR="00F465E7" w:rsidRPr="007226D7">
        <w:t>3</w:t>
      </w:r>
      <w:r w:rsidR="00B01A94" w:rsidRPr="007226D7">
        <w:t xml:space="preserve">0 - ESC </w:t>
      </w:r>
      <w:r w:rsidR="00F465E7" w:rsidRPr="007226D7">
        <w:t>3.4</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04767D85" wp14:editId="50BA1BBA">
            <wp:extent cx="3193748" cy="5172965"/>
            <wp:effectExtent l="19050" t="0" r="6652" b="0"/>
            <wp:docPr id="151"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200C3A">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0EC68232" wp14:editId="707D608C">
            <wp:extent cx="8360228" cy="4928260"/>
            <wp:effectExtent l="0" t="0" r="0" b="0"/>
            <wp:docPr id="152" name="Gra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B01A94" w:rsidRPr="007226D7" w:rsidRDefault="00AB0B9C" w:rsidP="00AB0B9C">
      <w:pPr>
        <w:pStyle w:val="Figuras"/>
      </w:pPr>
      <w:r w:rsidRPr="007226D7">
        <w:t>Figura 4.7-19: Grafico de los Subidos y Bajados –HPM – 2030 - ESC 3.4 – sentido E-O</w:t>
      </w:r>
    </w:p>
    <w:p w:rsidR="00B01A94" w:rsidRPr="007226D7" w:rsidRDefault="00B01A94" w:rsidP="00B01A94">
      <w:pPr>
        <w:spacing w:after="0" w:line="240" w:lineRule="auto"/>
        <w:jc w:val="left"/>
        <w:rPr>
          <w:lang w:val="es-ES"/>
        </w:rPr>
      </w:pPr>
      <w:r w:rsidRPr="007226D7">
        <w:rPr>
          <w:lang w:val="es-ES"/>
        </w:rPr>
        <w:br w:type="page"/>
      </w:r>
    </w:p>
    <w:p w:rsidR="00B01A94" w:rsidRPr="007226D7" w:rsidRDefault="00310DC6" w:rsidP="00B01A94">
      <w:pPr>
        <w:rPr>
          <w:lang w:val="es-ES"/>
        </w:rPr>
      </w:pPr>
      <w:r w:rsidRPr="007226D7">
        <w:rPr>
          <w:noProof/>
          <w:lang w:val="en-US" w:eastAsia="en-US"/>
        </w:rPr>
        <w:lastRenderedPageBreak/>
        <w:drawing>
          <wp:inline distT="0" distB="0" distL="0" distR="0" wp14:anchorId="14EDD765" wp14:editId="036CECD3">
            <wp:extent cx="8360228" cy="4928260"/>
            <wp:effectExtent l="0" t="0" r="0" b="0"/>
            <wp:docPr id="153" name="Gra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AB0B9C" w:rsidRPr="007226D7" w:rsidRDefault="00AB0B9C" w:rsidP="00AB0B9C">
      <w:pPr>
        <w:pStyle w:val="Figuras"/>
      </w:pPr>
      <w:r w:rsidRPr="007226D7">
        <w:t>Figura 4.7-20: Grafico de los Subidos y Bajados –HPM – 2030 - ESC 3.4 – sentido O-E</w:t>
      </w:r>
    </w:p>
    <w:p w:rsidR="00B01A94" w:rsidRPr="007226D7" w:rsidRDefault="00B01A94" w:rsidP="00B01A94">
      <w:pPr>
        <w:rPr>
          <w:lang w:val="es-ES"/>
        </w:rPr>
      </w:pP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B01A94" w:rsidRPr="007226D7" w:rsidRDefault="00310DC6" w:rsidP="00B01A94">
      <w:pPr>
        <w:jc w:val="center"/>
        <w:rPr>
          <w:lang w:val="es-ES"/>
        </w:rPr>
      </w:pPr>
      <w:r w:rsidRPr="007226D7">
        <w:rPr>
          <w:noProof/>
          <w:lang w:val="en-US" w:eastAsia="en-US"/>
        </w:rPr>
        <w:lastRenderedPageBreak/>
        <w:drawing>
          <wp:inline distT="0" distB="0" distL="0" distR="0" wp14:anchorId="04C617CC" wp14:editId="3E8BA8FA">
            <wp:extent cx="3193748" cy="5172965"/>
            <wp:effectExtent l="19050" t="0" r="6652" b="0"/>
            <wp:docPr id="154"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rPr>
          <w:noProof/>
        </w:rPr>
        <w:t xml:space="preserve">Tabla 4.7 – 21: </w:t>
      </w:r>
      <w:r w:rsidR="00B01A94" w:rsidRPr="007226D7">
        <w:t>Subidos y Bajados –HP</w:t>
      </w:r>
      <w:r w:rsidR="00D80F74" w:rsidRPr="007226D7">
        <w:t>T</w:t>
      </w:r>
      <w:r w:rsidR="00B01A94" w:rsidRPr="007226D7">
        <w:t xml:space="preserve"> – 20</w:t>
      </w:r>
      <w:r w:rsidR="00D80F74" w:rsidRPr="007226D7">
        <w:t>3</w:t>
      </w:r>
      <w:r w:rsidR="00B01A94" w:rsidRPr="007226D7">
        <w:t xml:space="preserve">0 - ESC </w:t>
      </w:r>
      <w:r w:rsidR="00D80F74" w:rsidRPr="007226D7">
        <w:t>3.4</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0EDE5DAF" wp14:editId="03BCB468">
            <wp:extent cx="3193748" cy="5172965"/>
            <wp:effectExtent l="19050" t="0" r="6652" b="0"/>
            <wp:docPr id="15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337EAA">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7961A53D" wp14:editId="320CFC7D">
            <wp:extent cx="8300851" cy="4916385"/>
            <wp:effectExtent l="0" t="0" r="0" b="0"/>
            <wp:docPr id="156" name="Gra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AB0B9C" w:rsidRPr="007226D7" w:rsidRDefault="00AB0B9C" w:rsidP="00AB0B9C">
      <w:pPr>
        <w:pStyle w:val="Figuras"/>
      </w:pPr>
      <w:r w:rsidRPr="007226D7">
        <w:t>Figura 4.7-21: Grafico de los Subidos y Bajados –HPT – 2030 - ESC 3.4 – sentido E-O</w:t>
      </w:r>
    </w:p>
    <w:p w:rsidR="00B01A94" w:rsidRPr="007226D7" w:rsidRDefault="00B01A94" w:rsidP="00B01A94">
      <w:pPr>
        <w:spacing w:after="0" w:line="240" w:lineRule="auto"/>
        <w:jc w:val="left"/>
        <w:rPr>
          <w:lang w:val="es-ES"/>
        </w:rPr>
      </w:pPr>
      <w:r w:rsidRPr="007226D7">
        <w:rPr>
          <w:lang w:val="es-ES"/>
        </w:rPr>
        <w:br w:type="page"/>
      </w:r>
    </w:p>
    <w:p w:rsidR="00B01A94" w:rsidRPr="007226D7" w:rsidRDefault="00310DC6" w:rsidP="00B01A94">
      <w:pPr>
        <w:rPr>
          <w:lang w:val="es-ES"/>
        </w:rPr>
      </w:pPr>
      <w:r w:rsidRPr="007226D7">
        <w:rPr>
          <w:noProof/>
          <w:lang w:val="en-US" w:eastAsia="en-US"/>
        </w:rPr>
        <w:lastRenderedPageBreak/>
        <w:drawing>
          <wp:inline distT="0" distB="0" distL="0" distR="0" wp14:anchorId="373F0D78" wp14:editId="08F48811">
            <wp:extent cx="8395854" cy="4916385"/>
            <wp:effectExtent l="0" t="0" r="0" b="0"/>
            <wp:docPr id="157"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AB0B9C" w:rsidRPr="007226D7" w:rsidRDefault="00AB0B9C" w:rsidP="00AB0B9C">
      <w:pPr>
        <w:pStyle w:val="Figuras"/>
      </w:pPr>
      <w:r w:rsidRPr="007226D7">
        <w:t>Figura 4.7-22: Grafico de los Subidos y Bajados –HPT – 2030 - ESC 3.4 – sentido O-E</w:t>
      </w:r>
    </w:p>
    <w:p w:rsidR="00B01A94" w:rsidRPr="007226D7" w:rsidRDefault="00B01A94" w:rsidP="00B01A94">
      <w:pPr>
        <w:rPr>
          <w:lang w:val="es-ES"/>
        </w:rPr>
      </w:pP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B01A94" w:rsidRPr="007226D7" w:rsidRDefault="00310DC6" w:rsidP="00B01A94">
      <w:pPr>
        <w:jc w:val="center"/>
        <w:rPr>
          <w:lang w:val="es-ES"/>
        </w:rPr>
      </w:pPr>
      <w:r w:rsidRPr="007226D7">
        <w:rPr>
          <w:noProof/>
          <w:lang w:val="en-US" w:eastAsia="en-US"/>
        </w:rPr>
        <w:lastRenderedPageBreak/>
        <w:drawing>
          <wp:inline distT="0" distB="0" distL="0" distR="0" wp14:anchorId="2814B4FE" wp14:editId="3D702C52">
            <wp:extent cx="3193748" cy="5172965"/>
            <wp:effectExtent l="19050" t="0" r="6652" b="0"/>
            <wp:docPr id="15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1"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FC103B" w:rsidP="00B01A94">
      <w:pPr>
        <w:pStyle w:val="Figuras"/>
      </w:pPr>
      <w:r w:rsidRPr="007226D7">
        <w:rPr>
          <w:noProof/>
        </w:rPr>
        <w:t xml:space="preserve">Tabla 4.7 – 22: </w:t>
      </w:r>
      <w:r w:rsidR="00B01A94" w:rsidRPr="007226D7">
        <w:t>Subidos y Bajados –HV</w:t>
      </w:r>
      <w:r w:rsidR="00D80F74" w:rsidRPr="007226D7">
        <w:t xml:space="preserve"> – 2030 - ESC 3.4</w:t>
      </w:r>
    </w:p>
    <w:p w:rsidR="00B01A94" w:rsidRPr="007226D7" w:rsidRDefault="00310DC6" w:rsidP="00B01A94">
      <w:pPr>
        <w:jc w:val="center"/>
        <w:rPr>
          <w:lang w:val="es-ES"/>
        </w:rPr>
      </w:pPr>
      <w:r w:rsidRPr="007226D7">
        <w:rPr>
          <w:noProof/>
          <w:lang w:val="en-US" w:eastAsia="en-US"/>
        </w:rPr>
        <w:lastRenderedPageBreak/>
        <w:drawing>
          <wp:inline distT="0" distB="0" distL="0" distR="0" wp14:anchorId="13611A89" wp14:editId="0F43BDF5">
            <wp:extent cx="3193748" cy="5172965"/>
            <wp:effectExtent l="19050" t="0" r="6652" b="0"/>
            <wp:docPr id="159"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01A94" w:rsidRPr="007226D7" w:rsidRDefault="00B01A94" w:rsidP="00B01A94">
      <w:pPr>
        <w:rPr>
          <w:lang w:val="es-ES"/>
        </w:rPr>
      </w:pPr>
    </w:p>
    <w:p w:rsidR="00B01A94" w:rsidRPr="007226D7" w:rsidRDefault="00B01A94" w:rsidP="00B01A94">
      <w:pPr>
        <w:rPr>
          <w:lang w:val="es-ES"/>
        </w:rPr>
        <w:sectPr w:rsidR="00B01A94" w:rsidRPr="007226D7" w:rsidSect="00DF101C">
          <w:pgSz w:w="16840" w:h="11907" w:orient="landscape" w:code="9"/>
          <w:pgMar w:top="1418" w:right="1985" w:bottom="1134" w:left="1701" w:header="720" w:footer="833" w:gutter="0"/>
          <w:paperSrc w:first="15" w:other="15"/>
          <w:cols w:num="2" w:space="720"/>
          <w:docGrid w:linePitch="299"/>
        </w:sectPr>
      </w:pPr>
    </w:p>
    <w:p w:rsidR="00B01A94" w:rsidRPr="007226D7" w:rsidRDefault="00310DC6" w:rsidP="00B01A94">
      <w:pPr>
        <w:rPr>
          <w:lang w:val="es-ES"/>
        </w:rPr>
      </w:pPr>
      <w:r w:rsidRPr="007226D7">
        <w:rPr>
          <w:noProof/>
          <w:lang w:val="en-US" w:eastAsia="en-US"/>
        </w:rPr>
        <w:lastRenderedPageBreak/>
        <w:drawing>
          <wp:inline distT="0" distB="0" distL="0" distR="0" wp14:anchorId="34DB1EB8" wp14:editId="553653F5">
            <wp:extent cx="8324602" cy="4940136"/>
            <wp:effectExtent l="0" t="0" r="0" b="0"/>
            <wp:docPr id="160" name="Gra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AB0B9C" w:rsidRPr="007226D7" w:rsidRDefault="00AB0B9C" w:rsidP="00AB0B9C">
      <w:pPr>
        <w:pStyle w:val="Figuras"/>
      </w:pPr>
      <w:r w:rsidRPr="007226D7">
        <w:t>Figura 4.7-23: Grafico de los Subidos y Bajados –HV – 2030 - ESC 3.4 – sentido E-O</w:t>
      </w:r>
    </w:p>
    <w:p w:rsidR="00B01A94" w:rsidRPr="007226D7" w:rsidRDefault="00B01A94" w:rsidP="00B01A94">
      <w:pPr>
        <w:spacing w:after="0" w:line="240" w:lineRule="auto"/>
        <w:jc w:val="left"/>
        <w:rPr>
          <w:lang w:val="es-ES"/>
        </w:rPr>
      </w:pPr>
      <w:r w:rsidRPr="007226D7">
        <w:rPr>
          <w:lang w:val="es-ES"/>
        </w:rPr>
        <w:br w:type="page"/>
      </w:r>
    </w:p>
    <w:p w:rsidR="00B01A94" w:rsidRPr="007226D7" w:rsidRDefault="00310DC6" w:rsidP="00B01A94">
      <w:pPr>
        <w:rPr>
          <w:lang w:val="es-ES"/>
        </w:rPr>
      </w:pPr>
      <w:r w:rsidRPr="007226D7">
        <w:rPr>
          <w:noProof/>
          <w:lang w:val="en-US" w:eastAsia="en-US"/>
        </w:rPr>
        <w:lastRenderedPageBreak/>
        <w:drawing>
          <wp:inline distT="0" distB="0" distL="0" distR="0" wp14:anchorId="203FB30D" wp14:editId="46C4B36B">
            <wp:extent cx="8241475" cy="4940136"/>
            <wp:effectExtent l="0" t="0" r="0" b="0"/>
            <wp:docPr id="161" name="Gra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AB0B9C" w:rsidRPr="007226D7" w:rsidRDefault="00AB0B9C" w:rsidP="00AB0B9C">
      <w:pPr>
        <w:pStyle w:val="Figuras"/>
      </w:pPr>
      <w:r w:rsidRPr="007226D7">
        <w:t>Figura 4.7-24: Grafico de los Subidos y Bajados –HV – 2030 - ESC 3.4 – sentido O-E</w:t>
      </w:r>
    </w:p>
    <w:p w:rsidR="00B01A94" w:rsidRPr="007226D7" w:rsidRDefault="00B01A94" w:rsidP="00B01A94">
      <w:pPr>
        <w:rPr>
          <w:lang w:val="es-ES"/>
        </w:rPr>
      </w:pPr>
    </w:p>
    <w:p w:rsidR="00B01A94" w:rsidRPr="007226D7" w:rsidRDefault="00B01A94" w:rsidP="00B01A94">
      <w:pPr>
        <w:rPr>
          <w:lang w:val="es-ES"/>
        </w:rPr>
        <w:sectPr w:rsidR="00B01A94" w:rsidRPr="007226D7" w:rsidSect="003A73C7">
          <w:pgSz w:w="16840" w:h="11907" w:orient="landscape" w:code="9"/>
          <w:pgMar w:top="1418" w:right="1985" w:bottom="1134" w:left="1701" w:header="720" w:footer="833" w:gutter="0"/>
          <w:paperSrc w:first="15" w:other="15"/>
          <w:cols w:space="720"/>
          <w:docGrid w:linePitch="299"/>
        </w:sectPr>
      </w:pPr>
    </w:p>
    <w:p w:rsidR="00F17F9F" w:rsidRPr="00165F11" w:rsidRDefault="00F17F9F" w:rsidP="00F17F9F">
      <w:pPr>
        <w:pStyle w:val="Heading2"/>
        <w:tabs>
          <w:tab w:val="num" w:pos="576"/>
        </w:tabs>
        <w:spacing w:before="60" w:after="120" w:line="240" w:lineRule="auto"/>
        <w:ind w:right="-2"/>
        <w:jc w:val="both"/>
        <w:rPr>
          <w:lang w:val="es-ES"/>
        </w:rPr>
      </w:pPr>
      <w:bookmarkStart w:id="160" w:name="_Ref346537263"/>
      <w:bookmarkStart w:id="161" w:name="_Toc346541947"/>
      <w:r w:rsidRPr="00165F11">
        <w:rPr>
          <w:lang w:val="es-ES"/>
        </w:rPr>
        <w:lastRenderedPageBreak/>
        <w:t xml:space="preserve">Modelación </w:t>
      </w:r>
      <w:r w:rsidR="00165F11" w:rsidRPr="00165F11">
        <w:rPr>
          <w:lang w:val="es-ES"/>
        </w:rPr>
        <w:t xml:space="preserve">de los escenarios </w:t>
      </w:r>
      <w:r w:rsidRPr="00165F11">
        <w:rPr>
          <w:lang w:val="es-ES"/>
        </w:rPr>
        <w:t>“PESIMISTA”</w:t>
      </w:r>
      <w:bookmarkEnd w:id="160"/>
      <w:bookmarkEnd w:id="161"/>
    </w:p>
    <w:p w:rsidR="006C1025" w:rsidRPr="004D76CA" w:rsidRDefault="006C1025" w:rsidP="006C1025">
      <w:pPr>
        <w:rPr>
          <w:highlight w:val="lightGray"/>
          <w:lang w:val="es-ES"/>
        </w:rPr>
      </w:pPr>
      <w:r w:rsidRPr="004D76CA">
        <w:rPr>
          <w:lang w:val="es-ES"/>
        </w:rPr>
        <w:t>El escenario "PESIMISTA", es e</w:t>
      </w:r>
      <w:r>
        <w:rPr>
          <w:lang w:val="es-ES"/>
        </w:rPr>
        <w:t>l escenario de mínima intervención</w:t>
      </w:r>
      <w:r w:rsidRPr="004D76CA">
        <w:rPr>
          <w:lang w:val="es-ES"/>
        </w:rPr>
        <w:t xml:space="preserve">. Se </w:t>
      </w:r>
      <w:r>
        <w:rPr>
          <w:lang w:val="es-ES"/>
        </w:rPr>
        <w:t>prevé</w:t>
      </w:r>
      <w:r w:rsidRPr="004D76CA">
        <w:rPr>
          <w:lang w:val="es-ES"/>
        </w:rPr>
        <w:t xml:space="preserve"> que el sistema de transporte público de superficie sigue sien</w:t>
      </w:r>
      <w:r>
        <w:rPr>
          <w:lang w:val="es-ES"/>
        </w:rPr>
        <w:t>do esencialmente el mismo que lo</w:t>
      </w:r>
      <w:r w:rsidRPr="004D76CA">
        <w:rPr>
          <w:lang w:val="es-ES"/>
        </w:rPr>
        <w:t xml:space="preserve"> actual, con </w:t>
      </w:r>
      <w:r>
        <w:rPr>
          <w:lang w:val="es-ES"/>
        </w:rPr>
        <w:t>minimas obras</w:t>
      </w:r>
      <w:r w:rsidRPr="004D76CA">
        <w:rPr>
          <w:lang w:val="es-ES"/>
        </w:rPr>
        <w:t xml:space="preserve"> (introducción de un sistema de alimentación y </w:t>
      </w:r>
      <w:r>
        <w:rPr>
          <w:lang w:val="es-ES"/>
        </w:rPr>
        <w:t>eliminación</w:t>
      </w:r>
      <w:r w:rsidRPr="004D76CA">
        <w:rPr>
          <w:lang w:val="es-ES"/>
        </w:rPr>
        <w:t xml:space="preserve"> de algunas líneas de autobuses) funcional</w:t>
      </w:r>
      <w:r>
        <w:rPr>
          <w:lang w:val="es-ES"/>
        </w:rPr>
        <w:t>es</w:t>
      </w:r>
      <w:r w:rsidRPr="004D76CA">
        <w:rPr>
          <w:lang w:val="es-ES"/>
        </w:rPr>
        <w:t xml:space="preserve"> </w:t>
      </w:r>
      <w:r>
        <w:rPr>
          <w:lang w:val="es-ES"/>
        </w:rPr>
        <w:t xml:space="preserve"> a la </w:t>
      </w:r>
      <w:r w:rsidRPr="004D76CA">
        <w:rPr>
          <w:lang w:val="es-ES"/>
        </w:rPr>
        <w:t>entrada en funcionamiento de la línea 2 p</w:t>
      </w:r>
      <w:r>
        <w:rPr>
          <w:lang w:val="es-ES"/>
        </w:rPr>
        <w:t>ara el año de riferimie</w:t>
      </w:r>
      <w:r w:rsidRPr="004D76CA">
        <w:rPr>
          <w:lang w:val="es-ES"/>
        </w:rPr>
        <w:t>nto.</w:t>
      </w:r>
    </w:p>
    <w:p w:rsidR="006C1025" w:rsidRPr="004D76CA" w:rsidRDefault="006C1025" w:rsidP="006C1025">
      <w:pPr>
        <w:rPr>
          <w:highlight w:val="lightGray"/>
          <w:lang w:val="es-ES"/>
        </w:rPr>
      </w:pPr>
    </w:p>
    <w:p w:rsidR="006C1025" w:rsidRPr="0087131E" w:rsidRDefault="006C1025" w:rsidP="006C1025">
      <w:pPr>
        <w:pStyle w:val="Heading3"/>
        <w:rPr>
          <w:lang w:val="es-ES"/>
        </w:rPr>
      </w:pPr>
      <w:bookmarkStart w:id="162" w:name="_Toc346541948"/>
      <w:r w:rsidRPr="000B5029">
        <w:rPr>
          <w:lang w:val="es-ES"/>
        </w:rPr>
        <w:t>R</w:t>
      </w:r>
      <w:r>
        <w:rPr>
          <w:lang w:val="es-ES"/>
        </w:rPr>
        <w:t>ed infraestructural escenario</w:t>
      </w:r>
      <w:r w:rsidRPr="0087131E">
        <w:rPr>
          <w:lang w:val="es-ES"/>
        </w:rPr>
        <w:t xml:space="preserve"> “PESIMISTA” – (2018)</w:t>
      </w:r>
      <w:bookmarkEnd w:id="162"/>
    </w:p>
    <w:p w:rsidR="006C1025" w:rsidRPr="000B5029" w:rsidRDefault="006C1025" w:rsidP="006C1025">
      <w:pPr>
        <w:rPr>
          <w:lang w:val="es-ES"/>
        </w:rPr>
      </w:pPr>
      <w:r w:rsidRPr="000B5029">
        <w:rPr>
          <w:lang w:val="es-ES"/>
        </w:rPr>
        <w:t>Este escenario prevé:</w:t>
      </w:r>
    </w:p>
    <w:p w:rsidR="006C1025" w:rsidRPr="000B5029" w:rsidRDefault="006C1025" w:rsidP="006C1025">
      <w:pPr>
        <w:pStyle w:val="ListParagraph"/>
        <w:numPr>
          <w:ilvl w:val="0"/>
          <w:numId w:val="59"/>
        </w:numPr>
        <w:rPr>
          <w:lang w:val="es-ES"/>
        </w:rPr>
      </w:pPr>
      <w:r w:rsidRPr="000B5029">
        <w:rPr>
          <w:lang w:val="es-ES"/>
        </w:rPr>
        <w:t>La realización y ejercicio de</w:t>
      </w:r>
      <w:r>
        <w:rPr>
          <w:lang w:val="es-ES"/>
        </w:rPr>
        <w:t>l</w:t>
      </w:r>
      <w:r w:rsidRPr="000B5029">
        <w:rPr>
          <w:lang w:val="es-ES"/>
        </w:rPr>
        <w:t xml:space="preserve"> segundo tramo de la Línea 1 de la Red Básica del Metro de Lima. </w:t>
      </w:r>
    </w:p>
    <w:p w:rsidR="006C1025" w:rsidRPr="000B5029" w:rsidRDefault="006C1025" w:rsidP="006C1025">
      <w:pPr>
        <w:pStyle w:val="ListParagraph"/>
        <w:numPr>
          <w:ilvl w:val="0"/>
          <w:numId w:val="59"/>
        </w:numPr>
        <w:rPr>
          <w:lang w:val="es-ES"/>
        </w:rPr>
      </w:pPr>
      <w:r w:rsidRPr="000B5029">
        <w:rPr>
          <w:lang w:val="es-ES"/>
        </w:rPr>
        <w:t xml:space="preserve">La realización y ejercicio de primer tramo de la nueva Línea 2 de la Red Básica del Metro de Lima. </w:t>
      </w:r>
    </w:p>
    <w:p w:rsidR="006C1025" w:rsidRPr="000B5029" w:rsidRDefault="006C1025" w:rsidP="006C1025">
      <w:pPr>
        <w:rPr>
          <w:lang w:val="es-ES"/>
        </w:rPr>
      </w:pPr>
      <w:r w:rsidRPr="000B5029">
        <w:rPr>
          <w:lang w:val="es-ES"/>
        </w:rPr>
        <w:t>El transporte público actual de superficie se ha modificado con la introducción de 11 nuevas líneas de alimentadores y eliminando la ruta de 8 líneas</w:t>
      </w:r>
      <w:r>
        <w:rPr>
          <w:lang w:val="es-ES"/>
        </w:rPr>
        <w:t>.</w:t>
      </w:r>
    </w:p>
    <w:p w:rsidR="006C1025" w:rsidRPr="000B5029" w:rsidRDefault="006C1025" w:rsidP="006C1025">
      <w:pPr>
        <w:rPr>
          <w:lang w:val="es-ES"/>
        </w:rPr>
      </w:pPr>
      <w:r w:rsidRPr="000B5029">
        <w:rPr>
          <w:lang w:val="es-ES"/>
        </w:rPr>
        <w:t xml:space="preserve">La siguiente imagen muestra lo que </w:t>
      </w:r>
      <w:r>
        <w:rPr>
          <w:lang w:val="es-ES"/>
        </w:rPr>
        <w:t>se acaba</w:t>
      </w:r>
      <w:r w:rsidRPr="000B5029">
        <w:rPr>
          <w:lang w:val="es-ES"/>
        </w:rPr>
        <w:t xml:space="preserve"> de decir:</w:t>
      </w:r>
    </w:p>
    <w:p w:rsidR="00F17F9F" w:rsidRDefault="00F17F9F" w:rsidP="00F17F9F">
      <w:pPr>
        <w:rPr>
          <w:lang w:val="es-ES"/>
        </w:rPr>
      </w:pPr>
      <w:r>
        <w:rPr>
          <w:noProof/>
          <w:lang w:val="en-US" w:eastAsia="en-US"/>
        </w:rPr>
        <w:drawing>
          <wp:inline distT="0" distB="0" distL="0" distR="0" wp14:anchorId="0323E478" wp14:editId="130085D8">
            <wp:extent cx="6120130" cy="4330700"/>
            <wp:effectExtent l="0" t="0" r="0" b="0"/>
            <wp:docPr id="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A_L2_03.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F17F9F" w:rsidRDefault="00585BD5" w:rsidP="00585BD5">
      <w:pPr>
        <w:pStyle w:val="Figuras"/>
      </w:pPr>
      <w:r>
        <w:t>Figura 4.8</w:t>
      </w:r>
      <w:r w:rsidRPr="007226D7">
        <w:t>-</w:t>
      </w:r>
      <w:r>
        <w:t>1</w:t>
      </w:r>
      <w:r w:rsidRPr="007226D7">
        <w:t xml:space="preserve">: </w:t>
      </w:r>
      <w:r>
        <w:t>Esquema del modelo en el escenario pesimista a lo año 2018</w:t>
      </w:r>
    </w:p>
    <w:p w:rsidR="006C1025" w:rsidRPr="006C1025" w:rsidRDefault="006C1025" w:rsidP="006C1025">
      <w:pPr>
        <w:rPr>
          <w:lang w:val="es-ES"/>
        </w:rPr>
      </w:pPr>
      <w:r w:rsidRPr="006C1025">
        <w:rPr>
          <w:lang w:val="es-ES"/>
        </w:rPr>
        <w:lastRenderedPageBreak/>
        <w:t>También se han eliminados las 32 ​​líneas que compiten directamente con el nuevo esquema de red. En este escenario los elementos que caracterizan la línea objeto de estudio son:</w:t>
      </w:r>
    </w:p>
    <w:p w:rsidR="006C1025" w:rsidRPr="006C1025" w:rsidRDefault="006C1025" w:rsidP="006C1025">
      <w:pPr>
        <w:pStyle w:val="ListParagraph"/>
        <w:numPr>
          <w:ilvl w:val="0"/>
          <w:numId w:val="59"/>
        </w:numPr>
        <w:rPr>
          <w:lang w:val="es-ES"/>
        </w:rPr>
      </w:pPr>
      <w:r w:rsidRPr="006C1025">
        <w:rPr>
          <w:lang w:val="es-ES"/>
        </w:rPr>
        <w:t>Velocidad media entre estaciones: 40 km/h</w:t>
      </w:r>
    </w:p>
    <w:p w:rsidR="006C1025" w:rsidRPr="006C1025" w:rsidRDefault="006C1025" w:rsidP="006C1025">
      <w:pPr>
        <w:pStyle w:val="ListParagraph"/>
        <w:numPr>
          <w:ilvl w:val="0"/>
          <w:numId w:val="59"/>
        </w:numPr>
        <w:rPr>
          <w:lang w:val="es-ES"/>
        </w:rPr>
      </w:pPr>
      <w:r w:rsidRPr="006C1025">
        <w:rPr>
          <w:lang w:val="es-ES"/>
        </w:rPr>
        <w:t>Frecuencia: 3 min (HPM), 3 min (HPT) y 6 min (HV)</w:t>
      </w:r>
    </w:p>
    <w:p w:rsidR="006C1025" w:rsidRPr="006C1025" w:rsidRDefault="006C1025" w:rsidP="006C1025">
      <w:pPr>
        <w:pStyle w:val="ListParagraph"/>
        <w:numPr>
          <w:ilvl w:val="0"/>
          <w:numId w:val="59"/>
        </w:numPr>
      </w:pPr>
      <w:r w:rsidRPr="006C1025">
        <w:rPr>
          <w:lang w:val="es-ES"/>
        </w:rPr>
        <w:t>Tarifa: 2.0 Sol</w:t>
      </w:r>
    </w:p>
    <w:p w:rsidR="00F17F9F" w:rsidRPr="006C1025" w:rsidRDefault="00F17F9F" w:rsidP="00F17F9F">
      <w:pPr>
        <w:pStyle w:val="Heading3"/>
        <w:rPr>
          <w:lang w:val="es-ES"/>
        </w:rPr>
      </w:pPr>
      <w:bookmarkStart w:id="163" w:name="_Toc346541949"/>
      <w:r w:rsidRPr="006C1025">
        <w:rPr>
          <w:lang w:val="es-ES"/>
        </w:rPr>
        <w:t>Red infraestructural escenario de “PESIMISTA” – (2020)</w:t>
      </w:r>
      <w:bookmarkEnd w:id="163"/>
    </w:p>
    <w:p w:rsidR="006C1025" w:rsidRPr="000B5029" w:rsidRDefault="006C1025" w:rsidP="006C1025">
      <w:pPr>
        <w:rPr>
          <w:lang w:val="es-ES"/>
        </w:rPr>
      </w:pPr>
      <w:r w:rsidRPr="006C1025">
        <w:rPr>
          <w:lang w:val="es-ES"/>
        </w:rPr>
        <w:t>Este escenario prevé:</w:t>
      </w:r>
    </w:p>
    <w:p w:rsidR="006C1025" w:rsidRPr="000B5029" w:rsidRDefault="006C1025" w:rsidP="006C1025">
      <w:pPr>
        <w:pStyle w:val="ListParagraph"/>
        <w:numPr>
          <w:ilvl w:val="0"/>
          <w:numId w:val="59"/>
        </w:numPr>
        <w:rPr>
          <w:lang w:val="es-ES"/>
        </w:rPr>
      </w:pPr>
      <w:r w:rsidRPr="000B5029">
        <w:rPr>
          <w:lang w:val="es-ES"/>
        </w:rPr>
        <w:t xml:space="preserve">La realización y ejercicio de segundo tramo de la Línea 1 de la Red Básica del Metro de Lima. </w:t>
      </w:r>
    </w:p>
    <w:p w:rsidR="006C1025" w:rsidRPr="000B5029" w:rsidRDefault="006C1025" w:rsidP="006C1025">
      <w:pPr>
        <w:pStyle w:val="ListParagraph"/>
        <w:numPr>
          <w:ilvl w:val="0"/>
          <w:numId w:val="59"/>
        </w:numPr>
        <w:rPr>
          <w:lang w:val="es-ES"/>
        </w:rPr>
      </w:pPr>
      <w:r w:rsidRPr="000B5029">
        <w:rPr>
          <w:lang w:val="es-ES"/>
        </w:rPr>
        <w:t>La realización y el ejercicio de la Línea 2 entera de la Red Básica del Metro de Lima y el tramo de Línea 4 de San José a Gambeta</w:t>
      </w:r>
      <w:r>
        <w:rPr>
          <w:lang w:val="es-ES"/>
        </w:rPr>
        <w:t>.</w:t>
      </w:r>
    </w:p>
    <w:p w:rsidR="006C1025" w:rsidRDefault="006C1025" w:rsidP="006C1025">
      <w:pPr>
        <w:rPr>
          <w:lang w:val="es-ES"/>
        </w:rPr>
      </w:pPr>
      <w:r w:rsidRPr="000B5029">
        <w:rPr>
          <w:lang w:val="es-ES"/>
        </w:rPr>
        <w:t>El transporte público de superficie</w:t>
      </w:r>
      <w:r>
        <w:rPr>
          <w:lang w:val="es-ES"/>
        </w:rPr>
        <w:t xml:space="preserve"> actual se ha modificado con la introducción de 13 nuevas lineas de Alimentadoras. </w:t>
      </w:r>
    </w:p>
    <w:p w:rsidR="006C1025" w:rsidRDefault="006C1025" w:rsidP="006C1025">
      <w:pPr>
        <w:rPr>
          <w:lang w:val="es-ES"/>
        </w:rPr>
      </w:pPr>
      <w:proofErr w:type="gramStart"/>
      <w:r>
        <w:rPr>
          <w:lang w:val="es-ES"/>
        </w:rPr>
        <w:t>El</w:t>
      </w:r>
      <w:proofErr w:type="gramEnd"/>
      <w:r>
        <w:rPr>
          <w:lang w:val="es-ES"/>
        </w:rPr>
        <w:t xml:space="preserve"> imagen muestra la idea expuesta:</w:t>
      </w:r>
    </w:p>
    <w:p w:rsidR="00F17F9F" w:rsidRDefault="00F17F9F" w:rsidP="00F17F9F">
      <w:pPr>
        <w:rPr>
          <w:highlight w:val="lightGray"/>
          <w:lang w:val="es-ES"/>
        </w:rPr>
      </w:pPr>
      <w:r w:rsidRPr="00D733F8">
        <w:rPr>
          <w:noProof/>
          <w:highlight w:val="lightGray"/>
          <w:lang w:val="en-US" w:eastAsia="en-US"/>
        </w:rPr>
        <w:drawing>
          <wp:inline distT="0" distB="0" distL="0" distR="0" wp14:anchorId="161B766E" wp14:editId="369B24F7">
            <wp:extent cx="6120130" cy="4330700"/>
            <wp:effectExtent l="0" t="0" r="0" b="0"/>
            <wp:docPr id="3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A_L2_04.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585BD5" w:rsidRDefault="00585BD5" w:rsidP="00585BD5">
      <w:pPr>
        <w:pStyle w:val="Figuras"/>
      </w:pPr>
      <w:r>
        <w:t>Figura 4.8</w:t>
      </w:r>
      <w:r w:rsidRPr="007226D7">
        <w:t>-</w:t>
      </w:r>
      <w:r>
        <w:t>2</w:t>
      </w:r>
      <w:r w:rsidRPr="007226D7">
        <w:t xml:space="preserve">: </w:t>
      </w:r>
      <w:r>
        <w:t>Esquema del modelo en el escenario pesimista a los años 2020 y 2030.</w:t>
      </w:r>
    </w:p>
    <w:p w:rsidR="006C1025" w:rsidRPr="000B5029" w:rsidRDefault="006C1025" w:rsidP="006C1025">
      <w:pPr>
        <w:rPr>
          <w:lang w:val="es-ES"/>
        </w:rPr>
      </w:pPr>
      <w:r>
        <w:rPr>
          <w:lang w:val="es-ES"/>
        </w:rPr>
        <w:lastRenderedPageBreak/>
        <w:t>Además se han eliminado 51 lineas que compiten directamente con el nuevo esquema de red.</w:t>
      </w:r>
    </w:p>
    <w:p w:rsidR="006C1025" w:rsidRPr="000B5029" w:rsidRDefault="006C1025" w:rsidP="006C1025">
      <w:pPr>
        <w:rPr>
          <w:lang w:val="es-ES"/>
        </w:rPr>
      </w:pPr>
      <w:r w:rsidRPr="000B5029">
        <w:rPr>
          <w:lang w:val="es-ES"/>
        </w:rPr>
        <w:t>En este escenario los elementos que caracterizan la línea objeto de estudio son:</w:t>
      </w:r>
    </w:p>
    <w:p w:rsidR="006C1025" w:rsidRPr="000B5029" w:rsidRDefault="006C1025" w:rsidP="006C1025">
      <w:pPr>
        <w:pStyle w:val="ListParagraph"/>
        <w:numPr>
          <w:ilvl w:val="0"/>
          <w:numId w:val="60"/>
        </w:numPr>
        <w:rPr>
          <w:lang w:val="es-ES"/>
        </w:rPr>
      </w:pPr>
      <w:r w:rsidRPr="000B5029">
        <w:rPr>
          <w:lang w:val="es-ES"/>
        </w:rPr>
        <w:t>Velocidad media entre estaciones: 40 km/h</w:t>
      </w:r>
    </w:p>
    <w:p w:rsidR="006C1025" w:rsidRPr="000B5029" w:rsidRDefault="006C1025" w:rsidP="006C1025">
      <w:pPr>
        <w:pStyle w:val="ListParagraph"/>
        <w:numPr>
          <w:ilvl w:val="0"/>
          <w:numId w:val="60"/>
        </w:numPr>
        <w:rPr>
          <w:lang w:val="es-ES"/>
        </w:rPr>
      </w:pPr>
      <w:r w:rsidRPr="000B5029">
        <w:rPr>
          <w:lang w:val="es-ES"/>
        </w:rPr>
        <w:t>Frecuencia (Línea 2): 3 min (HPM), 3 min (HPT) y 6 min (HV)</w:t>
      </w:r>
    </w:p>
    <w:p w:rsidR="006C1025" w:rsidRPr="00196BBD" w:rsidRDefault="006C1025" w:rsidP="006C1025">
      <w:pPr>
        <w:pStyle w:val="ListParagraph"/>
        <w:numPr>
          <w:ilvl w:val="0"/>
          <w:numId w:val="60"/>
        </w:numPr>
        <w:rPr>
          <w:lang w:val="es-ES"/>
        </w:rPr>
      </w:pPr>
      <w:r w:rsidRPr="00196BBD">
        <w:rPr>
          <w:lang w:val="es-ES"/>
        </w:rPr>
        <w:t>Frecuencia (Línea 4): 6 min (HPM), 6 min (HPT) y 9 min (HV)</w:t>
      </w:r>
    </w:p>
    <w:p w:rsidR="00585BD5" w:rsidRPr="00196BBD" w:rsidRDefault="006C1025" w:rsidP="00F17F9F">
      <w:pPr>
        <w:pStyle w:val="ListParagraph"/>
        <w:numPr>
          <w:ilvl w:val="0"/>
          <w:numId w:val="60"/>
        </w:numPr>
        <w:rPr>
          <w:lang w:val="es-ES"/>
        </w:rPr>
      </w:pPr>
      <w:r w:rsidRPr="00196BBD">
        <w:rPr>
          <w:lang w:val="es-ES"/>
        </w:rPr>
        <w:t>Tarifa: 2.5 Sol</w:t>
      </w:r>
    </w:p>
    <w:p w:rsidR="00F17F9F" w:rsidRPr="00196BBD" w:rsidRDefault="00F17F9F" w:rsidP="00F17F9F">
      <w:pPr>
        <w:pStyle w:val="Heading3"/>
        <w:rPr>
          <w:lang w:val="es-ES"/>
        </w:rPr>
      </w:pPr>
      <w:bookmarkStart w:id="164" w:name="_Toc346541950"/>
      <w:r w:rsidRPr="00196BBD">
        <w:rPr>
          <w:lang w:val="es-ES"/>
        </w:rPr>
        <w:t xml:space="preserve">Red infraestructural escenario </w:t>
      </w:r>
      <w:r w:rsidR="00674240" w:rsidRPr="00196BBD">
        <w:rPr>
          <w:lang w:val="es-ES"/>
        </w:rPr>
        <w:t>de “PES</w:t>
      </w:r>
      <w:r w:rsidRPr="00196BBD">
        <w:rPr>
          <w:lang w:val="es-ES"/>
        </w:rPr>
        <w:t>IMISTA” – (2030)</w:t>
      </w:r>
      <w:bookmarkEnd w:id="164"/>
    </w:p>
    <w:p w:rsidR="00674240" w:rsidRPr="00630A45" w:rsidRDefault="00674240" w:rsidP="00674240">
      <w:pPr>
        <w:rPr>
          <w:lang w:val="es-ES"/>
        </w:rPr>
      </w:pPr>
      <w:r w:rsidRPr="00630A45">
        <w:rPr>
          <w:lang w:val="es-ES"/>
        </w:rPr>
        <w:t>Este escenario prevé:</w:t>
      </w:r>
    </w:p>
    <w:p w:rsidR="00674240" w:rsidRPr="00630A45" w:rsidRDefault="00674240" w:rsidP="00674240">
      <w:pPr>
        <w:pStyle w:val="ListParagraph"/>
        <w:numPr>
          <w:ilvl w:val="0"/>
          <w:numId w:val="59"/>
        </w:numPr>
        <w:rPr>
          <w:lang w:val="es-ES"/>
        </w:rPr>
      </w:pPr>
      <w:r w:rsidRPr="00630A45">
        <w:rPr>
          <w:lang w:val="es-ES"/>
        </w:rPr>
        <w:t>La realización y ejercicio de</w:t>
      </w:r>
      <w:r>
        <w:rPr>
          <w:lang w:val="es-ES"/>
        </w:rPr>
        <w:t>l</w:t>
      </w:r>
      <w:r w:rsidRPr="00630A45">
        <w:rPr>
          <w:lang w:val="es-ES"/>
        </w:rPr>
        <w:t xml:space="preserve"> segundo tramo de la Línea 1 de la Red Básica del Metro de Lima. </w:t>
      </w:r>
    </w:p>
    <w:p w:rsidR="00674240" w:rsidRPr="00630A45" w:rsidRDefault="00674240" w:rsidP="00674240">
      <w:pPr>
        <w:pStyle w:val="ListParagraph"/>
        <w:numPr>
          <w:ilvl w:val="0"/>
          <w:numId w:val="59"/>
        </w:numPr>
        <w:rPr>
          <w:lang w:val="es-ES"/>
        </w:rPr>
      </w:pPr>
      <w:r w:rsidRPr="00630A45">
        <w:rPr>
          <w:lang w:val="es-ES"/>
        </w:rPr>
        <w:t>La realización y el ejercicio de la Línea 2 entera</w:t>
      </w:r>
      <w:r>
        <w:rPr>
          <w:lang w:val="es-ES"/>
        </w:rPr>
        <w:t>,</w:t>
      </w:r>
      <w:r w:rsidRPr="00630A45">
        <w:rPr>
          <w:lang w:val="es-ES"/>
        </w:rPr>
        <w:t xml:space="preserve"> de la Red Básica del Metro de Lima y el tramo de Línea 4 de San José a Gambeta</w:t>
      </w:r>
    </w:p>
    <w:p w:rsidR="00674240" w:rsidRDefault="00674240" w:rsidP="00674240">
      <w:pPr>
        <w:rPr>
          <w:lang w:val="es-ES"/>
        </w:rPr>
      </w:pPr>
      <w:r w:rsidRPr="00630A45">
        <w:rPr>
          <w:lang w:val="es-ES"/>
        </w:rPr>
        <w:t>El transporte público de superficie actual se ha modificado con la introducción de 13 nuevas lineas de Alimentadoras.</w:t>
      </w:r>
    </w:p>
    <w:p w:rsidR="00674240" w:rsidRPr="00630A45" w:rsidRDefault="00674240" w:rsidP="00674240">
      <w:pPr>
        <w:rPr>
          <w:highlight w:val="lightGray"/>
          <w:lang w:val="es-ES"/>
        </w:rPr>
      </w:pPr>
      <w:r w:rsidRPr="00630A45">
        <w:rPr>
          <w:lang w:val="es-ES"/>
        </w:rPr>
        <w:t>Además se han eliminado 51 lineas que compiten directamente con el nuevo esquema de red.</w:t>
      </w:r>
    </w:p>
    <w:p w:rsidR="00674240" w:rsidRPr="00630A45" w:rsidRDefault="00674240" w:rsidP="00674240">
      <w:pPr>
        <w:rPr>
          <w:lang w:val="es-ES"/>
        </w:rPr>
      </w:pPr>
      <w:r w:rsidRPr="00630A45">
        <w:rPr>
          <w:lang w:val="es-ES"/>
        </w:rPr>
        <w:t>En este escenario los elementos que caracterizan la línea objeto de estudio son:</w:t>
      </w:r>
    </w:p>
    <w:p w:rsidR="00674240" w:rsidRPr="00630A45" w:rsidRDefault="00674240" w:rsidP="00674240">
      <w:pPr>
        <w:rPr>
          <w:lang w:val="es-ES"/>
        </w:rPr>
      </w:pPr>
    </w:p>
    <w:p w:rsidR="00674240" w:rsidRPr="00630A45" w:rsidRDefault="00674240" w:rsidP="00674240">
      <w:pPr>
        <w:pStyle w:val="ListParagraph"/>
        <w:numPr>
          <w:ilvl w:val="0"/>
          <w:numId w:val="61"/>
        </w:numPr>
        <w:rPr>
          <w:lang w:val="es-ES"/>
        </w:rPr>
      </w:pPr>
      <w:r w:rsidRPr="00630A45">
        <w:rPr>
          <w:lang w:val="es-ES"/>
        </w:rPr>
        <w:t>Velocidad media entre estaciones: 40 km/h</w:t>
      </w:r>
    </w:p>
    <w:p w:rsidR="00674240" w:rsidRPr="00630A45" w:rsidRDefault="00674240" w:rsidP="00674240">
      <w:pPr>
        <w:pStyle w:val="ListParagraph"/>
        <w:numPr>
          <w:ilvl w:val="0"/>
          <w:numId w:val="61"/>
        </w:numPr>
        <w:rPr>
          <w:lang w:val="es-ES"/>
        </w:rPr>
      </w:pPr>
      <w:r w:rsidRPr="00630A45">
        <w:rPr>
          <w:lang w:val="es-ES"/>
        </w:rPr>
        <w:t>Frecuencia: 3 min (HPM), 3 min (HPT) y 6 min (HV)</w:t>
      </w:r>
    </w:p>
    <w:p w:rsidR="00674240" w:rsidRPr="00630A45" w:rsidRDefault="00674240" w:rsidP="00674240">
      <w:pPr>
        <w:pStyle w:val="ListParagraph"/>
        <w:numPr>
          <w:ilvl w:val="0"/>
          <w:numId w:val="61"/>
        </w:numPr>
        <w:rPr>
          <w:lang w:val="es-ES"/>
        </w:rPr>
      </w:pPr>
      <w:r w:rsidRPr="00630A45">
        <w:rPr>
          <w:lang w:val="es-ES"/>
        </w:rPr>
        <w:t>Tarifa: 3.0 Sol</w:t>
      </w:r>
    </w:p>
    <w:p w:rsidR="00F17F9F" w:rsidRDefault="00F17F9F">
      <w:pPr>
        <w:spacing w:after="0" w:line="240" w:lineRule="auto"/>
        <w:jc w:val="left"/>
        <w:rPr>
          <w:lang w:val="es-ES"/>
        </w:rPr>
      </w:pPr>
    </w:p>
    <w:p w:rsidR="00AF0C8D" w:rsidRDefault="00AF0C8D">
      <w:pPr>
        <w:spacing w:after="0" w:line="240" w:lineRule="auto"/>
        <w:jc w:val="left"/>
        <w:rPr>
          <w:lang w:val="es-ES"/>
        </w:rPr>
      </w:pPr>
      <w:r>
        <w:rPr>
          <w:lang w:val="es-ES"/>
        </w:rPr>
        <w:br w:type="page"/>
      </w:r>
    </w:p>
    <w:p w:rsidR="00F17F9F" w:rsidRPr="00F17F9F" w:rsidRDefault="00F17F9F" w:rsidP="00F17F9F">
      <w:pPr>
        <w:pStyle w:val="Heading3"/>
        <w:rPr>
          <w:lang w:val="es-ES"/>
        </w:rPr>
      </w:pPr>
      <w:bookmarkStart w:id="165" w:name="_Ref346487172"/>
      <w:bookmarkStart w:id="166" w:name="_Toc346541951"/>
      <w:r w:rsidRPr="00F17F9F">
        <w:rPr>
          <w:lang w:val="es-ES"/>
        </w:rPr>
        <w:lastRenderedPageBreak/>
        <w:t xml:space="preserve">Escenario </w:t>
      </w:r>
      <w:r w:rsidR="00E633E2">
        <w:rPr>
          <w:lang w:val="es-ES"/>
        </w:rPr>
        <w:t>1</w:t>
      </w:r>
      <w:r w:rsidRPr="00F17F9F">
        <w:rPr>
          <w:lang w:val="es-ES"/>
        </w:rPr>
        <w:t>.</w:t>
      </w:r>
      <w:r w:rsidR="00E633E2">
        <w:rPr>
          <w:lang w:val="es-ES"/>
        </w:rPr>
        <w:t>3_P</w:t>
      </w:r>
      <w:r w:rsidRPr="00F17F9F">
        <w:rPr>
          <w:lang w:val="es-ES"/>
        </w:rPr>
        <w:t xml:space="preserve"> </w:t>
      </w:r>
      <w:r>
        <w:rPr>
          <w:lang w:val="es-ES"/>
        </w:rPr>
        <w:t>–</w:t>
      </w:r>
      <w:r w:rsidRPr="00F17F9F">
        <w:rPr>
          <w:lang w:val="es-ES"/>
        </w:rPr>
        <w:t xml:space="preserve"> </w:t>
      </w:r>
      <w:r>
        <w:rPr>
          <w:lang w:val="es-ES"/>
        </w:rPr>
        <w:t>ESCENARIO PESIMISTA 2018</w:t>
      </w:r>
      <w:bookmarkEnd w:id="165"/>
      <w:bookmarkEnd w:id="166"/>
    </w:p>
    <w:p w:rsidR="00F17F9F" w:rsidRPr="007226D7" w:rsidRDefault="00F17F9F" w:rsidP="00F17F9F">
      <w:pPr>
        <w:rPr>
          <w:lang w:val="es-ES"/>
        </w:rPr>
      </w:pPr>
      <w:r w:rsidRPr="007226D7">
        <w:rPr>
          <w:lang w:val="es-ES"/>
        </w:rPr>
        <w:t xml:space="preserve">En el siguiente cuadro se presenta los resultados del modelo de demanda asignada para la situación con proyecto </w:t>
      </w:r>
      <w:r w:rsidR="00B262DF">
        <w:rPr>
          <w:lang w:val="es-ES"/>
        </w:rPr>
        <w:t>2018 en lo escenario pesimista</w:t>
      </w:r>
      <w:r w:rsidRPr="007226D7">
        <w:rPr>
          <w:lang w:val="es-ES"/>
        </w:rPr>
        <w:t>:</w:t>
      </w:r>
    </w:p>
    <w:p w:rsidR="00F17F9F" w:rsidRPr="001F760E" w:rsidRDefault="00F17F9F" w:rsidP="00F17F9F">
      <w:pPr>
        <w:pStyle w:val="Figuras"/>
      </w:pPr>
      <w:r w:rsidRPr="001F760E">
        <w:rPr>
          <w:noProof/>
        </w:rPr>
        <w:t>Tabla 4.</w:t>
      </w:r>
      <w:r w:rsidR="008C0020" w:rsidRPr="001F760E">
        <w:rPr>
          <w:noProof/>
        </w:rPr>
        <w:t>8</w:t>
      </w:r>
      <w:r w:rsidRPr="001F760E">
        <w:rPr>
          <w:noProof/>
        </w:rPr>
        <w:t xml:space="preserve"> – 1 (serie)</w:t>
      </w:r>
      <w:r w:rsidRPr="001F760E">
        <w:t>: resultados de</w:t>
      </w:r>
      <w:r w:rsidR="008C0020" w:rsidRPr="001F760E">
        <w:t xml:space="preserve"> modelación escenario 1.3_P</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F17F9F" w:rsidRPr="001F760E" w:rsidTr="00376E84">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17F9F" w:rsidRPr="001F760E" w:rsidRDefault="00F17F9F" w:rsidP="00376E84">
            <w:pPr>
              <w:spacing w:after="0" w:line="240" w:lineRule="auto"/>
              <w:jc w:val="left"/>
              <w:rPr>
                <w:rFonts w:cs="Arial"/>
                <w:b/>
                <w:bCs/>
                <w:sz w:val="18"/>
                <w:szCs w:val="18"/>
              </w:rPr>
            </w:pPr>
            <w:r w:rsidRPr="001F760E">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17F9F" w:rsidRPr="001F760E" w:rsidRDefault="00F17F9F" w:rsidP="001F760E">
            <w:pPr>
              <w:spacing w:after="0" w:line="240" w:lineRule="auto"/>
              <w:jc w:val="center"/>
              <w:rPr>
                <w:rFonts w:cs="Arial"/>
                <w:b/>
                <w:bCs/>
                <w:sz w:val="18"/>
                <w:szCs w:val="18"/>
              </w:rPr>
            </w:pPr>
            <w:r w:rsidRPr="001F760E">
              <w:rPr>
                <w:rFonts w:cs="Arial"/>
                <w:b/>
                <w:bCs/>
                <w:sz w:val="18"/>
                <w:szCs w:val="18"/>
              </w:rPr>
              <w:t xml:space="preserve">ESC </w:t>
            </w:r>
            <w:r w:rsidR="001F760E">
              <w:rPr>
                <w:rFonts w:cs="Arial"/>
                <w:b/>
                <w:bCs/>
                <w:sz w:val="18"/>
                <w:szCs w:val="18"/>
              </w:rPr>
              <w:t>1.3_P</w:t>
            </w:r>
            <w:r w:rsidR="001F760E" w:rsidRPr="001F760E">
              <w:rPr>
                <w:rFonts w:cs="Arial"/>
                <w:bCs/>
                <w:i/>
                <w:sz w:val="18"/>
                <w:szCs w:val="18"/>
              </w:rPr>
              <w:t>esimista</w:t>
            </w:r>
          </w:p>
        </w:tc>
      </w:tr>
      <w:tr w:rsidR="00F17F9F" w:rsidRPr="001F760E" w:rsidTr="00376E84">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Total Dìario</w:t>
            </w:r>
          </w:p>
        </w:tc>
      </w:tr>
      <w:tr w:rsidR="001F760E" w:rsidRPr="001F760E" w:rsidTr="001F760E">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214,267</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120,518</w:t>
            </w:r>
          </w:p>
        </w:tc>
        <w:tc>
          <w:tcPr>
            <w:tcW w:w="1038"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97,695</w:t>
            </w:r>
          </w:p>
        </w:tc>
        <w:tc>
          <w:tcPr>
            <w:tcW w:w="1553"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1,939,603</w:t>
            </w:r>
          </w:p>
        </w:tc>
      </w:tr>
      <w:tr w:rsidR="001F760E" w:rsidRPr="001F760E" w:rsidTr="001F760E">
        <w:trPr>
          <w:trHeight w:val="240"/>
        </w:trPr>
        <w:tc>
          <w:tcPr>
            <w:tcW w:w="1119" w:type="dxa"/>
            <w:vMerge/>
            <w:tcBorders>
              <w:top w:val="nil"/>
              <w:left w:val="single" w:sz="4" w:space="0" w:color="auto"/>
              <w:bottom w:val="single" w:sz="4" w:space="0" w:color="auto"/>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113,724</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107,923</w:t>
            </w:r>
          </w:p>
        </w:tc>
        <w:tc>
          <w:tcPr>
            <w:tcW w:w="1038"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79,416</w:t>
            </w:r>
          </w:p>
        </w:tc>
        <w:tc>
          <w:tcPr>
            <w:tcW w:w="1553"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1,475,702</w:t>
            </w:r>
          </w:p>
        </w:tc>
      </w:tr>
      <w:tr w:rsidR="001F760E" w:rsidRPr="001F760E" w:rsidTr="001F760E">
        <w:trPr>
          <w:trHeight w:val="240"/>
        </w:trPr>
        <w:tc>
          <w:tcPr>
            <w:tcW w:w="1119" w:type="dxa"/>
            <w:vMerge/>
            <w:tcBorders>
              <w:top w:val="nil"/>
              <w:left w:val="single" w:sz="4" w:space="0" w:color="auto"/>
              <w:bottom w:val="single" w:sz="4" w:space="0" w:color="auto"/>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14,974</w:t>
            </w:r>
          </w:p>
        </w:tc>
        <w:tc>
          <w:tcPr>
            <w:tcW w:w="1265" w:type="dxa"/>
            <w:tcBorders>
              <w:top w:val="nil"/>
              <w:left w:val="nil"/>
              <w:bottom w:val="single" w:sz="4" w:space="0" w:color="auto"/>
              <w:right w:val="nil"/>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11,463</w:t>
            </w:r>
          </w:p>
        </w:tc>
        <w:tc>
          <w:tcPr>
            <w:tcW w:w="1038"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11,310</w:t>
            </w:r>
          </w:p>
        </w:tc>
        <w:tc>
          <w:tcPr>
            <w:tcW w:w="1553" w:type="dxa"/>
            <w:tcBorders>
              <w:top w:val="nil"/>
              <w:left w:val="nil"/>
              <w:bottom w:val="single" w:sz="4" w:space="0" w:color="auto"/>
              <w:right w:val="single" w:sz="4" w:space="0" w:color="auto"/>
            </w:tcBorders>
            <w:shd w:val="clear" w:color="171717" w:fill="DBE5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199,904</w:t>
            </w:r>
          </w:p>
        </w:tc>
      </w:tr>
      <w:tr w:rsidR="001F760E" w:rsidRPr="001F760E" w:rsidTr="001F760E">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1,530,318</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1,149,640</w:t>
            </w:r>
          </w:p>
        </w:tc>
        <w:tc>
          <w:tcPr>
            <w:tcW w:w="1038"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917,850</w:t>
            </w:r>
          </w:p>
        </w:tc>
        <w:tc>
          <w:tcPr>
            <w:tcW w:w="1553"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17,291,963</w:t>
            </w:r>
          </w:p>
        </w:tc>
      </w:tr>
      <w:tr w:rsidR="001F760E" w:rsidRPr="001F760E" w:rsidTr="001F760E">
        <w:trPr>
          <w:trHeight w:val="240"/>
        </w:trPr>
        <w:tc>
          <w:tcPr>
            <w:tcW w:w="1119" w:type="dxa"/>
            <w:vMerge/>
            <w:tcBorders>
              <w:top w:val="nil"/>
              <w:left w:val="single" w:sz="4" w:space="0" w:color="auto"/>
              <w:bottom w:val="single" w:sz="4" w:space="0" w:color="auto"/>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835,519</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988,650</w:t>
            </w:r>
          </w:p>
        </w:tc>
        <w:tc>
          <w:tcPr>
            <w:tcW w:w="1038"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590,143</w:t>
            </w:r>
          </w:p>
        </w:tc>
        <w:tc>
          <w:tcPr>
            <w:tcW w:w="1553"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11,320,195</w:t>
            </w:r>
          </w:p>
        </w:tc>
      </w:tr>
      <w:tr w:rsidR="001F760E" w:rsidRPr="001F760E" w:rsidTr="001F760E">
        <w:trPr>
          <w:trHeight w:val="240"/>
        </w:trPr>
        <w:tc>
          <w:tcPr>
            <w:tcW w:w="1119" w:type="dxa"/>
            <w:vMerge/>
            <w:tcBorders>
              <w:top w:val="nil"/>
              <w:left w:val="single" w:sz="4" w:space="0" w:color="auto"/>
              <w:bottom w:val="single" w:sz="4" w:space="0" w:color="auto"/>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337,785</w:t>
            </w:r>
          </w:p>
        </w:tc>
        <w:tc>
          <w:tcPr>
            <w:tcW w:w="1265" w:type="dxa"/>
            <w:tcBorders>
              <w:top w:val="nil"/>
              <w:left w:val="nil"/>
              <w:bottom w:val="single" w:sz="4" w:space="0" w:color="auto"/>
              <w:right w:val="nil"/>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293,833</w:t>
            </w:r>
          </w:p>
        </w:tc>
        <w:tc>
          <w:tcPr>
            <w:tcW w:w="1038"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290,126</w:t>
            </w:r>
          </w:p>
        </w:tc>
        <w:tc>
          <w:tcPr>
            <w:tcW w:w="1553" w:type="dxa"/>
            <w:tcBorders>
              <w:top w:val="nil"/>
              <w:left w:val="nil"/>
              <w:bottom w:val="single" w:sz="4" w:space="0" w:color="auto"/>
              <w:right w:val="single" w:sz="4" w:space="0" w:color="auto"/>
            </w:tcBorders>
            <w:shd w:val="clear" w:color="171717" w:fill="C5D9F1"/>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5,034,875</w:t>
            </w:r>
          </w:p>
        </w:tc>
      </w:tr>
      <w:tr w:rsidR="001F760E" w:rsidRPr="001F760E" w:rsidTr="001F760E">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113,304</w:t>
            </w:r>
          </w:p>
        </w:tc>
        <w:tc>
          <w:tcPr>
            <w:tcW w:w="1265" w:type="dxa"/>
            <w:tcBorders>
              <w:top w:val="nil"/>
              <w:left w:val="nil"/>
              <w:bottom w:val="single" w:sz="4"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66,889</w:t>
            </w:r>
          </w:p>
        </w:tc>
        <w:tc>
          <w:tcPr>
            <w:tcW w:w="1038" w:type="dxa"/>
            <w:tcBorders>
              <w:top w:val="nil"/>
              <w:left w:val="nil"/>
              <w:bottom w:val="single" w:sz="4"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48,965</w:t>
            </w:r>
          </w:p>
        </w:tc>
        <w:tc>
          <w:tcPr>
            <w:tcW w:w="1553" w:type="dxa"/>
            <w:tcBorders>
              <w:top w:val="nil"/>
              <w:left w:val="nil"/>
              <w:bottom w:val="single" w:sz="4"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996,928</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56,487</w:t>
            </w:r>
          </w:p>
        </w:tc>
        <w:tc>
          <w:tcPr>
            <w:tcW w:w="1265" w:type="dxa"/>
            <w:tcBorders>
              <w:top w:val="nil"/>
              <w:left w:val="nil"/>
              <w:bottom w:val="single" w:sz="4"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54,500</w:t>
            </w:r>
          </w:p>
        </w:tc>
        <w:tc>
          <w:tcPr>
            <w:tcW w:w="1038" w:type="dxa"/>
            <w:tcBorders>
              <w:top w:val="nil"/>
              <w:left w:val="nil"/>
              <w:bottom w:val="single" w:sz="4"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31,663</w:t>
            </w:r>
          </w:p>
        </w:tc>
        <w:tc>
          <w:tcPr>
            <w:tcW w:w="1553" w:type="dxa"/>
            <w:tcBorders>
              <w:top w:val="nil"/>
              <w:left w:val="nil"/>
              <w:bottom w:val="single" w:sz="4"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633,595</w:t>
            </w:r>
          </w:p>
        </w:tc>
      </w:tr>
      <w:tr w:rsidR="001F760E" w:rsidRPr="001F760E" w:rsidTr="001F760E">
        <w:trPr>
          <w:trHeight w:val="255"/>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15,460</w:t>
            </w:r>
          </w:p>
        </w:tc>
        <w:tc>
          <w:tcPr>
            <w:tcW w:w="1265" w:type="dxa"/>
            <w:tcBorders>
              <w:top w:val="nil"/>
              <w:left w:val="nil"/>
              <w:bottom w:val="single" w:sz="8" w:space="0" w:color="auto"/>
              <w:right w:val="nil"/>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13,049</w:t>
            </w:r>
          </w:p>
        </w:tc>
        <w:tc>
          <w:tcPr>
            <w:tcW w:w="1038" w:type="dxa"/>
            <w:tcBorders>
              <w:top w:val="nil"/>
              <w:left w:val="nil"/>
              <w:bottom w:val="single" w:sz="8"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11,385</w:t>
            </w:r>
          </w:p>
        </w:tc>
        <w:tc>
          <w:tcPr>
            <w:tcW w:w="1553" w:type="dxa"/>
            <w:tcBorders>
              <w:top w:val="nil"/>
              <w:left w:val="nil"/>
              <w:bottom w:val="single" w:sz="8" w:space="0" w:color="auto"/>
              <w:right w:val="single" w:sz="4" w:space="0" w:color="auto"/>
            </w:tcBorders>
            <w:shd w:val="clear" w:color="171717" w:fill="95B3D7"/>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205,024</w:t>
            </w:r>
          </w:p>
        </w:tc>
      </w:tr>
    </w:tbl>
    <w:p w:rsidR="00F17F9F" w:rsidRPr="001F760E" w:rsidRDefault="00F17F9F" w:rsidP="00F17F9F">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1F760E" w:rsidRPr="001F760E" w:rsidTr="00376E84">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1F760E" w:rsidRPr="001F760E" w:rsidRDefault="001F760E" w:rsidP="00376E84">
            <w:pPr>
              <w:spacing w:after="0" w:line="240" w:lineRule="auto"/>
              <w:jc w:val="center"/>
              <w:rPr>
                <w:rFonts w:cs="Arial"/>
                <w:b/>
                <w:bCs/>
                <w:sz w:val="18"/>
                <w:szCs w:val="18"/>
              </w:rPr>
            </w:pPr>
            <w:r w:rsidRPr="001F760E">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1F760E" w:rsidRPr="001F760E" w:rsidRDefault="001F760E"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1.3_P</w:t>
            </w:r>
            <w:r w:rsidRPr="001F760E">
              <w:rPr>
                <w:rFonts w:cs="Arial"/>
                <w:bCs/>
                <w:i/>
                <w:sz w:val="18"/>
                <w:szCs w:val="18"/>
              </w:rPr>
              <w:t>esimista</w:t>
            </w:r>
          </w:p>
        </w:tc>
      </w:tr>
      <w:tr w:rsidR="00F17F9F" w:rsidRPr="001F760E" w:rsidTr="00376E84">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Total Dìario</w:t>
            </w:r>
          </w:p>
        </w:tc>
      </w:tr>
      <w:tr w:rsidR="001F760E" w:rsidRPr="001F760E" w:rsidTr="001F760E">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1,090,300</w:t>
            </w:r>
          </w:p>
        </w:tc>
        <w:tc>
          <w:tcPr>
            <w:tcW w:w="1088" w:type="dxa"/>
            <w:tcBorders>
              <w:top w:val="nil"/>
              <w:left w:val="nil"/>
              <w:bottom w:val="single" w:sz="4" w:space="0" w:color="auto"/>
              <w:right w:val="nil"/>
            </w:tcBorders>
            <w:shd w:val="clear" w:color="171717" w:fill="D7E4BC"/>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740,989</w:t>
            </w:r>
          </w:p>
        </w:tc>
        <w:tc>
          <w:tcPr>
            <w:tcW w:w="1088" w:type="dxa"/>
            <w:tcBorders>
              <w:top w:val="nil"/>
              <w:left w:val="nil"/>
              <w:bottom w:val="single" w:sz="4" w:space="0" w:color="auto"/>
              <w:right w:val="single" w:sz="4" w:space="0" w:color="auto"/>
            </w:tcBorders>
            <w:shd w:val="clear" w:color="171717" w:fill="D7E4BC"/>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535,017</w:t>
            </w:r>
          </w:p>
        </w:tc>
        <w:tc>
          <w:tcPr>
            <w:tcW w:w="1625" w:type="dxa"/>
            <w:tcBorders>
              <w:top w:val="nil"/>
              <w:left w:val="nil"/>
              <w:bottom w:val="single" w:sz="4" w:space="0" w:color="auto"/>
              <w:right w:val="single" w:sz="4" w:space="0" w:color="auto"/>
            </w:tcBorders>
            <w:shd w:val="clear" w:color="171717" w:fill="D7E4BC"/>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10,617,802</w:t>
            </w:r>
          </w:p>
        </w:tc>
      </w:tr>
      <w:tr w:rsidR="001F760E" w:rsidRPr="001F760E" w:rsidTr="001F760E">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157,958</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153,099</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120,437</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2,187,790</w:t>
            </w:r>
          </w:p>
        </w:tc>
      </w:tr>
      <w:tr w:rsidR="001F760E" w:rsidRPr="001F760E" w:rsidTr="001F760E">
        <w:trPr>
          <w:trHeight w:val="499"/>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122,026</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96,042</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99,117</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1,724,655</w:t>
            </w:r>
          </w:p>
        </w:tc>
      </w:tr>
      <w:tr w:rsidR="001F760E" w:rsidRPr="001F760E" w:rsidTr="001F760E">
        <w:trPr>
          <w:trHeight w:val="499"/>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51,465</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28,011</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28,602</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530,783</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 -</w:t>
            </w:r>
            <w:proofErr w:type="gramStart"/>
            <w:r w:rsidRPr="001F760E">
              <w:rPr>
                <w:rFonts w:cs="Arial"/>
                <w:b/>
                <w:bCs/>
                <w:sz w:val="18"/>
                <w:szCs w:val="18"/>
              </w:rPr>
              <w:t xml:space="preserve">  </w:t>
            </w:r>
            <w:proofErr w:type="gramEnd"/>
            <w:r w:rsidRPr="001F760E">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11,817</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590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590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295</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6,198</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6,866</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5,545</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5,454</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95,728</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44,252</w:t>
            </w:r>
          </w:p>
        </w:tc>
      </w:tr>
      <w:tr w:rsidR="001F760E" w:rsidRPr="001F760E" w:rsidTr="001F760E">
        <w:trPr>
          <w:trHeight w:val="240"/>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53,868</w:t>
            </w:r>
          </w:p>
        </w:tc>
      </w:tr>
      <w:tr w:rsidR="001F760E" w:rsidRPr="001F760E" w:rsidTr="001F760E">
        <w:trPr>
          <w:trHeight w:val="499"/>
        </w:trPr>
        <w:tc>
          <w:tcPr>
            <w:tcW w:w="1119" w:type="dxa"/>
            <w:vMerge/>
            <w:tcBorders>
              <w:top w:val="nil"/>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348,878</w:t>
            </w:r>
          </w:p>
        </w:tc>
        <w:tc>
          <w:tcPr>
            <w:tcW w:w="1088" w:type="dxa"/>
            <w:tcBorders>
              <w:top w:val="nil"/>
              <w:left w:val="nil"/>
              <w:bottom w:val="single" w:sz="8" w:space="0" w:color="auto"/>
              <w:right w:val="nil"/>
            </w:tcBorders>
            <w:shd w:val="clear" w:color="171717" w:fill="92D05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291,810</w:t>
            </w:r>
          </w:p>
        </w:tc>
        <w:tc>
          <w:tcPr>
            <w:tcW w:w="1088" w:type="dxa"/>
            <w:tcBorders>
              <w:top w:val="nil"/>
              <w:left w:val="nil"/>
              <w:bottom w:val="single" w:sz="8" w:space="0" w:color="auto"/>
              <w:right w:val="single" w:sz="4" w:space="0" w:color="auto"/>
            </w:tcBorders>
            <w:shd w:val="clear" w:color="171717" w:fill="92D05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259,516</w:t>
            </w:r>
          </w:p>
        </w:tc>
        <w:tc>
          <w:tcPr>
            <w:tcW w:w="1625" w:type="dxa"/>
            <w:tcBorders>
              <w:top w:val="nil"/>
              <w:left w:val="nil"/>
              <w:bottom w:val="single" w:sz="8" w:space="0" w:color="auto"/>
              <w:right w:val="single" w:sz="4" w:space="0" w:color="auto"/>
            </w:tcBorders>
            <w:shd w:val="clear" w:color="171717" w:fill="92D05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4,655,090</w:t>
            </w:r>
          </w:p>
        </w:tc>
      </w:tr>
      <w:tr w:rsidR="001F760E" w:rsidRPr="001F760E" w:rsidTr="00376E84">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1F760E" w:rsidRPr="001F760E" w:rsidRDefault="001F760E" w:rsidP="00376E84">
            <w:pPr>
              <w:spacing w:after="0" w:line="240" w:lineRule="auto"/>
              <w:jc w:val="center"/>
              <w:rPr>
                <w:rFonts w:cs="Arial"/>
                <w:b/>
                <w:bCs/>
                <w:sz w:val="18"/>
                <w:szCs w:val="18"/>
              </w:rPr>
            </w:pPr>
            <w:r w:rsidRPr="001F760E">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1F760E" w:rsidRPr="001F760E" w:rsidRDefault="001F760E"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1.3_P</w:t>
            </w:r>
            <w:r w:rsidRPr="001F760E">
              <w:rPr>
                <w:rFonts w:cs="Arial"/>
                <w:bCs/>
                <w:i/>
                <w:sz w:val="18"/>
                <w:szCs w:val="18"/>
              </w:rPr>
              <w:t>esimista</w:t>
            </w:r>
          </w:p>
        </w:tc>
      </w:tr>
      <w:tr w:rsidR="00F17F9F" w:rsidRPr="001F760E" w:rsidTr="00376E84">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Total Dìario</w:t>
            </w:r>
          </w:p>
        </w:tc>
      </w:tr>
      <w:tr w:rsidR="001F760E" w:rsidRPr="001F760E" w:rsidTr="001F760E">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1F760E" w:rsidRPr="001F760E" w:rsidRDefault="001F760E" w:rsidP="00376E84">
            <w:pPr>
              <w:spacing w:after="0" w:line="240" w:lineRule="auto"/>
              <w:jc w:val="left"/>
              <w:rPr>
                <w:rFonts w:cs="Arial"/>
                <w:b/>
                <w:bCs/>
                <w:color w:val="FFFFFF"/>
                <w:sz w:val="18"/>
                <w:szCs w:val="18"/>
              </w:rPr>
            </w:pPr>
            <w:r w:rsidRPr="001F760E">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598,297</w:t>
            </w:r>
          </w:p>
        </w:tc>
        <w:tc>
          <w:tcPr>
            <w:tcW w:w="1088"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447,063</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296,466</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5,944,776</w:t>
            </w:r>
          </w:p>
        </w:tc>
      </w:tr>
      <w:tr w:rsidR="001F760E" w:rsidRPr="001F760E" w:rsidTr="001F760E">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531,942</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393,466</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284,489</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5,549,175</w:t>
            </w:r>
          </w:p>
        </w:tc>
      </w:tr>
      <w:tr w:rsidR="001F760E" w:rsidRPr="001F760E" w:rsidTr="001F760E">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263,316</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166,829</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124,378</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2,477,206</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 -</w:t>
            </w:r>
            <w:proofErr w:type="gramStart"/>
            <w:r w:rsidRPr="001F760E">
              <w:rPr>
                <w:rFonts w:cs="Arial"/>
                <w:b/>
                <w:bCs/>
                <w:sz w:val="18"/>
                <w:szCs w:val="18"/>
              </w:rPr>
              <w:t xml:space="preserve">  </w:t>
            </w:r>
            <w:proofErr w:type="gramEnd"/>
            <w:r w:rsidRPr="001F760E">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24,752</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21,739</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7,618</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192,021</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12,936</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12,086</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5,213</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117,819</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56,770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40,436</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33,215</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626,201</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39,832</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34,447</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13,458</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323,510</w:t>
            </w:r>
          </w:p>
        </w:tc>
      </w:tr>
      <w:tr w:rsidR="001F760E" w:rsidRPr="001F760E" w:rsidTr="001F760E">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18,542</w:t>
            </w:r>
          </w:p>
        </w:tc>
        <w:tc>
          <w:tcPr>
            <w:tcW w:w="1088"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13,249</w:t>
            </w:r>
          </w:p>
        </w:tc>
        <w:tc>
          <w:tcPr>
            <w:tcW w:w="1088"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7,358</w:t>
            </w:r>
          </w:p>
        </w:tc>
        <w:tc>
          <w:tcPr>
            <w:tcW w:w="162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159,243</w:t>
            </w:r>
          </w:p>
        </w:tc>
      </w:tr>
      <w:tr w:rsidR="001F760E" w:rsidRPr="001F760E" w:rsidTr="001F760E">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1F760E" w:rsidRPr="001F760E" w:rsidRDefault="001F760E" w:rsidP="00376E84">
            <w:pPr>
              <w:spacing w:after="0" w:line="240" w:lineRule="auto"/>
              <w:jc w:val="left"/>
              <w:rPr>
                <w:rFonts w:cs="Arial"/>
                <w:b/>
                <w:bCs/>
                <w:color w:val="FFFFFF"/>
                <w:sz w:val="18"/>
                <w:szCs w:val="18"/>
              </w:rPr>
            </w:pPr>
            <w:r w:rsidRPr="001F760E">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1,546,387</w:t>
            </w:r>
          </w:p>
        </w:tc>
        <w:tc>
          <w:tcPr>
            <w:tcW w:w="1088" w:type="dxa"/>
            <w:tcBorders>
              <w:top w:val="nil"/>
              <w:left w:val="nil"/>
              <w:bottom w:val="single" w:sz="8" w:space="0" w:color="auto"/>
              <w:right w:val="nil"/>
            </w:tcBorders>
            <w:shd w:val="clear" w:color="171717" w:fill="75923C"/>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1,129,316</w:t>
            </w:r>
          </w:p>
        </w:tc>
        <w:tc>
          <w:tcPr>
            <w:tcW w:w="1088" w:type="dxa"/>
            <w:tcBorders>
              <w:top w:val="nil"/>
              <w:left w:val="nil"/>
              <w:bottom w:val="single" w:sz="8" w:space="0" w:color="auto"/>
              <w:right w:val="single" w:sz="4" w:space="0" w:color="auto"/>
            </w:tcBorders>
            <w:shd w:val="clear" w:color="171717" w:fill="75923C"/>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772,196</w:t>
            </w:r>
          </w:p>
        </w:tc>
        <w:tc>
          <w:tcPr>
            <w:tcW w:w="1625" w:type="dxa"/>
            <w:tcBorders>
              <w:top w:val="nil"/>
              <w:left w:val="nil"/>
              <w:bottom w:val="single" w:sz="8" w:space="0" w:color="auto"/>
              <w:right w:val="single" w:sz="4" w:space="0" w:color="auto"/>
            </w:tcBorders>
            <w:shd w:val="clear" w:color="171717" w:fill="75923C"/>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15,389,951</w:t>
            </w:r>
          </w:p>
        </w:tc>
      </w:tr>
    </w:tbl>
    <w:p w:rsidR="00F17F9F" w:rsidRPr="001F760E" w:rsidRDefault="00F17F9F" w:rsidP="00F17F9F">
      <w:pPr>
        <w:spacing w:before="120"/>
        <w:rPr>
          <w:lang w:val="es-ES"/>
        </w:rPr>
      </w:pPr>
      <w:r w:rsidRPr="001F760E">
        <w:rPr>
          <w:lang w:val="es-ES"/>
        </w:rPr>
        <w:t>*número total de segmentos de viaje realizado por todos los viajeros</w:t>
      </w:r>
    </w:p>
    <w:p w:rsidR="00F17F9F" w:rsidRPr="001F760E" w:rsidRDefault="00F17F9F" w:rsidP="00F17F9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1F760E" w:rsidRPr="001F760E" w:rsidTr="00376E8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1F760E" w:rsidRPr="001F760E" w:rsidRDefault="001F760E" w:rsidP="00376E84">
            <w:pPr>
              <w:spacing w:after="0" w:line="240" w:lineRule="auto"/>
              <w:jc w:val="center"/>
              <w:rPr>
                <w:rFonts w:cs="Arial"/>
                <w:b/>
                <w:bCs/>
                <w:sz w:val="18"/>
                <w:szCs w:val="18"/>
              </w:rPr>
            </w:pPr>
            <w:r w:rsidRPr="001F760E">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1F760E" w:rsidRPr="001F760E" w:rsidRDefault="001F760E"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1.3_P</w:t>
            </w:r>
            <w:r w:rsidRPr="001F760E">
              <w:rPr>
                <w:rFonts w:cs="Arial"/>
                <w:bCs/>
                <w:i/>
                <w:sz w:val="18"/>
                <w:szCs w:val="18"/>
              </w:rPr>
              <w:t>esimista</w:t>
            </w:r>
          </w:p>
        </w:tc>
      </w:tr>
      <w:tr w:rsidR="00F17F9F" w:rsidRPr="001F760E" w:rsidTr="00376E8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Total Dìario</w:t>
            </w:r>
          </w:p>
        </w:tc>
      </w:tr>
      <w:tr w:rsidR="001F760E" w:rsidRPr="001F760E" w:rsidTr="001F760E">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1F760E" w:rsidRPr="001F760E" w:rsidRDefault="001F760E" w:rsidP="00376E84">
            <w:pPr>
              <w:spacing w:after="0" w:line="240" w:lineRule="auto"/>
              <w:jc w:val="left"/>
              <w:rPr>
                <w:rFonts w:cs="Arial"/>
                <w:b/>
                <w:bCs/>
                <w:color w:val="FFFFFF"/>
                <w:sz w:val="18"/>
                <w:szCs w:val="18"/>
              </w:rPr>
            </w:pPr>
            <w:r w:rsidRPr="001F760E">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3,304,927</w:t>
            </w:r>
          </w:p>
        </w:tc>
        <w:tc>
          <w:tcPr>
            <w:tcW w:w="1175"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2,742,926</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1,929,340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37,177,127</w:t>
            </w:r>
          </w:p>
        </w:tc>
      </w:tr>
      <w:tr w:rsidR="001F760E" w:rsidRPr="001F760E" w:rsidTr="001F760E">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3,446,702</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2,690,078</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2,062,247</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39,082,769</w:t>
            </w:r>
          </w:p>
        </w:tc>
      </w:tr>
      <w:tr w:rsidR="001F760E" w:rsidRPr="001F760E" w:rsidTr="001F760E">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1,664,305</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1,134,968</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913,332</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17,471,856</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1F760E" w:rsidRPr="001F760E" w:rsidRDefault="001F760E" w:rsidP="00376E84">
            <w:pPr>
              <w:spacing w:after="0" w:line="240" w:lineRule="auto"/>
              <w:jc w:val="left"/>
              <w:rPr>
                <w:rFonts w:cs="Arial"/>
                <w:b/>
                <w:bCs/>
                <w:color w:val="FFFFFF"/>
                <w:sz w:val="18"/>
                <w:szCs w:val="18"/>
              </w:rPr>
            </w:pPr>
            <w:r w:rsidRPr="001F760E">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 -</w:t>
            </w:r>
            <w:proofErr w:type="gramStart"/>
            <w:r w:rsidRPr="001F760E">
              <w:rPr>
                <w:rFonts w:cs="Arial"/>
                <w:b/>
                <w:bCs/>
                <w:sz w:val="18"/>
                <w:szCs w:val="18"/>
              </w:rPr>
              <w:t xml:space="preserve">  </w:t>
            </w:r>
            <w:proofErr w:type="gramEnd"/>
            <w:r w:rsidRPr="001F760E">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370,868</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342,462</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121,664</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3,008,298</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116,772</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118,953</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60,557</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1,258,692</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606,759</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482,228</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444,795</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7,960,312</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492,651</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437,020</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187,220</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4,293,196</w:t>
            </w:r>
          </w:p>
        </w:tc>
      </w:tr>
      <w:tr w:rsidR="001F760E" w:rsidRPr="001F760E" w:rsidTr="001F760E">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134,127</w:t>
            </w:r>
          </w:p>
        </w:tc>
        <w:tc>
          <w:tcPr>
            <w:tcW w:w="1175" w:type="dxa"/>
            <w:tcBorders>
              <w:top w:val="nil"/>
              <w:left w:val="nil"/>
              <w:bottom w:val="single" w:sz="4" w:space="0" w:color="auto"/>
              <w:right w:val="nil"/>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95,736</w:t>
            </w:r>
          </w:p>
        </w:tc>
        <w:tc>
          <w:tcPr>
            <w:tcW w:w="1175"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color w:val="000000"/>
                <w:sz w:val="18"/>
                <w:szCs w:val="18"/>
              </w:rPr>
            </w:pPr>
            <w:r>
              <w:rPr>
                <w:rFonts w:cs="Arial"/>
                <w:color w:val="000000"/>
                <w:sz w:val="18"/>
                <w:szCs w:val="18"/>
              </w:rPr>
              <w:t>55,737</w:t>
            </w:r>
          </w:p>
        </w:tc>
        <w:tc>
          <w:tcPr>
            <w:tcW w:w="1454" w:type="dxa"/>
            <w:tcBorders>
              <w:top w:val="nil"/>
              <w:left w:val="nil"/>
              <w:bottom w:val="single" w:sz="4" w:space="0" w:color="auto"/>
              <w:right w:val="single" w:sz="4" w:space="0" w:color="auto"/>
            </w:tcBorders>
            <w:shd w:val="clear" w:color="171717" w:fill="FFFFFF"/>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1,184,304</w:t>
            </w:r>
          </w:p>
        </w:tc>
      </w:tr>
      <w:tr w:rsidR="001F760E" w:rsidRPr="001F760E" w:rsidTr="001F760E">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1F760E" w:rsidRPr="001F760E" w:rsidRDefault="001F760E" w:rsidP="00376E84">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1F760E" w:rsidRPr="001F760E" w:rsidRDefault="001F760E" w:rsidP="00376E84">
            <w:pPr>
              <w:spacing w:after="0" w:line="240" w:lineRule="auto"/>
              <w:jc w:val="left"/>
              <w:rPr>
                <w:rFonts w:cs="Arial"/>
                <w:b/>
                <w:bCs/>
                <w:color w:val="FFFFFF"/>
                <w:sz w:val="18"/>
                <w:szCs w:val="18"/>
              </w:rPr>
            </w:pPr>
            <w:r w:rsidRPr="001F760E">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10,137,109</w:t>
            </w:r>
          </w:p>
        </w:tc>
        <w:tc>
          <w:tcPr>
            <w:tcW w:w="1175" w:type="dxa"/>
            <w:tcBorders>
              <w:top w:val="nil"/>
              <w:left w:val="nil"/>
              <w:bottom w:val="single" w:sz="8" w:space="0" w:color="auto"/>
              <w:right w:val="nil"/>
            </w:tcBorders>
            <w:shd w:val="clear" w:color="171717" w:fill="4F6228"/>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8,044,371</w:t>
            </w:r>
          </w:p>
        </w:tc>
        <w:tc>
          <w:tcPr>
            <w:tcW w:w="1175" w:type="dxa"/>
            <w:tcBorders>
              <w:top w:val="nil"/>
              <w:left w:val="nil"/>
              <w:bottom w:val="single" w:sz="8" w:space="0" w:color="auto"/>
              <w:right w:val="single" w:sz="4" w:space="0" w:color="auto"/>
            </w:tcBorders>
            <w:shd w:val="clear" w:color="171717" w:fill="4F6228"/>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5,774,892</w:t>
            </w:r>
          </w:p>
        </w:tc>
        <w:tc>
          <w:tcPr>
            <w:tcW w:w="1454" w:type="dxa"/>
            <w:tcBorders>
              <w:top w:val="nil"/>
              <w:left w:val="nil"/>
              <w:bottom w:val="single" w:sz="8" w:space="0" w:color="auto"/>
              <w:right w:val="single" w:sz="4" w:space="0" w:color="auto"/>
            </w:tcBorders>
            <w:shd w:val="clear" w:color="171717" w:fill="4F6228"/>
            <w:noWrap/>
            <w:vAlign w:val="center"/>
            <w:hideMark/>
          </w:tcPr>
          <w:p w:rsidR="001F760E" w:rsidRDefault="001F760E" w:rsidP="001F760E">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111,436,554</w:t>
            </w:r>
          </w:p>
        </w:tc>
      </w:tr>
    </w:tbl>
    <w:p w:rsidR="00F17F9F" w:rsidRPr="001F760E" w:rsidRDefault="00F17F9F" w:rsidP="00F17F9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1F760E" w:rsidRPr="001F760E" w:rsidTr="00376E8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1F760E" w:rsidRPr="001F760E" w:rsidRDefault="001F760E" w:rsidP="00376E84">
            <w:pPr>
              <w:spacing w:after="0" w:line="240" w:lineRule="auto"/>
              <w:jc w:val="center"/>
              <w:rPr>
                <w:rFonts w:cs="Arial"/>
                <w:b/>
                <w:bCs/>
                <w:sz w:val="18"/>
                <w:szCs w:val="18"/>
              </w:rPr>
            </w:pPr>
            <w:r w:rsidRPr="001F760E">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1F760E" w:rsidRPr="001F760E" w:rsidRDefault="001F760E"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1.3_P</w:t>
            </w:r>
            <w:r w:rsidRPr="001F760E">
              <w:rPr>
                <w:rFonts w:cs="Arial"/>
                <w:bCs/>
                <w:i/>
                <w:sz w:val="18"/>
                <w:szCs w:val="18"/>
              </w:rPr>
              <w:t>esimista</w:t>
            </w:r>
          </w:p>
        </w:tc>
      </w:tr>
      <w:tr w:rsidR="00F17F9F" w:rsidRPr="001F760E" w:rsidTr="00376E84">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F17F9F" w:rsidRPr="001F760E" w:rsidRDefault="00F17F9F" w:rsidP="00376E84">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F17F9F" w:rsidRPr="001F760E" w:rsidRDefault="00F17F9F" w:rsidP="00376E84">
            <w:pPr>
              <w:spacing w:after="0" w:line="240" w:lineRule="auto"/>
              <w:jc w:val="center"/>
              <w:rPr>
                <w:rFonts w:cs="Arial"/>
                <w:b/>
                <w:bCs/>
                <w:sz w:val="18"/>
                <w:szCs w:val="18"/>
              </w:rPr>
            </w:pPr>
            <w:r w:rsidRPr="001F760E">
              <w:rPr>
                <w:rFonts w:cs="Arial"/>
                <w:b/>
                <w:bCs/>
                <w:sz w:val="18"/>
                <w:szCs w:val="18"/>
              </w:rPr>
              <w:t>Total Dìario</w:t>
            </w:r>
          </w:p>
        </w:tc>
      </w:tr>
      <w:tr w:rsidR="001F760E" w:rsidRPr="001F760E" w:rsidTr="001F760E">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41,000,785</w:t>
            </w:r>
          </w:p>
        </w:tc>
        <w:tc>
          <w:tcPr>
            <w:tcW w:w="1247" w:type="dxa"/>
            <w:tcBorders>
              <w:top w:val="single" w:sz="4" w:space="0" w:color="auto"/>
              <w:left w:val="nil"/>
              <w:bottom w:val="single" w:sz="4" w:space="0" w:color="auto"/>
              <w:right w:val="nil"/>
            </w:tcBorders>
            <w:shd w:val="clear" w:color="171717" w:fill="FFFF99"/>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39,632,261</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37,005,765</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642,341,034</w:t>
            </w:r>
          </w:p>
        </w:tc>
      </w:tr>
      <w:tr w:rsidR="001F760E" w:rsidRPr="001F760E" w:rsidTr="001F760E">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1F760E" w:rsidRPr="001F760E" w:rsidRDefault="001F760E" w:rsidP="00376E84">
            <w:pPr>
              <w:spacing w:after="0" w:line="240" w:lineRule="auto"/>
              <w:jc w:val="left"/>
              <w:rPr>
                <w:rFonts w:cs="Arial"/>
                <w:sz w:val="18"/>
                <w:szCs w:val="18"/>
              </w:rPr>
            </w:pPr>
            <w:r w:rsidRPr="001F760E">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41.83%</w:t>
            </w:r>
          </w:p>
        </w:tc>
        <w:tc>
          <w:tcPr>
            <w:tcW w:w="1247" w:type="dxa"/>
            <w:tcBorders>
              <w:top w:val="nil"/>
              <w:left w:val="nil"/>
              <w:bottom w:val="single" w:sz="4" w:space="0" w:color="auto"/>
              <w:right w:val="nil"/>
            </w:tcBorders>
            <w:shd w:val="clear" w:color="171717" w:fill="FFFF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52.41%</w:t>
            </w:r>
          </w:p>
        </w:tc>
        <w:tc>
          <w:tcPr>
            <w:tcW w:w="1247" w:type="dxa"/>
            <w:tcBorders>
              <w:top w:val="nil"/>
              <w:left w:val="nil"/>
              <w:bottom w:val="single" w:sz="4" w:space="0" w:color="auto"/>
              <w:right w:val="single" w:sz="4" w:space="0" w:color="auto"/>
            </w:tcBorders>
            <w:shd w:val="clear" w:color="171717" w:fill="FFFF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44.33%</w:t>
            </w:r>
          </w:p>
        </w:tc>
        <w:tc>
          <w:tcPr>
            <w:tcW w:w="1379" w:type="dxa"/>
            <w:tcBorders>
              <w:top w:val="nil"/>
              <w:left w:val="nil"/>
              <w:bottom w:val="single" w:sz="4" w:space="0" w:color="auto"/>
              <w:right w:val="single" w:sz="4" w:space="0" w:color="auto"/>
            </w:tcBorders>
            <w:shd w:val="clear" w:color="171717" w:fill="FFFF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r w:rsidR="001F760E" w:rsidRPr="007226D7" w:rsidTr="001F760E">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1F760E" w:rsidRPr="001F760E" w:rsidRDefault="001F760E" w:rsidP="00376E84">
            <w:pPr>
              <w:spacing w:after="0" w:line="240" w:lineRule="auto"/>
              <w:jc w:val="left"/>
              <w:rPr>
                <w:rFonts w:cs="Arial"/>
                <w:b/>
                <w:bCs/>
                <w:sz w:val="18"/>
                <w:szCs w:val="18"/>
              </w:rPr>
            </w:pPr>
            <w:r w:rsidRPr="001F760E">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44.27</w:t>
            </w:r>
          </w:p>
        </w:tc>
        <w:tc>
          <w:tcPr>
            <w:tcW w:w="1247" w:type="dxa"/>
            <w:tcBorders>
              <w:top w:val="nil"/>
              <w:left w:val="nil"/>
              <w:bottom w:val="single" w:sz="4" w:space="0" w:color="auto"/>
              <w:right w:val="nil"/>
            </w:tcBorders>
            <w:shd w:val="clear" w:color="171717" w:fill="FFC0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47.78</w:t>
            </w:r>
          </w:p>
        </w:tc>
        <w:tc>
          <w:tcPr>
            <w:tcW w:w="1247" w:type="dxa"/>
            <w:tcBorders>
              <w:top w:val="nil"/>
              <w:left w:val="nil"/>
              <w:bottom w:val="single" w:sz="4" w:space="0" w:color="auto"/>
              <w:right w:val="single" w:sz="4" w:space="0" w:color="auto"/>
            </w:tcBorders>
            <w:shd w:val="clear" w:color="171717" w:fill="FFC0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44.67</w:t>
            </w:r>
          </w:p>
        </w:tc>
        <w:tc>
          <w:tcPr>
            <w:tcW w:w="1379" w:type="dxa"/>
            <w:tcBorders>
              <w:top w:val="nil"/>
              <w:left w:val="nil"/>
              <w:bottom w:val="single" w:sz="4" w:space="0" w:color="auto"/>
              <w:right w:val="single" w:sz="4" w:space="0" w:color="auto"/>
            </w:tcBorders>
            <w:shd w:val="clear" w:color="171717" w:fill="FFC000"/>
            <w:noWrap/>
            <w:vAlign w:val="center"/>
            <w:hideMark/>
          </w:tcPr>
          <w:p w:rsidR="001F760E" w:rsidRDefault="001F760E" w:rsidP="001F760E">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bl>
    <w:p w:rsidR="00F17F9F" w:rsidRPr="007226D7" w:rsidRDefault="00F17F9F" w:rsidP="00F17F9F">
      <w:pPr>
        <w:rPr>
          <w:lang w:val="es-ES"/>
        </w:rPr>
      </w:pPr>
      <w:r w:rsidRPr="007226D7">
        <w:rPr>
          <w:lang w:val="es-ES"/>
        </w:rPr>
        <w:t>**incluye sólo el tiempo real de viaje y no considere el tiempo de parada.</w:t>
      </w:r>
    </w:p>
    <w:p w:rsidR="00F17F9F" w:rsidRPr="007226D7" w:rsidRDefault="00F17F9F" w:rsidP="00F17F9F">
      <w:pPr>
        <w:rPr>
          <w:lang w:val="es-ES"/>
        </w:rPr>
      </w:pPr>
    </w:p>
    <w:p w:rsidR="00F17F9F" w:rsidRPr="007226D7" w:rsidRDefault="00F17F9F" w:rsidP="00F17F9F">
      <w:pPr>
        <w:rPr>
          <w:lang w:val="es-ES"/>
        </w:rPr>
      </w:pPr>
    </w:p>
    <w:p w:rsidR="00F17F9F" w:rsidRPr="007226D7" w:rsidRDefault="00F17F9F" w:rsidP="00F17F9F">
      <w:pPr>
        <w:rPr>
          <w:lang w:val="es-ES"/>
        </w:rPr>
      </w:pPr>
    </w:p>
    <w:p w:rsidR="00F17F9F" w:rsidRPr="007226D7" w:rsidRDefault="00F17F9F" w:rsidP="00F17F9F">
      <w:pPr>
        <w:rPr>
          <w:lang w:val="es-ES"/>
        </w:rPr>
      </w:pPr>
    </w:p>
    <w:p w:rsidR="00F17F9F" w:rsidRPr="007226D7" w:rsidRDefault="00F17F9F" w:rsidP="00F17F9F">
      <w:pPr>
        <w:rPr>
          <w:lang w:val="es-ES"/>
        </w:rPr>
      </w:pPr>
    </w:p>
    <w:p w:rsidR="00F17F9F" w:rsidRPr="007226D7" w:rsidRDefault="00F17F9F" w:rsidP="00F17F9F">
      <w:pPr>
        <w:spacing w:after="0" w:line="240" w:lineRule="auto"/>
        <w:jc w:val="left"/>
        <w:rPr>
          <w:lang w:val="es-ES"/>
        </w:rPr>
      </w:pPr>
      <w:r w:rsidRPr="007226D7">
        <w:rPr>
          <w:lang w:val="es-ES"/>
        </w:rPr>
        <w:t>A continuación se muestran los datos de demanda, subidas y bajadas de la Línea 2 del metro de Lima.</w:t>
      </w:r>
    </w:p>
    <w:p w:rsidR="00F17F9F" w:rsidRPr="007226D7" w:rsidRDefault="00F17F9F" w:rsidP="00F17F9F">
      <w:pPr>
        <w:spacing w:after="0" w:line="240" w:lineRule="auto"/>
        <w:jc w:val="left"/>
        <w:rPr>
          <w:color w:val="FF0000"/>
          <w:lang w:val="es-ES"/>
        </w:rPr>
      </w:pPr>
    </w:p>
    <w:p w:rsidR="00F17F9F" w:rsidRPr="007226D7" w:rsidRDefault="00F17F9F" w:rsidP="00F17F9F">
      <w:pPr>
        <w:spacing w:after="0" w:line="240" w:lineRule="auto"/>
        <w:jc w:val="left"/>
        <w:rPr>
          <w:lang w:val="es-ES"/>
        </w:rPr>
        <w:sectPr w:rsidR="00F17F9F" w:rsidRPr="007226D7" w:rsidSect="00616C7B">
          <w:pgSz w:w="11907" w:h="16840" w:code="9"/>
          <w:pgMar w:top="1985" w:right="1134" w:bottom="1701" w:left="1418" w:header="720" w:footer="833" w:gutter="0"/>
          <w:paperSrc w:first="15" w:other="15"/>
          <w:cols w:space="720"/>
          <w:docGrid w:linePitch="299"/>
        </w:sectPr>
      </w:pPr>
    </w:p>
    <w:p w:rsidR="00F17F9F" w:rsidRPr="007226D7" w:rsidRDefault="008C0020" w:rsidP="00F17F9F">
      <w:pPr>
        <w:spacing w:after="0" w:line="240" w:lineRule="auto"/>
        <w:jc w:val="center"/>
      </w:pPr>
      <w:r w:rsidRPr="008C0020">
        <w:rPr>
          <w:noProof/>
          <w:lang w:val="en-US" w:eastAsia="en-US"/>
        </w:rPr>
        <w:lastRenderedPageBreak/>
        <w:drawing>
          <wp:inline distT="0" distB="0" distL="0" distR="0" wp14:anchorId="78E5EABF" wp14:editId="276BAB7B">
            <wp:extent cx="3193748" cy="5172965"/>
            <wp:effectExtent l="19050" t="0" r="6652" b="0"/>
            <wp:docPr id="636"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7"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F17F9F" w:rsidP="00F17F9F">
      <w:pPr>
        <w:pStyle w:val="Figuras"/>
      </w:pPr>
      <w:r w:rsidRPr="007226D7">
        <w:rPr>
          <w:noProof/>
        </w:rPr>
        <w:t>Tabla 4.</w:t>
      </w:r>
      <w:r w:rsidR="008C0020">
        <w:rPr>
          <w:noProof/>
        </w:rPr>
        <w:t>8</w:t>
      </w:r>
      <w:r w:rsidRPr="007226D7">
        <w:rPr>
          <w:noProof/>
        </w:rPr>
        <w:t xml:space="preserve"> –</w:t>
      </w:r>
      <w:r w:rsidR="008C0020">
        <w:rPr>
          <w:noProof/>
        </w:rPr>
        <w:t>2</w:t>
      </w:r>
      <w:r w:rsidRPr="007226D7">
        <w:rPr>
          <w:noProof/>
        </w:rPr>
        <w:t xml:space="preserve">: </w:t>
      </w:r>
      <w:r w:rsidRPr="007226D7">
        <w:t>Subidos y Bajados –HPM – 20</w:t>
      </w:r>
      <w:r w:rsidR="008C0020">
        <w:t>18</w:t>
      </w:r>
      <w:r w:rsidRPr="007226D7">
        <w:t xml:space="preserve"> - ESC </w:t>
      </w:r>
      <w:r w:rsidR="008C0020">
        <w:t>1.3_P</w:t>
      </w:r>
    </w:p>
    <w:p w:rsidR="00F17F9F" w:rsidRPr="007226D7" w:rsidRDefault="008C0020" w:rsidP="00F17F9F">
      <w:pPr>
        <w:jc w:val="center"/>
        <w:rPr>
          <w:lang w:val="es-ES"/>
        </w:rPr>
      </w:pPr>
      <w:r w:rsidRPr="008C0020">
        <w:rPr>
          <w:noProof/>
          <w:lang w:val="en-US" w:eastAsia="en-US"/>
        </w:rPr>
        <w:lastRenderedPageBreak/>
        <w:drawing>
          <wp:inline distT="0" distB="0" distL="0" distR="0" wp14:anchorId="689E5E87" wp14:editId="1E9D60DF">
            <wp:extent cx="3193748" cy="5172965"/>
            <wp:effectExtent l="19050" t="0" r="6652" b="0"/>
            <wp:docPr id="635"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F17F9F" w:rsidP="00F17F9F">
      <w:pPr>
        <w:rPr>
          <w:lang w:val="es-ES"/>
        </w:rPr>
      </w:pPr>
    </w:p>
    <w:p w:rsidR="00F17F9F" w:rsidRPr="007226D7" w:rsidRDefault="00F17F9F" w:rsidP="00F17F9F">
      <w:pPr>
        <w:rPr>
          <w:lang w:val="es-ES"/>
        </w:rPr>
        <w:sectPr w:rsidR="00F17F9F" w:rsidRPr="007226D7" w:rsidSect="00200C3A">
          <w:pgSz w:w="16840" w:h="11907" w:orient="landscape" w:code="9"/>
          <w:pgMar w:top="1418" w:right="1985" w:bottom="1134" w:left="1701" w:header="720" w:footer="833" w:gutter="0"/>
          <w:paperSrc w:first="15" w:other="15"/>
          <w:cols w:num="2" w:space="720"/>
          <w:docGrid w:linePitch="299"/>
        </w:sectPr>
      </w:pPr>
    </w:p>
    <w:p w:rsidR="00F17F9F" w:rsidRPr="007226D7" w:rsidRDefault="00BB4A47" w:rsidP="00F17F9F">
      <w:pPr>
        <w:rPr>
          <w:lang w:val="es-ES"/>
        </w:rPr>
      </w:pPr>
      <w:r w:rsidRPr="00BB4A47">
        <w:rPr>
          <w:noProof/>
          <w:lang w:val="en-US" w:eastAsia="en-US"/>
        </w:rPr>
        <w:lastRenderedPageBreak/>
        <w:drawing>
          <wp:inline distT="0" distB="0" distL="0" distR="0" wp14:anchorId="169A2035" wp14:editId="31D258E3">
            <wp:extent cx="8282763" cy="4784651"/>
            <wp:effectExtent l="0" t="0" r="0" b="0"/>
            <wp:docPr id="801" name="Gra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F17F9F" w:rsidRPr="007226D7" w:rsidRDefault="00BB4A47" w:rsidP="00F17F9F">
      <w:pPr>
        <w:pStyle w:val="Figuras"/>
      </w:pPr>
      <w:r>
        <w:t>Figura 4.8</w:t>
      </w:r>
      <w:r w:rsidR="00F17F9F" w:rsidRPr="007226D7">
        <w:t>-</w:t>
      </w:r>
      <w:r>
        <w:t>3</w:t>
      </w:r>
      <w:r w:rsidR="00F17F9F" w:rsidRPr="007226D7">
        <w:t>: Grafico de los Subidos y Bajados –HPM – 20</w:t>
      </w:r>
      <w:r>
        <w:t>18</w:t>
      </w:r>
      <w:r w:rsidR="00F17F9F" w:rsidRPr="007226D7">
        <w:t xml:space="preserve"> - ESC </w:t>
      </w:r>
      <w:r>
        <w:t>1.3_P</w:t>
      </w:r>
      <w:r w:rsidR="00F17F9F" w:rsidRPr="007226D7">
        <w:t xml:space="preserve"> – sentido E-O</w:t>
      </w:r>
    </w:p>
    <w:p w:rsidR="00F17F9F" w:rsidRPr="007226D7" w:rsidRDefault="00F17F9F" w:rsidP="00F17F9F">
      <w:pPr>
        <w:spacing w:after="0" w:line="240" w:lineRule="auto"/>
        <w:jc w:val="left"/>
        <w:rPr>
          <w:lang w:val="es-ES"/>
        </w:rPr>
      </w:pPr>
      <w:r w:rsidRPr="007226D7">
        <w:rPr>
          <w:lang w:val="es-ES"/>
        </w:rPr>
        <w:br w:type="page"/>
      </w:r>
    </w:p>
    <w:p w:rsidR="00F17F9F" w:rsidRPr="0031045E" w:rsidRDefault="00BB4A47" w:rsidP="00F17F9F">
      <w:pPr>
        <w:rPr>
          <w:lang w:val="es-ES"/>
        </w:rPr>
      </w:pPr>
      <w:r w:rsidRPr="00BB4A47">
        <w:rPr>
          <w:noProof/>
          <w:lang w:val="en-US" w:eastAsia="en-US"/>
        </w:rPr>
        <w:lastRenderedPageBreak/>
        <w:drawing>
          <wp:inline distT="0" distB="0" distL="0" distR="0" wp14:anchorId="6DA8C8D0" wp14:editId="7F2CD748">
            <wp:extent cx="8389088" cy="4933507"/>
            <wp:effectExtent l="0" t="0" r="0" b="0"/>
            <wp:docPr id="802" name="Gra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F17F9F" w:rsidRPr="007226D7" w:rsidRDefault="00BB4A47" w:rsidP="00BB4A47">
      <w:pPr>
        <w:pStyle w:val="Figuras"/>
      </w:pPr>
      <w:r>
        <w:t>Figura 4.8</w:t>
      </w:r>
      <w:r w:rsidRPr="007226D7">
        <w:t>-</w:t>
      </w:r>
      <w:r w:rsidR="00BC50CD">
        <w:t>4</w:t>
      </w:r>
      <w:r w:rsidRPr="007226D7">
        <w:t>: Grafico de los Subidos y Bajados –HPM – 20</w:t>
      </w:r>
      <w:r>
        <w:t>18</w:t>
      </w:r>
      <w:r w:rsidRPr="007226D7">
        <w:t xml:space="preserve"> - ESC </w:t>
      </w:r>
      <w:r>
        <w:t>1.3_P – sentido O-E</w:t>
      </w:r>
    </w:p>
    <w:p w:rsidR="00F17F9F" w:rsidRPr="007226D7" w:rsidRDefault="00F17F9F" w:rsidP="00F17F9F">
      <w:pPr>
        <w:rPr>
          <w:lang w:val="es-ES"/>
        </w:rPr>
      </w:pPr>
    </w:p>
    <w:p w:rsidR="00F17F9F" w:rsidRPr="007226D7" w:rsidRDefault="00F17F9F" w:rsidP="00F17F9F">
      <w:pPr>
        <w:rPr>
          <w:lang w:val="es-ES"/>
        </w:rPr>
        <w:sectPr w:rsidR="00F17F9F" w:rsidRPr="007226D7" w:rsidSect="003A73C7">
          <w:pgSz w:w="16840" w:h="11907" w:orient="landscape" w:code="9"/>
          <w:pgMar w:top="1418" w:right="1985" w:bottom="1134" w:left="1701" w:header="720" w:footer="833" w:gutter="0"/>
          <w:paperSrc w:first="15" w:other="15"/>
          <w:cols w:space="720"/>
          <w:docGrid w:linePitch="299"/>
        </w:sectPr>
      </w:pPr>
    </w:p>
    <w:p w:rsidR="00F17F9F" w:rsidRPr="007226D7" w:rsidRDefault="006057A6" w:rsidP="00F17F9F">
      <w:pPr>
        <w:jc w:val="center"/>
        <w:rPr>
          <w:lang w:val="es-ES"/>
        </w:rPr>
      </w:pPr>
      <w:r w:rsidRPr="006057A6">
        <w:rPr>
          <w:noProof/>
          <w:lang w:val="en-US" w:eastAsia="en-US"/>
        </w:rPr>
        <w:lastRenderedPageBreak/>
        <w:drawing>
          <wp:inline distT="0" distB="0" distL="0" distR="0" wp14:anchorId="764BF1CB" wp14:editId="5A87F6B3">
            <wp:extent cx="3193748" cy="5172965"/>
            <wp:effectExtent l="19050" t="0" r="6652" b="0"/>
            <wp:docPr id="637"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8C0020" w:rsidP="00F17F9F">
      <w:pPr>
        <w:pStyle w:val="Figuras"/>
      </w:pPr>
      <w:r w:rsidRPr="007226D7">
        <w:rPr>
          <w:noProof/>
        </w:rPr>
        <w:t>Tabla 4.</w:t>
      </w:r>
      <w:r>
        <w:rPr>
          <w:noProof/>
        </w:rPr>
        <w:t>8</w:t>
      </w:r>
      <w:r w:rsidRPr="007226D7">
        <w:rPr>
          <w:noProof/>
        </w:rPr>
        <w:t xml:space="preserve"> –</w:t>
      </w:r>
      <w:r>
        <w:rPr>
          <w:noProof/>
        </w:rPr>
        <w:t>3</w:t>
      </w:r>
      <w:r w:rsidRPr="007226D7">
        <w:rPr>
          <w:noProof/>
        </w:rPr>
        <w:t xml:space="preserve">: </w:t>
      </w:r>
      <w:r w:rsidRPr="007226D7">
        <w:t>Subidos y Bajados –HP</w:t>
      </w:r>
      <w:r>
        <w:t>T</w:t>
      </w:r>
      <w:r w:rsidRPr="007226D7">
        <w:t xml:space="preserve"> – 20</w:t>
      </w:r>
      <w:r>
        <w:t>18</w:t>
      </w:r>
      <w:r w:rsidRPr="007226D7">
        <w:t xml:space="preserve"> - ESC </w:t>
      </w:r>
      <w:r>
        <w:t>1.3_P</w:t>
      </w:r>
    </w:p>
    <w:p w:rsidR="00F17F9F" w:rsidRPr="008C0020" w:rsidRDefault="006057A6" w:rsidP="00F17F9F">
      <w:pPr>
        <w:jc w:val="center"/>
        <w:rPr>
          <w:lang w:val="es-ES"/>
        </w:rPr>
      </w:pPr>
      <w:r w:rsidRPr="006057A6">
        <w:rPr>
          <w:noProof/>
          <w:lang w:val="en-US" w:eastAsia="en-US"/>
        </w:rPr>
        <w:lastRenderedPageBreak/>
        <w:drawing>
          <wp:inline distT="0" distB="0" distL="0" distR="0" wp14:anchorId="2D1017E8" wp14:editId="5D71E1D1">
            <wp:extent cx="3193748" cy="5172965"/>
            <wp:effectExtent l="19050" t="0" r="6652" b="0"/>
            <wp:docPr id="638"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F17F9F" w:rsidP="00F17F9F">
      <w:pPr>
        <w:rPr>
          <w:lang w:val="es-ES"/>
        </w:rPr>
      </w:pPr>
    </w:p>
    <w:p w:rsidR="00F17F9F" w:rsidRPr="007226D7" w:rsidRDefault="00F17F9F" w:rsidP="00F17F9F">
      <w:pPr>
        <w:rPr>
          <w:lang w:val="es-ES"/>
        </w:rPr>
        <w:sectPr w:rsidR="00F17F9F" w:rsidRPr="007226D7" w:rsidSect="00337EAA">
          <w:pgSz w:w="16840" w:h="11907" w:orient="landscape" w:code="9"/>
          <w:pgMar w:top="1418" w:right="1985" w:bottom="1134" w:left="1701" w:header="720" w:footer="833" w:gutter="0"/>
          <w:paperSrc w:first="15" w:other="15"/>
          <w:cols w:num="2" w:space="720"/>
          <w:docGrid w:linePitch="299"/>
        </w:sectPr>
      </w:pPr>
    </w:p>
    <w:p w:rsidR="00F17F9F" w:rsidRPr="007226D7" w:rsidRDefault="00BC50CD" w:rsidP="00F17F9F">
      <w:pPr>
        <w:rPr>
          <w:lang w:val="es-ES"/>
        </w:rPr>
      </w:pPr>
      <w:r w:rsidRPr="00BC50CD">
        <w:rPr>
          <w:noProof/>
          <w:lang w:val="en-US" w:eastAsia="en-US"/>
        </w:rPr>
        <w:lastRenderedPageBreak/>
        <w:drawing>
          <wp:inline distT="0" distB="0" distL="0" distR="0" wp14:anchorId="74F0F427" wp14:editId="5AD36537">
            <wp:extent cx="8346558" cy="4912242"/>
            <wp:effectExtent l="0" t="0" r="0" b="0"/>
            <wp:docPr id="804" name="Gra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BC50CD" w:rsidRPr="007226D7" w:rsidRDefault="00BC50CD" w:rsidP="00BC50CD">
      <w:pPr>
        <w:pStyle w:val="Figuras"/>
      </w:pPr>
      <w:r>
        <w:t>Figura 4.8</w:t>
      </w:r>
      <w:r w:rsidRPr="007226D7">
        <w:t>-</w:t>
      </w:r>
      <w:r>
        <w:t>5</w:t>
      </w:r>
      <w:r w:rsidRPr="007226D7">
        <w:t>: Grafico de los Subidos y Bajados –HP</w:t>
      </w:r>
      <w:r>
        <w:t>T</w:t>
      </w:r>
      <w:r w:rsidRPr="007226D7">
        <w:t xml:space="preserve"> – 20</w:t>
      </w:r>
      <w:r w:rsidR="009522FF">
        <w:t>18</w:t>
      </w:r>
      <w:r w:rsidRPr="007226D7">
        <w:t xml:space="preserve"> - ESC </w:t>
      </w:r>
      <w:r w:rsidR="009522FF">
        <w:t>1</w:t>
      </w:r>
      <w:r>
        <w:t>.3_P – sentido E-O</w:t>
      </w:r>
    </w:p>
    <w:p w:rsidR="00F17F9F" w:rsidRPr="007226D7" w:rsidRDefault="00F17F9F" w:rsidP="00F17F9F">
      <w:pPr>
        <w:spacing w:after="0" w:line="240" w:lineRule="auto"/>
        <w:jc w:val="left"/>
        <w:rPr>
          <w:lang w:val="es-ES"/>
        </w:rPr>
      </w:pPr>
      <w:r w:rsidRPr="007226D7">
        <w:rPr>
          <w:lang w:val="es-ES"/>
        </w:rPr>
        <w:br w:type="page"/>
      </w:r>
    </w:p>
    <w:p w:rsidR="00F17F9F" w:rsidRPr="0031045E" w:rsidRDefault="00BC50CD" w:rsidP="00F17F9F">
      <w:pPr>
        <w:rPr>
          <w:lang w:val="es-ES"/>
        </w:rPr>
      </w:pPr>
      <w:r w:rsidRPr="00BC50CD">
        <w:rPr>
          <w:noProof/>
          <w:lang w:val="en-US" w:eastAsia="en-US"/>
        </w:rPr>
        <w:lastRenderedPageBreak/>
        <w:drawing>
          <wp:inline distT="0" distB="0" distL="0" distR="0" wp14:anchorId="7ADEE224" wp14:editId="5396863F">
            <wp:extent cx="8325293" cy="4933507"/>
            <wp:effectExtent l="0" t="0" r="0" b="0"/>
            <wp:docPr id="805" name="Gra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F17F9F" w:rsidRPr="007226D7" w:rsidRDefault="00BC50CD" w:rsidP="00BC50CD">
      <w:pPr>
        <w:pStyle w:val="Figuras"/>
      </w:pPr>
      <w:r>
        <w:t>Figura 4.8</w:t>
      </w:r>
      <w:r w:rsidRPr="007226D7">
        <w:t>-</w:t>
      </w:r>
      <w:r>
        <w:t>6</w:t>
      </w:r>
      <w:r w:rsidRPr="007226D7">
        <w:t>: Grafico de los Subidos y Bajados –HP</w:t>
      </w:r>
      <w:r>
        <w:t>T</w:t>
      </w:r>
      <w:r w:rsidRPr="007226D7">
        <w:t xml:space="preserve"> – </w:t>
      </w:r>
      <w:r w:rsidR="009522FF" w:rsidRPr="007226D7">
        <w:t>20</w:t>
      </w:r>
      <w:r w:rsidR="009522FF">
        <w:t>18</w:t>
      </w:r>
      <w:r w:rsidR="009522FF" w:rsidRPr="007226D7">
        <w:t xml:space="preserve"> - ESC </w:t>
      </w:r>
      <w:r w:rsidR="009522FF">
        <w:t xml:space="preserve">1.3_P </w:t>
      </w:r>
      <w:r>
        <w:t>– sentido O-E</w:t>
      </w:r>
    </w:p>
    <w:p w:rsidR="00F17F9F" w:rsidRPr="007226D7" w:rsidRDefault="00F17F9F" w:rsidP="00F17F9F">
      <w:pPr>
        <w:rPr>
          <w:lang w:val="es-ES"/>
        </w:rPr>
      </w:pPr>
    </w:p>
    <w:p w:rsidR="00F17F9F" w:rsidRPr="007226D7" w:rsidRDefault="00F17F9F" w:rsidP="00F17F9F">
      <w:pPr>
        <w:rPr>
          <w:lang w:val="es-ES"/>
        </w:rPr>
        <w:sectPr w:rsidR="00F17F9F" w:rsidRPr="007226D7" w:rsidSect="003A73C7">
          <w:pgSz w:w="16840" w:h="11907" w:orient="landscape" w:code="9"/>
          <w:pgMar w:top="1418" w:right="1985" w:bottom="1134" w:left="1701" w:header="720" w:footer="833" w:gutter="0"/>
          <w:paperSrc w:first="15" w:other="15"/>
          <w:cols w:space="720"/>
          <w:docGrid w:linePitch="299"/>
        </w:sectPr>
      </w:pPr>
    </w:p>
    <w:p w:rsidR="00F17F9F" w:rsidRPr="007226D7" w:rsidRDefault="006057A6" w:rsidP="00F17F9F">
      <w:pPr>
        <w:jc w:val="center"/>
        <w:rPr>
          <w:lang w:val="es-ES"/>
        </w:rPr>
      </w:pPr>
      <w:r w:rsidRPr="006057A6">
        <w:rPr>
          <w:noProof/>
          <w:lang w:val="en-US" w:eastAsia="en-US"/>
        </w:rPr>
        <w:lastRenderedPageBreak/>
        <w:drawing>
          <wp:inline distT="0" distB="0" distL="0" distR="0" wp14:anchorId="50A912CD" wp14:editId="01431C3E">
            <wp:extent cx="3193748" cy="5172965"/>
            <wp:effectExtent l="19050" t="0" r="6652" b="0"/>
            <wp:docPr id="639"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5"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8C0020" w:rsidP="00F17F9F">
      <w:pPr>
        <w:pStyle w:val="Figuras"/>
      </w:pPr>
      <w:r w:rsidRPr="007226D7">
        <w:rPr>
          <w:noProof/>
        </w:rPr>
        <w:t>Tabla 4.</w:t>
      </w:r>
      <w:r>
        <w:rPr>
          <w:noProof/>
        </w:rPr>
        <w:t>8</w:t>
      </w:r>
      <w:r w:rsidRPr="007226D7">
        <w:rPr>
          <w:noProof/>
        </w:rPr>
        <w:t xml:space="preserve"> –</w:t>
      </w:r>
      <w:r w:rsidR="00B262DF">
        <w:rPr>
          <w:noProof/>
        </w:rPr>
        <w:t>4</w:t>
      </w:r>
      <w:r w:rsidRPr="007226D7">
        <w:rPr>
          <w:noProof/>
        </w:rPr>
        <w:t xml:space="preserve">: </w:t>
      </w:r>
      <w:r w:rsidRPr="007226D7">
        <w:t>Subidos y Bajados –H</w:t>
      </w:r>
      <w:r>
        <w:t xml:space="preserve">V </w:t>
      </w:r>
      <w:r w:rsidRPr="007226D7">
        <w:t>– 20</w:t>
      </w:r>
      <w:r>
        <w:t>18</w:t>
      </w:r>
      <w:r w:rsidRPr="007226D7">
        <w:t xml:space="preserve"> - ESC </w:t>
      </w:r>
      <w:r>
        <w:t>1.3_P</w:t>
      </w:r>
    </w:p>
    <w:p w:rsidR="00F17F9F" w:rsidRPr="007226D7" w:rsidRDefault="006057A6" w:rsidP="00F17F9F">
      <w:pPr>
        <w:jc w:val="center"/>
        <w:rPr>
          <w:lang w:val="es-ES"/>
        </w:rPr>
      </w:pPr>
      <w:r w:rsidRPr="006057A6">
        <w:rPr>
          <w:noProof/>
          <w:lang w:val="en-US" w:eastAsia="en-US"/>
        </w:rPr>
        <w:lastRenderedPageBreak/>
        <w:drawing>
          <wp:inline distT="0" distB="0" distL="0" distR="0" wp14:anchorId="069F1ADE" wp14:editId="20D66DCD">
            <wp:extent cx="3193748" cy="5172965"/>
            <wp:effectExtent l="19050" t="0" r="6652" b="0"/>
            <wp:docPr id="80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6"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F17F9F" w:rsidRPr="007226D7" w:rsidRDefault="00F17F9F" w:rsidP="00F17F9F">
      <w:pPr>
        <w:rPr>
          <w:lang w:val="es-ES"/>
        </w:rPr>
      </w:pPr>
    </w:p>
    <w:p w:rsidR="00F17F9F" w:rsidRPr="007226D7" w:rsidRDefault="00F17F9F" w:rsidP="00F17F9F">
      <w:pPr>
        <w:rPr>
          <w:lang w:val="es-ES"/>
        </w:rPr>
        <w:sectPr w:rsidR="00F17F9F" w:rsidRPr="007226D7" w:rsidSect="00DF101C">
          <w:pgSz w:w="16840" w:h="11907" w:orient="landscape" w:code="9"/>
          <w:pgMar w:top="1418" w:right="1985" w:bottom="1134" w:left="1701" w:header="720" w:footer="833" w:gutter="0"/>
          <w:paperSrc w:first="15" w:other="15"/>
          <w:cols w:num="2" w:space="720"/>
          <w:docGrid w:linePitch="299"/>
        </w:sectPr>
      </w:pPr>
    </w:p>
    <w:p w:rsidR="00F17F9F" w:rsidRPr="007226D7" w:rsidRDefault="00BC50CD" w:rsidP="00F17F9F">
      <w:pPr>
        <w:rPr>
          <w:lang w:val="es-ES"/>
        </w:rPr>
      </w:pPr>
      <w:r w:rsidRPr="00BC50CD">
        <w:rPr>
          <w:noProof/>
          <w:lang w:val="en-US" w:eastAsia="en-US"/>
        </w:rPr>
        <w:lastRenderedPageBreak/>
        <w:drawing>
          <wp:inline distT="0" distB="0" distL="0" distR="0" wp14:anchorId="5D3F0476" wp14:editId="559B00CA">
            <wp:extent cx="8325293" cy="4880344"/>
            <wp:effectExtent l="0" t="0" r="0" b="0"/>
            <wp:docPr id="808" name="Gra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F17F9F" w:rsidRPr="007226D7" w:rsidRDefault="00BC50CD" w:rsidP="00F17F9F">
      <w:pPr>
        <w:pStyle w:val="Figuras"/>
      </w:pPr>
      <w:r>
        <w:t>Figura 4.8</w:t>
      </w:r>
      <w:r w:rsidRPr="007226D7">
        <w:t>-</w:t>
      </w:r>
      <w:r>
        <w:t>7</w:t>
      </w:r>
      <w:r w:rsidRPr="007226D7">
        <w:t>: Graf</w:t>
      </w:r>
      <w:r>
        <w:t>ico de los Subidos y Bajados –HV</w:t>
      </w:r>
      <w:r w:rsidRPr="007226D7">
        <w:t xml:space="preserve"> – </w:t>
      </w:r>
      <w:r w:rsidR="009522FF" w:rsidRPr="007226D7">
        <w:t>20</w:t>
      </w:r>
      <w:r w:rsidR="009522FF">
        <w:t>18</w:t>
      </w:r>
      <w:r w:rsidR="009522FF" w:rsidRPr="007226D7">
        <w:t xml:space="preserve"> - ESC </w:t>
      </w:r>
      <w:r w:rsidR="009522FF">
        <w:t xml:space="preserve">1.3_P </w:t>
      </w:r>
      <w:r>
        <w:t>– sentido E-O</w:t>
      </w:r>
    </w:p>
    <w:p w:rsidR="00F17F9F" w:rsidRPr="007226D7" w:rsidRDefault="00F17F9F" w:rsidP="00F17F9F">
      <w:pPr>
        <w:spacing w:after="0" w:line="240" w:lineRule="auto"/>
        <w:jc w:val="left"/>
        <w:rPr>
          <w:lang w:val="es-ES"/>
        </w:rPr>
      </w:pPr>
      <w:r w:rsidRPr="007226D7">
        <w:rPr>
          <w:lang w:val="es-ES"/>
        </w:rPr>
        <w:br w:type="page"/>
      </w:r>
    </w:p>
    <w:p w:rsidR="00F17F9F" w:rsidRPr="0031045E" w:rsidRDefault="00BC50CD" w:rsidP="00F17F9F">
      <w:pPr>
        <w:rPr>
          <w:lang w:val="es-ES"/>
        </w:rPr>
      </w:pPr>
      <w:r w:rsidRPr="00BC50CD">
        <w:rPr>
          <w:noProof/>
          <w:lang w:val="en-US" w:eastAsia="en-US"/>
        </w:rPr>
        <w:lastRenderedPageBreak/>
        <w:drawing>
          <wp:inline distT="0" distB="0" distL="0" distR="0" wp14:anchorId="367A266A" wp14:editId="072092F8">
            <wp:extent cx="8389088" cy="4922875"/>
            <wp:effectExtent l="0" t="0" r="0" b="0"/>
            <wp:docPr id="807" name="Gra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BC50CD" w:rsidRPr="007226D7" w:rsidRDefault="00BC50CD" w:rsidP="00BC50CD">
      <w:pPr>
        <w:pStyle w:val="Figuras"/>
      </w:pPr>
      <w:r>
        <w:t>Figura 4.8</w:t>
      </w:r>
      <w:r w:rsidRPr="007226D7">
        <w:t>-</w:t>
      </w:r>
      <w:r>
        <w:t>8</w:t>
      </w:r>
      <w:r w:rsidRPr="007226D7">
        <w:t>: Graf</w:t>
      </w:r>
      <w:r>
        <w:t>ico de los Subidos y Bajados –HV</w:t>
      </w:r>
      <w:r w:rsidRPr="007226D7">
        <w:t xml:space="preserve"> – </w:t>
      </w:r>
      <w:r w:rsidR="009522FF" w:rsidRPr="007226D7">
        <w:t>20</w:t>
      </w:r>
      <w:r w:rsidR="009522FF">
        <w:t>18</w:t>
      </w:r>
      <w:r w:rsidR="009522FF" w:rsidRPr="007226D7">
        <w:t xml:space="preserve"> - ESC </w:t>
      </w:r>
      <w:r w:rsidR="009522FF">
        <w:t xml:space="preserve">1.3_P </w:t>
      </w:r>
      <w:r>
        <w:t>– sentido O-E</w:t>
      </w:r>
    </w:p>
    <w:p w:rsidR="00F17F9F" w:rsidRPr="007226D7" w:rsidRDefault="00F17F9F" w:rsidP="00F17F9F">
      <w:pPr>
        <w:rPr>
          <w:lang w:val="es-ES"/>
        </w:rPr>
      </w:pPr>
    </w:p>
    <w:p w:rsidR="00F17F9F" w:rsidRPr="007226D7" w:rsidRDefault="00F17F9F" w:rsidP="00F17F9F">
      <w:pPr>
        <w:rPr>
          <w:lang w:val="es-ES"/>
        </w:rPr>
        <w:sectPr w:rsidR="00F17F9F" w:rsidRPr="007226D7" w:rsidSect="003A73C7">
          <w:pgSz w:w="16840" w:h="11907" w:orient="landscape" w:code="9"/>
          <w:pgMar w:top="1418" w:right="1985" w:bottom="1134" w:left="1701" w:header="720" w:footer="833" w:gutter="0"/>
          <w:paperSrc w:first="15" w:other="15"/>
          <w:cols w:space="720"/>
          <w:docGrid w:linePitch="299"/>
        </w:sectPr>
      </w:pPr>
    </w:p>
    <w:p w:rsidR="00B262DF" w:rsidRPr="00B262DF" w:rsidRDefault="00B262DF" w:rsidP="003659ED">
      <w:pPr>
        <w:pStyle w:val="Heading3"/>
        <w:rPr>
          <w:lang w:val="es-ES"/>
        </w:rPr>
      </w:pPr>
      <w:bookmarkStart w:id="167" w:name="_Toc346541952"/>
      <w:r w:rsidRPr="00B262DF">
        <w:rPr>
          <w:lang w:val="es-ES"/>
        </w:rPr>
        <w:lastRenderedPageBreak/>
        <w:t xml:space="preserve">Escenario </w:t>
      </w:r>
      <w:r>
        <w:rPr>
          <w:lang w:val="es-ES"/>
        </w:rPr>
        <w:t>2</w:t>
      </w:r>
      <w:r w:rsidRPr="00B262DF">
        <w:rPr>
          <w:lang w:val="es-ES"/>
        </w:rPr>
        <w:t xml:space="preserve">.3_P – </w:t>
      </w:r>
      <w:r>
        <w:rPr>
          <w:lang w:val="es-ES"/>
        </w:rPr>
        <w:t>ESCENARIO PESIMISTA 2020</w:t>
      </w:r>
      <w:bookmarkEnd w:id="167"/>
    </w:p>
    <w:p w:rsidR="00B262DF" w:rsidRPr="007226D7" w:rsidRDefault="00B262DF" w:rsidP="00B262DF">
      <w:pPr>
        <w:rPr>
          <w:lang w:val="es-ES"/>
        </w:rPr>
      </w:pPr>
      <w:r w:rsidRPr="007226D7">
        <w:rPr>
          <w:lang w:val="es-ES"/>
        </w:rPr>
        <w:t>En el siguiente cuadro se presenta los resultados del modelo de demanda asignada para la situación con proyecto 20</w:t>
      </w:r>
      <w:r>
        <w:rPr>
          <w:lang w:val="es-ES"/>
        </w:rPr>
        <w:t>2</w:t>
      </w:r>
      <w:r w:rsidRPr="007226D7">
        <w:rPr>
          <w:lang w:val="es-ES"/>
        </w:rPr>
        <w:t xml:space="preserve">0 </w:t>
      </w:r>
      <w:r>
        <w:rPr>
          <w:lang w:val="es-ES"/>
        </w:rPr>
        <w:t>en lo escenario pesimista</w:t>
      </w:r>
      <w:r w:rsidRPr="007226D7">
        <w:rPr>
          <w:lang w:val="es-ES"/>
        </w:rPr>
        <w:t>:</w:t>
      </w:r>
    </w:p>
    <w:p w:rsidR="00B262DF" w:rsidRPr="005B5804" w:rsidRDefault="00B262DF" w:rsidP="00B262DF">
      <w:pPr>
        <w:pStyle w:val="Figuras"/>
      </w:pPr>
      <w:r w:rsidRPr="005B5804">
        <w:rPr>
          <w:noProof/>
        </w:rPr>
        <w:t>Tabla 4.8 – 5 (serie)</w:t>
      </w:r>
      <w:r w:rsidRPr="005B5804">
        <w:t>: resultados de modelación escenario 2.3_P</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B262DF" w:rsidRPr="005B5804"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B262DF" w:rsidRPr="005B5804" w:rsidRDefault="00B262DF" w:rsidP="001D4B43">
            <w:pPr>
              <w:spacing w:after="0" w:line="240" w:lineRule="auto"/>
              <w:jc w:val="left"/>
              <w:rPr>
                <w:rFonts w:cs="Arial"/>
                <w:b/>
                <w:bCs/>
                <w:sz w:val="18"/>
                <w:szCs w:val="18"/>
              </w:rPr>
            </w:pPr>
            <w:r w:rsidRPr="005B5804">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B262DF" w:rsidRPr="005B5804" w:rsidRDefault="005B5804"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2.3_P</w:t>
            </w:r>
            <w:r w:rsidRPr="001F760E">
              <w:rPr>
                <w:rFonts w:cs="Arial"/>
                <w:bCs/>
                <w:i/>
                <w:sz w:val="18"/>
                <w:szCs w:val="18"/>
              </w:rPr>
              <w:t>esimista</w:t>
            </w:r>
          </w:p>
        </w:tc>
      </w:tr>
      <w:tr w:rsidR="00B262DF" w:rsidRPr="005B5804"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Total Dìario</w:t>
            </w:r>
          </w:p>
        </w:tc>
      </w:tr>
      <w:tr w:rsidR="005B5804" w:rsidRPr="005B5804" w:rsidTr="005B5804">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223,102</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125,936</w:t>
            </w:r>
          </w:p>
        </w:tc>
        <w:tc>
          <w:tcPr>
            <w:tcW w:w="1038"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103,516</w:t>
            </w:r>
          </w:p>
        </w:tc>
        <w:tc>
          <w:tcPr>
            <w:tcW w:w="1553"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2,043,787</w:t>
            </w:r>
          </w:p>
        </w:tc>
      </w:tr>
      <w:tr w:rsidR="005B5804" w:rsidRPr="005B5804" w:rsidTr="005B5804">
        <w:trPr>
          <w:trHeight w:val="240"/>
        </w:trPr>
        <w:tc>
          <w:tcPr>
            <w:tcW w:w="1119" w:type="dxa"/>
            <w:vMerge/>
            <w:tcBorders>
              <w:top w:val="nil"/>
              <w:left w:val="single" w:sz="4" w:space="0" w:color="auto"/>
              <w:bottom w:val="single" w:sz="4" w:space="0" w:color="auto"/>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114,745</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108,301</w:t>
            </w:r>
          </w:p>
        </w:tc>
        <w:tc>
          <w:tcPr>
            <w:tcW w:w="1038"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78,010</w:t>
            </w:r>
          </w:p>
        </w:tc>
        <w:tc>
          <w:tcPr>
            <w:tcW w:w="1553"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1,460,217</w:t>
            </w:r>
          </w:p>
        </w:tc>
      </w:tr>
      <w:tr w:rsidR="005B5804" w:rsidRPr="005B5804" w:rsidTr="005B5804">
        <w:trPr>
          <w:trHeight w:val="240"/>
        </w:trPr>
        <w:tc>
          <w:tcPr>
            <w:tcW w:w="1119" w:type="dxa"/>
            <w:vMerge/>
            <w:tcBorders>
              <w:top w:val="nil"/>
              <w:left w:val="single" w:sz="4" w:space="0" w:color="auto"/>
              <w:bottom w:val="single" w:sz="4" w:space="0" w:color="auto"/>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15,369</w:t>
            </w:r>
          </w:p>
        </w:tc>
        <w:tc>
          <w:tcPr>
            <w:tcW w:w="1265" w:type="dxa"/>
            <w:tcBorders>
              <w:top w:val="nil"/>
              <w:left w:val="nil"/>
              <w:bottom w:val="single" w:sz="4" w:space="0" w:color="auto"/>
              <w:right w:val="nil"/>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11,790</w:t>
            </w:r>
          </w:p>
        </w:tc>
        <w:tc>
          <w:tcPr>
            <w:tcW w:w="1038"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11,665</w:t>
            </w:r>
          </w:p>
        </w:tc>
        <w:tc>
          <w:tcPr>
            <w:tcW w:w="1553" w:type="dxa"/>
            <w:tcBorders>
              <w:top w:val="nil"/>
              <w:left w:val="nil"/>
              <w:bottom w:val="single" w:sz="4" w:space="0" w:color="auto"/>
              <w:right w:val="single" w:sz="4" w:space="0" w:color="auto"/>
            </w:tcBorders>
            <w:shd w:val="clear" w:color="171717" w:fill="DBE5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205,968</w:t>
            </w:r>
          </w:p>
        </w:tc>
      </w:tr>
      <w:tr w:rsidR="005B5804" w:rsidRPr="005B5804" w:rsidTr="005B5804">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1,587,800</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1,197,740</w:t>
            </w:r>
          </w:p>
        </w:tc>
        <w:tc>
          <w:tcPr>
            <w:tcW w:w="1038"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969,525</w:t>
            </w:r>
          </w:p>
        </w:tc>
        <w:tc>
          <w:tcPr>
            <w:tcW w:w="1553"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18,174,902</w:t>
            </w:r>
          </w:p>
        </w:tc>
      </w:tr>
      <w:tr w:rsidR="005B5804" w:rsidRPr="005B5804" w:rsidTr="005B5804">
        <w:trPr>
          <w:trHeight w:val="240"/>
        </w:trPr>
        <w:tc>
          <w:tcPr>
            <w:tcW w:w="1119" w:type="dxa"/>
            <w:vMerge/>
            <w:tcBorders>
              <w:top w:val="nil"/>
              <w:left w:val="single" w:sz="4" w:space="0" w:color="auto"/>
              <w:bottom w:val="single" w:sz="4" w:space="0" w:color="auto"/>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856,784</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996,999</w:t>
            </w:r>
          </w:p>
        </w:tc>
        <w:tc>
          <w:tcPr>
            <w:tcW w:w="1038"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585,400</w:t>
            </w:r>
          </w:p>
        </w:tc>
        <w:tc>
          <w:tcPr>
            <w:tcW w:w="1553"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11,317,770</w:t>
            </w:r>
          </w:p>
        </w:tc>
      </w:tr>
      <w:tr w:rsidR="005B5804" w:rsidRPr="005B5804" w:rsidTr="005B5804">
        <w:trPr>
          <w:trHeight w:val="240"/>
        </w:trPr>
        <w:tc>
          <w:tcPr>
            <w:tcW w:w="1119" w:type="dxa"/>
            <w:vMerge/>
            <w:tcBorders>
              <w:top w:val="nil"/>
              <w:left w:val="single" w:sz="4" w:space="0" w:color="auto"/>
              <w:bottom w:val="single" w:sz="4" w:space="0" w:color="auto"/>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346,451</w:t>
            </w:r>
          </w:p>
        </w:tc>
        <w:tc>
          <w:tcPr>
            <w:tcW w:w="1265" w:type="dxa"/>
            <w:tcBorders>
              <w:top w:val="nil"/>
              <w:left w:val="nil"/>
              <w:bottom w:val="single" w:sz="4" w:space="0" w:color="auto"/>
              <w:right w:val="nil"/>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302,224</w:t>
            </w:r>
          </w:p>
        </w:tc>
        <w:tc>
          <w:tcPr>
            <w:tcW w:w="1038"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299,389</w:t>
            </w:r>
          </w:p>
        </w:tc>
        <w:tc>
          <w:tcPr>
            <w:tcW w:w="1553" w:type="dxa"/>
            <w:tcBorders>
              <w:top w:val="nil"/>
              <w:left w:val="nil"/>
              <w:bottom w:val="single" w:sz="4" w:space="0" w:color="auto"/>
              <w:right w:val="single" w:sz="4" w:space="0" w:color="auto"/>
            </w:tcBorders>
            <w:shd w:val="clear" w:color="171717" w:fill="C5D9F1"/>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5,189,413</w:t>
            </w:r>
          </w:p>
        </w:tc>
      </w:tr>
      <w:tr w:rsidR="005B5804" w:rsidRPr="005B5804" w:rsidTr="005B5804">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119,601</w:t>
            </w:r>
          </w:p>
        </w:tc>
        <w:tc>
          <w:tcPr>
            <w:tcW w:w="1265" w:type="dxa"/>
            <w:tcBorders>
              <w:top w:val="nil"/>
              <w:left w:val="nil"/>
              <w:bottom w:val="single" w:sz="4"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70,853</w:t>
            </w:r>
          </w:p>
        </w:tc>
        <w:tc>
          <w:tcPr>
            <w:tcW w:w="1038" w:type="dxa"/>
            <w:tcBorders>
              <w:top w:val="nil"/>
              <w:left w:val="nil"/>
              <w:bottom w:val="single" w:sz="4"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52,592</w:t>
            </w:r>
          </w:p>
        </w:tc>
        <w:tc>
          <w:tcPr>
            <w:tcW w:w="1553" w:type="dxa"/>
            <w:tcBorders>
              <w:top w:val="nil"/>
              <w:left w:val="nil"/>
              <w:bottom w:val="single" w:sz="4"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1,064,609</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58,673</w:t>
            </w:r>
          </w:p>
        </w:tc>
        <w:tc>
          <w:tcPr>
            <w:tcW w:w="1265" w:type="dxa"/>
            <w:tcBorders>
              <w:top w:val="nil"/>
              <w:left w:val="nil"/>
              <w:bottom w:val="single" w:sz="4"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55,683</w:t>
            </w:r>
          </w:p>
        </w:tc>
        <w:tc>
          <w:tcPr>
            <w:tcW w:w="1038" w:type="dxa"/>
            <w:tcBorders>
              <w:top w:val="nil"/>
              <w:left w:val="nil"/>
              <w:bottom w:val="single" w:sz="4"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31,730</w:t>
            </w:r>
          </w:p>
        </w:tc>
        <w:tc>
          <w:tcPr>
            <w:tcW w:w="1553" w:type="dxa"/>
            <w:tcBorders>
              <w:top w:val="nil"/>
              <w:left w:val="nil"/>
              <w:bottom w:val="single" w:sz="4"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641,201</w:t>
            </w:r>
          </w:p>
        </w:tc>
      </w:tr>
      <w:tr w:rsidR="005B5804" w:rsidRPr="005B5804" w:rsidTr="005B5804">
        <w:trPr>
          <w:trHeight w:val="255"/>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16,082</w:t>
            </w:r>
          </w:p>
        </w:tc>
        <w:tc>
          <w:tcPr>
            <w:tcW w:w="1265" w:type="dxa"/>
            <w:tcBorders>
              <w:top w:val="nil"/>
              <w:left w:val="nil"/>
              <w:bottom w:val="single" w:sz="8" w:space="0" w:color="auto"/>
              <w:right w:val="nil"/>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13,588</w:t>
            </w:r>
          </w:p>
        </w:tc>
        <w:tc>
          <w:tcPr>
            <w:tcW w:w="1038" w:type="dxa"/>
            <w:tcBorders>
              <w:top w:val="nil"/>
              <w:left w:val="nil"/>
              <w:bottom w:val="single" w:sz="8"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11,869</w:t>
            </w:r>
          </w:p>
        </w:tc>
        <w:tc>
          <w:tcPr>
            <w:tcW w:w="1553" w:type="dxa"/>
            <w:tcBorders>
              <w:top w:val="nil"/>
              <w:left w:val="nil"/>
              <w:bottom w:val="single" w:sz="8" w:space="0" w:color="auto"/>
              <w:right w:val="single" w:sz="4" w:space="0" w:color="auto"/>
            </w:tcBorders>
            <w:shd w:val="clear" w:color="171717" w:fill="95B3D7"/>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213,640</w:t>
            </w:r>
          </w:p>
        </w:tc>
      </w:tr>
    </w:tbl>
    <w:p w:rsidR="00B262DF" w:rsidRPr="005B5804" w:rsidRDefault="00B262DF" w:rsidP="00B262DF">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5B5804" w:rsidRPr="005B5804"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5B5804">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2.3_P</w:t>
            </w:r>
            <w:r w:rsidRPr="001F760E">
              <w:rPr>
                <w:rFonts w:cs="Arial"/>
                <w:bCs/>
                <w:i/>
                <w:sz w:val="18"/>
                <w:szCs w:val="18"/>
              </w:rPr>
              <w:t>esimista</w:t>
            </w:r>
          </w:p>
        </w:tc>
      </w:tr>
      <w:tr w:rsidR="00B262DF" w:rsidRPr="005B5804"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Total Dìario</w:t>
            </w:r>
          </w:p>
        </w:tc>
      </w:tr>
      <w:tr w:rsidR="005B5804" w:rsidRPr="005B5804" w:rsidTr="005B5804">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1,117,842</w:t>
            </w:r>
          </w:p>
        </w:tc>
        <w:tc>
          <w:tcPr>
            <w:tcW w:w="1088" w:type="dxa"/>
            <w:tcBorders>
              <w:top w:val="nil"/>
              <w:left w:val="nil"/>
              <w:bottom w:val="single" w:sz="4" w:space="0" w:color="auto"/>
              <w:right w:val="nil"/>
            </w:tcBorders>
            <w:shd w:val="clear" w:color="171717" w:fill="D7E4BC"/>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762,828</w:t>
            </w:r>
          </w:p>
        </w:tc>
        <w:tc>
          <w:tcPr>
            <w:tcW w:w="1088" w:type="dxa"/>
            <w:tcBorders>
              <w:top w:val="nil"/>
              <w:left w:val="nil"/>
              <w:bottom w:val="single" w:sz="4" w:space="0" w:color="auto"/>
              <w:right w:val="single" w:sz="4" w:space="0" w:color="auto"/>
            </w:tcBorders>
            <w:shd w:val="clear" w:color="171717" w:fill="D7E4BC"/>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552,998</w:t>
            </w:r>
          </w:p>
        </w:tc>
        <w:tc>
          <w:tcPr>
            <w:tcW w:w="1625" w:type="dxa"/>
            <w:tcBorders>
              <w:top w:val="nil"/>
              <w:left w:val="nil"/>
              <w:bottom w:val="single" w:sz="4" w:space="0" w:color="auto"/>
              <w:right w:val="single" w:sz="4" w:space="0" w:color="auto"/>
            </w:tcBorders>
            <w:shd w:val="clear" w:color="171717" w:fill="D7E4BC"/>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10,950,312</w:t>
            </w:r>
          </w:p>
        </w:tc>
      </w:tr>
      <w:tr w:rsidR="005B5804" w:rsidRPr="005B5804" w:rsidTr="005B5804">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152,052</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148,498</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113,502</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2,076,628</w:t>
            </w:r>
          </w:p>
        </w:tc>
      </w:tr>
      <w:tr w:rsidR="005B5804" w:rsidRPr="005B5804" w:rsidTr="005B5804">
        <w:trPr>
          <w:trHeight w:val="499"/>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121,901</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95,795</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98,769</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1,719,384</w:t>
            </w:r>
          </w:p>
        </w:tc>
      </w:tr>
      <w:tr w:rsidR="005B5804" w:rsidRPr="005B5804" w:rsidTr="005B5804">
        <w:trPr>
          <w:trHeight w:val="499"/>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50,706</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27,643</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28,150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522,641</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 -</w:t>
            </w:r>
            <w:proofErr w:type="gramStart"/>
            <w:r w:rsidRPr="005B5804">
              <w:rPr>
                <w:rFonts w:cs="Arial"/>
                <w:b/>
                <w:bCs/>
                <w:sz w:val="18"/>
                <w:szCs w:val="18"/>
              </w:rPr>
              <w:t xml:space="preserve">  </w:t>
            </w:r>
            <w:proofErr w:type="gramEnd"/>
            <w:r w:rsidRPr="005B5804">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11,817</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1,065</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1,065</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532</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11,180</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7,663</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4,488</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4,488</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82,652</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144</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144</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96</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1,818</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44,252</w:t>
            </w:r>
          </w:p>
        </w:tc>
      </w:tr>
      <w:tr w:rsidR="005B5804" w:rsidRPr="005B5804" w:rsidTr="005B5804">
        <w:trPr>
          <w:trHeight w:val="240"/>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53,868</w:t>
            </w:r>
          </w:p>
        </w:tc>
      </w:tr>
      <w:tr w:rsidR="005B5804" w:rsidRPr="005B5804" w:rsidTr="005B5804">
        <w:trPr>
          <w:trHeight w:val="499"/>
        </w:trPr>
        <w:tc>
          <w:tcPr>
            <w:tcW w:w="1119" w:type="dxa"/>
            <w:vMerge/>
            <w:tcBorders>
              <w:top w:val="nil"/>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334,184</w:t>
            </w:r>
          </w:p>
        </w:tc>
        <w:tc>
          <w:tcPr>
            <w:tcW w:w="1088" w:type="dxa"/>
            <w:tcBorders>
              <w:top w:val="nil"/>
              <w:left w:val="nil"/>
              <w:bottom w:val="single" w:sz="8" w:space="0" w:color="auto"/>
              <w:right w:val="nil"/>
            </w:tcBorders>
            <w:shd w:val="clear" w:color="171717" w:fill="92D05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278,285</w:t>
            </w:r>
          </w:p>
        </w:tc>
        <w:tc>
          <w:tcPr>
            <w:tcW w:w="1088" w:type="dxa"/>
            <w:tcBorders>
              <w:top w:val="nil"/>
              <w:left w:val="nil"/>
              <w:bottom w:val="single" w:sz="8" w:space="0" w:color="auto"/>
              <w:right w:val="single" w:sz="4" w:space="0" w:color="auto"/>
            </w:tcBorders>
            <w:shd w:val="clear" w:color="171717" w:fill="92D05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246,105</w:t>
            </w:r>
          </w:p>
        </w:tc>
        <w:tc>
          <w:tcPr>
            <w:tcW w:w="1625" w:type="dxa"/>
            <w:tcBorders>
              <w:top w:val="nil"/>
              <w:left w:val="nil"/>
              <w:bottom w:val="single" w:sz="8" w:space="0" w:color="auto"/>
              <w:right w:val="single" w:sz="4" w:space="0" w:color="auto"/>
            </w:tcBorders>
            <w:shd w:val="clear" w:color="171717" w:fill="92D05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4,424,302</w:t>
            </w:r>
          </w:p>
        </w:tc>
      </w:tr>
      <w:tr w:rsidR="005B5804" w:rsidRPr="005B5804"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5B5804">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2.3_P</w:t>
            </w:r>
            <w:r w:rsidRPr="001F760E">
              <w:rPr>
                <w:rFonts w:cs="Arial"/>
                <w:bCs/>
                <w:i/>
                <w:sz w:val="18"/>
                <w:szCs w:val="18"/>
              </w:rPr>
              <w:t>esimista</w:t>
            </w:r>
          </w:p>
        </w:tc>
      </w:tr>
      <w:tr w:rsidR="00B262DF" w:rsidRPr="005B5804"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Total Dìario</w:t>
            </w:r>
          </w:p>
        </w:tc>
      </w:tr>
      <w:tr w:rsidR="005B5804" w:rsidRPr="005B5804" w:rsidTr="005B5804">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5B5804" w:rsidRPr="005B5804" w:rsidRDefault="005B5804" w:rsidP="001D4B43">
            <w:pPr>
              <w:spacing w:after="0" w:line="240" w:lineRule="auto"/>
              <w:jc w:val="left"/>
              <w:rPr>
                <w:rFonts w:cs="Arial"/>
                <w:b/>
                <w:bCs/>
                <w:color w:val="FFFFFF"/>
                <w:sz w:val="18"/>
                <w:szCs w:val="18"/>
              </w:rPr>
            </w:pPr>
            <w:r w:rsidRPr="005B5804">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594,926</w:t>
            </w:r>
          </w:p>
        </w:tc>
        <w:tc>
          <w:tcPr>
            <w:tcW w:w="1088"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450,920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299,681</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5,987,547</w:t>
            </w:r>
          </w:p>
        </w:tc>
      </w:tr>
      <w:tr w:rsidR="005B5804" w:rsidRPr="005B5804" w:rsidTr="005B5804">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546,955</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405,423</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297,146</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5,767,658</w:t>
            </w:r>
          </w:p>
        </w:tc>
      </w:tr>
      <w:tr w:rsidR="005B5804" w:rsidRPr="005B5804" w:rsidTr="005B5804">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265,753</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170,997</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127,309</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2,528,511</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 -</w:t>
            </w:r>
            <w:proofErr w:type="gramStart"/>
            <w:r w:rsidRPr="005B5804">
              <w:rPr>
                <w:rFonts w:cs="Arial"/>
                <w:b/>
                <w:bCs/>
                <w:sz w:val="18"/>
                <w:szCs w:val="18"/>
              </w:rPr>
              <w:t xml:space="preserve">  </w:t>
            </w:r>
            <w:proofErr w:type="gramEnd"/>
            <w:r w:rsidRPr="005B5804">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30,144</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24,041</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8,259</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215,738</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29,712</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23,552</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11,282</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253,195</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41,384</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31,147</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24,417</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462,481</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4,551</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4,227</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1,519</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37,307</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31,524</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27,533</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9,565</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242,459</w:t>
            </w:r>
          </w:p>
        </w:tc>
      </w:tr>
      <w:tr w:rsidR="005B5804" w:rsidRPr="005B5804" w:rsidTr="005B5804">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30,144</w:t>
            </w:r>
          </w:p>
        </w:tc>
        <w:tc>
          <w:tcPr>
            <w:tcW w:w="1088"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13,331</w:t>
            </w:r>
          </w:p>
        </w:tc>
        <w:tc>
          <w:tcPr>
            <w:tcW w:w="1088"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7,687</w:t>
            </w:r>
          </w:p>
        </w:tc>
        <w:tc>
          <w:tcPr>
            <w:tcW w:w="162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186,886</w:t>
            </w:r>
          </w:p>
        </w:tc>
      </w:tr>
      <w:tr w:rsidR="005B5804" w:rsidRPr="005B5804" w:rsidTr="005B5804">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5B5804" w:rsidRPr="005B5804" w:rsidRDefault="005B5804" w:rsidP="001D4B43">
            <w:pPr>
              <w:spacing w:after="0" w:line="240" w:lineRule="auto"/>
              <w:jc w:val="left"/>
              <w:rPr>
                <w:rFonts w:cs="Arial"/>
                <w:b/>
                <w:bCs/>
                <w:color w:val="FFFFFF"/>
                <w:sz w:val="18"/>
                <w:szCs w:val="18"/>
              </w:rPr>
            </w:pPr>
            <w:r w:rsidRPr="005B5804">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1,508,874</w:t>
            </w:r>
          </w:p>
        </w:tc>
        <w:tc>
          <w:tcPr>
            <w:tcW w:w="1088" w:type="dxa"/>
            <w:tcBorders>
              <w:top w:val="nil"/>
              <w:left w:val="nil"/>
              <w:bottom w:val="single" w:sz="8" w:space="0" w:color="auto"/>
              <w:right w:val="nil"/>
            </w:tcBorders>
            <w:shd w:val="clear" w:color="171717" w:fill="75923C"/>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1,106,081</w:t>
            </w:r>
          </w:p>
        </w:tc>
        <w:tc>
          <w:tcPr>
            <w:tcW w:w="1088" w:type="dxa"/>
            <w:tcBorders>
              <w:top w:val="nil"/>
              <w:left w:val="nil"/>
              <w:bottom w:val="single" w:sz="8" w:space="0" w:color="auto"/>
              <w:right w:val="single" w:sz="4" w:space="0" w:color="auto"/>
            </w:tcBorders>
            <w:shd w:val="clear" w:color="171717" w:fill="75923C"/>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768,094</w:t>
            </w:r>
          </w:p>
        </w:tc>
        <w:tc>
          <w:tcPr>
            <w:tcW w:w="1625" w:type="dxa"/>
            <w:tcBorders>
              <w:top w:val="nil"/>
              <w:left w:val="nil"/>
              <w:bottom w:val="single" w:sz="8" w:space="0" w:color="auto"/>
              <w:right w:val="single" w:sz="4" w:space="0" w:color="auto"/>
            </w:tcBorders>
            <w:shd w:val="clear" w:color="171717" w:fill="75923C"/>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15,215,131</w:t>
            </w:r>
          </w:p>
        </w:tc>
      </w:tr>
    </w:tbl>
    <w:p w:rsidR="00B262DF" w:rsidRPr="005B5804" w:rsidRDefault="00B262DF" w:rsidP="00B262DF">
      <w:pPr>
        <w:spacing w:before="120"/>
        <w:rPr>
          <w:lang w:val="es-ES"/>
        </w:rPr>
      </w:pPr>
      <w:r w:rsidRPr="005B5804">
        <w:rPr>
          <w:lang w:val="es-ES"/>
        </w:rPr>
        <w:t>*número total de segmentos de viaje realizado por todos los viajeros</w:t>
      </w:r>
    </w:p>
    <w:p w:rsidR="00B262DF" w:rsidRPr="005B5804" w:rsidRDefault="00B262DF" w:rsidP="00B262D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5B5804" w:rsidRPr="005B5804" w:rsidTr="001D4B43">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5B5804">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2.3_P</w:t>
            </w:r>
            <w:r w:rsidRPr="001F760E">
              <w:rPr>
                <w:rFonts w:cs="Arial"/>
                <w:bCs/>
                <w:i/>
                <w:sz w:val="18"/>
                <w:szCs w:val="18"/>
              </w:rPr>
              <w:t>esimista</w:t>
            </w:r>
          </w:p>
        </w:tc>
      </w:tr>
      <w:tr w:rsidR="00B262DF" w:rsidRPr="005B5804" w:rsidTr="001D4B43">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Total Dìario</w:t>
            </w:r>
          </w:p>
        </w:tc>
      </w:tr>
      <w:tr w:rsidR="005B5804" w:rsidRPr="005B5804" w:rsidTr="005B5804">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5B5804" w:rsidRPr="005B5804" w:rsidRDefault="005B5804" w:rsidP="001D4B43">
            <w:pPr>
              <w:spacing w:after="0" w:line="240" w:lineRule="auto"/>
              <w:jc w:val="left"/>
              <w:rPr>
                <w:rFonts w:cs="Arial"/>
                <w:b/>
                <w:bCs/>
                <w:color w:val="FFFFFF"/>
                <w:sz w:val="18"/>
                <w:szCs w:val="18"/>
              </w:rPr>
            </w:pPr>
            <w:r w:rsidRPr="005B5804">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3,322,940</w:t>
            </w:r>
          </w:p>
        </w:tc>
        <w:tc>
          <w:tcPr>
            <w:tcW w:w="1175"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2,792,095</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198,854</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14,815,174</w:t>
            </w:r>
          </w:p>
        </w:tc>
      </w:tr>
      <w:tr w:rsidR="005B5804" w:rsidRPr="005B5804" w:rsidTr="005B580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3,659,587</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2,855,849</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224,175</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15,945,152</w:t>
            </w:r>
          </w:p>
        </w:tc>
      </w:tr>
      <w:tr w:rsidR="005B5804" w:rsidRPr="005B5804" w:rsidTr="005B580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1,722,014</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1,204,666</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95,644</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7,096,728</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5B5804" w:rsidRPr="005B5804" w:rsidRDefault="005B5804" w:rsidP="001D4B43">
            <w:pPr>
              <w:spacing w:after="0" w:line="240" w:lineRule="auto"/>
              <w:jc w:val="left"/>
              <w:rPr>
                <w:rFonts w:cs="Arial"/>
                <w:b/>
                <w:bCs/>
                <w:color w:val="FFFFFF"/>
                <w:sz w:val="18"/>
                <w:szCs w:val="18"/>
              </w:rPr>
            </w:pPr>
            <w:r w:rsidRPr="005B5804">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 -</w:t>
            </w:r>
            <w:proofErr w:type="gramStart"/>
            <w:r w:rsidRPr="005B5804">
              <w:rPr>
                <w:rFonts w:cs="Arial"/>
                <w:b/>
                <w:bCs/>
                <w:sz w:val="18"/>
                <w:szCs w:val="18"/>
              </w:rPr>
              <w:t xml:space="preserve">  </w:t>
            </w:r>
            <w:proofErr w:type="gramEnd"/>
            <w:r w:rsidRPr="005B5804">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418,808</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364,828</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5,828</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1,643,031</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318,423</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279,582</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5,935</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1,273,162</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395,930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311,675</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19,532</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1,669,120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22,330</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22,430</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8,042</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194,068</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408,346</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365,708</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6,892</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1,637,700</w:t>
            </w:r>
          </w:p>
        </w:tc>
      </w:tr>
      <w:tr w:rsidR="005B5804" w:rsidRPr="005B5804" w:rsidTr="005B5804">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133,283</w:t>
            </w:r>
          </w:p>
        </w:tc>
        <w:tc>
          <w:tcPr>
            <w:tcW w:w="1175" w:type="dxa"/>
            <w:tcBorders>
              <w:top w:val="nil"/>
              <w:left w:val="nil"/>
              <w:bottom w:val="single" w:sz="4" w:space="0" w:color="auto"/>
              <w:right w:val="nil"/>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100,352</w:t>
            </w:r>
          </w:p>
        </w:tc>
        <w:tc>
          <w:tcPr>
            <w:tcW w:w="1175"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color w:val="000000"/>
                <w:sz w:val="18"/>
                <w:szCs w:val="18"/>
              </w:rPr>
            </w:pPr>
            <w:r>
              <w:rPr>
                <w:rFonts w:cs="Arial"/>
                <w:color w:val="000000"/>
                <w:sz w:val="18"/>
                <w:szCs w:val="18"/>
              </w:rPr>
              <w:t>4,549</w:t>
            </w:r>
          </w:p>
        </w:tc>
        <w:tc>
          <w:tcPr>
            <w:tcW w:w="1454" w:type="dxa"/>
            <w:tcBorders>
              <w:top w:val="nil"/>
              <w:left w:val="nil"/>
              <w:bottom w:val="single" w:sz="4" w:space="0" w:color="auto"/>
              <w:right w:val="single" w:sz="4" w:space="0" w:color="auto"/>
            </w:tcBorders>
            <w:shd w:val="clear" w:color="171717" w:fill="FFFFFF"/>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526,410</w:t>
            </w:r>
          </w:p>
        </w:tc>
      </w:tr>
      <w:tr w:rsidR="005B5804" w:rsidRPr="005B5804" w:rsidTr="005B5804">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5B5804" w:rsidRPr="005B5804" w:rsidRDefault="005B5804" w:rsidP="001D4B43">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5B5804" w:rsidRPr="005B5804" w:rsidRDefault="005B5804" w:rsidP="001D4B43">
            <w:pPr>
              <w:spacing w:after="0" w:line="240" w:lineRule="auto"/>
              <w:jc w:val="left"/>
              <w:rPr>
                <w:rFonts w:cs="Arial"/>
                <w:b/>
                <w:bCs/>
                <w:color w:val="FFFFFF"/>
                <w:sz w:val="18"/>
                <w:szCs w:val="18"/>
              </w:rPr>
            </w:pPr>
            <w:r w:rsidRPr="005B5804">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9,837,703</w:t>
            </w:r>
          </w:p>
        </w:tc>
        <w:tc>
          <w:tcPr>
            <w:tcW w:w="1175" w:type="dxa"/>
            <w:tcBorders>
              <w:top w:val="nil"/>
              <w:left w:val="nil"/>
              <w:bottom w:val="single" w:sz="8" w:space="0" w:color="auto"/>
              <w:right w:val="nil"/>
            </w:tcBorders>
            <w:shd w:val="clear" w:color="171717" w:fill="4F6228"/>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7,808,695</w:t>
            </w:r>
          </w:p>
        </w:tc>
        <w:tc>
          <w:tcPr>
            <w:tcW w:w="1175" w:type="dxa"/>
            <w:tcBorders>
              <w:top w:val="nil"/>
              <w:left w:val="nil"/>
              <w:bottom w:val="single" w:sz="8" w:space="0" w:color="auto"/>
              <w:right w:val="single" w:sz="4" w:space="0" w:color="auto"/>
            </w:tcBorders>
            <w:shd w:val="clear" w:color="171717" w:fill="4F6228"/>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549,967</w:t>
            </w:r>
          </w:p>
        </w:tc>
        <w:tc>
          <w:tcPr>
            <w:tcW w:w="1454" w:type="dxa"/>
            <w:tcBorders>
              <w:top w:val="nil"/>
              <w:left w:val="nil"/>
              <w:bottom w:val="single" w:sz="8" w:space="0" w:color="auto"/>
              <w:right w:val="single" w:sz="4" w:space="0" w:color="auto"/>
            </w:tcBorders>
            <w:shd w:val="clear" w:color="171717" w:fill="4F6228"/>
            <w:noWrap/>
            <w:vAlign w:val="center"/>
            <w:hideMark/>
          </w:tcPr>
          <w:p w:rsidR="005B5804" w:rsidRDefault="005B5804" w:rsidP="005B5804">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42,442,366</w:t>
            </w:r>
          </w:p>
        </w:tc>
      </w:tr>
    </w:tbl>
    <w:p w:rsidR="00B262DF" w:rsidRPr="005B5804" w:rsidRDefault="00B262DF" w:rsidP="00B262D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5B5804" w:rsidRPr="005B5804" w:rsidTr="001D4B43">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5B5804">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5B5804" w:rsidRPr="005B5804" w:rsidRDefault="005B5804"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2.3_P</w:t>
            </w:r>
            <w:r w:rsidRPr="001F760E">
              <w:rPr>
                <w:rFonts w:cs="Arial"/>
                <w:bCs/>
                <w:i/>
                <w:sz w:val="18"/>
                <w:szCs w:val="18"/>
              </w:rPr>
              <w:t>esimista</w:t>
            </w:r>
          </w:p>
        </w:tc>
      </w:tr>
      <w:tr w:rsidR="00B262DF" w:rsidRPr="005B5804" w:rsidTr="001D4B43">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5B5804" w:rsidRDefault="00B262DF" w:rsidP="001D4B43">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B262DF" w:rsidRPr="005B5804" w:rsidRDefault="00B262DF" w:rsidP="001D4B43">
            <w:pPr>
              <w:spacing w:after="0" w:line="240" w:lineRule="auto"/>
              <w:jc w:val="center"/>
              <w:rPr>
                <w:rFonts w:cs="Arial"/>
                <w:b/>
                <w:bCs/>
                <w:sz w:val="18"/>
                <w:szCs w:val="18"/>
              </w:rPr>
            </w:pPr>
            <w:r w:rsidRPr="005B5804">
              <w:rPr>
                <w:rFonts w:cs="Arial"/>
                <w:b/>
                <w:bCs/>
                <w:sz w:val="18"/>
                <w:szCs w:val="18"/>
              </w:rPr>
              <w:t>Total Dìario</w:t>
            </w:r>
          </w:p>
        </w:tc>
      </w:tr>
      <w:tr w:rsidR="005B5804" w:rsidRPr="005B5804" w:rsidTr="005B5804">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41,336,384</w:t>
            </w:r>
          </w:p>
        </w:tc>
        <w:tc>
          <w:tcPr>
            <w:tcW w:w="1247" w:type="dxa"/>
            <w:tcBorders>
              <w:top w:val="single" w:sz="4" w:space="0" w:color="auto"/>
              <w:left w:val="nil"/>
              <w:bottom w:val="single" w:sz="4" w:space="0" w:color="auto"/>
              <w:right w:val="nil"/>
            </w:tcBorders>
            <w:shd w:val="clear" w:color="171717" w:fill="FFFF99"/>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39,882,344</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37,246,215</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646,638,251</w:t>
            </w:r>
          </w:p>
        </w:tc>
      </w:tr>
      <w:tr w:rsidR="005B5804" w:rsidRPr="005B5804" w:rsidTr="005B5804">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5B5804" w:rsidRPr="005B5804" w:rsidRDefault="005B5804" w:rsidP="001D4B43">
            <w:pPr>
              <w:spacing w:after="0" w:line="240" w:lineRule="auto"/>
              <w:jc w:val="left"/>
              <w:rPr>
                <w:rFonts w:cs="Arial"/>
                <w:sz w:val="18"/>
                <w:szCs w:val="18"/>
              </w:rPr>
            </w:pPr>
            <w:r w:rsidRPr="005B5804">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34.98%</w:t>
            </w:r>
          </w:p>
        </w:tc>
        <w:tc>
          <w:tcPr>
            <w:tcW w:w="1247" w:type="dxa"/>
            <w:tcBorders>
              <w:top w:val="nil"/>
              <w:left w:val="nil"/>
              <w:bottom w:val="single" w:sz="4" w:space="0" w:color="auto"/>
              <w:right w:val="nil"/>
            </w:tcBorders>
            <w:shd w:val="clear" w:color="171717" w:fill="FFFF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45.00%</w:t>
            </w:r>
          </w:p>
        </w:tc>
        <w:tc>
          <w:tcPr>
            <w:tcW w:w="1247" w:type="dxa"/>
            <w:tcBorders>
              <w:top w:val="nil"/>
              <w:left w:val="nil"/>
              <w:bottom w:val="single" w:sz="4" w:space="0" w:color="auto"/>
              <w:right w:val="single" w:sz="4" w:space="0" w:color="auto"/>
            </w:tcBorders>
            <w:shd w:val="clear" w:color="171717" w:fill="FFFF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38.90%</w:t>
            </w:r>
          </w:p>
        </w:tc>
        <w:tc>
          <w:tcPr>
            <w:tcW w:w="1379" w:type="dxa"/>
            <w:tcBorders>
              <w:top w:val="nil"/>
              <w:left w:val="nil"/>
              <w:bottom w:val="single" w:sz="4" w:space="0" w:color="auto"/>
              <w:right w:val="single" w:sz="4" w:space="0" w:color="auto"/>
            </w:tcBorders>
            <w:shd w:val="clear" w:color="171717" w:fill="FFFF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r w:rsidR="005B5804" w:rsidRPr="007226D7" w:rsidTr="005B5804">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5B5804" w:rsidRPr="005B5804" w:rsidRDefault="005B5804" w:rsidP="001D4B43">
            <w:pPr>
              <w:spacing w:after="0" w:line="240" w:lineRule="auto"/>
              <w:jc w:val="left"/>
              <w:rPr>
                <w:rFonts w:cs="Arial"/>
                <w:b/>
                <w:bCs/>
                <w:sz w:val="18"/>
                <w:szCs w:val="18"/>
              </w:rPr>
            </w:pPr>
            <w:r w:rsidRPr="005B5804">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44.36</w:t>
            </w:r>
          </w:p>
        </w:tc>
        <w:tc>
          <w:tcPr>
            <w:tcW w:w="1247" w:type="dxa"/>
            <w:tcBorders>
              <w:top w:val="nil"/>
              <w:left w:val="nil"/>
              <w:bottom w:val="single" w:sz="4" w:space="0" w:color="auto"/>
              <w:right w:val="nil"/>
            </w:tcBorders>
            <w:shd w:val="clear" w:color="171717" w:fill="FFC0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48.14</w:t>
            </w:r>
          </w:p>
        </w:tc>
        <w:tc>
          <w:tcPr>
            <w:tcW w:w="1247" w:type="dxa"/>
            <w:tcBorders>
              <w:top w:val="nil"/>
              <w:left w:val="nil"/>
              <w:bottom w:val="single" w:sz="4" w:space="0" w:color="auto"/>
              <w:right w:val="single" w:sz="4" w:space="0" w:color="auto"/>
            </w:tcBorders>
            <w:shd w:val="clear" w:color="171717" w:fill="FFC0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44.97</w:t>
            </w:r>
          </w:p>
        </w:tc>
        <w:tc>
          <w:tcPr>
            <w:tcW w:w="1379" w:type="dxa"/>
            <w:tcBorders>
              <w:top w:val="nil"/>
              <w:left w:val="nil"/>
              <w:bottom w:val="single" w:sz="4" w:space="0" w:color="auto"/>
              <w:right w:val="single" w:sz="4" w:space="0" w:color="auto"/>
            </w:tcBorders>
            <w:shd w:val="clear" w:color="171717" w:fill="FFC000"/>
            <w:noWrap/>
            <w:vAlign w:val="center"/>
            <w:hideMark/>
          </w:tcPr>
          <w:p w:rsidR="005B5804" w:rsidRDefault="005B5804" w:rsidP="005B5804">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bl>
    <w:p w:rsidR="00B262DF" w:rsidRPr="007226D7" w:rsidRDefault="00B262DF" w:rsidP="00B262DF">
      <w:pPr>
        <w:rPr>
          <w:lang w:val="es-ES"/>
        </w:rPr>
      </w:pPr>
      <w:r w:rsidRPr="007226D7">
        <w:rPr>
          <w:lang w:val="es-ES"/>
        </w:rPr>
        <w:t>**incluye sólo el tiempo real de viaje y no considere el tiempo de parada.</w:t>
      </w: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spacing w:after="0" w:line="240" w:lineRule="auto"/>
        <w:jc w:val="left"/>
        <w:rPr>
          <w:lang w:val="es-ES"/>
        </w:rPr>
      </w:pPr>
      <w:r w:rsidRPr="007226D7">
        <w:rPr>
          <w:lang w:val="es-ES"/>
        </w:rPr>
        <w:t>A continuación se muestran los datos de demanda, subidas y bajadas de la Línea 2 del metro de Lima.</w:t>
      </w:r>
    </w:p>
    <w:p w:rsidR="00B262DF" w:rsidRPr="007226D7" w:rsidRDefault="00B262DF" w:rsidP="00B262DF">
      <w:pPr>
        <w:spacing w:after="0" w:line="240" w:lineRule="auto"/>
        <w:jc w:val="left"/>
        <w:rPr>
          <w:color w:val="FF0000"/>
          <w:lang w:val="es-ES"/>
        </w:rPr>
      </w:pPr>
    </w:p>
    <w:p w:rsidR="00B262DF" w:rsidRPr="007226D7" w:rsidRDefault="00B262DF" w:rsidP="00B262DF">
      <w:pPr>
        <w:spacing w:after="0" w:line="240" w:lineRule="auto"/>
        <w:jc w:val="left"/>
        <w:rPr>
          <w:lang w:val="es-ES"/>
        </w:rPr>
        <w:sectPr w:rsidR="00B262DF" w:rsidRPr="007226D7" w:rsidSect="00616C7B">
          <w:pgSz w:w="11907" w:h="16840" w:code="9"/>
          <w:pgMar w:top="1985" w:right="1134" w:bottom="1701" w:left="1418" w:header="720" w:footer="833" w:gutter="0"/>
          <w:paperSrc w:first="15" w:other="15"/>
          <w:cols w:space="720"/>
          <w:docGrid w:linePitch="299"/>
        </w:sectPr>
      </w:pPr>
    </w:p>
    <w:p w:rsidR="00B262DF" w:rsidRPr="007226D7" w:rsidRDefault="00563737" w:rsidP="00B262DF">
      <w:pPr>
        <w:spacing w:after="0" w:line="240" w:lineRule="auto"/>
        <w:jc w:val="center"/>
      </w:pPr>
      <w:r w:rsidRPr="00563737">
        <w:rPr>
          <w:noProof/>
          <w:lang w:val="en-US" w:eastAsia="en-US"/>
        </w:rPr>
        <w:lastRenderedPageBreak/>
        <w:drawing>
          <wp:inline distT="0" distB="0" distL="0" distR="0" wp14:anchorId="07B2DB23" wp14:editId="738D732D">
            <wp:extent cx="3193748" cy="5172965"/>
            <wp:effectExtent l="19050" t="0" r="6652" b="0"/>
            <wp:docPr id="833"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9"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6</w:t>
      </w:r>
      <w:r w:rsidRPr="007226D7">
        <w:rPr>
          <w:noProof/>
        </w:rPr>
        <w:t xml:space="preserve">: </w:t>
      </w:r>
      <w:r w:rsidRPr="007226D7">
        <w:t>Subidos y Bajados –HPM – 20</w:t>
      </w:r>
      <w:r>
        <w:t>2</w:t>
      </w:r>
      <w:r w:rsidR="003659ED">
        <w:tab/>
      </w:r>
      <w:r>
        <w:t>0</w:t>
      </w:r>
      <w:r w:rsidRPr="007226D7">
        <w:t xml:space="preserve"> - ESC </w:t>
      </w:r>
      <w:r>
        <w:t>2.3_P</w:t>
      </w:r>
    </w:p>
    <w:p w:rsidR="00B262DF" w:rsidRPr="009522FF" w:rsidRDefault="00563737" w:rsidP="00B262DF">
      <w:pPr>
        <w:jc w:val="center"/>
        <w:rPr>
          <w:lang w:val="es-ES"/>
        </w:rPr>
      </w:pPr>
      <w:r w:rsidRPr="00563737">
        <w:rPr>
          <w:noProof/>
          <w:lang w:val="en-US" w:eastAsia="en-US"/>
        </w:rPr>
        <w:lastRenderedPageBreak/>
        <w:drawing>
          <wp:inline distT="0" distB="0" distL="0" distR="0" wp14:anchorId="14887EA9" wp14:editId="536FCFDE">
            <wp:extent cx="3193748" cy="5172965"/>
            <wp:effectExtent l="19050" t="0" r="6652" b="0"/>
            <wp:docPr id="834"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0"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200C3A">
          <w:pgSz w:w="16840" w:h="11907" w:orient="landscape" w:code="9"/>
          <w:pgMar w:top="1418" w:right="1985" w:bottom="1134" w:left="1701" w:header="720" w:footer="833" w:gutter="0"/>
          <w:paperSrc w:first="15" w:other="15"/>
          <w:cols w:num="2" w:space="720"/>
          <w:docGrid w:linePitch="299"/>
        </w:sectPr>
      </w:pPr>
    </w:p>
    <w:p w:rsidR="00B262DF" w:rsidRPr="007226D7" w:rsidRDefault="00563737" w:rsidP="00B262DF">
      <w:pPr>
        <w:rPr>
          <w:lang w:val="es-ES"/>
        </w:rPr>
      </w:pPr>
      <w:r w:rsidRPr="00563737">
        <w:rPr>
          <w:noProof/>
          <w:lang w:val="en-US" w:eastAsia="en-US"/>
        </w:rPr>
        <w:lastRenderedPageBreak/>
        <w:drawing>
          <wp:inline distT="0" distB="0" distL="0" distR="0" wp14:anchorId="03865384" wp14:editId="533E9697">
            <wp:extent cx="8383979" cy="4928260"/>
            <wp:effectExtent l="0" t="0" r="0" b="0"/>
            <wp:docPr id="835" name="Gra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B262DF" w:rsidRPr="007226D7" w:rsidRDefault="00B262DF" w:rsidP="00B262DF">
      <w:pPr>
        <w:pStyle w:val="Figuras"/>
      </w:pPr>
      <w:r>
        <w:t>Figura 4.8</w:t>
      </w:r>
      <w:r w:rsidRPr="007226D7">
        <w:t>-</w:t>
      </w:r>
      <w:r w:rsidR="009522FF">
        <w:t>9</w:t>
      </w:r>
      <w:r w:rsidRPr="007226D7">
        <w:t>: Grafico de los Subidos y Bajados –HPM – 20</w:t>
      </w:r>
      <w:r w:rsidR="009522FF">
        <w:t>20</w:t>
      </w:r>
      <w:r w:rsidRPr="007226D7">
        <w:t xml:space="preserve"> - ESC </w:t>
      </w:r>
      <w:r w:rsidR="009522FF">
        <w:t>2</w:t>
      </w:r>
      <w:r>
        <w:t>.3_P</w:t>
      </w:r>
      <w:r w:rsidRPr="007226D7">
        <w:t xml:space="preserve"> –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563737" w:rsidP="00B262DF">
      <w:pPr>
        <w:rPr>
          <w:lang w:val="es-ES"/>
        </w:rPr>
      </w:pPr>
      <w:r w:rsidRPr="00563737">
        <w:rPr>
          <w:noProof/>
          <w:lang w:val="en-US" w:eastAsia="en-US"/>
        </w:rPr>
        <w:lastRenderedPageBreak/>
        <w:drawing>
          <wp:inline distT="0" distB="0" distL="0" distR="0" wp14:anchorId="2323FC11" wp14:editId="3689F084">
            <wp:extent cx="8383979" cy="4940136"/>
            <wp:effectExtent l="0" t="0" r="0" b="0"/>
            <wp:docPr id="836" name="Gra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B262DF" w:rsidRPr="007226D7" w:rsidRDefault="00B262DF" w:rsidP="00B262DF">
      <w:pPr>
        <w:pStyle w:val="Figuras"/>
      </w:pPr>
      <w:r>
        <w:t>Figura 4.8</w:t>
      </w:r>
      <w:r w:rsidRPr="007226D7">
        <w:t>-</w:t>
      </w:r>
      <w:r w:rsidR="009522FF">
        <w:t>9</w:t>
      </w:r>
      <w:r w:rsidRPr="007226D7">
        <w:t>: Grafico de los Subidos y Bajados –HPM – 20</w:t>
      </w:r>
      <w:r w:rsidR="009522FF">
        <w:t>20</w:t>
      </w:r>
      <w:r w:rsidRPr="007226D7">
        <w:t xml:space="preserve"> - ESC </w:t>
      </w:r>
      <w:r w:rsidR="009522FF">
        <w:t>2</w:t>
      </w:r>
      <w:r>
        <w:t>.3_P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B262DF" w:rsidRPr="007226D7" w:rsidRDefault="00563737" w:rsidP="00B262DF">
      <w:pPr>
        <w:jc w:val="center"/>
        <w:rPr>
          <w:lang w:val="es-ES"/>
        </w:rPr>
      </w:pPr>
      <w:r w:rsidRPr="00563737">
        <w:rPr>
          <w:noProof/>
          <w:lang w:val="en-US" w:eastAsia="en-US"/>
        </w:rPr>
        <w:lastRenderedPageBreak/>
        <w:drawing>
          <wp:inline distT="0" distB="0" distL="0" distR="0" wp14:anchorId="64DCD7B6" wp14:editId="074C4034">
            <wp:extent cx="3193748" cy="5172965"/>
            <wp:effectExtent l="19050" t="0" r="6652" b="0"/>
            <wp:docPr id="837"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3"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7</w:t>
      </w:r>
      <w:r w:rsidRPr="007226D7">
        <w:rPr>
          <w:noProof/>
        </w:rPr>
        <w:t xml:space="preserve">: </w:t>
      </w:r>
      <w:r w:rsidRPr="007226D7">
        <w:t>Subidos y Bajados –HP</w:t>
      </w:r>
      <w:r>
        <w:t>T</w:t>
      </w:r>
      <w:r w:rsidRPr="007226D7">
        <w:t xml:space="preserve"> – 20</w:t>
      </w:r>
      <w:r>
        <w:t>20</w:t>
      </w:r>
      <w:r w:rsidRPr="007226D7">
        <w:t xml:space="preserve"> - ESC </w:t>
      </w:r>
      <w:r>
        <w:t>2.3_P</w:t>
      </w:r>
    </w:p>
    <w:p w:rsidR="00B262DF" w:rsidRPr="009522FF" w:rsidRDefault="00563737" w:rsidP="00B262DF">
      <w:pPr>
        <w:jc w:val="center"/>
        <w:rPr>
          <w:lang w:val="es-ES"/>
        </w:rPr>
      </w:pPr>
      <w:r w:rsidRPr="00563737">
        <w:rPr>
          <w:noProof/>
          <w:lang w:val="en-US" w:eastAsia="en-US"/>
        </w:rPr>
        <w:lastRenderedPageBreak/>
        <w:drawing>
          <wp:inline distT="0" distB="0" distL="0" distR="0" wp14:anchorId="1347D1A0" wp14:editId="4541AC95">
            <wp:extent cx="3193748" cy="5172965"/>
            <wp:effectExtent l="19050" t="0" r="6652" b="0"/>
            <wp:docPr id="838"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4"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337EAA">
          <w:pgSz w:w="16840" w:h="11907" w:orient="landscape" w:code="9"/>
          <w:pgMar w:top="1418" w:right="1985" w:bottom="1134" w:left="1701" w:header="720" w:footer="833" w:gutter="0"/>
          <w:paperSrc w:first="15" w:other="15"/>
          <w:cols w:num="2" w:space="720"/>
          <w:docGrid w:linePitch="299"/>
        </w:sectPr>
      </w:pPr>
    </w:p>
    <w:p w:rsidR="00B262DF" w:rsidRPr="007226D7" w:rsidRDefault="00563737" w:rsidP="00B262DF">
      <w:pPr>
        <w:rPr>
          <w:lang w:val="es-ES"/>
        </w:rPr>
      </w:pPr>
      <w:r w:rsidRPr="00563737">
        <w:rPr>
          <w:noProof/>
          <w:lang w:val="en-US" w:eastAsia="en-US"/>
        </w:rPr>
        <w:lastRenderedPageBreak/>
        <w:drawing>
          <wp:inline distT="0" distB="0" distL="0" distR="0" wp14:anchorId="0386B895" wp14:editId="6263E78C">
            <wp:extent cx="8336477" cy="4904510"/>
            <wp:effectExtent l="0" t="0" r="0" b="0"/>
            <wp:docPr id="839" name="Gra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B262DF" w:rsidRPr="007226D7" w:rsidRDefault="00B262DF" w:rsidP="00B262DF">
      <w:pPr>
        <w:pStyle w:val="Figuras"/>
      </w:pPr>
      <w:r>
        <w:t>Figura 4.8</w:t>
      </w:r>
      <w:r w:rsidRPr="007226D7">
        <w:t>-</w:t>
      </w:r>
      <w:r w:rsidR="009522FF">
        <w:t>10</w:t>
      </w:r>
      <w:r w:rsidRPr="007226D7">
        <w:t>: Grafico de los Subidos y Bajados –HP</w:t>
      </w:r>
      <w:r>
        <w:t>T</w:t>
      </w:r>
      <w:r w:rsidRPr="007226D7">
        <w:t xml:space="preserve"> – 20</w:t>
      </w:r>
      <w:r>
        <w:t>20</w:t>
      </w:r>
      <w:r w:rsidRPr="007226D7">
        <w:t xml:space="preserve"> - ESC </w:t>
      </w:r>
      <w:r>
        <w:t>2.3_P –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563737" w:rsidP="00B262DF">
      <w:pPr>
        <w:rPr>
          <w:lang w:val="es-ES"/>
        </w:rPr>
      </w:pPr>
      <w:r w:rsidRPr="00AA19C5">
        <w:rPr>
          <w:noProof/>
          <w:sz w:val="20"/>
          <w:lang w:val="en-US" w:eastAsia="en-US"/>
        </w:rPr>
        <w:lastRenderedPageBreak/>
        <w:drawing>
          <wp:inline distT="0" distB="0" distL="0" distR="0" wp14:anchorId="2DB6C146" wp14:editId="572164FB">
            <wp:extent cx="8336477" cy="4845133"/>
            <wp:effectExtent l="0" t="0" r="0" b="0"/>
            <wp:docPr id="840" name="Gra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B262DF" w:rsidRPr="007226D7" w:rsidRDefault="00B262DF" w:rsidP="00B262DF">
      <w:pPr>
        <w:pStyle w:val="Figuras"/>
      </w:pPr>
      <w:r>
        <w:t>Figura 4.8</w:t>
      </w:r>
      <w:r w:rsidRPr="007226D7">
        <w:t>-</w:t>
      </w:r>
      <w:r w:rsidR="009522FF">
        <w:t>11</w:t>
      </w:r>
      <w:r w:rsidRPr="007226D7">
        <w:t>: Grafico de los Subidos y Bajados –HP</w:t>
      </w:r>
      <w:r>
        <w:t>T</w:t>
      </w:r>
      <w:r w:rsidRPr="007226D7">
        <w:t xml:space="preserve"> – 20</w:t>
      </w:r>
      <w:r>
        <w:t>20</w:t>
      </w:r>
      <w:r w:rsidRPr="007226D7">
        <w:t xml:space="preserve"> - ESC </w:t>
      </w:r>
      <w:r>
        <w:t>2.3_P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B262DF" w:rsidRPr="007226D7" w:rsidRDefault="00BE26A7" w:rsidP="00B262DF">
      <w:pPr>
        <w:jc w:val="center"/>
        <w:rPr>
          <w:lang w:val="es-ES"/>
        </w:rPr>
      </w:pPr>
      <w:r w:rsidRPr="00BE26A7">
        <w:rPr>
          <w:noProof/>
          <w:lang w:val="en-US" w:eastAsia="en-US"/>
        </w:rPr>
        <w:lastRenderedPageBreak/>
        <w:drawing>
          <wp:inline distT="0" distB="0" distL="0" distR="0" wp14:anchorId="372BE71F" wp14:editId="2A4E665B">
            <wp:extent cx="3193748" cy="5172965"/>
            <wp:effectExtent l="19050" t="0" r="6652" b="0"/>
            <wp:docPr id="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8</w:t>
      </w:r>
      <w:r w:rsidRPr="007226D7">
        <w:rPr>
          <w:noProof/>
        </w:rPr>
        <w:t xml:space="preserve">: </w:t>
      </w:r>
      <w:r w:rsidRPr="007226D7">
        <w:t>Subidos y Bajados –H</w:t>
      </w:r>
      <w:r>
        <w:t xml:space="preserve">V </w:t>
      </w:r>
      <w:r w:rsidRPr="007226D7">
        <w:t>– 20</w:t>
      </w:r>
      <w:r>
        <w:t>20</w:t>
      </w:r>
      <w:r w:rsidRPr="007226D7">
        <w:t xml:space="preserve"> - ESC </w:t>
      </w:r>
      <w:r>
        <w:t>2.3_P</w:t>
      </w:r>
    </w:p>
    <w:p w:rsidR="00B262DF" w:rsidRPr="00BE26A7" w:rsidRDefault="00BE26A7" w:rsidP="00B262DF">
      <w:pPr>
        <w:jc w:val="center"/>
        <w:rPr>
          <w:lang w:val="es-ES"/>
        </w:rPr>
      </w:pPr>
      <w:r w:rsidRPr="00BE26A7">
        <w:rPr>
          <w:noProof/>
          <w:lang w:val="en-US" w:eastAsia="en-US"/>
        </w:rPr>
        <w:lastRenderedPageBreak/>
        <w:drawing>
          <wp:inline distT="0" distB="0" distL="0" distR="0" wp14:anchorId="1CB97F96" wp14:editId="13605EC2">
            <wp:extent cx="3193748" cy="5172965"/>
            <wp:effectExtent l="19050" t="0" r="6652" b="0"/>
            <wp:docPr id="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DF101C">
          <w:pgSz w:w="16840" w:h="11907" w:orient="landscape" w:code="9"/>
          <w:pgMar w:top="1418" w:right="1985" w:bottom="1134" w:left="1701" w:header="720" w:footer="833" w:gutter="0"/>
          <w:paperSrc w:first="15" w:other="15"/>
          <w:cols w:num="2" w:space="720"/>
          <w:docGrid w:linePitch="299"/>
        </w:sectPr>
      </w:pPr>
    </w:p>
    <w:p w:rsidR="00B262DF" w:rsidRPr="007226D7" w:rsidRDefault="00563737" w:rsidP="00B262DF">
      <w:pPr>
        <w:rPr>
          <w:lang w:val="es-ES"/>
        </w:rPr>
      </w:pPr>
      <w:r w:rsidRPr="00563737">
        <w:rPr>
          <w:noProof/>
          <w:lang w:val="en-US" w:eastAsia="en-US"/>
        </w:rPr>
        <w:lastRenderedPageBreak/>
        <w:drawing>
          <wp:inline distT="0" distB="0" distL="0" distR="0" wp14:anchorId="731FF3F8" wp14:editId="2BDF537A">
            <wp:extent cx="8360228" cy="4880759"/>
            <wp:effectExtent l="0" t="0" r="0" b="0"/>
            <wp:docPr id="843" name="Gra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B262DF" w:rsidRPr="007226D7" w:rsidRDefault="00B262DF" w:rsidP="00B262DF">
      <w:pPr>
        <w:pStyle w:val="Figuras"/>
      </w:pPr>
      <w:r>
        <w:t>Figura 4.8</w:t>
      </w:r>
      <w:r w:rsidRPr="007226D7">
        <w:t>-</w:t>
      </w:r>
      <w:r w:rsidR="009522FF">
        <w:t>12</w:t>
      </w:r>
      <w:r w:rsidRPr="007226D7">
        <w:t>: Graf</w:t>
      </w:r>
      <w:r>
        <w:t>ico de los Subidos y Bajados –HV</w:t>
      </w:r>
      <w:r w:rsidRPr="007226D7">
        <w:t xml:space="preserve"> – 20</w:t>
      </w:r>
      <w:r w:rsidR="009522FF">
        <w:t>2</w:t>
      </w:r>
      <w:r>
        <w:t>0</w:t>
      </w:r>
      <w:r w:rsidRPr="007226D7">
        <w:t xml:space="preserve"> - ESC </w:t>
      </w:r>
      <w:r w:rsidR="009522FF">
        <w:t>2</w:t>
      </w:r>
      <w:r>
        <w:t>.3_P –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563737" w:rsidP="00B262DF">
      <w:pPr>
        <w:rPr>
          <w:lang w:val="es-ES"/>
        </w:rPr>
      </w:pPr>
      <w:r w:rsidRPr="00563737">
        <w:rPr>
          <w:noProof/>
          <w:lang w:val="en-US" w:eastAsia="en-US"/>
        </w:rPr>
        <w:lastRenderedPageBreak/>
        <w:drawing>
          <wp:inline distT="0" distB="0" distL="0" distR="0" wp14:anchorId="319235D4" wp14:editId="5127DCEF">
            <wp:extent cx="8360228" cy="4868884"/>
            <wp:effectExtent l="0" t="0" r="0" b="0"/>
            <wp:docPr id="844" name="Gra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B262DF" w:rsidRPr="007226D7" w:rsidRDefault="00B262DF" w:rsidP="00B262DF">
      <w:pPr>
        <w:pStyle w:val="Figuras"/>
      </w:pPr>
      <w:r>
        <w:t>Figura 4.8</w:t>
      </w:r>
      <w:r w:rsidRPr="007226D7">
        <w:t>-</w:t>
      </w:r>
      <w:r w:rsidR="009522FF">
        <w:t>13</w:t>
      </w:r>
      <w:r w:rsidRPr="007226D7">
        <w:t>: Graf</w:t>
      </w:r>
      <w:r>
        <w:t>ico de los Subidos y Bajados –HV</w:t>
      </w:r>
      <w:r w:rsidRPr="007226D7">
        <w:t xml:space="preserve"> – 20</w:t>
      </w:r>
      <w:r w:rsidR="009522FF">
        <w:t>2</w:t>
      </w:r>
      <w:r>
        <w:t>0</w:t>
      </w:r>
      <w:r w:rsidRPr="007226D7">
        <w:t xml:space="preserve"> - ESC </w:t>
      </w:r>
      <w:r w:rsidR="009522FF">
        <w:t>2</w:t>
      </w:r>
      <w:r>
        <w:t>.3_P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B262DF" w:rsidRPr="00B262DF" w:rsidRDefault="00B262DF" w:rsidP="0025207C">
      <w:pPr>
        <w:pStyle w:val="Heading3"/>
        <w:rPr>
          <w:lang w:val="es-ES"/>
        </w:rPr>
      </w:pPr>
      <w:bookmarkStart w:id="168" w:name="_Ref346487177"/>
      <w:bookmarkStart w:id="169" w:name="_Toc346541953"/>
      <w:r w:rsidRPr="0025207C">
        <w:lastRenderedPageBreak/>
        <w:t>Escenario</w:t>
      </w:r>
      <w:r w:rsidRPr="00B262DF">
        <w:rPr>
          <w:lang w:val="es-ES"/>
        </w:rPr>
        <w:t xml:space="preserve"> </w:t>
      </w:r>
      <w:r w:rsidR="0025207C">
        <w:rPr>
          <w:lang w:val="es-ES"/>
        </w:rPr>
        <w:t>3</w:t>
      </w:r>
      <w:r w:rsidRPr="00B262DF">
        <w:rPr>
          <w:lang w:val="es-ES"/>
        </w:rPr>
        <w:t>.3_P – ESCENARIO PESIMISTA 20</w:t>
      </w:r>
      <w:r w:rsidR="00627BC2">
        <w:rPr>
          <w:lang w:val="es-ES"/>
        </w:rPr>
        <w:t>30</w:t>
      </w:r>
      <w:bookmarkEnd w:id="168"/>
      <w:bookmarkEnd w:id="169"/>
    </w:p>
    <w:p w:rsidR="00B262DF" w:rsidRPr="007226D7" w:rsidRDefault="00B262DF" w:rsidP="00B262DF">
      <w:pPr>
        <w:rPr>
          <w:lang w:val="es-ES"/>
        </w:rPr>
      </w:pPr>
      <w:r w:rsidRPr="007226D7">
        <w:rPr>
          <w:lang w:val="es-ES"/>
        </w:rPr>
        <w:t xml:space="preserve">En el siguiente cuadro se presenta los resultados del modelo de demanda asignada para la situación con proyecto 2030 </w:t>
      </w:r>
      <w:r w:rsidR="0025207C">
        <w:rPr>
          <w:lang w:val="es-ES"/>
        </w:rPr>
        <w:t>en lo escenario pesimista</w:t>
      </w:r>
      <w:r w:rsidRPr="007226D7">
        <w:rPr>
          <w:lang w:val="es-ES"/>
        </w:rPr>
        <w:t>:</w:t>
      </w:r>
    </w:p>
    <w:p w:rsidR="00B262DF" w:rsidRPr="00FB60C2" w:rsidRDefault="00B262DF" w:rsidP="00B262DF">
      <w:pPr>
        <w:pStyle w:val="Figuras"/>
      </w:pPr>
      <w:r w:rsidRPr="00FB60C2">
        <w:rPr>
          <w:noProof/>
        </w:rPr>
        <w:t>Tabla 4.8 – 9 (serie)</w:t>
      </w:r>
      <w:r w:rsidRPr="00FB60C2">
        <w:t>: resultados de modelación escenario 3.3_P</w:t>
      </w:r>
    </w:p>
    <w:tbl>
      <w:tblPr>
        <w:tblW w:w="9400" w:type="dxa"/>
        <w:tblInd w:w="53" w:type="dxa"/>
        <w:tblCellMar>
          <w:left w:w="70" w:type="dxa"/>
          <w:right w:w="70" w:type="dxa"/>
        </w:tblCellMar>
        <w:tblLook w:val="04A0" w:firstRow="1" w:lastRow="0" w:firstColumn="1" w:lastColumn="0" w:noHBand="0" w:noVBand="1"/>
      </w:tblPr>
      <w:tblGrid>
        <w:gridCol w:w="1119"/>
        <w:gridCol w:w="3160"/>
        <w:gridCol w:w="1265"/>
        <w:gridCol w:w="1265"/>
        <w:gridCol w:w="1038"/>
        <w:gridCol w:w="1553"/>
      </w:tblGrid>
      <w:tr w:rsidR="00FB60C2" w:rsidRPr="00FB60C2"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B60C2" w:rsidRPr="00FB60C2" w:rsidRDefault="00FB60C2" w:rsidP="001D4B43">
            <w:pPr>
              <w:spacing w:after="0" w:line="240" w:lineRule="auto"/>
              <w:jc w:val="left"/>
              <w:rPr>
                <w:rFonts w:cs="Arial"/>
                <w:b/>
                <w:bCs/>
                <w:sz w:val="18"/>
                <w:szCs w:val="18"/>
              </w:rPr>
            </w:pPr>
            <w:r w:rsidRPr="00FB60C2">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B60C2" w:rsidRPr="00FB60C2" w:rsidRDefault="00FB60C2" w:rsidP="001D4B43">
            <w:pPr>
              <w:spacing w:after="0" w:line="240" w:lineRule="auto"/>
              <w:jc w:val="center"/>
              <w:rPr>
                <w:rFonts w:cs="Arial"/>
                <w:b/>
                <w:bCs/>
                <w:sz w:val="18"/>
                <w:szCs w:val="18"/>
              </w:rPr>
            </w:pPr>
            <w:r w:rsidRPr="00FB60C2">
              <w:rPr>
                <w:rFonts w:cs="Arial"/>
                <w:b/>
                <w:bCs/>
                <w:sz w:val="18"/>
                <w:szCs w:val="18"/>
              </w:rPr>
              <w:t>Vehículo/Modo</w:t>
            </w:r>
          </w:p>
        </w:tc>
        <w:tc>
          <w:tcPr>
            <w:tcW w:w="5121"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B60C2" w:rsidRPr="005B5804" w:rsidRDefault="00FB60C2"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3.3_P</w:t>
            </w:r>
            <w:r w:rsidRPr="001F760E">
              <w:rPr>
                <w:rFonts w:cs="Arial"/>
                <w:bCs/>
                <w:i/>
                <w:sz w:val="18"/>
                <w:szCs w:val="18"/>
              </w:rPr>
              <w:t>esimista</w:t>
            </w:r>
          </w:p>
        </w:tc>
      </w:tr>
      <w:tr w:rsidR="00B262DF" w:rsidRPr="00FB60C2"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1265"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HPM</w:t>
            </w:r>
          </w:p>
        </w:tc>
        <w:tc>
          <w:tcPr>
            <w:tcW w:w="1265"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HPT</w:t>
            </w:r>
          </w:p>
        </w:tc>
        <w:tc>
          <w:tcPr>
            <w:tcW w:w="1038"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HV</w:t>
            </w:r>
          </w:p>
        </w:tc>
        <w:tc>
          <w:tcPr>
            <w:tcW w:w="1553"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Total Dìario</w:t>
            </w:r>
          </w:p>
        </w:tc>
      </w:tr>
      <w:tr w:rsidR="00830750" w:rsidRPr="00FB60C2" w:rsidTr="00830750">
        <w:trPr>
          <w:trHeight w:val="240"/>
        </w:trPr>
        <w:tc>
          <w:tcPr>
            <w:tcW w:w="1119" w:type="dxa"/>
            <w:vMerge w:val="restart"/>
            <w:tcBorders>
              <w:top w:val="nil"/>
              <w:left w:val="single" w:sz="4" w:space="0" w:color="auto"/>
              <w:bottom w:val="single" w:sz="4" w:space="0" w:color="auto"/>
              <w:right w:val="single" w:sz="4" w:space="0" w:color="auto"/>
            </w:tcBorders>
            <w:shd w:val="clear" w:color="171717" w:fill="DBE5F1"/>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Matrices</w:t>
            </w:r>
          </w:p>
        </w:tc>
        <w:tc>
          <w:tcPr>
            <w:tcW w:w="3160" w:type="dxa"/>
            <w:tcBorders>
              <w:top w:val="nil"/>
              <w:left w:val="nil"/>
              <w:bottom w:val="single" w:sz="4" w:space="0" w:color="auto"/>
              <w:right w:val="single" w:sz="4" w:space="0" w:color="auto"/>
            </w:tcBorders>
            <w:shd w:val="clear" w:color="171717" w:fill="DBE5F1"/>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Coche </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270,141</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152,146</w:t>
            </w:r>
          </w:p>
        </w:tc>
        <w:tc>
          <w:tcPr>
            <w:tcW w:w="1038"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130,402</w:t>
            </w:r>
          </w:p>
        </w:tc>
        <w:tc>
          <w:tcPr>
            <w:tcW w:w="1553"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2,539,801</w:t>
            </w:r>
          </w:p>
        </w:tc>
      </w:tr>
      <w:tr w:rsidR="00830750" w:rsidRPr="00FB60C2" w:rsidTr="00830750">
        <w:trPr>
          <w:trHeight w:val="240"/>
        </w:trPr>
        <w:tc>
          <w:tcPr>
            <w:tcW w:w="1119" w:type="dxa"/>
            <w:vMerge/>
            <w:tcBorders>
              <w:top w:val="nil"/>
              <w:left w:val="single" w:sz="4" w:space="0" w:color="auto"/>
              <w:bottom w:val="single" w:sz="4" w:space="0" w:color="auto"/>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Taxi </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120,171</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110,096</w:t>
            </w:r>
          </w:p>
        </w:tc>
        <w:tc>
          <w:tcPr>
            <w:tcW w:w="1038"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72,909</w:t>
            </w:r>
          </w:p>
        </w:tc>
        <w:tc>
          <w:tcPr>
            <w:tcW w:w="1553"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1,408,355</w:t>
            </w:r>
          </w:p>
        </w:tc>
      </w:tr>
      <w:tr w:rsidR="00830750" w:rsidRPr="00FB60C2" w:rsidTr="00830750">
        <w:trPr>
          <w:trHeight w:val="240"/>
        </w:trPr>
        <w:tc>
          <w:tcPr>
            <w:tcW w:w="1119" w:type="dxa"/>
            <w:vMerge/>
            <w:tcBorders>
              <w:top w:val="nil"/>
              <w:left w:val="single" w:sz="4" w:space="0" w:color="auto"/>
              <w:bottom w:val="single" w:sz="4" w:space="0" w:color="auto"/>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DBE5F1"/>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VehPesados </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17,309</w:t>
            </w:r>
          </w:p>
        </w:tc>
        <w:tc>
          <w:tcPr>
            <w:tcW w:w="1265" w:type="dxa"/>
            <w:tcBorders>
              <w:top w:val="nil"/>
              <w:left w:val="nil"/>
              <w:bottom w:val="single" w:sz="4" w:space="0" w:color="auto"/>
              <w:right w:val="nil"/>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13,312</w:t>
            </w:r>
          </w:p>
        </w:tc>
        <w:tc>
          <w:tcPr>
            <w:tcW w:w="1038"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13,389</w:t>
            </w:r>
          </w:p>
        </w:tc>
        <w:tc>
          <w:tcPr>
            <w:tcW w:w="1553" w:type="dxa"/>
            <w:tcBorders>
              <w:top w:val="nil"/>
              <w:left w:val="nil"/>
              <w:bottom w:val="single" w:sz="4" w:space="0" w:color="auto"/>
              <w:right w:val="single" w:sz="4" w:space="0" w:color="auto"/>
            </w:tcBorders>
            <w:shd w:val="clear" w:color="171717" w:fill="DBE5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235,294</w:t>
            </w:r>
          </w:p>
        </w:tc>
      </w:tr>
      <w:tr w:rsidR="00830750" w:rsidRPr="00FB60C2" w:rsidTr="00830750">
        <w:trPr>
          <w:trHeight w:val="240"/>
        </w:trPr>
        <w:tc>
          <w:tcPr>
            <w:tcW w:w="1119" w:type="dxa"/>
            <w:vMerge w:val="restart"/>
            <w:tcBorders>
              <w:top w:val="nil"/>
              <w:left w:val="single" w:sz="4" w:space="0" w:color="auto"/>
              <w:bottom w:val="single" w:sz="4" w:space="0" w:color="auto"/>
              <w:right w:val="single" w:sz="4" w:space="0" w:color="auto"/>
            </w:tcBorders>
            <w:shd w:val="clear" w:color="171717" w:fill="C5D9F1"/>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Veh*Km (Privado)</w:t>
            </w:r>
          </w:p>
        </w:tc>
        <w:tc>
          <w:tcPr>
            <w:tcW w:w="3160" w:type="dxa"/>
            <w:tcBorders>
              <w:top w:val="nil"/>
              <w:left w:val="nil"/>
              <w:bottom w:val="single" w:sz="4" w:space="0" w:color="auto"/>
              <w:right w:val="single" w:sz="4" w:space="0" w:color="auto"/>
            </w:tcBorders>
            <w:shd w:val="clear" w:color="171717" w:fill="C5D9F1"/>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Coche </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1,881,224</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1,418,542</w:t>
            </w:r>
          </w:p>
        </w:tc>
        <w:tc>
          <w:tcPr>
            <w:tcW w:w="1038"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1,190,874</w:t>
            </w:r>
          </w:p>
        </w:tc>
        <w:tc>
          <w:tcPr>
            <w:tcW w:w="1553"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22,080,889</w:t>
            </w:r>
          </w:p>
        </w:tc>
      </w:tr>
      <w:tr w:rsidR="00830750" w:rsidRPr="00FB60C2" w:rsidTr="00830750">
        <w:trPr>
          <w:trHeight w:val="240"/>
        </w:trPr>
        <w:tc>
          <w:tcPr>
            <w:tcW w:w="1119" w:type="dxa"/>
            <w:vMerge/>
            <w:tcBorders>
              <w:top w:val="nil"/>
              <w:left w:val="single" w:sz="4" w:space="0" w:color="auto"/>
              <w:bottom w:val="single" w:sz="4" w:space="0" w:color="auto"/>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Taxi </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959,071</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1,038,476</w:t>
            </w:r>
          </w:p>
        </w:tc>
        <w:tc>
          <w:tcPr>
            <w:tcW w:w="1038"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573,194</w:t>
            </w:r>
          </w:p>
        </w:tc>
        <w:tc>
          <w:tcPr>
            <w:tcW w:w="1553"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11,446,616</w:t>
            </w:r>
          </w:p>
        </w:tc>
      </w:tr>
      <w:tr w:rsidR="00830750" w:rsidRPr="00FB60C2" w:rsidTr="00830750">
        <w:trPr>
          <w:trHeight w:val="240"/>
        </w:trPr>
        <w:tc>
          <w:tcPr>
            <w:tcW w:w="1119" w:type="dxa"/>
            <w:vMerge/>
            <w:tcBorders>
              <w:top w:val="nil"/>
              <w:left w:val="single" w:sz="4" w:space="0" w:color="auto"/>
              <w:bottom w:val="single" w:sz="4" w:space="0" w:color="auto"/>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C5D9F1"/>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VehPesados </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390,435</w:t>
            </w:r>
          </w:p>
        </w:tc>
        <w:tc>
          <w:tcPr>
            <w:tcW w:w="1265" w:type="dxa"/>
            <w:tcBorders>
              <w:top w:val="nil"/>
              <w:left w:val="nil"/>
              <w:bottom w:val="single" w:sz="4" w:space="0" w:color="auto"/>
              <w:right w:val="nil"/>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341,588</w:t>
            </w:r>
          </w:p>
        </w:tc>
        <w:tc>
          <w:tcPr>
            <w:tcW w:w="1038"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343,377</w:t>
            </w:r>
          </w:p>
        </w:tc>
        <w:tc>
          <w:tcPr>
            <w:tcW w:w="1553" w:type="dxa"/>
            <w:tcBorders>
              <w:top w:val="nil"/>
              <w:left w:val="nil"/>
              <w:bottom w:val="single" w:sz="4" w:space="0" w:color="auto"/>
              <w:right w:val="single" w:sz="4" w:space="0" w:color="auto"/>
            </w:tcBorders>
            <w:shd w:val="clear" w:color="171717" w:fill="C5D9F1"/>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5,927,949</w:t>
            </w:r>
          </w:p>
        </w:tc>
      </w:tr>
      <w:tr w:rsidR="00830750" w:rsidRPr="00FB60C2" w:rsidTr="00830750">
        <w:trPr>
          <w:trHeight w:val="240"/>
        </w:trPr>
        <w:tc>
          <w:tcPr>
            <w:tcW w:w="1119" w:type="dxa"/>
            <w:vMerge w:val="restart"/>
            <w:tcBorders>
              <w:top w:val="nil"/>
              <w:left w:val="single" w:sz="4" w:space="0" w:color="auto"/>
              <w:bottom w:val="single" w:sz="8" w:space="0" w:color="000000"/>
              <w:right w:val="single" w:sz="4" w:space="0" w:color="auto"/>
            </w:tcBorders>
            <w:shd w:val="clear" w:color="171717" w:fill="95B3D7"/>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Veh*hr (Privado)</w:t>
            </w:r>
          </w:p>
        </w:tc>
        <w:tc>
          <w:tcPr>
            <w:tcW w:w="3160" w:type="dxa"/>
            <w:tcBorders>
              <w:top w:val="nil"/>
              <w:left w:val="nil"/>
              <w:bottom w:val="single" w:sz="4" w:space="0" w:color="auto"/>
              <w:right w:val="single" w:sz="4" w:space="0" w:color="auto"/>
            </w:tcBorders>
            <w:shd w:val="clear" w:color="171717" w:fill="95B3D7"/>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Coche </w:t>
            </w:r>
          </w:p>
        </w:tc>
        <w:tc>
          <w:tcPr>
            <w:tcW w:w="1265" w:type="dxa"/>
            <w:tcBorders>
              <w:top w:val="nil"/>
              <w:left w:val="nil"/>
              <w:bottom w:val="single" w:sz="4"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154,888</w:t>
            </w:r>
          </w:p>
        </w:tc>
        <w:tc>
          <w:tcPr>
            <w:tcW w:w="1265" w:type="dxa"/>
            <w:tcBorders>
              <w:top w:val="nil"/>
              <w:left w:val="nil"/>
              <w:bottom w:val="single" w:sz="4"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90,565</w:t>
            </w:r>
          </w:p>
        </w:tc>
        <w:tc>
          <w:tcPr>
            <w:tcW w:w="1038" w:type="dxa"/>
            <w:tcBorders>
              <w:top w:val="nil"/>
              <w:left w:val="nil"/>
              <w:bottom w:val="single" w:sz="4"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68,164</w:t>
            </w:r>
          </w:p>
        </w:tc>
        <w:tc>
          <w:tcPr>
            <w:tcW w:w="1553" w:type="dxa"/>
            <w:tcBorders>
              <w:top w:val="nil"/>
              <w:left w:val="nil"/>
              <w:bottom w:val="single" w:sz="4"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1,377,040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95B3D7"/>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Taxi </w:t>
            </w:r>
          </w:p>
        </w:tc>
        <w:tc>
          <w:tcPr>
            <w:tcW w:w="1265" w:type="dxa"/>
            <w:tcBorders>
              <w:top w:val="nil"/>
              <w:left w:val="nil"/>
              <w:bottom w:val="single" w:sz="4"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70,708</w:t>
            </w:r>
          </w:p>
        </w:tc>
        <w:tc>
          <w:tcPr>
            <w:tcW w:w="1265" w:type="dxa"/>
            <w:tcBorders>
              <w:top w:val="nil"/>
              <w:left w:val="nil"/>
              <w:bottom w:val="single" w:sz="4"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61,517</w:t>
            </w:r>
          </w:p>
        </w:tc>
        <w:tc>
          <w:tcPr>
            <w:tcW w:w="1038" w:type="dxa"/>
            <w:tcBorders>
              <w:top w:val="nil"/>
              <w:left w:val="nil"/>
              <w:bottom w:val="single" w:sz="4"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32,158</w:t>
            </w:r>
          </w:p>
        </w:tc>
        <w:tc>
          <w:tcPr>
            <w:tcW w:w="1553" w:type="dxa"/>
            <w:tcBorders>
              <w:top w:val="nil"/>
              <w:left w:val="nil"/>
              <w:bottom w:val="single" w:sz="4"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682,508</w:t>
            </w:r>
          </w:p>
        </w:tc>
      </w:tr>
      <w:tr w:rsidR="00830750" w:rsidRPr="00FB60C2" w:rsidTr="00830750">
        <w:trPr>
          <w:trHeight w:val="255"/>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5B3D7"/>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xml:space="preserve">VehPesados </w:t>
            </w:r>
          </w:p>
        </w:tc>
        <w:tc>
          <w:tcPr>
            <w:tcW w:w="1265" w:type="dxa"/>
            <w:tcBorders>
              <w:top w:val="nil"/>
              <w:left w:val="nil"/>
              <w:bottom w:val="single" w:sz="8"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19,451</w:t>
            </w:r>
          </w:p>
        </w:tc>
        <w:tc>
          <w:tcPr>
            <w:tcW w:w="1265" w:type="dxa"/>
            <w:tcBorders>
              <w:top w:val="nil"/>
              <w:left w:val="nil"/>
              <w:bottom w:val="single" w:sz="8" w:space="0" w:color="auto"/>
              <w:right w:val="nil"/>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16,297</w:t>
            </w:r>
          </w:p>
        </w:tc>
        <w:tc>
          <w:tcPr>
            <w:tcW w:w="1038" w:type="dxa"/>
            <w:tcBorders>
              <w:top w:val="nil"/>
              <w:left w:val="nil"/>
              <w:bottom w:val="single" w:sz="8"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14,331</w:t>
            </w:r>
          </w:p>
        </w:tc>
        <w:tc>
          <w:tcPr>
            <w:tcW w:w="1553" w:type="dxa"/>
            <w:tcBorders>
              <w:top w:val="nil"/>
              <w:left w:val="nil"/>
              <w:bottom w:val="single" w:sz="8" w:space="0" w:color="auto"/>
              <w:right w:val="single" w:sz="4" w:space="0" w:color="auto"/>
            </w:tcBorders>
            <w:shd w:val="clear" w:color="171717" w:fill="95B3D7"/>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257,803</w:t>
            </w:r>
          </w:p>
        </w:tc>
      </w:tr>
    </w:tbl>
    <w:p w:rsidR="00B262DF" w:rsidRPr="00FB60C2" w:rsidRDefault="00B262DF" w:rsidP="00B262DF">
      <w:pPr>
        <w:rPr>
          <w:sz w:val="2"/>
          <w:szCs w:val="2"/>
          <w:lang w:val="es-ES"/>
        </w:rPr>
      </w:pPr>
    </w:p>
    <w:tbl>
      <w:tblPr>
        <w:tblW w:w="9404" w:type="dxa"/>
        <w:tblInd w:w="49" w:type="dxa"/>
        <w:tblCellMar>
          <w:left w:w="70" w:type="dxa"/>
          <w:right w:w="70" w:type="dxa"/>
        </w:tblCellMar>
        <w:tblLook w:val="04A0" w:firstRow="1" w:lastRow="0" w:firstColumn="1" w:lastColumn="0" w:noHBand="0" w:noVBand="1"/>
      </w:tblPr>
      <w:tblGrid>
        <w:gridCol w:w="1119"/>
        <w:gridCol w:w="3160"/>
        <w:gridCol w:w="1324"/>
        <w:gridCol w:w="1088"/>
        <w:gridCol w:w="1088"/>
        <w:gridCol w:w="1625"/>
      </w:tblGrid>
      <w:tr w:rsidR="00FB60C2" w:rsidRPr="00FB60C2"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B60C2" w:rsidRPr="00FB60C2" w:rsidRDefault="00FB60C2" w:rsidP="001D4B43">
            <w:pPr>
              <w:spacing w:after="0" w:line="240" w:lineRule="auto"/>
              <w:jc w:val="left"/>
              <w:rPr>
                <w:rFonts w:cs="Arial"/>
                <w:b/>
                <w:bCs/>
                <w:sz w:val="18"/>
                <w:szCs w:val="18"/>
              </w:rPr>
            </w:pPr>
            <w:r w:rsidRPr="00FB60C2">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B60C2" w:rsidRPr="00FB60C2" w:rsidRDefault="00FB60C2" w:rsidP="001D4B43">
            <w:pPr>
              <w:spacing w:after="0" w:line="240" w:lineRule="auto"/>
              <w:jc w:val="center"/>
              <w:rPr>
                <w:rFonts w:cs="Arial"/>
                <w:b/>
                <w:bCs/>
                <w:sz w:val="18"/>
                <w:szCs w:val="18"/>
              </w:rPr>
            </w:pPr>
            <w:r w:rsidRPr="00FB60C2">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B60C2" w:rsidRPr="005B5804" w:rsidRDefault="00FB60C2"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3.3_P</w:t>
            </w:r>
            <w:r w:rsidRPr="001F760E">
              <w:rPr>
                <w:rFonts w:cs="Arial"/>
                <w:bCs/>
                <w:i/>
                <w:sz w:val="18"/>
                <w:szCs w:val="18"/>
              </w:rPr>
              <w:t>esimista</w:t>
            </w:r>
          </w:p>
        </w:tc>
      </w:tr>
      <w:tr w:rsidR="00B262DF" w:rsidRPr="00FB60C2"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Total Dìario</w:t>
            </w:r>
          </w:p>
        </w:tc>
      </w:tr>
      <w:tr w:rsidR="00830750" w:rsidRPr="00FB60C2" w:rsidTr="00830750">
        <w:trPr>
          <w:trHeight w:hRule="exact" w:val="510"/>
        </w:trPr>
        <w:tc>
          <w:tcPr>
            <w:tcW w:w="1119" w:type="dxa"/>
            <w:tcBorders>
              <w:top w:val="nil"/>
              <w:left w:val="single" w:sz="4" w:space="0" w:color="auto"/>
              <w:bottom w:val="single" w:sz="4" w:space="0" w:color="auto"/>
              <w:right w:val="single" w:sz="4" w:space="0" w:color="auto"/>
            </w:tcBorders>
            <w:shd w:val="clear" w:color="171717" w:fill="D7E4BC"/>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Matriz de viajes </w:t>
            </w:r>
          </w:p>
        </w:tc>
        <w:tc>
          <w:tcPr>
            <w:tcW w:w="3160" w:type="dxa"/>
            <w:tcBorders>
              <w:top w:val="nil"/>
              <w:left w:val="nil"/>
              <w:bottom w:val="single" w:sz="4" w:space="0" w:color="auto"/>
              <w:right w:val="single" w:sz="4" w:space="0" w:color="auto"/>
            </w:tcBorders>
            <w:shd w:val="clear" w:color="171717" w:fill="D7E4BC"/>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Todos Modos</w:t>
            </w:r>
          </w:p>
        </w:tc>
        <w:tc>
          <w:tcPr>
            <w:tcW w:w="1324" w:type="dxa"/>
            <w:tcBorders>
              <w:top w:val="nil"/>
              <w:left w:val="nil"/>
              <w:bottom w:val="single" w:sz="4" w:space="0" w:color="auto"/>
              <w:right w:val="nil"/>
            </w:tcBorders>
            <w:shd w:val="clear" w:color="171717" w:fill="D7E4BC"/>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1,250,131</w:t>
            </w:r>
          </w:p>
        </w:tc>
        <w:tc>
          <w:tcPr>
            <w:tcW w:w="1088" w:type="dxa"/>
            <w:tcBorders>
              <w:top w:val="nil"/>
              <w:left w:val="nil"/>
              <w:bottom w:val="single" w:sz="4" w:space="0" w:color="auto"/>
              <w:right w:val="nil"/>
            </w:tcBorders>
            <w:shd w:val="clear" w:color="171717" w:fill="D7E4BC"/>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864,208</w:t>
            </w:r>
          </w:p>
        </w:tc>
        <w:tc>
          <w:tcPr>
            <w:tcW w:w="1088" w:type="dxa"/>
            <w:tcBorders>
              <w:top w:val="nil"/>
              <w:left w:val="nil"/>
              <w:bottom w:val="single" w:sz="4" w:space="0" w:color="auto"/>
              <w:right w:val="single" w:sz="4" w:space="0" w:color="auto"/>
            </w:tcBorders>
            <w:shd w:val="clear" w:color="171717" w:fill="D7E4BC"/>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639,784</w:t>
            </w:r>
          </w:p>
        </w:tc>
        <w:tc>
          <w:tcPr>
            <w:tcW w:w="1625" w:type="dxa"/>
            <w:tcBorders>
              <w:top w:val="nil"/>
              <w:left w:val="nil"/>
              <w:bottom w:val="single" w:sz="4" w:space="0" w:color="auto"/>
              <w:right w:val="single" w:sz="4" w:space="0" w:color="auto"/>
            </w:tcBorders>
            <w:shd w:val="clear" w:color="171717" w:fill="D7E4BC"/>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12,545,874</w:t>
            </w:r>
          </w:p>
        </w:tc>
      </w:tr>
      <w:tr w:rsidR="00830750" w:rsidRPr="00FB60C2" w:rsidTr="00830750">
        <w:trPr>
          <w:trHeight w:val="499"/>
        </w:trPr>
        <w:tc>
          <w:tcPr>
            <w:tcW w:w="1119" w:type="dxa"/>
            <w:vMerge w:val="restart"/>
            <w:tcBorders>
              <w:top w:val="nil"/>
              <w:left w:val="single" w:sz="4" w:space="0" w:color="auto"/>
              <w:bottom w:val="single" w:sz="8" w:space="0" w:color="000000"/>
              <w:right w:val="single" w:sz="4" w:space="0" w:color="auto"/>
            </w:tcBorders>
            <w:shd w:val="clear" w:color="171717" w:fill="92D050"/>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Veh*Km (Pùblico)</w:t>
            </w: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Camioneta rural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152,052</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148,498</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113,502</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2,076,628</w:t>
            </w:r>
          </w:p>
        </w:tc>
      </w:tr>
      <w:tr w:rsidR="00830750" w:rsidRPr="00FB60C2" w:rsidTr="00830750">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121,901</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95,795</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98,769</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1,719,384</w:t>
            </w:r>
          </w:p>
        </w:tc>
      </w:tr>
      <w:tr w:rsidR="00830750" w:rsidRPr="00FB60C2" w:rsidTr="00830750">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50,706</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27,643</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28,150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522,641</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 -</w:t>
            </w:r>
            <w:proofErr w:type="gramStart"/>
            <w:r w:rsidRPr="00FB60C2">
              <w:rPr>
                <w:rFonts w:cs="Arial"/>
                <w:b/>
                <w:bCs/>
                <w:sz w:val="18"/>
                <w:szCs w:val="18"/>
              </w:rPr>
              <w:t xml:space="preserve">  </w:t>
            </w:r>
            <w:proofErr w:type="gramEnd"/>
            <w:r w:rsidRPr="00FB60C2">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797</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664</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11,817</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1,065</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1,065</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532</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11,180</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7,663</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4,488</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4,488</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82,652</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144</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144</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96</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1,818</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6,026</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4,465</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1,790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44,252</w:t>
            </w:r>
          </w:p>
        </w:tc>
      </w:tr>
      <w:tr w:rsidR="00830750" w:rsidRPr="00FB60C2" w:rsidTr="00830750">
        <w:trPr>
          <w:trHeight w:val="240"/>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3,150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3,261</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3,157</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53,868</w:t>
            </w:r>
          </w:p>
        </w:tc>
      </w:tr>
      <w:tr w:rsidR="00830750" w:rsidRPr="00FB60C2" w:rsidTr="00830750">
        <w:trPr>
          <w:trHeight w:val="499"/>
        </w:trPr>
        <w:tc>
          <w:tcPr>
            <w:tcW w:w="1119" w:type="dxa"/>
            <w:vMerge/>
            <w:tcBorders>
              <w:top w:val="nil"/>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sz w:val="18"/>
                <w:szCs w:val="18"/>
              </w:rPr>
            </w:pPr>
          </w:p>
        </w:tc>
        <w:tc>
          <w:tcPr>
            <w:tcW w:w="3160" w:type="dxa"/>
            <w:tcBorders>
              <w:top w:val="nil"/>
              <w:left w:val="nil"/>
              <w:bottom w:val="single" w:sz="8" w:space="0" w:color="auto"/>
              <w:right w:val="single" w:sz="4" w:space="0" w:color="auto"/>
            </w:tcBorders>
            <w:shd w:val="clear" w:color="171717" w:fill="92D050"/>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Total [veh*km]</w:t>
            </w:r>
          </w:p>
        </w:tc>
        <w:tc>
          <w:tcPr>
            <w:tcW w:w="1324" w:type="dxa"/>
            <w:tcBorders>
              <w:top w:val="nil"/>
              <w:left w:val="nil"/>
              <w:bottom w:val="single" w:sz="8" w:space="0" w:color="auto"/>
              <w:right w:val="nil"/>
            </w:tcBorders>
            <w:shd w:val="clear" w:color="171717" w:fill="92D05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343,503</w:t>
            </w:r>
          </w:p>
        </w:tc>
        <w:tc>
          <w:tcPr>
            <w:tcW w:w="1088" w:type="dxa"/>
            <w:tcBorders>
              <w:top w:val="nil"/>
              <w:left w:val="nil"/>
              <w:bottom w:val="single" w:sz="8" w:space="0" w:color="auto"/>
              <w:right w:val="nil"/>
            </w:tcBorders>
            <w:shd w:val="clear" w:color="171717" w:fill="92D05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286,155</w:t>
            </w:r>
          </w:p>
        </w:tc>
        <w:tc>
          <w:tcPr>
            <w:tcW w:w="1088" w:type="dxa"/>
            <w:tcBorders>
              <w:top w:val="nil"/>
              <w:left w:val="nil"/>
              <w:bottom w:val="single" w:sz="8" w:space="0" w:color="auto"/>
              <w:right w:val="single" w:sz="4" w:space="0" w:color="auto"/>
            </w:tcBorders>
            <w:shd w:val="clear" w:color="171717" w:fill="92D05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251,148</w:t>
            </w:r>
          </w:p>
        </w:tc>
        <w:tc>
          <w:tcPr>
            <w:tcW w:w="1625" w:type="dxa"/>
            <w:tcBorders>
              <w:top w:val="nil"/>
              <w:left w:val="nil"/>
              <w:bottom w:val="single" w:sz="8" w:space="0" w:color="auto"/>
              <w:right w:val="single" w:sz="4" w:space="0" w:color="auto"/>
            </w:tcBorders>
            <w:shd w:val="clear" w:color="171717" w:fill="92D05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4,524,239</w:t>
            </w:r>
          </w:p>
        </w:tc>
      </w:tr>
      <w:tr w:rsidR="00FB60C2" w:rsidRPr="00FB60C2" w:rsidTr="001D4B43">
        <w:trPr>
          <w:trHeight w:val="240"/>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B60C2" w:rsidRPr="00FB60C2" w:rsidRDefault="00FB60C2" w:rsidP="001D4B43">
            <w:pPr>
              <w:spacing w:after="0" w:line="240" w:lineRule="auto"/>
              <w:jc w:val="left"/>
              <w:rPr>
                <w:rFonts w:cs="Arial"/>
                <w:b/>
                <w:bCs/>
                <w:sz w:val="18"/>
                <w:szCs w:val="18"/>
              </w:rPr>
            </w:pPr>
            <w:r w:rsidRPr="00FB60C2">
              <w:rPr>
                <w:rFonts w:cs="Arial"/>
                <w:b/>
                <w:bCs/>
                <w:sz w:val="18"/>
                <w:szCs w:val="18"/>
              </w:rPr>
              <w:lastRenderedPageBreak/>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B60C2" w:rsidRPr="00FB60C2" w:rsidRDefault="00FB60C2" w:rsidP="001D4B43">
            <w:pPr>
              <w:spacing w:after="0" w:line="240" w:lineRule="auto"/>
              <w:jc w:val="center"/>
              <w:rPr>
                <w:rFonts w:cs="Arial"/>
                <w:b/>
                <w:bCs/>
                <w:sz w:val="18"/>
                <w:szCs w:val="18"/>
              </w:rPr>
            </w:pPr>
            <w:r w:rsidRPr="00FB60C2">
              <w:rPr>
                <w:rFonts w:cs="Arial"/>
                <w:b/>
                <w:bCs/>
                <w:sz w:val="18"/>
                <w:szCs w:val="18"/>
              </w:rPr>
              <w:t>Vehículo/Modo</w:t>
            </w:r>
          </w:p>
        </w:tc>
        <w:tc>
          <w:tcPr>
            <w:tcW w:w="5125"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B60C2" w:rsidRPr="005B5804" w:rsidRDefault="00FB60C2"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3.3_P</w:t>
            </w:r>
            <w:r w:rsidRPr="001F760E">
              <w:rPr>
                <w:rFonts w:cs="Arial"/>
                <w:bCs/>
                <w:i/>
                <w:sz w:val="18"/>
                <w:szCs w:val="18"/>
              </w:rPr>
              <w:t>esimista</w:t>
            </w:r>
          </w:p>
        </w:tc>
      </w:tr>
      <w:tr w:rsidR="00B262DF" w:rsidRPr="00FB60C2" w:rsidTr="001D4B43">
        <w:trPr>
          <w:trHeight w:val="255"/>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1324"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HPM</w:t>
            </w:r>
          </w:p>
        </w:tc>
        <w:tc>
          <w:tcPr>
            <w:tcW w:w="1088"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HPT</w:t>
            </w:r>
          </w:p>
        </w:tc>
        <w:tc>
          <w:tcPr>
            <w:tcW w:w="1088"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HV</w:t>
            </w:r>
          </w:p>
        </w:tc>
        <w:tc>
          <w:tcPr>
            <w:tcW w:w="1625"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Total Dìario</w:t>
            </w:r>
          </w:p>
        </w:tc>
      </w:tr>
      <w:tr w:rsidR="00830750" w:rsidRPr="00FB60C2" w:rsidTr="00830750">
        <w:trPr>
          <w:trHeight w:val="499"/>
        </w:trPr>
        <w:tc>
          <w:tcPr>
            <w:tcW w:w="1119"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830750" w:rsidRPr="00FB60C2" w:rsidRDefault="00830750" w:rsidP="001D4B43">
            <w:pPr>
              <w:spacing w:after="0" w:line="240" w:lineRule="auto"/>
              <w:jc w:val="left"/>
              <w:rPr>
                <w:rFonts w:cs="Arial"/>
                <w:b/>
                <w:bCs/>
                <w:color w:val="FFFFFF"/>
                <w:sz w:val="18"/>
                <w:szCs w:val="18"/>
              </w:rPr>
            </w:pPr>
            <w:r w:rsidRPr="00FB60C2">
              <w:rPr>
                <w:rFonts w:cs="Arial"/>
                <w:b/>
                <w:bCs/>
                <w:color w:val="FFFFFF"/>
                <w:sz w:val="18"/>
                <w:szCs w:val="18"/>
              </w:rPr>
              <w:t>Viajeros (Pùblico)*</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Camioneta rural </w:t>
            </w:r>
          </w:p>
        </w:tc>
        <w:tc>
          <w:tcPr>
            <w:tcW w:w="1324"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649,016</w:t>
            </w:r>
          </w:p>
        </w:tc>
        <w:tc>
          <w:tcPr>
            <w:tcW w:w="1088"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494,860</w:t>
            </w:r>
          </w:p>
        </w:tc>
        <w:tc>
          <w:tcPr>
            <w:tcW w:w="1088"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338,010</w:t>
            </w:r>
          </w:p>
        </w:tc>
        <w:tc>
          <w:tcPr>
            <w:tcW w:w="1625"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6,681,879</w:t>
            </w:r>
          </w:p>
        </w:tc>
      </w:tr>
      <w:tr w:rsidR="00830750" w:rsidRPr="00FB60C2" w:rsidTr="00830750">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Microbus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604,281</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455,306</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341,129</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6,553,849</w:t>
            </w:r>
          </w:p>
        </w:tc>
      </w:tr>
      <w:tr w:rsidR="00830750" w:rsidRPr="00FB60C2" w:rsidTr="00830750">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Omnibus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288,534</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188,237</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143,864</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2,823,768</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 -</w:t>
            </w:r>
            <w:proofErr w:type="gramStart"/>
            <w:r w:rsidRPr="00FB60C2">
              <w:rPr>
                <w:rFonts w:cs="Arial"/>
                <w:b/>
                <w:bCs/>
                <w:sz w:val="18"/>
                <w:szCs w:val="18"/>
              </w:rPr>
              <w:t xml:space="preserve">  </w:t>
            </w:r>
            <w:proofErr w:type="gramEnd"/>
            <w:r w:rsidRPr="00FB60C2">
              <w:rPr>
                <w:rFonts w:cs="Arial"/>
                <w:b/>
                <w:bCs/>
                <w:sz w:val="18"/>
                <w:szCs w:val="18"/>
              </w:rPr>
              <w:t xml:space="preserve">Alimentadoras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L1</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33,949</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30,811</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11,275</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276,093</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L2</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30,977</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29,306</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13,960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302,048</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L3</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50,128</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39,014</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31,970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593,901</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L4</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5,176</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5,911</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2,320</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52,334</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Metropolitano </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34,695</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27,599</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9,122</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243,170</w:t>
            </w:r>
          </w:p>
        </w:tc>
      </w:tr>
      <w:tr w:rsidR="00830750" w:rsidRPr="00FB60C2" w:rsidTr="00830750">
        <w:trPr>
          <w:trHeight w:val="240"/>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Metropolitano - Alimentadoras</w:t>
            </w:r>
          </w:p>
        </w:tc>
        <w:tc>
          <w:tcPr>
            <w:tcW w:w="1324"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20,490</w:t>
            </w:r>
          </w:p>
        </w:tc>
        <w:tc>
          <w:tcPr>
            <w:tcW w:w="1088"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16,230</w:t>
            </w:r>
          </w:p>
        </w:tc>
        <w:tc>
          <w:tcPr>
            <w:tcW w:w="1088"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9,243</w:t>
            </w:r>
          </w:p>
        </w:tc>
        <w:tc>
          <w:tcPr>
            <w:tcW w:w="162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193,596</w:t>
            </w:r>
          </w:p>
        </w:tc>
      </w:tr>
      <w:tr w:rsidR="00830750" w:rsidRPr="00FB60C2" w:rsidTr="00830750">
        <w:trPr>
          <w:trHeight w:val="499"/>
        </w:trPr>
        <w:tc>
          <w:tcPr>
            <w:tcW w:w="1119"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75923C"/>
            <w:noWrap/>
            <w:vAlign w:val="center"/>
            <w:hideMark/>
          </w:tcPr>
          <w:p w:rsidR="00830750" w:rsidRPr="00FB60C2" w:rsidRDefault="00830750" w:rsidP="001D4B43">
            <w:pPr>
              <w:spacing w:after="0" w:line="240" w:lineRule="auto"/>
              <w:jc w:val="left"/>
              <w:rPr>
                <w:rFonts w:cs="Arial"/>
                <w:b/>
                <w:bCs/>
                <w:color w:val="FFFFFF"/>
                <w:sz w:val="18"/>
                <w:szCs w:val="18"/>
              </w:rPr>
            </w:pPr>
            <w:r w:rsidRPr="00FB60C2">
              <w:rPr>
                <w:rFonts w:cs="Arial"/>
                <w:b/>
                <w:bCs/>
                <w:color w:val="FFFFFF"/>
                <w:sz w:val="18"/>
                <w:szCs w:val="18"/>
              </w:rPr>
              <w:t>Total [pax]</w:t>
            </w:r>
          </w:p>
        </w:tc>
        <w:tc>
          <w:tcPr>
            <w:tcW w:w="1324" w:type="dxa"/>
            <w:tcBorders>
              <w:top w:val="nil"/>
              <w:left w:val="nil"/>
              <w:bottom w:val="single" w:sz="8" w:space="0" w:color="auto"/>
              <w:right w:val="nil"/>
            </w:tcBorders>
            <w:shd w:val="clear" w:color="171717" w:fill="75923C"/>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1,717,246</w:t>
            </w:r>
          </w:p>
        </w:tc>
        <w:tc>
          <w:tcPr>
            <w:tcW w:w="1088" w:type="dxa"/>
            <w:tcBorders>
              <w:top w:val="nil"/>
              <w:left w:val="nil"/>
              <w:bottom w:val="single" w:sz="8" w:space="0" w:color="auto"/>
              <w:right w:val="nil"/>
            </w:tcBorders>
            <w:shd w:val="clear" w:color="171717" w:fill="75923C"/>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1,287,274</w:t>
            </w:r>
          </w:p>
        </w:tc>
        <w:tc>
          <w:tcPr>
            <w:tcW w:w="1088" w:type="dxa"/>
            <w:tcBorders>
              <w:top w:val="nil"/>
              <w:left w:val="nil"/>
              <w:bottom w:val="single" w:sz="8" w:space="0" w:color="auto"/>
              <w:right w:val="single" w:sz="4" w:space="0" w:color="auto"/>
            </w:tcBorders>
            <w:shd w:val="clear" w:color="171717" w:fill="75923C"/>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900,892</w:t>
            </w:r>
          </w:p>
        </w:tc>
        <w:tc>
          <w:tcPr>
            <w:tcW w:w="1625" w:type="dxa"/>
            <w:tcBorders>
              <w:top w:val="nil"/>
              <w:left w:val="nil"/>
              <w:bottom w:val="single" w:sz="8" w:space="0" w:color="auto"/>
              <w:right w:val="single" w:sz="4" w:space="0" w:color="auto"/>
            </w:tcBorders>
            <w:shd w:val="clear" w:color="171717" w:fill="75923C"/>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17,720,636</w:t>
            </w:r>
          </w:p>
        </w:tc>
      </w:tr>
    </w:tbl>
    <w:p w:rsidR="00B262DF" w:rsidRPr="00FB60C2" w:rsidRDefault="00B262DF" w:rsidP="00B262DF">
      <w:pPr>
        <w:spacing w:before="120"/>
        <w:rPr>
          <w:lang w:val="es-ES"/>
        </w:rPr>
      </w:pPr>
      <w:r w:rsidRPr="00FB60C2">
        <w:rPr>
          <w:lang w:val="es-ES"/>
        </w:rPr>
        <w:t>*número total de segmentos de viaje realizado por todos los viajeros</w:t>
      </w:r>
    </w:p>
    <w:p w:rsidR="00B262DF" w:rsidRPr="00FB60C2" w:rsidRDefault="00B262DF" w:rsidP="00B262D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316"/>
        <w:gridCol w:w="1175"/>
        <w:gridCol w:w="1175"/>
        <w:gridCol w:w="1454"/>
      </w:tblGrid>
      <w:tr w:rsidR="00FB60C2" w:rsidRPr="00FB60C2" w:rsidTr="001D4B43">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B60C2" w:rsidRPr="00FB60C2" w:rsidRDefault="00FB60C2" w:rsidP="001D4B43">
            <w:pPr>
              <w:spacing w:after="0" w:line="240" w:lineRule="auto"/>
              <w:jc w:val="left"/>
              <w:rPr>
                <w:rFonts w:cs="Arial"/>
                <w:b/>
                <w:bCs/>
                <w:sz w:val="18"/>
                <w:szCs w:val="18"/>
              </w:rPr>
            </w:pPr>
            <w:r w:rsidRPr="00FB60C2">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B60C2" w:rsidRPr="00FB60C2" w:rsidRDefault="00FB60C2" w:rsidP="001D4B43">
            <w:pPr>
              <w:spacing w:after="0" w:line="240" w:lineRule="auto"/>
              <w:jc w:val="center"/>
              <w:rPr>
                <w:rFonts w:cs="Arial"/>
                <w:b/>
                <w:bCs/>
                <w:sz w:val="18"/>
                <w:szCs w:val="18"/>
              </w:rPr>
            </w:pPr>
            <w:r w:rsidRPr="00FB60C2">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B60C2" w:rsidRPr="005B5804" w:rsidRDefault="00FB60C2"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3.3_P</w:t>
            </w:r>
            <w:r w:rsidRPr="001F760E">
              <w:rPr>
                <w:rFonts w:cs="Arial"/>
                <w:bCs/>
                <w:i/>
                <w:sz w:val="18"/>
                <w:szCs w:val="18"/>
              </w:rPr>
              <w:t>esimista</w:t>
            </w:r>
          </w:p>
        </w:tc>
      </w:tr>
      <w:tr w:rsidR="00B262DF" w:rsidRPr="00FB60C2" w:rsidTr="001D4B43">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1316"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HPM</w:t>
            </w:r>
          </w:p>
        </w:tc>
        <w:tc>
          <w:tcPr>
            <w:tcW w:w="1175"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HPT</w:t>
            </w:r>
          </w:p>
        </w:tc>
        <w:tc>
          <w:tcPr>
            <w:tcW w:w="1175"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HV</w:t>
            </w:r>
          </w:p>
        </w:tc>
        <w:tc>
          <w:tcPr>
            <w:tcW w:w="1454"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Total Dìario</w:t>
            </w:r>
          </w:p>
        </w:tc>
      </w:tr>
      <w:tr w:rsidR="00830750" w:rsidRPr="00FB60C2" w:rsidTr="00830750">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30750" w:rsidRPr="00FB60C2" w:rsidRDefault="00830750" w:rsidP="001D4B43">
            <w:pPr>
              <w:spacing w:after="0" w:line="240" w:lineRule="auto"/>
              <w:jc w:val="left"/>
              <w:rPr>
                <w:rFonts w:cs="Arial"/>
                <w:b/>
                <w:bCs/>
                <w:color w:val="FFFFFF"/>
                <w:sz w:val="18"/>
                <w:szCs w:val="18"/>
              </w:rPr>
            </w:pPr>
            <w:r w:rsidRPr="00FB60C2">
              <w:rPr>
                <w:rFonts w:cs="Arial"/>
                <w:b/>
                <w:bCs/>
                <w:color w:val="FFFFFF"/>
                <w:sz w:val="18"/>
                <w:szCs w:val="18"/>
              </w:rPr>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Camioneta rural </w:t>
            </w:r>
          </w:p>
        </w:tc>
        <w:tc>
          <w:tcPr>
            <w:tcW w:w="1316"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3,648,912</w:t>
            </w:r>
          </w:p>
        </w:tc>
        <w:tc>
          <w:tcPr>
            <w:tcW w:w="1175"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3,091,544</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2,267,620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42,959,977</w:t>
            </w:r>
          </w:p>
        </w:tc>
      </w:tr>
      <w:tr w:rsidR="00830750" w:rsidRPr="00FB60C2" w:rsidTr="00830750">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Microbus </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4,156,194</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3,258,481</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2,623,549</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48,935,484</w:t>
            </w:r>
          </w:p>
        </w:tc>
      </w:tr>
      <w:tr w:rsidR="00830750" w:rsidRPr="00FB60C2" w:rsidTr="00830750">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SERVICIOS CONVENCIONALES - Omnibus </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1,939,753</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1,336,698</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1,125,142</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21,179,751</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1 - Alimentadoras</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1</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2 - Alimentadoras</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2</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3 - Alimentadoras</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3</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4 - Alimentadoras</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4</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4F6228"/>
            <w:vAlign w:val="center"/>
            <w:hideMark/>
          </w:tcPr>
          <w:p w:rsidR="00830750" w:rsidRPr="00FB60C2" w:rsidRDefault="00830750" w:rsidP="001D4B43">
            <w:pPr>
              <w:spacing w:after="0" w:line="240" w:lineRule="auto"/>
              <w:jc w:val="left"/>
              <w:rPr>
                <w:rFonts w:cs="Arial"/>
                <w:b/>
                <w:bCs/>
                <w:color w:val="FFFFFF"/>
                <w:sz w:val="18"/>
                <w:szCs w:val="18"/>
              </w:rPr>
            </w:pPr>
            <w:r w:rsidRPr="00FB60C2">
              <w:rPr>
                <w:rFonts w:cs="Arial"/>
                <w:b/>
                <w:bCs/>
                <w:color w:val="FFFFFF"/>
                <w:sz w:val="18"/>
                <w:szCs w:val="18"/>
              </w:rPr>
              <w:lastRenderedPageBreak/>
              <w:t>Viajes*Km</w:t>
            </w:r>
          </w:p>
        </w:tc>
        <w:tc>
          <w:tcPr>
            <w:tcW w:w="3160" w:type="dxa"/>
            <w:tcBorders>
              <w:top w:val="single" w:sz="4" w:space="0" w:color="auto"/>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5 - Alimentadoras</w:t>
            </w:r>
          </w:p>
        </w:tc>
        <w:tc>
          <w:tcPr>
            <w:tcW w:w="1316"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single" w:sz="4" w:space="0" w:color="auto"/>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 5</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 -</w:t>
            </w:r>
            <w:proofErr w:type="gramStart"/>
            <w:r w:rsidRPr="00FB60C2">
              <w:rPr>
                <w:rFonts w:cs="Arial"/>
                <w:b/>
                <w:bCs/>
                <w:sz w:val="18"/>
                <w:szCs w:val="18"/>
              </w:rPr>
              <w:t xml:space="preserve">  </w:t>
            </w:r>
            <w:proofErr w:type="gramEnd"/>
            <w:r w:rsidRPr="00FB60C2">
              <w:rPr>
                <w:rFonts w:cs="Arial"/>
                <w:b/>
                <w:bCs/>
                <w:sz w:val="18"/>
                <w:szCs w:val="18"/>
              </w:rPr>
              <w:t xml:space="preserve">Alimentadoras </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CORREDORES Interconexión</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C0C0C0"/>
                <w:sz w:val="18"/>
                <w:szCs w:val="18"/>
              </w:rPr>
            </w:pPr>
            <w:r>
              <w:rPr>
                <w:rFonts w:cs="Arial"/>
                <w:color w:val="C0C0C0"/>
                <w:sz w:val="18"/>
                <w:szCs w:val="18"/>
              </w:rPr>
              <w:t>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L1</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489,330</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469,195</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175,828</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4,202,808</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L2</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331,051</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339,365</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179,255</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3,671,150</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L3</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471,474</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381,781</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330,760</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6,006,393</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Tren eléctrico L4</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25,936</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31,455</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12,492</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277,176</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xml:space="preserve">Metropolitano </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456,659</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381,068</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142,374</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3,526,314</w:t>
            </w:r>
          </w:p>
        </w:tc>
      </w:tr>
      <w:tr w:rsidR="00830750" w:rsidRPr="00FB60C2" w:rsidTr="00830750">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4" w:space="0" w:color="auto"/>
              <w:right w:val="single" w:sz="4" w:space="0" w:color="auto"/>
            </w:tcBorders>
            <w:shd w:val="clear" w:color="171717" w:fill="FFFFFF"/>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Metropolitano - Alimentadoras</w:t>
            </w:r>
          </w:p>
        </w:tc>
        <w:tc>
          <w:tcPr>
            <w:tcW w:w="1316"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152,433</w:t>
            </w:r>
          </w:p>
        </w:tc>
        <w:tc>
          <w:tcPr>
            <w:tcW w:w="1175" w:type="dxa"/>
            <w:tcBorders>
              <w:top w:val="nil"/>
              <w:left w:val="nil"/>
              <w:bottom w:val="single" w:sz="4" w:space="0" w:color="auto"/>
              <w:right w:val="nil"/>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123,678</w:t>
            </w:r>
          </w:p>
        </w:tc>
        <w:tc>
          <w:tcPr>
            <w:tcW w:w="1175"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color w:val="000000"/>
                <w:sz w:val="18"/>
                <w:szCs w:val="18"/>
              </w:rPr>
            </w:pPr>
            <w:r>
              <w:rPr>
                <w:rFonts w:cs="Arial"/>
                <w:color w:val="000000"/>
                <w:sz w:val="18"/>
                <w:szCs w:val="18"/>
              </w:rPr>
              <w:t>71,999</w:t>
            </w:r>
          </w:p>
        </w:tc>
        <w:tc>
          <w:tcPr>
            <w:tcW w:w="1454" w:type="dxa"/>
            <w:tcBorders>
              <w:top w:val="nil"/>
              <w:left w:val="nil"/>
              <w:bottom w:val="single" w:sz="4" w:space="0" w:color="auto"/>
              <w:right w:val="single" w:sz="4" w:space="0" w:color="auto"/>
            </w:tcBorders>
            <w:shd w:val="clear" w:color="171717" w:fill="FFFFFF"/>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1,488,203</w:t>
            </w:r>
          </w:p>
        </w:tc>
      </w:tr>
      <w:tr w:rsidR="00830750" w:rsidRPr="00FB60C2" w:rsidTr="00830750">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830750" w:rsidRPr="00FB60C2" w:rsidRDefault="00830750" w:rsidP="001D4B43">
            <w:pPr>
              <w:spacing w:after="0" w:line="240" w:lineRule="auto"/>
              <w:jc w:val="left"/>
              <w:rPr>
                <w:rFonts w:cs="Arial"/>
                <w:b/>
                <w:bCs/>
                <w:color w:val="FFFFFF"/>
                <w:sz w:val="18"/>
                <w:szCs w:val="18"/>
              </w:rPr>
            </w:pPr>
          </w:p>
        </w:tc>
        <w:tc>
          <w:tcPr>
            <w:tcW w:w="3160" w:type="dxa"/>
            <w:tcBorders>
              <w:top w:val="nil"/>
              <w:left w:val="nil"/>
              <w:bottom w:val="single" w:sz="8" w:space="0" w:color="auto"/>
              <w:right w:val="single" w:sz="4" w:space="0" w:color="auto"/>
            </w:tcBorders>
            <w:shd w:val="clear" w:color="171717" w:fill="4F6228"/>
            <w:noWrap/>
            <w:vAlign w:val="center"/>
            <w:hideMark/>
          </w:tcPr>
          <w:p w:rsidR="00830750" w:rsidRPr="00FB60C2" w:rsidRDefault="00830750" w:rsidP="001D4B43">
            <w:pPr>
              <w:spacing w:after="0" w:line="240" w:lineRule="auto"/>
              <w:jc w:val="left"/>
              <w:rPr>
                <w:rFonts w:cs="Arial"/>
                <w:b/>
                <w:bCs/>
                <w:color w:val="FFFFFF"/>
                <w:sz w:val="18"/>
                <w:szCs w:val="18"/>
              </w:rPr>
            </w:pPr>
            <w:r w:rsidRPr="00FB60C2">
              <w:rPr>
                <w:rFonts w:cs="Arial"/>
                <w:b/>
                <w:bCs/>
                <w:color w:val="FFFFFF"/>
                <w:sz w:val="18"/>
                <w:szCs w:val="18"/>
              </w:rPr>
              <w:t>Total [pax*km]</w:t>
            </w:r>
          </w:p>
        </w:tc>
        <w:tc>
          <w:tcPr>
            <w:tcW w:w="1316" w:type="dxa"/>
            <w:tcBorders>
              <w:top w:val="nil"/>
              <w:left w:val="nil"/>
              <w:bottom w:val="single" w:sz="8" w:space="0" w:color="auto"/>
              <w:right w:val="nil"/>
            </w:tcBorders>
            <w:shd w:val="clear" w:color="171717" w:fill="4F6228"/>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11,671,743</w:t>
            </w:r>
          </w:p>
        </w:tc>
        <w:tc>
          <w:tcPr>
            <w:tcW w:w="1175" w:type="dxa"/>
            <w:tcBorders>
              <w:top w:val="nil"/>
              <w:left w:val="nil"/>
              <w:bottom w:val="single" w:sz="8" w:space="0" w:color="auto"/>
              <w:right w:val="nil"/>
            </w:tcBorders>
            <w:shd w:val="clear" w:color="171717" w:fill="4F6228"/>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9,413,263</w:t>
            </w:r>
          </w:p>
        </w:tc>
        <w:tc>
          <w:tcPr>
            <w:tcW w:w="1175" w:type="dxa"/>
            <w:tcBorders>
              <w:top w:val="nil"/>
              <w:left w:val="nil"/>
              <w:bottom w:val="single" w:sz="8" w:space="0" w:color="auto"/>
              <w:right w:val="single" w:sz="4" w:space="0" w:color="auto"/>
            </w:tcBorders>
            <w:shd w:val="clear" w:color="171717" w:fill="4F6228"/>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6,929,019</w:t>
            </w:r>
          </w:p>
        </w:tc>
        <w:tc>
          <w:tcPr>
            <w:tcW w:w="1454" w:type="dxa"/>
            <w:tcBorders>
              <w:top w:val="nil"/>
              <w:left w:val="nil"/>
              <w:bottom w:val="single" w:sz="8" w:space="0" w:color="auto"/>
              <w:right w:val="single" w:sz="4" w:space="0" w:color="auto"/>
            </w:tcBorders>
            <w:shd w:val="clear" w:color="171717" w:fill="4F6228"/>
            <w:noWrap/>
            <w:vAlign w:val="center"/>
            <w:hideMark/>
          </w:tcPr>
          <w:p w:rsidR="00830750" w:rsidRDefault="00830750" w:rsidP="00830750">
            <w:pPr>
              <w:autoSpaceDE w:val="0"/>
              <w:autoSpaceDN w:val="0"/>
              <w:adjustRightInd w:val="0"/>
              <w:spacing w:after="0" w:line="240" w:lineRule="auto"/>
              <w:jc w:val="right"/>
              <w:rPr>
                <w:rFonts w:cs="Arial"/>
                <w:b/>
                <w:bCs/>
                <w:color w:val="FFFFFF"/>
                <w:sz w:val="18"/>
                <w:szCs w:val="18"/>
              </w:rPr>
            </w:pPr>
            <w:r>
              <w:rPr>
                <w:rFonts w:cs="Arial"/>
                <w:b/>
                <w:bCs/>
                <w:color w:val="FFFFFF"/>
                <w:sz w:val="18"/>
                <w:szCs w:val="18"/>
              </w:rPr>
              <w:t>132,247,256</w:t>
            </w:r>
          </w:p>
        </w:tc>
      </w:tr>
    </w:tbl>
    <w:p w:rsidR="00B262DF" w:rsidRPr="00FB60C2" w:rsidRDefault="00B262DF" w:rsidP="00B262DF">
      <w:pPr>
        <w:rPr>
          <w:lang w:val="es-ES"/>
        </w:rPr>
      </w:pPr>
    </w:p>
    <w:tbl>
      <w:tblPr>
        <w:tblW w:w="9400" w:type="dxa"/>
        <w:tblInd w:w="49" w:type="dxa"/>
        <w:tblCellMar>
          <w:left w:w="70" w:type="dxa"/>
          <w:right w:w="70" w:type="dxa"/>
        </w:tblCellMar>
        <w:tblLook w:val="04A0" w:firstRow="1" w:lastRow="0" w:firstColumn="1" w:lastColumn="0" w:noHBand="0" w:noVBand="1"/>
      </w:tblPr>
      <w:tblGrid>
        <w:gridCol w:w="1120"/>
        <w:gridCol w:w="3160"/>
        <w:gridCol w:w="1247"/>
        <w:gridCol w:w="1247"/>
        <w:gridCol w:w="1247"/>
        <w:gridCol w:w="1379"/>
      </w:tblGrid>
      <w:tr w:rsidR="00FB60C2" w:rsidRPr="00FB60C2" w:rsidTr="001D4B43">
        <w:trPr>
          <w:trHeight w:val="240"/>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FB60C2" w:rsidRPr="00FB60C2" w:rsidRDefault="00FB60C2" w:rsidP="001D4B43">
            <w:pPr>
              <w:spacing w:after="0" w:line="240" w:lineRule="auto"/>
              <w:jc w:val="left"/>
              <w:rPr>
                <w:rFonts w:cs="Arial"/>
                <w:b/>
                <w:bCs/>
                <w:sz w:val="18"/>
                <w:szCs w:val="18"/>
              </w:rPr>
            </w:pPr>
            <w:r w:rsidRPr="00FB60C2">
              <w:rPr>
                <w:rFonts w:cs="Arial"/>
                <w:b/>
                <w:bCs/>
                <w:sz w:val="18"/>
                <w:szCs w:val="18"/>
              </w:rPr>
              <w:t>Variable</w:t>
            </w:r>
          </w:p>
        </w:tc>
        <w:tc>
          <w:tcPr>
            <w:tcW w:w="316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FB60C2" w:rsidRPr="00FB60C2" w:rsidRDefault="00FB60C2" w:rsidP="001D4B43">
            <w:pPr>
              <w:spacing w:after="0" w:line="240" w:lineRule="auto"/>
              <w:jc w:val="center"/>
              <w:rPr>
                <w:rFonts w:cs="Arial"/>
                <w:b/>
                <w:bCs/>
                <w:sz w:val="18"/>
                <w:szCs w:val="18"/>
              </w:rPr>
            </w:pPr>
            <w:r w:rsidRPr="00FB60C2">
              <w:rPr>
                <w:rFonts w:cs="Arial"/>
                <w:b/>
                <w:bCs/>
                <w:sz w:val="18"/>
                <w:szCs w:val="18"/>
              </w:rPr>
              <w:t>Vehículo/Modo</w:t>
            </w:r>
          </w:p>
        </w:tc>
        <w:tc>
          <w:tcPr>
            <w:tcW w:w="5120" w:type="dxa"/>
            <w:gridSpan w:val="4"/>
            <w:tcBorders>
              <w:top w:val="single" w:sz="4" w:space="0" w:color="auto"/>
              <w:left w:val="nil"/>
              <w:bottom w:val="single" w:sz="4" w:space="0" w:color="auto"/>
              <w:right w:val="single" w:sz="4" w:space="0" w:color="auto"/>
            </w:tcBorders>
            <w:shd w:val="clear" w:color="171717" w:fill="FFFFFF"/>
            <w:noWrap/>
            <w:vAlign w:val="center"/>
            <w:hideMark/>
          </w:tcPr>
          <w:p w:rsidR="00FB60C2" w:rsidRPr="005B5804" w:rsidRDefault="00FB60C2" w:rsidP="001D4B43">
            <w:pPr>
              <w:spacing w:after="0" w:line="240" w:lineRule="auto"/>
              <w:jc w:val="center"/>
              <w:rPr>
                <w:rFonts w:cs="Arial"/>
                <w:b/>
                <w:bCs/>
                <w:sz w:val="18"/>
                <w:szCs w:val="18"/>
              </w:rPr>
            </w:pPr>
            <w:r w:rsidRPr="001F760E">
              <w:rPr>
                <w:rFonts w:cs="Arial"/>
                <w:b/>
                <w:bCs/>
                <w:sz w:val="18"/>
                <w:szCs w:val="18"/>
              </w:rPr>
              <w:t xml:space="preserve">ESC </w:t>
            </w:r>
            <w:r>
              <w:rPr>
                <w:rFonts w:cs="Arial"/>
                <w:b/>
                <w:bCs/>
                <w:sz w:val="18"/>
                <w:szCs w:val="18"/>
              </w:rPr>
              <w:t>3.3_P</w:t>
            </w:r>
            <w:r w:rsidRPr="001F760E">
              <w:rPr>
                <w:rFonts w:cs="Arial"/>
                <w:bCs/>
                <w:i/>
                <w:sz w:val="18"/>
                <w:szCs w:val="18"/>
              </w:rPr>
              <w:t>esimista</w:t>
            </w:r>
          </w:p>
        </w:tc>
      </w:tr>
      <w:tr w:rsidR="00B262DF" w:rsidRPr="00FB60C2" w:rsidTr="001D4B43">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3160" w:type="dxa"/>
            <w:vMerge/>
            <w:tcBorders>
              <w:top w:val="single" w:sz="4" w:space="0" w:color="auto"/>
              <w:left w:val="single" w:sz="4" w:space="0" w:color="auto"/>
              <w:bottom w:val="single" w:sz="8" w:space="0" w:color="000000"/>
              <w:right w:val="single" w:sz="4" w:space="0" w:color="auto"/>
            </w:tcBorders>
            <w:vAlign w:val="center"/>
            <w:hideMark/>
          </w:tcPr>
          <w:p w:rsidR="00B262DF" w:rsidRPr="00FB60C2" w:rsidRDefault="00B262DF" w:rsidP="001D4B43">
            <w:pPr>
              <w:spacing w:after="0" w:line="240" w:lineRule="auto"/>
              <w:jc w:val="left"/>
              <w:rPr>
                <w:rFonts w:cs="Arial"/>
                <w:b/>
                <w:bCs/>
                <w:sz w:val="18"/>
                <w:szCs w:val="18"/>
              </w:rPr>
            </w:pPr>
          </w:p>
        </w:tc>
        <w:tc>
          <w:tcPr>
            <w:tcW w:w="1247"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HPM</w:t>
            </w:r>
          </w:p>
        </w:tc>
        <w:tc>
          <w:tcPr>
            <w:tcW w:w="1247" w:type="dxa"/>
            <w:tcBorders>
              <w:top w:val="nil"/>
              <w:left w:val="nil"/>
              <w:bottom w:val="single" w:sz="8" w:space="0" w:color="auto"/>
              <w:right w:val="nil"/>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HPT</w:t>
            </w:r>
          </w:p>
        </w:tc>
        <w:tc>
          <w:tcPr>
            <w:tcW w:w="1247"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HV</w:t>
            </w:r>
          </w:p>
        </w:tc>
        <w:tc>
          <w:tcPr>
            <w:tcW w:w="1379" w:type="dxa"/>
            <w:tcBorders>
              <w:top w:val="nil"/>
              <w:left w:val="nil"/>
              <w:bottom w:val="single" w:sz="8" w:space="0" w:color="auto"/>
              <w:right w:val="single" w:sz="4" w:space="0" w:color="auto"/>
            </w:tcBorders>
            <w:shd w:val="clear" w:color="171717" w:fill="FFFFFF"/>
            <w:noWrap/>
            <w:vAlign w:val="center"/>
            <w:hideMark/>
          </w:tcPr>
          <w:p w:rsidR="00B262DF" w:rsidRPr="00FB60C2" w:rsidRDefault="00B262DF" w:rsidP="001D4B43">
            <w:pPr>
              <w:spacing w:after="0" w:line="240" w:lineRule="auto"/>
              <w:jc w:val="center"/>
              <w:rPr>
                <w:rFonts w:cs="Arial"/>
                <w:b/>
                <w:bCs/>
                <w:sz w:val="18"/>
                <w:szCs w:val="18"/>
              </w:rPr>
            </w:pPr>
            <w:r w:rsidRPr="00FB60C2">
              <w:rPr>
                <w:rFonts w:cs="Arial"/>
                <w:b/>
                <w:bCs/>
                <w:sz w:val="18"/>
                <w:szCs w:val="18"/>
              </w:rPr>
              <w:t>Total Dìario</w:t>
            </w:r>
          </w:p>
        </w:tc>
      </w:tr>
      <w:tr w:rsidR="00830750" w:rsidRPr="00FB60C2" w:rsidTr="00830750">
        <w:trPr>
          <w:trHeight w:val="750"/>
        </w:trPr>
        <w:tc>
          <w:tcPr>
            <w:tcW w:w="1120" w:type="dxa"/>
            <w:tcBorders>
              <w:top w:val="single" w:sz="4" w:space="0" w:color="auto"/>
              <w:left w:val="single" w:sz="4" w:space="0" w:color="auto"/>
              <w:bottom w:val="single" w:sz="4" w:space="0" w:color="auto"/>
              <w:right w:val="single" w:sz="4" w:space="0" w:color="auto"/>
            </w:tcBorders>
            <w:shd w:val="clear" w:color="171717" w:fill="FFFF99"/>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Tiempo Total de Viaje**</w:t>
            </w:r>
          </w:p>
        </w:tc>
        <w:tc>
          <w:tcPr>
            <w:tcW w:w="3160" w:type="dxa"/>
            <w:tcBorders>
              <w:top w:val="single" w:sz="4" w:space="0" w:color="auto"/>
              <w:left w:val="nil"/>
              <w:bottom w:val="single" w:sz="4" w:space="0" w:color="auto"/>
              <w:right w:val="single" w:sz="4" w:space="0" w:color="auto"/>
            </w:tcBorders>
            <w:shd w:val="clear" w:color="171717" w:fill="FFFF99"/>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Total [min]</w:t>
            </w:r>
          </w:p>
        </w:tc>
        <w:tc>
          <w:tcPr>
            <w:tcW w:w="1247" w:type="dxa"/>
            <w:tcBorders>
              <w:top w:val="single" w:sz="4" w:space="0" w:color="auto"/>
              <w:left w:val="nil"/>
              <w:bottom w:val="single" w:sz="4" w:space="0" w:color="auto"/>
              <w:right w:val="nil"/>
            </w:tcBorders>
            <w:shd w:val="clear" w:color="171717" w:fill="FFFF99"/>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42,883,846</w:t>
            </w:r>
          </w:p>
        </w:tc>
        <w:tc>
          <w:tcPr>
            <w:tcW w:w="1247" w:type="dxa"/>
            <w:tcBorders>
              <w:top w:val="single" w:sz="4" w:space="0" w:color="auto"/>
              <w:left w:val="nil"/>
              <w:bottom w:val="single" w:sz="4" w:space="0" w:color="auto"/>
              <w:right w:val="nil"/>
            </w:tcBorders>
            <w:shd w:val="clear" w:color="171717" w:fill="FFFF99"/>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41,069,925</w:t>
            </w:r>
          </w:p>
        </w:tc>
        <w:tc>
          <w:tcPr>
            <w:tcW w:w="1247" w:type="dxa"/>
            <w:tcBorders>
              <w:top w:val="single" w:sz="4" w:space="0" w:color="auto"/>
              <w:left w:val="nil"/>
              <w:bottom w:val="single" w:sz="4" w:space="0" w:color="auto"/>
              <w:right w:val="single" w:sz="4" w:space="0" w:color="auto"/>
            </w:tcBorders>
            <w:shd w:val="clear" w:color="171717" w:fill="FFFF99"/>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38,141,291</w:t>
            </w:r>
          </w:p>
        </w:tc>
        <w:tc>
          <w:tcPr>
            <w:tcW w:w="1379" w:type="dxa"/>
            <w:tcBorders>
              <w:top w:val="single" w:sz="4" w:space="0" w:color="auto"/>
              <w:left w:val="nil"/>
              <w:bottom w:val="single" w:sz="4" w:space="0" w:color="auto"/>
              <w:right w:val="single" w:sz="4" w:space="0" w:color="auto"/>
            </w:tcBorders>
            <w:shd w:val="clear" w:color="171717" w:fill="FFFF99"/>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663,744,327</w:t>
            </w:r>
          </w:p>
        </w:tc>
      </w:tr>
      <w:tr w:rsidR="00830750" w:rsidRPr="00FB60C2" w:rsidTr="00830750">
        <w:trPr>
          <w:trHeight w:val="750"/>
        </w:trPr>
        <w:tc>
          <w:tcPr>
            <w:tcW w:w="1120" w:type="dxa"/>
            <w:tcBorders>
              <w:top w:val="nil"/>
              <w:left w:val="single" w:sz="4" w:space="0" w:color="auto"/>
              <w:bottom w:val="single" w:sz="4" w:space="0" w:color="auto"/>
              <w:right w:val="single" w:sz="4" w:space="0" w:color="auto"/>
            </w:tcBorders>
            <w:shd w:val="clear" w:color="171717" w:fill="FFFF00"/>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 Trasb.</w:t>
            </w:r>
          </w:p>
        </w:tc>
        <w:tc>
          <w:tcPr>
            <w:tcW w:w="3160" w:type="dxa"/>
            <w:tcBorders>
              <w:top w:val="nil"/>
              <w:left w:val="nil"/>
              <w:bottom w:val="single" w:sz="4" w:space="0" w:color="auto"/>
              <w:right w:val="single" w:sz="4" w:space="0" w:color="auto"/>
            </w:tcBorders>
            <w:shd w:val="clear" w:color="171717" w:fill="FFFF00"/>
            <w:noWrap/>
            <w:vAlign w:val="center"/>
            <w:hideMark/>
          </w:tcPr>
          <w:p w:rsidR="00830750" w:rsidRPr="00FB60C2" w:rsidRDefault="00830750" w:rsidP="001D4B43">
            <w:pPr>
              <w:spacing w:after="0" w:line="240" w:lineRule="auto"/>
              <w:jc w:val="left"/>
              <w:rPr>
                <w:rFonts w:cs="Arial"/>
                <w:sz w:val="18"/>
                <w:szCs w:val="18"/>
              </w:rPr>
            </w:pPr>
            <w:r w:rsidRPr="00FB60C2">
              <w:rPr>
                <w:rFonts w:cs="Arial"/>
                <w:sz w:val="18"/>
                <w:szCs w:val="18"/>
              </w:rPr>
              <w:t> </w:t>
            </w:r>
          </w:p>
        </w:tc>
        <w:tc>
          <w:tcPr>
            <w:tcW w:w="1247" w:type="dxa"/>
            <w:tcBorders>
              <w:top w:val="nil"/>
              <w:left w:val="nil"/>
              <w:bottom w:val="single" w:sz="4" w:space="0" w:color="auto"/>
              <w:right w:val="nil"/>
            </w:tcBorders>
            <w:shd w:val="clear" w:color="171717" w:fill="FFFF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37.37%</w:t>
            </w:r>
          </w:p>
        </w:tc>
        <w:tc>
          <w:tcPr>
            <w:tcW w:w="1247" w:type="dxa"/>
            <w:tcBorders>
              <w:top w:val="nil"/>
              <w:left w:val="nil"/>
              <w:bottom w:val="single" w:sz="4" w:space="0" w:color="auto"/>
              <w:right w:val="nil"/>
            </w:tcBorders>
            <w:shd w:val="clear" w:color="171717" w:fill="FFFF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48.95%</w:t>
            </w:r>
          </w:p>
        </w:tc>
        <w:tc>
          <w:tcPr>
            <w:tcW w:w="1247" w:type="dxa"/>
            <w:tcBorders>
              <w:top w:val="nil"/>
              <w:left w:val="nil"/>
              <w:bottom w:val="single" w:sz="4" w:space="0" w:color="auto"/>
              <w:right w:val="single" w:sz="4" w:space="0" w:color="auto"/>
            </w:tcBorders>
            <w:shd w:val="clear" w:color="171717" w:fill="FFFF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40.81%</w:t>
            </w:r>
          </w:p>
        </w:tc>
        <w:tc>
          <w:tcPr>
            <w:tcW w:w="1379" w:type="dxa"/>
            <w:tcBorders>
              <w:top w:val="nil"/>
              <w:left w:val="nil"/>
              <w:bottom w:val="single" w:sz="4" w:space="0" w:color="auto"/>
              <w:right w:val="single" w:sz="4" w:space="0" w:color="auto"/>
            </w:tcBorders>
            <w:shd w:val="clear" w:color="171717" w:fill="FFFF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r w:rsidR="00830750" w:rsidRPr="007226D7" w:rsidTr="00830750">
        <w:trPr>
          <w:trHeight w:val="750"/>
        </w:trPr>
        <w:tc>
          <w:tcPr>
            <w:tcW w:w="1120" w:type="dxa"/>
            <w:tcBorders>
              <w:top w:val="nil"/>
              <w:left w:val="single" w:sz="4" w:space="0" w:color="auto"/>
              <w:bottom w:val="single" w:sz="4" w:space="0" w:color="auto"/>
              <w:right w:val="single" w:sz="4" w:space="0" w:color="auto"/>
            </w:tcBorders>
            <w:shd w:val="clear" w:color="171717" w:fill="FFC000"/>
            <w:vAlign w:val="bottom"/>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Tiempo medio de viaje</w:t>
            </w:r>
          </w:p>
        </w:tc>
        <w:tc>
          <w:tcPr>
            <w:tcW w:w="3160" w:type="dxa"/>
            <w:tcBorders>
              <w:top w:val="nil"/>
              <w:left w:val="nil"/>
              <w:bottom w:val="single" w:sz="4" w:space="0" w:color="auto"/>
              <w:right w:val="single" w:sz="4" w:space="0" w:color="auto"/>
            </w:tcBorders>
            <w:shd w:val="clear" w:color="171717" w:fill="FFC000"/>
            <w:noWrap/>
            <w:vAlign w:val="center"/>
            <w:hideMark/>
          </w:tcPr>
          <w:p w:rsidR="00830750" w:rsidRPr="00FB60C2" w:rsidRDefault="00830750" w:rsidP="001D4B43">
            <w:pPr>
              <w:spacing w:after="0" w:line="240" w:lineRule="auto"/>
              <w:jc w:val="left"/>
              <w:rPr>
                <w:rFonts w:cs="Arial"/>
                <w:b/>
                <w:bCs/>
                <w:sz w:val="18"/>
                <w:szCs w:val="18"/>
              </w:rPr>
            </w:pPr>
            <w:r w:rsidRPr="00FB60C2">
              <w:rPr>
                <w:rFonts w:cs="Arial"/>
                <w:b/>
                <w:bCs/>
                <w:sz w:val="18"/>
                <w:szCs w:val="18"/>
              </w:rPr>
              <w:t>Total [min]</w:t>
            </w:r>
          </w:p>
        </w:tc>
        <w:tc>
          <w:tcPr>
            <w:tcW w:w="1247" w:type="dxa"/>
            <w:tcBorders>
              <w:top w:val="nil"/>
              <w:left w:val="nil"/>
              <w:bottom w:val="single" w:sz="4" w:space="0" w:color="auto"/>
              <w:right w:val="nil"/>
            </w:tcBorders>
            <w:shd w:val="clear" w:color="171717" w:fill="FFC0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46.92</w:t>
            </w:r>
          </w:p>
        </w:tc>
        <w:tc>
          <w:tcPr>
            <w:tcW w:w="1247" w:type="dxa"/>
            <w:tcBorders>
              <w:top w:val="nil"/>
              <w:left w:val="nil"/>
              <w:bottom w:val="single" w:sz="4" w:space="0" w:color="auto"/>
              <w:right w:val="nil"/>
            </w:tcBorders>
            <w:shd w:val="clear" w:color="171717" w:fill="FFC0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50.00</w:t>
            </w:r>
          </w:p>
        </w:tc>
        <w:tc>
          <w:tcPr>
            <w:tcW w:w="1247" w:type="dxa"/>
            <w:tcBorders>
              <w:top w:val="nil"/>
              <w:left w:val="nil"/>
              <w:bottom w:val="single" w:sz="4" w:space="0" w:color="auto"/>
              <w:right w:val="single" w:sz="4" w:space="0" w:color="auto"/>
            </w:tcBorders>
            <w:shd w:val="clear" w:color="171717" w:fill="FFC0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46.21</w:t>
            </w:r>
          </w:p>
        </w:tc>
        <w:tc>
          <w:tcPr>
            <w:tcW w:w="1379" w:type="dxa"/>
            <w:tcBorders>
              <w:top w:val="nil"/>
              <w:left w:val="nil"/>
              <w:bottom w:val="single" w:sz="4" w:space="0" w:color="auto"/>
              <w:right w:val="single" w:sz="4" w:space="0" w:color="auto"/>
            </w:tcBorders>
            <w:shd w:val="clear" w:color="171717" w:fill="FFC000"/>
            <w:noWrap/>
            <w:vAlign w:val="center"/>
            <w:hideMark/>
          </w:tcPr>
          <w:p w:rsidR="00830750" w:rsidRDefault="00830750" w:rsidP="00830750">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w:t>
            </w:r>
          </w:p>
        </w:tc>
      </w:tr>
    </w:tbl>
    <w:p w:rsidR="00B262DF" w:rsidRPr="007226D7" w:rsidRDefault="00B262DF" w:rsidP="00B262DF">
      <w:pPr>
        <w:rPr>
          <w:lang w:val="es-ES"/>
        </w:rPr>
      </w:pPr>
      <w:r w:rsidRPr="007226D7">
        <w:rPr>
          <w:lang w:val="es-ES"/>
        </w:rPr>
        <w:t>**incluye sólo el tiempo real de viaje y no considere el tiempo de parada.</w:t>
      </w: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rPr>
          <w:lang w:val="es-ES"/>
        </w:rPr>
      </w:pPr>
    </w:p>
    <w:p w:rsidR="00B262DF" w:rsidRPr="007226D7" w:rsidRDefault="00B262DF" w:rsidP="00B262DF">
      <w:pPr>
        <w:spacing w:after="0" w:line="240" w:lineRule="auto"/>
        <w:jc w:val="left"/>
        <w:rPr>
          <w:lang w:val="es-ES"/>
        </w:rPr>
      </w:pPr>
      <w:r w:rsidRPr="007226D7">
        <w:rPr>
          <w:lang w:val="es-ES"/>
        </w:rPr>
        <w:t>A continuación se muestran los datos de demanda, subidas y bajadas de la Línea 2 del metro de Lima.</w:t>
      </w:r>
    </w:p>
    <w:p w:rsidR="00B262DF" w:rsidRPr="007226D7" w:rsidRDefault="00B262DF" w:rsidP="00B262DF">
      <w:pPr>
        <w:spacing w:after="0" w:line="240" w:lineRule="auto"/>
        <w:jc w:val="left"/>
        <w:rPr>
          <w:color w:val="FF0000"/>
          <w:lang w:val="es-ES"/>
        </w:rPr>
      </w:pPr>
    </w:p>
    <w:p w:rsidR="00B262DF" w:rsidRPr="007226D7" w:rsidRDefault="00B262DF" w:rsidP="00B262DF">
      <w:pPr>
        <w:spacing w:after="0" w:line="240" w:lineRule="auto"/>
        <w:jc w:val="left"/>
        <w:rPr>
          <w:lang w:val="es-ES"/>
        </w:rPr>
        <w:sectPr w:rsidR="00B262DF" w:rsidRPr="007226D7" w:rsidSect="00616C7B">
          <w:pgSz w:w="11907" w:h="16840" w:code="9"/>
          <w:pgMar w:top="1985" w:right="1134" w:bottom="1701" w:left="1418" w:header="720" w:footer="833" w:gutter="0"/>
          <w:paperSrc w:first="15" w:other="15"/>
          <w:cols w:space="720"/>
          <w:docGrid w:linePitch="299"/>
        </w:sectPr>
      </w:pPr>
    </w:p>
    <w:p w:rsidR="00B262DF" w:rsidRPr="007226D7" w:rsidRDefault="00BF60C0" w:rsidP="00B262DF">
      <w:pPr>
        <w:spacing w:after="0" w:line="240" w:lineRule="auto"/>
        <w:jc w:val="center"/>
      </w:pPr>
      <w:r w:rsidRPr="00BF60C0">
        <w:rPr>
          <w:noProof/>
          <w:lang w:val="en-US" w:eastAsia="en-US"/>
        </w:rPr>
        <w:lastRenderedPageBreak/>
        <w:drawing>
          <wp:inline distT="0" distB="0" distL="0" distR="0" wp14:anchorId="01538B47" wp14:editId="7D12DD15">
            <wp:extent cx="3193748" cy="5172965"/>
            <wp:effectExtent l="19050" t="0" r="6652" b="0"/>
            <wp:docPr id="845"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1"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10</w:t>
      </w:r>
      <w:r w:rsidRPr="007226D7">
        <w:rPr>
          <w:noProof/>
        </w:rPr>
        <w:t xml:space="preserve">: </w:t>
      </w:r>
      <w:r w:rsidRPr="007226D7">
        <w:t>Subidos y Bajados –HPM – 20</w:t>
      </w:r>
      <w:r>
        <w:t>30</w:t>
      </w:r>
      <w:r w:rsidRPr="007226D7">
        <w:t xml:space="preserve"> - ESC </w:t>
      </w:r>
      <w:r>
        <w:t>3.3_P</w:t>
      </w:r>
    </w:p>
    <w:p w:rsidR="00B262DF" w:rsidRPr="009522FF" w:rsidRDefault="00BF60C0" w:rsidP="00B262DF">
      <w:pPr>
        <w:jc w:val="center"/>
        <w:rPr>
          <w:lang w:val="es-ES"/>
        </w:rPr>
      </w:pPr>
      <w:r w:rsidRPr="00BF60C0">
        <w:rPr>
          <w:noProof/>
          <w:lang w:val="en-US" w:eastAsia="en-US"/>
        </w:rPr>
        <w:lastRenderedPageBreak/>
        <w:drawing>
          <wp:inline distT="0" distB="0" distL="0" distR="0" wp14:anchorId="57B87AF8" wp14:editId="5B526990">
            <wp:extent cx="3193748" cy="5172965"/>
            <wp:effectExtent l="19050" t="0" r="6652" b="0"/>
            <wp:docPr id="846"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2"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200C3A">
          <w:pgSz w:w="16840" w:h="11907" w:orient="landscape" w:code="9"/>
          <w:pgMar w:top="1418" w:right="1985" w:bottom="1134" w:left="1701" w:header="720" w:footer="833" w:gutter="0"/>
          <w:paperSrc w:first="15" w:other="15"/>
          <w:cols w:num="2" w:space="720"/>
          <w:docGrid w:linePitch="299"/>
        </w:sectPr>
      </w:pPr>
    </w:p>
    <w:p w:rsidR="00B262DF" w:rsidRPr="007226D7" w:rsidRDefault="00BF60C0" w:rsidP="00B262DF">
      <w:pPr>
        <w:rPr>
          <w:lang w:val="es-ES"/>
        </w:rPr>
      </w:pPr>
      <w:r w:rsidRPr="00BF60C0">
        <w:rPr>
          <w:noProof/>
          <w:lang w:val="en-US" w:eastAsia="en-US"/>
        </w:rPr>
        <w:lastRenderedPageBreak/>
        <w:drawing>
          <wp:inline distT="0" distB="0" distL="0" distR="0" wp14:anchorId="03A8A19E" wp14:editId="774CD7E0">
            <wp:extent cx="8348353" cy="4916385"/>
            <wp:effectExtent l="0" t="0" r="0" b="0"/>
            <wp:docPr id="847" name="Gra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B262DF" w:rsidRPr="007226D7" w:rsidRDefault="00B262DF" w:rsidP="00B262DF">
      <w:pPr>
        <w:pStyle w:val="Figuras"/>
      </w:pPr>
      <w:r>
        <w:t>Figura 4.8</w:t>
      </w:r>
      <w:r w:rsidRPr="007226D7">
        <w:t>-</w:t>
      </w:r>
      <w:r w:rsidR="009522FF">
        <w:t>14</w:t>
      </w:r>
      <w:r w:rsidRPr="007226D7">
        <w:t>: Grafico de los Subidos y Bajados –HPM – 20</w:t>
      </w:r>
      <w:r w:rsidR="009522FF">
        <w:t>30</w:t>
      </w:r>
      <w:r w:rsidRPr="007226D7">
        <w:t xml:space="preserve"> - ESC </w:t>
      </w:r>
      <w:r w:rsidR="009522FF">
        <w:t>3</w:t>
      </w:r>
      <w:r>
        <w:t>.3_P</w:t>
      </w:r>
      <w:r w:rsidRPr="007226D7">
        <w:t xml:space="preserve"> –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BF60C0" w:rsidP="00B262DF">
      <w:pPr>
        <w:rPr>
          <w:lang w:val="es-ES"/>
        </w:rPr>
      </w:pPr>
      <w:r w:rsidRPr="00BF60C0">
        <w:rPr>
          <w:noProof/>
          <w:lang w:val="en-US" w:eastAsia="en-US"/>
        </w:rPr>
        <w:lastRenderedPageBreak/>
        <w:drawing>
          <wp:inline distT="0" distB="0" distL="0" distR="0" wp14:anchorId="5A02B664" wp14:editId="351C0A7F">
            <wp:extent cx="8348353" cy="4916385"/>
            <wp:effectExtent l="0" t="0" r="0" b="0"/>
            <wp:docPr id="848" name="Grafico 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B262DF" w:rsidRPr="007226D7" w:rsidRDefault="00B262DF" w:rsidP="00B262DF">
      <w:pPr>
        <w:pStyle w:val="Figuras"/>
      </w:pPr>
      <w:r>
        <w:t>Figura 4.8</w:t>
      </w:r>
      <w:r w:rsidRPr="007226D7">
        <w:t>-</w:t>
      </w:r>
      <w:r w:rsidR="009522FF">
        <w:t>15</w:t>
      </w:r>
      <w:r w:rsidRPr="007226D7">
        <w:t xml:space="preserve">: Grafico de los Subidos y Bajados –HPM – </w:t>
      </w:r>
      <w:r w:rsidR="009522FF" w:rsidRPr="007226D7">
        <w:t>20</w:t>
      </w:r>
      <w:r w:rsidR="009522FF">
        <w:t>30</w:t>
      </w:r>
      <w:r w:rsidR="009522FF" w:rsidRPr="007226D7">
        <w:t xml:space="preserve"> - ESC </w:t>
      </w:r>
      <w:r w:rsidR="009522FF">
        <w:t>3.3_P</w:t>
      </w:r>
      <w:r>
        <w:t xml:space="preserve">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B262DF" w:rsidRPr="007226D7" w:rsidRDefault="00BF60C0" w:rsidP="00B262DF">
      <w:pPr>
        <w:jc w:val="center"/>
        <w:rPr>
          <w:lang w:val="es-ES"/>
        </w:rPr>
      </w:pPr>
      <w:r w:rsidRPr="00BF60C0">
        <w:rPr>
          <w:noProof/>
          <w:lang w:val="en-US" w:eastAsia="en-US"/>
        </w:rPr>
        <w:lastRenderedPageBreak/>
        <w:drawing>
          <wp:inline distT="0" distB="0" distL="0" distR="0" wp14:anchorId="0FCB80C2" wp14:editId="0D17450E">
            <wp:extent cx="3193748" cy="5172965"/>
            <wp:effectExtent l="19050" t="0" r="6652" b="0"/>
            <wp:docPr id="849"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5"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11</w:t>
      </w:r>
      <w:r w:rsidRPr="007226D7">
        <w:rPr>
          <w:noProof/>
        </w:rPr>
        <w:t xml:space="preserve">: </w:t>
      </w:r>
      <w:r w:rsidRPr="007226D7">
        <w:t>Subidos y Bajados –HP</w:t>
      </w:r>
      <w:r>
        <w:t>T</w:t>
      </w:r>
      <w:r w:rsidRPr="007226D7">
        <w:t xml:space="preserve"> – 20</w:t>
      </w:r>
      <w:r>
        <w:t>30</w:t>
      </w:r>
      <w:r w:rsidRPr="007226D7">
        <w:t xml:space="preserve"> - ESC </w:t>
      </w:r>
      <w:r>
        <w:t>3.3_P</w:t>
      </w:r>
    </w:p>
    <w:p w:rsidR="00B262DF" w:rsidRPr="009522FF" w:rsidRDefault="00BF60C0" w:rsidP="00B262DF">
      <w:pPr>
        <w:jc w:val="center"/>
        <w:rPr>
          <w:lang w:val="es-ES"/>
        </w:rPr>
      </w:pPr>
      <w:r w:rsidRPr="00BF60C0">
        <w:rPr>
          <w:noProof/>
          <w:lang w:val="en-US" w:eastAsia="en-US"/>
        </w:rPr>
        <w:lastRenderedPageBreak/>
        <w:drawing>
          <wp:inline distT="0" distB="0" distL="0" distR="0" wp14:anchorId="50C0F4DD" wp14:editId="157EA6C4">
            <wp:extent cx="3193748" cy="5172965"/>
            <wp:effectExtent l="19050" t="0" r="6652" b="0"/>
            <wp:docPr id="850"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6"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337EAA">
          <w:pgSz w:w="16840" w:h="11907" w:orient="landscape" w:code="9"/>
          <w:pgMar w:top="1418" w:right="1985" w:bottom="1134" w:left="1701" w:header="720" w:footer="833" w:gutter="0"/>
          <w:paperSrc w:first="15" w:other="15"/>
          <w:cols w:num="2" w:space="720"/>
          <w:docGrid w:linePitch="299"/>
        </w:sectPr>
      </w:pPr>
    </w:p>
    <w:p w:rsidR="00B262DF" w:rsidRPr="007226D7" w:rsidRDefault="00BF60C0" w:rsidP="00B262DF">
      <w:pPr>
        <w:rPr>
          <w:lang w:val="es-ES"/>
        </w:rPr>
      </w:pPr>
      <w:r w:rsidRPr="00BF60C0">
        <w:rPr>
          <w:noProof/>
          <w:lang w:val="en-US" w:eastAsia="en-US"/>
        </w:rPr>
        <w:lastRenderedPageBreak/>
        <w:drawing>
          <wp:inline distT="0" distB="0" distL="0" distR="0" wp14:anchorId="36D076EF" wp14:editId="766F7E78">
            <wp:extent cx="8360228" cy="4904510"/>
            <wp:effectExtent l="0" t="0" r="0" b="0"/>
            <wp:docPr id="851" name="Grafico 7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B262DF" w:rsidRPr="007226D7" w:rsidRDefault="00B262DF" w:rsidP="00B262DF">
      <w:pPr>
        <w:pStyle w:val="Figuras"/>
      </w:pPr>
      <w:r>
        <w:t>Figura 4.8</w:t>
      </w:r>
      <w:r w:rsidRPr="007226D7">
        <w:t>-</w:t>
      </w:r>
      <w:r w:rsidR="009522FF">
        <w:t>16</w:t>
      </w:r>
      <w:r w:rsidRPr="007226D7">
        <w:t>: Grafico de los Subidos y Bajados –HP</w:t>
      </w:r>
      <w:r>
        <w:t>T</w:t>
      </w:r>
      <w:r w:rsidRPr="007226D7">
        <w:t xml:space="preserve"> – </w:t>
      </w:r>
      <w:r w:rsidR="009522FF" w:rsidRPr="007226D7">
        <w:t>20</w:t>
      </w:r>
      <w:r w:rsidR="009522FF">
        <w:t>30</w:t>
      </w:r>
      <w:r w:rsidR="009522FF" w:rsidRPr="007226D7">
        <w:t xml:space="preserve"> - ESC </w:t>
      </w:r>
      <w:r w:rsidR="009522FF">
        <w:t xml:space="preserve">3.3_P </w:t>
      </w:r>
      <w:r>
        <w:t>–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BF60C0" w:rsidP="00B262DF">
      <w:pPr>
        <w:rPr>
          <w:lang w:val="es-ES"/>
        </w:rPr>
      </w:pPr>
      <w:r w:rsidRPr="00BF60C0">
        <w:rPr>
          <w:noProof/>
          <w:lang w:val="en-US" w:eastAsia="en-US"/>
        </w:rPr>
        <w:lastRenderedPageBreak/>
        <w:drawing>
          <wp:inline distT="0" distB="0" distL="0" distR="0" wp14:anchorId="2E53C505" wp14:editId="5EBA1B38">
            <wp:extent cx="8277101" cy="4880759"/>
            <wp:effectExtent l="0" t="0" r="0" b="0"/>
            <wp:docPr id="852" name="Grafico 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B262DF" w:rsidRPr="007226D7" w:rsidRDefault="00B262DF" w:rsidP="00B262DF">
      <w:pPr>
        <w:pStyle w:val="Figuras"/>
      </w:pPr>
      <w:r>
        <w:t>Figura 4.8</w:t>
      </w:r>
      <w:r w:rsidRPr="007226D7">
        <w:t>-</w:t>
      </w:r>
      <w:r w:rsidR="009522FF">
        <w:t>17</w:t>
      </w:r>
      <w:r w:rsidRPr="007226D7">
        <w:t>: Grafico de los Subidos y Bajados –HP</w:t>
      </w:r>
      <w:r>
        <w:t>T</w:t>
      </w:r>
      <w:r w:rsidRPr="007226D7">
        <w:t xml:space="preserve"> – </w:t>
      </w:r>
      <w:r w:rsidR="009522FF" w:rsidRPr="007226D7">
        <w:t>20</w:t>
      </w:r>
      <w:r w:rsidR="009522FF">
        <w:t>30</w:t>
      </w:r>
      <w:r w:rsidR="009522FF" w:rsidRPr="007226D7">
        <w:t xml:space="preserve"> - ESC </w:t>
      </w:r>
      <w:r w:rsidR="009522FF">
        <w:t>3.3_P</w:t>
      </w:r>
      <w:r>
        <w:t xml:space="preserve">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B262DF" w:rsidRPr="007226D7" w:rsidRDefault="00BF60C0" w:rsidP="00B262DF">
      <w:pPr>
        <w:jc w:val="center"/>
        <w:rPr>
          <w:lang w:val="es-ES"/>
        </w:rPr>
      </w:pPr>
      <w:r w:rsidRPr="00BF60C0">
        <w:rPr>
          <w:noProof/>
          <w:lang w:val="en-US" w:eastAsia="en-US"/>
        </w:rPr>
        <w:lastRenderedPageBreak/>
        <w:drawing>
          <wp:inline distT="0" distB="0" distL="0" distR="0" wp14:anchorId="24B31B59" wp14:editId="062CDD4F">
            <wp:extent cx="3193748" cy="5172965"/>
            <wp:effectExtent l="19050" t="0" r="6652" b="0"/>
            <wp:docPr id="853"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9"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pStyle w:val="Figuras"/>
      </w:pPr>
      <w:r w:rsidRPr="007226D7">
        <w:rPr>
          <w:noProof/>
        </w:rPr>
        <w:t>Tabla 4.</w:t>
      </w:r>
      <w:r>
        <w:rPr>
          <w:noProof/>
        </w:rPr>
        <w:t>8</w:t>
      </w:r>
      <w:r w:rsidRPr="007226D7">
        <w:rPr>
          <w:noProof/>
        </w:rPr>
        <w:t xml:space="preserve"> –</w:t>
      </w:r>
      <w:r>
        <w:rPr>
          <w:noProof/>
        </w:rPr>
        <w:t>12</w:t>
      </w:r>
      <w:r w:rsidRPr="007226D7">
        <w:rPr>
          <w:noProof/>
        </w:rPr>
        <w:t xml:space="preserve">: </w:t>
      </w:r>
      <w:r w:rsidRPr="007226D7">
        <w:t>Subidos y Bajados –H</w:t>
      </w:r>
      <w:r>
        <w:t xml:space="preserve">V </w:t>
      </w:r>
      <w:r w:rsidRPr="007226D7">
        <w:t>– 20</w:t>
      </w:r>
      <w:r>
        <w:t>30</w:t>
      </w:r>
      <w:r w:rsidRPr="007226D7">
        <w:t xml:space="preserve"> - ESC </w:t>
      </w:r>
      <w:r>
        <w:t>3.3_P</w:t>
      </w:r>
    </w:p>
    <w:p w:rsidR="00B262DF" w:rsidRPr="009522FF" w:rsidRDefault="00BF60C0" w:rsidP="00B262DF">
      <w:pPr>
        <w:jc w:val="center"/>
        <w:rPr>
          <w:lang w:val="es-ES"/>
        </w:rPr>
      </w:pPr>
      <w:r w:rsidRPr="00BF60C0">
        <w:rPr>
          <w:noProof/>
          <w:lang w:val="en-US" w:eastAsia="en-US"/>
        </w:rPr>
        <w:lastRenderedPageBreak/>
        <w:drawing>
          <wp:inline distT="0" distB="0" distL="0" distR="0" wp14:anchorId="0232C71E" wp14:editId="710D6BD7">
            <wp:extent cx="3193748" cy="5172965"/>
            <wp:effectExtent l="19050" t="0" r="6652" b="0"/>
            <wp:docPr id="854"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0" cstate="print"/>
                    <a:srcRect/>
                    <a:stretch>
                      <a:fillRect/>
                    </a:stretch>
                  </pic:blipFill>
                  <pic:spPr bwMode="auto">
                    <a:xfrm>
                      <a:off x="0" y="0"/>
                      <a:ext cx="3193748" cy="5172965"/>
                    </a:xfrm>
                    <a:prstGeom prst="rect">
                      <a:avLst/>
                    </a:prstGeom>
                    <a:noFill/>
                    <a:ln w="9525">
                      <a:noFill/>
                      <a:miter lim="800000"/>
                      <a:headEnd/>
                      <a:tailEnd/>
                    </a:ln>
                  </pic:spPr>
                </pic:pic>
              </a:graphicData>
            </a:graphic>
          </wp:inline>
        </w:drawing>
      </w:r>
    </w:p>
    <w:p w:rsidR="00B262DF" w:rsidRPr="007226D7" w:rsidRDefault="00B262DF" w:rsidP="00B262DF">
      <w:pPr>
        <w:rPr>
          <w:lang w:val="es-ES"/>
        </w:rPr>
      </w:pPr>
    </w:p>
    <w:p w:rsidR="00B262DF" w:rsidRPr="007226D7" w:rsidRDefault="00B262DF" w:rsidP="00B262DF">
      <w:pPr>
        <w:rPr>
          <w:lang w:val="es-ES"/>
        </w:rPr>
        <w:sectPr w:rsidR="00B262DF" w:rsidRPr="007226D7" w:rsidSect="00DF101C">
          <w:pgSz w:w="16840" w:h="11907" w:orient="landscape" w:code="9"/>
          <w:pgMar w:top="1418" w:right="1985" w:bottom="1134" w:left="1701" w:header="720" w:footer="833" w:gutter="0"/>
          <w:paperSrc w:first="15" w:other="15"/>
          <w:cols w:num="2" w:space="720"/>
          <w:docGrid w:linePitch="299"/>
        </w:sectPr>
      </w:pPr>
    </w:p>
    <w:p w:rsidR="00B262DF" w:rsidRPr="007226D7" w:rsidRDefault="00BF60C0" w:rsidP="00B262DF">
      <w:pPr>
        <w:rPr>
          <w:lang w:val="es-ES"/>
        </w:rPr>
      </w:pPr>
      <w:r w:rsidRPr="00BF60C0">
        <w:rPr>
          <w:noProof/>
          <w:lang w:val="en-US" w:eastAsia="en-US"/>
        </w:rPr>
        <w:lastRenderedPageBreak/>
        <w:drawing>
          <wp:inline distT="0" distB="0" distL="0" distR="0" wp14:anchorId="2AEEFBD0" wp14:editId="2D3F29C3">
            <wp:extent cx="8300851" cy="4928260"/>
            <wp:effectExtent l="0" t="0" r="0" b="0"/>
            <wp:docPr id="855" name="Grafico 7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rsidR="00B262DF" w:rsidRPr="007226D7" w:rsidRDefault="00B262DF" w:rsidP="00B262DF">
      <w:pPr>
        <w:pStyle w:val="Figuras"/>
      </w:pPr>
      <w:r>
        <w:t>Figura 4.8</w:t>
      </w:r>
      <w:r w:rsidRPr="007226D7">
        <w:t>-</w:t>
      </w:r>
      <w:r w:rsidR="009522FF">
        <w:t>18</w:t>
      </w:r>
      <w:r w:rsidRPr="007226D7">
        <w:t>: Graf</w:t>
      </w:r>
      <w:r>
        <w:t>ico de los Subidos y Bajados –HV</w:t>
      </w:r>
      <w:r w:rsidRPr="007226D7">
        <w:t xml:space="preserve"> – </w:t>
      </w:r>
      <w:r w:rsidR="009522FF" w:rsidRPr="007226D7">
        <w:t>20</w:t>
      </w:r>
      <w:r w:rsidR="009522FF">
        <w:t>30</w:t>
      </w:r>
      <w:r w:rsidR="009522FF" w:rsidRPr="007226D7">
        <w:t xml:space="preserve"> - ESC </w:t>
      </w:r>
      <w:r w:rsidR="009522FF">
        <w:t>3.3_P</w:t>
      </w:r>
      <w:r>
        <w:t xml:space="preserve"> – sentido E-O</w:t>
      </w:r>
    </w:p>
    <w:p w:rsidR="00B262DF" w:rsidRPr="007226D7" w:rsidRDefault="00B262DF" w:rsidP="00B262DF">
      <w:pPr>
        <w:spacing w:after="0" w:line="240" w:lineRule="auto"/>
        <w:jc w:val="left"/>
        <w:rPr>
          <w:lang w:val="es-ES"/>
        </w:rPr>
      </w:pPr>
      <w:r w:rsidRPr="007226D7">
        <w:rPr>
          <w:lang w:val="es-ES"/>
        </w:rPr>
        <w:br w:type="page"/>
      </w:r>
    </w:p>
    <w:p w:rsidR="00B262DF" w:rsidRPr="0031045E" w:rsidRDefault="00BF60C0" w:rsidP="00B262DF">
      <w:pPr>
        <w:rPr>
          <w:lang w:val="es-ES"/>
        </w:rPr>
      </w:pPr>
      <w:r w:rsidRPr="00BF60C0">
        <w:rPr>
          <w:noProof/>
          <w:lang w:val="en-US" w:eastAsia="en-US"/>
        </w:rPr>
        <w:lastRenderedPageBreak/>
        <w:drawing>
          <wp:inline distT="0" distB="0" distL="0" distR="0" wp14:anchorId="6B31F774" wp14:editId="76EF0045">
            <wp:extent cx="8395854" cy="4857008"/>
            <wp:effectExtent l="0" t="0" r="0" b="0"/>
            <wp:docPr id="856" name="Grafico 7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B262DF" w:rsidRPr="007226D7" w:rsidRDefault="00B262DF" w:rsidP="00B262DF">
      <w:pPr>
        <w:pStyle w:val="Figuras"/>
      </w:pPr>
      <w:r>
        <w:t>Figura 4.8</w:t>
      </w:r>
      <w:r w:rsidRPr="007226D7">
        <w:t>-</w:t>
      </w:r>
      <w:r w:rsidR="009522FF">
        <w:t>19</w:t>
      </w:r>
      <w:r w:rsidRPr="007226D7">
        <w:t>: Graf</w:t>
      </w:r>
      <w:r>
        <w:t>ico de los Subidos y Bajados –HV</w:t>
      </w:r>
      <w:r w:rsidRPr="007226D7">
        <w:t xml:space="preserve"> – </w:t>
      </w:r>
      <w:r w:rsidR="009522FF" w:rsidRPr="007226D7">
        <w:t>20</w:t>
      </w:r>
      <w:r w:rsidR="009522FF">
        <w:t>30</w:t>
      </w:r>
      <w:r w:rsidR="009522FF" w:rsidRPr="007226D7">
        <w:t xml:space="preserve"> - ESC </w:t>
      </w:r>
      <w:r w:rsidR="009522FF">
        <w:t>3.3_P</w:t>
      </w:r>
      <w:r>
        <w:t xml:space="preserve"> – sentido O-E</w:t>
      </w:r>
    </w:p>
    <w:p w:rsidR="00B262DF" w:rsidRPr="007226D7" w:rsidRDefault="00B262DF" w:rsidP="00B262DF">
      <w:pPr>
        <w:rPr>
          <w:lang w:val="es-ES"/>
        </w:rPr>
      </w:pPr>
    </w:p>
    <w:p w:rsidR="00B262DF" w:rsidRPr="007226D7" w:rsidRDefault="00B262DF" w:rsidP="00B262DF">
      <w:pPr>
        <w:rPr>
          <w:lang w:val="es-ES"/>
        </w:rPr>
        <w:sectPr w:rsidR="00B262DF" w:rsidRPr="007226D7" w:rsidSect="003A73C7">
          <w:pgSz w:w="16840" w:h="11907" w:orient="landscape" w:code="9"/>
          <w:pgMar w:top="1418" w:right="1985" w:bottom="1134" w:left="1701" w:header="720" w:footer="833" w:gutter="0"/>
          <w:paperSrc w:first="15" w:other="15"/>
          <w:cols w:space="720"/>
          <w:docGrid w:linePitch="299"/>
        </w:sectPr>
      </w:pPr>
    </w:p>
    <w:p w:rsidR="00FF59FA" w:rsidRPr="007226D7" w:rsidRDefault="00FF59FA" w:rsidP="00FF59FA">
      <w:pPr>
        <w:pStyle w:val="Heading2"/>
        <w:rPr>
          <w:lang w:val="es-ES"/>
        </w:rPr>
      </w:pPr>
      <w:bookmarkStart w:id="170" w:name="_Toc346541954"/>
      <w:r w:rsidRPr="007226D7">
        <w:rPr>
          <w:lang w:val="es-ES"/>
        </w:rPr>
        <w:lastRenderedPageBreak/>
        <w:t>Los resultados de simulaciones</w:t>
      </w:r>
      <w:bookmarkEnd w:id="158"/>
      <w:bookmarkEnd w:id="170"/>
    </w:p>
    <w:p w:rsidR="005A5607" w:rsidRPr="007226D7" w:rsidRDefault="005A5607" w:rsidP="005A5607">
      <w:pPr>
        <w:rPr>
          <w:lang w:val="es-ES"/>
        </w:rPr>
      </w:pPr>
      <w:r w:rsidRPr="007226D7">
        <w:rPr>
          <w:lang w:val="es-ES"/>
        </w:rPr>
        <w:t xml:space="preserve">En la tabla a continuación se ofrece un resumen de los resultados obtenidos por los años horizonte de la </w:t>
      </w:r>
      <w:r w:rsidR="000B2336" w:rsidRPr="007226D7">
        <w:rPr>
          <w:lang w:val="es-ES"/>
        </w:rPr>
        <w:t>Línea</w:t>
      </w:r>
      <w:r w:rsidRPr="007226D7">
        <w:rPr>
          <w:lang w:val="es-ES"/>
        </w:rPr>
        <w:t xml:space="preserve"> 2 y del tramo de </w:t>
      </w:r>
      <w:r w:rsidR="000B2336" w:rsidRPr="007226D7">
        <w:rPr>
          <w:lang w:val="es-ES"/>
        </w:rPr>
        <w:t>Línea</w:t>
      </w:r>
      <w:r w:rsidRPr="007226D7">
        <w:rPr>
          <w:lang w:val="es-ES"/>
        </w:rPr>
        <w:t xml:space="preserve"> 4 de San José al final nor</w:t>
      </w:r>
      <w:r w:rsidR="000B2336" w:rsidRPr="007226D7">
        <w:rPr>
          <w:lang w:val="es-ES"/>
        </w:rPr>
        <w:t>te</w:t>
      </w:r>
      <w:r w:rsidRPr="007226D7">
        <w:rPr>
          <w:lang w:val="es-ES"/>
        </w:rPr>
        <w:t xml:space="preserve"> de Gambeta.</w:t>
      </w:r>
    </w:p>
    <w:p w:rsidR="005A5607" w:rsidRPr="007226D7" w:rsidRDefault="005A5607" w:rsidP="005A5607">
      <w:pPr>
        <w:rPr>
          <w:lang w:val="es-ES"/>
        </w:rPr>
      </w:pPr>
      <w:r w:rsidRPr="007226D7">
        <w:rPr>
          <w:lang w:val="es-ES"/>
        </w:rPr>
        <w:t>Valen las siguientes consideraciones:</w:t>
      </w:r>
    </w:p>
    <w:p w:rsidR="005A5607" w:rsidRPr="007226D7" w:rsidRDefault="005A5607" w:rsidP="002132CC">
      <w:pPr>
        <w:pStyle w:val="ListParagraph"/>
        <w:numPr>
          <w:ilvl w:val="0"/>
          <w:numId w:val="70"/>
        </w:numPr>
        <w:rPr>
          <w:lang w:val="es-ES"/>
        </w:rPr>
      </w:pPr>
      <w:r w:rsidRPr="007226D7">
        <w:rPr>
          <w:lang w:val="es-ES"/>
        </w:rPr>
        <w:t>La demanda diaria varía considerablemente dependiendo del escenario considerado y el horizonte de tiempo. En particular, tiene un valor mínimo en la inauguración de la primera "etapa" en el año 2018 con 305.000 pasajeros. Tras la finalización de la construcción del sistema, dos años más tarde, la demanda llega a más de 662.000 unidades, con un aumento de 117%.</w:t>
      </w:r>
    </w:p>
    <w:p w:rsidR="005A5607" w:rsidRPr="007226D7" w:rsidRDefault="005A5607" w:rsidP="002132CC">
      <w:pPr>
        <w:pStyle w:val="ListParagraph"/>
        <w:numPr>
          <w:ilvl w:val="0"/>
          <w:numId w:val="70"/>
        </w:numPr>
        <w:rPr>
          <w:lang w:val="es-ES"/>
        </w:rPr>
      </w:pPr>
      <w:r w:rsidRPr="007226D7">
        <w:rPr>
          <w:lang w:val="es-ES"/>
        </w:rPr>
        <w:t>Esto está claramente explicado por el aumento de los servicios y la nueva cobertura de áreas que anteriormente estaban sin acceso directo a las estaciones.</w:t>
      </w:r>
    </w:p>
    <w:p w:rsidR="005A5607" w:rsidRDefault="005A5607" w:rsidP="002132CC">
      <w:pPr>
        <w:pStyle w:val="ListParagraph"/>
        <w:numPr>
          <w:ilvl w:val="0"/>
          <w:numId w:val="70"/>
        </w:numPr>
        <w:rPr>
          <w:lang w:val="es-ES"/>
        </w:rPr>
      </w:pPr>
      <w:r w:rsidRPr="007226D7">
        <w:rPr>
          <w:lang w:val="es-ES"/>
        </w:rPr>
        <w:t>En el año 2030 de las simulaciones se obtiene un valor de casi 803.000 unidades por día, con un incremento global del 21% en 10 años (equivalente a una tasa anual de 1,94%).</w:t>
      </w:r>
    </w:p>
    <w:p w:rsidR="0023304D" w:rsidRPr="007226D7" w:rsidRDefault="0023304D" w:rsidP="0023304D">
      <w:pPr>
        <w:pStyle w:val="ListParagraph"/>
        <w:ind w:left="720"/>
        <w:rPr>
          <w:lang w:val="es-ES"/>
        </w:rPr>
      </w:pPr>
    </w:p>
    <w:p w:rsidR="00FF59FA" w:rsidRPr="007226D7" w:rsidRDefault="00E52A2C" w:rsidP="00E52A2C">
      <w:pPr>
        <w:pStyle w:val="Figuras"/>
      </w:pPr>
      <w:r w:rsidRPr="007226D7">
        <w:t>Tabla 4.</w:t>
      </w:r>
      <w:r w:rsidR="000065E7">
        <w:t>9</w:t>
      </w:r>
      <w:r w:rsidRPr="007226D7">
        <w:t xml:space="preserve"> – 1: </w:t>
      </w:r>
      <w:r w:rsidR="0023304D">
        <w:t xml:space="preserve">(serie) </w:t>
      </w:r>
      <w:r w:rsidRPr="007226D7">
        <w:t>Demanda Captada para la Línea 2 de</w:t>
      </w:r>
      <w:r w:rsidR="000B2336" w:rsidRPr="007226D7">
        <w:t>l</w:t>
      </w:r>
      <w:r w:rsidRPr="007226D7">
        <w:t xml:space="preserve"> Tren El</w:t>
      </w:r>
      <w:r w:rsidR="000B2336" w:rsidRPr="007226D7">
        <w:t>é</w:t>
      </w:r>
      <w:r w:rsidRPr="007226D7">
        <w:t>ctrico de Lima</w:t>
      </w:r>
    </w:p>
    <w:tbl>
      <w:tblPr>
        <w:tblW w:w="9080" w:type="dxa"/>
        <w:tblInd w:w="53" w:type="dxa"/>
        <w:tblCellMar>
          <w:left w:w="70" w:type="dxa"/>
          <w:right w:w="70" w:type="dxa"/>
        </w:tblCellMar>
        <w:tblLook w:val="04A0" w:firstRow="1" w:lastRow="0" w:firstColumn="1" w:lastColumn="0" w:noHBand="0" w:noVBand="1"/>
      </w:tblPr>
      <w:tblGrid>
        <w:gridCol w:w="960"/>
        <w:gridCol w:w="3160"/>
        <w:gridCol w:w="1240"/>
        <w:gridCol w:w="1240"/>
        <w:gridCol w:w="1240"/>
        <w:gridCol w:w="1240"/>
      </w:tblGrid>
      <w:tr w:rsidR="002138DC" w:rsidRPr="007226D7" w:rsidTr="002138DC">
        <w:trPr>
          <w:trHeight w:val="240"/>
        </w:trPr>
        <w:tc>
          <w:tcPr>
            <w:tcW w:w="9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lang w:val="es-ES"/>
              </w:rPr>
            </w:pPr>
            <w:r w:rsidRPr="007226D7">
              <w:rPr>
                <w:rFonts w:cs="Arial"/>
                <w:color w:val="171717"/>
                <w:sz w:val="18"/>
                <w:szCs w:val="18"/>
                <w:lang w:val="es-ES"/>
              </w:rPr>
              <w:t> </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Escenario</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ESC 1.3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ESC 2.3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ESC 3.3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ESC 3.4</w:t>
            </w:r>
          </w:p>
        </w:tc>
      </w:tr>
      <w:tr w:rsidR="002138DC" w:rsidRPr="007226D7" w:rsidTr="002138DC">
        <w:trPr>
          <w:trHeight w:val="240"/>
        </w:trPr>
        <w:tc>
          <w:tcPr>
            <w:tcW w:w="9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Año</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2018</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2020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2030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2030</w:t>
            </w:r>
          </w:p>
        </w:tc>
      </w:tr>
      <w:tr w:rsidR="002138DC" w:rsidRPr="007226D7" w:rsidTr="002138DC">
        <w:trPr>
          <w:trHeight w:val="240"/>
        </w:trPr>
        <w:tc>
          <w:tcPr>
            <w:tcW w:w="9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 </w:t>
            </w:r>
          </w:p>
        </w:tc>
      </w:tr>
      <w:tr w:rsidR="002138DC" w:rsidRPr="007226D7" w:rsidTr="002138DC">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Demanda Captada [Subidos]</w:t>
            </w:r>
          </w:p>
        </w:tc>
      </w:tr>
      <w:tr w:rsidR="002138DC" w:rsidRPr="007226D7" w:rsidTr="002138DC">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32,137</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71,734</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79,460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111,328</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23,960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51,269</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62,043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92,548</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14,790</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32,026</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39,995</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57,674</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Demanda Díaria</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304,459</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662,346</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802,938</w:t>
            </w:r>
          </w:p>
        </w:tc>
        <w:tc>
          <w:tcPr>
            <w:tcW w:w="124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1,157,519</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Demanda Anual</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97,731,350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212,612,963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257,743,016</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b/>
                <w:bCs/>
                <w:color w:val="171717"/>
                <w:sz w:val="18"/>
                <w:szCs w:val="18"/>
              </w:rPr>
            </w:pPr>
            <w:r w:rsidRPr="007226D7">
              <w:rPr>
                <w:rFonts w:cs="Arial"/>
                <w:b/>
                <w:bCs/>
                <w:color w:val="171717"/>
                <w:sz w:val="18"/>
                <w:szCs w:val="18"/>
              </w:rPr>
              <w:t>371,563,510</w:t>
            </w:r>
          </w:p>
        </w:tc>
      </w:tr>
      <w:tr w:rsidR="002138DC" w:rsidRPr="007226D7" w:rsidTr="002138DC">
        <w:trPr>
          <w:trHeight w:val="240"/>
        </w:trPr>
        <w:tc>
          <w:tcPr>
            <w:tcW w:w="9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r>
      <w:tr w:rsidR="002138DC" w:rsidRPr="007226D7" w:rsidTr="002138DC">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Carga Max - Línea 2 [pphpd]</w:t>
            </w:r>
          </w:p>
        </w:tc>
      </w:tr>
      <w:tr w:rsidR="002138DC" w:rsidRPr="007226D7" w:rsidTr="002138DC">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15,410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27,257</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31,684</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47,883</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9,836</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16,517</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14,730</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34,484</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6,539</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10,378</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13,187</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18,808</w:t>
            </w:r>
          </w:p>
        </w:tc>
      </w:tr>
      <w:tr w:rsidR="002138DC" w:rsidRPr="007226D7" w:rsidTr="002138DC">
        <w:trPr>
          <w:trHeight w:val="240"/>
        </w:trPr>
        <w:tc>
          <w:tcPr>
            <w:tcW w:w="9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r>
      <w:tr w:rsidR="002138DC" w:rsidRPr="0013314C" w:rsidTr="002138DC">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2138DC" w:rsidRPr="007226D7" w:rsidRDefault="002138DC" w:rsidP="002138DC">
            <w:pPr>
              <w:spacing w:after="0" w:line="240" w:lineRule="auto"/>
              <w:jc w:val="center"/>
              <w:rPr>
                <w:rFonts w:cs="Arial"/>
                <w:b/>
                <w:bCs/>
                <w:color w:val="171717"/>
                <w:sz w:val="18"/>
                <w:szCs w:val="18"/>
                <w:lang w:val="es-ES"/>
              </w:rPr>
            </w:pPr>
            <w:r w:rsidRPr="007226D7">
              <w:rPr>
                <w:rFonts w:cs="Arial"/>
                <w:b/>
                <w:bCs/>
                <w:color w:val="171717"/>
                <w:sz w:val="18"/>
                <w:szCs w:val="18"/>
                <w:lang w:val="es-ES"/>
              </w:rPr>
              <w:t>Carga Max - Tramo Línea 4 [pphpd]</w:t>
            </w:r>
          </w:p>
        </w:tc>
      </w:tr>
      <w:tr w:rsidR="002138DC" w:rsidRPr="007226D7" w:rsidTr="002138DC">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2138DC" w:rsidRPr="007226D7" w:rsidRDefault="002138DC" w:rsidP="002138DC">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5029</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5,753</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3,599</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4,845</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r>
      <w:tr w:rsidR="002138DC" w:rsidRPr="007226D7" w:rsidTr="002138DC">
        <w:trPr>
          <w:trHeight w:val="319"/>
        </w:trPr>
        <w:tc>
          <w:tcPr>
            <w:tcW w:w="960" w:type="dxa"/>
            <w:vMerge/>
            <w:tcBorders>
              <w:top w:val="nil"/>
              <w:left w:val="nil"/>
              <w:bottom w:val="nil"/>
              <w:right w:val="single" w:sz="4" w:space="0" w:color="auto"/>
            </w:tcBorders>
            <w:vAlign w:val="center"/>
            <w:hideMark/>
          </w:tcPr>
          <w:p w:rsidR="002138DC" w:rsidRPr="007226D7" w:rsidRDefault="002138DC" w:rsidP="002138DC">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1,801</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2,608</w:t>
            </w:r>
          </w:p>
        </w:tc>
        <w:tc>
          <w:tcPr>
            <w:tcW w:w="1240" w:type="dxa"/>
            <w:tcBorders>
              <w:top w:val="nil"/>
              <w:left w:val="nil"/>
              <w:bottom w:val="nil"/>
              <w:right w:val="nil"/>
            </w:tcBorders>
            <w:shd w:val="clear" w:color="171717" w:fill="FFFFFF"/>
            <w:noWrap/>
            <w:vAlign w:val="bottom"/>
            <w:hideMark/>
          </w:tcPr>
          <w:p w:rsidR="002138DC" w:rsidRPr="007226D7" w:rsidRDefault="002138DC" w:rsidP="002138DC">
            <w:pPr>
              <w:spacing w:after="0" w:line="240" w:lineRule="auto"/>
              <w:jc w:val="right"/>
              <w:rPr>
                <w:rFonts w:cs="Arial"/>
                <w:color w:val="171717"/>
                <w:sz w:val="18"/>
                <w:szCs w:val="18"/>
              </w:rPr>
            </w:pPr>
            <w:r w:rsidRPr="007226D7">
              <w:rPr>
                <w:rFonts w:cs="Arial"/>
                <w:color w:val="171717"/>
                <w:sz w:val="18"/>
                <w:szCs w:val="18"/>
              </w:rPr>
              <w:t>-</w:t>
            </w:r>
          </w:p>
        </w:tc>
      </w:tr>
    </w:tbl>
    <w:p w:rsidR="006F35D2" w:rsidRDefault="006F35D2" w:rsidP="00FF59FA">
      <w:pPr>
        <w:rPr>
          <w:lang w:val="es-ES"/>
        </w:rPr>
      </w:pPr>
    </w:p>
    <w:p w:rsidR="00592536" w:rsidRDefault="00592536">
      <w:pPr>
        <w:spacing w:after="0" w:line="240" w:lineRule="auto"/>
        <w:jc w:val="left"/>
        <w:rPr>
          <w:lang w:val="es-ES"/>
        </w:rPr>
      </w:pPr>
      <w:r>
        <w:rPr>
          <w:lang w:val="es-ES"/>
        </w:rPr>
        <w:br w:type="page"/>
      </w:r>
    </w:p>
    <w:tbl>
      <w:tblPr>
        <w:tblW w:w="9080" w:type="dxa"/>
        <w:tblInd w:w="53" w:type="dxa"/>
        <w:tblCellMar>
          <w:left w:w="70" w:type="dxa"/>
          <w:right w:w="70" w:type="dxa"/>
        </w:tblCellMar>
        <w:tblLook w:val="04A0" w:firstRow="1" w:lastRow="0" w:firstColumn="1" w:lastColumn="0" w:noHBand="0" w:noVBand="1"/>
      </w:tblPr>
      <w:tblGrid>
        <w:gridCol w:w="960"/>
        <w:gridCol w:w="3160"/>
        <w:gridCol w:w="1240"/>
        <w:gridCol w:w="1240"/>
        <w:gridCol w:w="1240"/>
        <w:gridCol w:w="1240"/>
      </w:tblGrid>
      <w:tr w:rsidR="00592536" w:rsidRPr="007226D7" w:rsidTr="00724CCF">
        <w:trPr>
          <w:trHeight w:val="240"/>
        </w:trPr>
        <w:tc>
          <w:tcPr>
            <w:tcW w:w="9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lang w:val="es-ES"/>
              </w:rPr>
            </w:pPr>
            <w:r w:rsidRPr="007226D7">
              <w:rPr>
                <w:rFonts w:cs="Arial"/>
                <w:color w:val="171717"/>
                <w:sz w:val="18"/>
                <w:szCs w:val="18"/>
                <w:lang w:val="es-ES"/>
              </w:rPr>
              <w:lastRenderedPageBreak/>
              <w:t> </w:t>
            </w:r>
          </w:p>
        </w:tc>
        <w:tc>
          <w:tcPr>
            <w:tcW w:w="31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b/>
                <w:bCs/>
                <w:color w:val="171717"/>
                <w:sz w:val="18"/>
                <w:szCs w:val="18"/>
              </w:rPr>
            </w:pPr>
            <w:r w:rsidRPr="007226D7">
              <w:rPr>
                <w:rFonts w:cs="Arial"/>
                <w:b/>
                <w:bCs/>
                <w:color w:val="171717"/>
                <w:sz w:val="18"/>
                <w:szCs w:val="18"/>
              </w:rPr>
              <w:t>Escenario</w:t>
            </w:r>
          </w:p>
        </w:tc>
        <w:tc>
          <w:tcPr>
            <w:tcW w:w="1240" w:type="dxa"/>
            <w:tcBorders>
              <w:top w:val="nil"/>
              <w:left w:val="nil"/>
              <w:bottom w:val="nil"/>
              <w:right w:val="nil"/>
            </w:tcBorders>
            <w:shd w:val="clear" w:color="171717" w:fill="FFFFFF"/>
            <w:noWrap/>
            <w:vAlign w:val="bottom"/>
            <w:hideMark/>
          </w:tcPr>
          <w:p w:rsidR="00592536" w:rsidRPr="007226D7" w:rsidRDefault="00592536" w:rsidP="00592536">
            <w:pPr>
              <w:spacing w:after="0" w:line="240" w:lineRule="auto"/>
              <w:jc w:val="center"/>
              <w:rPr>
                <w:rFonts w:cs="Arial"/>
                <w:b/>
                <w:bCs/>
                <w:color w:val="171717"/>
                <w:sz w:val="18"/>
                <w:szCs w:val="18"/>
              </w:rPr>
            </w:pPr>
            <w:r w:rsidRPr="007226D7">
              <w:rPr>
                <w:rFonts w:cs="Arial"/>
                <w:b/>
                <w:bCs/>
                <w:color w:val="171717"/>
                <w:sz w:val="18"/>
                <w:szCs w:val="18"/>
              </w:rPr>
              <w:t>ESC 1.3</w:t>
            </w:r>
            <w:r>
              <w:rPr>
                <w:rFonts w:cs="Arial"/>
                <w:b/>
                <w:bCs/>
                <w:color w:val="171717"/>
                <w:sz w:val="18"/>
                <w:szCs w:val="18"/>
              </w:rPr>
              <w:t>_P</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ESC 2.3</w:t>
            </w:r>
            <w:r>
              <w:rPr>
                <w:rFonts w:cs="Arial"/>
                <w:b/>
                <w:bCs/>
                <w:color w:val="171717"/>
                <w:sz w:val="18"/>
                <w:szCs w:val="18"/>
              </w:rPr>
              <w:t>_P</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ESC 3.3</w:t>
            </w:r>
            <w:r>
              <w:rPr>
                <w:rFonts w:cs="Arial"/>
                <w:b/>
                <w:bCs/>
                <w:color w:val="171717"/>
                <w:sz w:val="18"/>
                <w:szCs w:val="18"/>
              </w:rPr>
              <w:t>_P</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p>
        </w:tc>
      </w:tr>
      <w:tr w:rsidR="00592536" w:rsidRPr="007226D7" w:rsidTr="00724CCF">
        <w:trPr>
          <w:trHeight w:val="240"/>
        </w:trPr>
        <w:tc>
          <w:tcPr>
            <w:tcW w:w="9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b/>
                <w:bCs/>
                <w:color w:val="171717"/>
                <w:sz w:val="18"/>
                <w:szCs w:val="18"/>
              </w:rPr>
            </w:pPr>
            <w:r w:rsidRPr="007226D7">
              <w:rPr>
                <w:rFonts w:cs="Arial"/>
                <w:b/>
                <w:bCs/>
                <w:color w:val="171717"/>
                <w:sz w:val="18"/>
                <w:szCs w:val="18"/>
              </w:rPr>
              <w:t>Año</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2018</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2020</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2030</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p>
        </w:tc>
      </w:tr>
      <w:tr w:rsidR="00592536" w:rsidRPr="007226D7" w:rsidTr="00724CCF">
        <w:trPr>
          <w:trHeight w:val="240"/>
        </w:trPr>
        <w:tc>
          <w:tcPr>
            <w:tcW w:w="9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 </w:t>
            </w:r>
          </w:p>
        </w:tc>
      </w:tr>
      <w:tr w:rsidR="00592536" w:rsidRPr="007226D7" w:rsidTr="00724CCF">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Demanda Captada [Subidos]</w:t>
            </w:r>
          </w:p>
        </w:tc>
      </w:tr>
      <w:tr w:rsidR="008A5AE1" w:rsidRPr="007226D7" w:rsidTr="008A5AE1">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A5AE1" w:rsidRPr="007226D7" w:rsidRDefault="008A5AE1" w:rsidP="00724CCF">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12,936</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34,264</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36,153</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12,086</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27,778</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35,217</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5,213</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12,801</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16,280</w:t>
            </w:r>
          </w:p>
        </w:tc>
        <w:tc>
          <w:tcPr>
            <w:tcW w:w="1240" w:type="dxa"/>
            <w:tcBorders>
              <w:top w:val="nil"/>
              <w:left w:val="nil"/>
              <w:bottom w:val="single" w:sz="4" w:space="0" w:color="auto"/>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single" w:sz="4" w:space="0" w:color="auto"/>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Demanda Díaria</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117,819</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290,497</w:t>
            </w:r>
          </w:p>
        </w:tc>
        <w:tc>
          <w:tcPr>
            <w:tcW w:w="1240" w:type="dxa"/>
            <w:tcBorders>
              <w:top w:val="nil"/>
              <w:left w:val="nil"/>
              <w:bottom w:val="single" w:sz="4" w:space="0" w:color="auto"/>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354,382</w:t>
            </w:r>
          </w:p>
        </w:tc>
        <w:tc>
          <w:tcPr>
            <w:tcW w:w="1240" w:type="dxa"/>
            <w:tcBorders>
              <w:top w:val="nil"/>
              <w:left w:val="nil"/>
              <w:bottom w:val="single" w:sz="4" w:space="0" w:color="auto"/>
              <w:right w:val="nil"/>
            </w:tcBorders>
            <w:shd w:val="clear" w:color="171717" w:fill="FFFFFF"/>
            <w:noWrap/>
            <w:vAlign w:val="bottom"/>
            <w:hideMark/>
          </w:tcPr>
          <w:p w:rsidR="008A5AE1" w:rsidRPr="007226D7" w:rsidRDefault="008A5AE1" w:rsidP="00724CCF">
            <w:pPr>
              <w:spacing w:after="0" w:line="240" w:lineRule="auto"/>
              <w:jc w:val="right"/>
              <w:rPr>
                <w:rFonts w:cs="Arial"/>
                <w:b/>
                <w:bCs/>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Demanda Anual</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37,819,836</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93,249,523</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b/>
                <w:bCs/>
                <w:color w:val="000000"/>
                <w:sz w:val="18"/>
                <w:szCs w:val="18"/>
              </w:rPr>
            </w:pPr>
            <w:r>
              <w:rPr>
                <w:rFonts w:cs="Arial"/>
                <w:b/>
                <w:bCs/>
                <w:color w:val="000000"/>
                <w:sz w:val="18"/>
                <w:szCs w:val="18"/>
              </w:rPr>
              <w:t>113,756,576</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b/>
                <w:bCs/>
                <w:color w:val="171717"/>
                <w:sz w:val="18"/>
                <w:szCs w:val="18"/>
              </w:rPr>
            </w:pPr>
          </w:p>
        </w:tc>
      </w:tr>
      <w:tr w:rsidR="00592536" w:rsidRPr="007226D7" w:rsidTr="00724CCF">
        <w:trPr>
          <w:trHeight w:val="240"/>
        </w:trPr>
        <w:tc>
          <w:tcPr>
            <w:tcW w:w="9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p>
        </w:tc>
      </w:tr>
      <w:tr w:rsidR="00592536" w:rsidRPr="007226D7" w:rsidTr="00724CCF">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rPr>
            </w:pPr>
            <w:r w:rsidRPr="007226D7">
              <w:rPr>
                <w:rFonts w:cs="Arial"/>
                <w:b/>
                <w:bCs/>
                <w:color w:val="171717"/>
                <w:sz w:val="18"/>
                <w:szCs w:val="18"/>
              </w:rPr>
              <w:t>Carga Max - Línea 2 [pphpd]</w:t>
            </w:r>
          </w:p>
        </w:tc>
      </w:tr>
      <w:tr w:rsidR="008A5AE1" w:rsidRPr="007226D7" w:rsidTr="008A5AE1">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A5AE1" w:rsidRPr="007226D7" w:rsidRDefault="008A5AE1" w:rsidP="00724CCF">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6,285</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15,806</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16,726</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5,119</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11,313</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14,310</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2,817</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5,329</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6,326</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p>
        </w:tc>
      </w:tr>
      <w:tr w:rsidR="00592536" w:rsidRPr="007226D7" w:rsidTr="00724CCF">
        <w:trPr>
          <w:trHeight w:val="240"/>
        </w:trPr>
        <w:tc>
          <w:tcPr>
            <w:tcW w:w="9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1240" w:type="dxa"/>
            <w:tcBorders>
              <w:top w:val="nil"/>
              <w:left w:val="nil"/>
              <w:bottom w:val="nil"/>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r>
      <w:tr w:rsidR="00592536" w:rsidRPr="0013314C" w:rsidTr="00724CCF">
        <w:trPr>
          <w:trHeight w:val="240"/>
        </w:trPr>
        <w:tc>
          <w:tcPr>
            <w:tcW w:w="960" w:type="dxa"/>
            <w:tcBorders>
              <w:top w:val="nil"/>
              <w:left w:val="nil"/>
              <w:bottom w:val="single" w:sz="4" w:space="0" w:color="auto"/>
              <w:right w:val="single" w:sz="4" w:space="0" w:color="auto"/>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3160" w:type="dxa"/>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left"/>
              <w:rPr>
                <w:rFonts w:cs="Arial"/>
                <w:color w:val="171717"/>
                <w:sz w:val="18"/>
                <w:szCs w:val="18"/>
              </w:rPr>
            </w:pPr>
            <w:r w:rsidRPr="007226D7">
              <w:rPr>
                <w:rFonts w:cs="Arial"/>
                <w:color w:val="171717"/>
                <w:sz w:val="18"/>
                <w:szCs w:val="18"/>
              </w:rPr>
              <w:t> </w:t>
            </w:r>
          </w:p>
        </w:tc>
        <w:tc>
          <w:tcPr>
            <w:tcW w:w="4960" w:type="dxa"/>
            <w:gridSpan w:val="4"/>
            <w:tcBorders>
              <w:top w:val="nil"/>
              <w:left w:val="nil"/>
              <w:bottom w:val="single" w:sz="4" w:space="0" w:color="auto"/>
              <w:right w:val="nil"/>
            </w:tcBorders>
            <w:shd w:val="clear" w:color="171717" w:fill="FFFFFF"/>
            <w:noWrap/>
            <w:vAlign w:val="bottom"/>
            <w:hideMark/>
          </w:tcPr>
          <w:p w:rsidR="00592536" w:rsidRPr="007226D7" w:rsidRDefault="00592536" w:rsidP="00724CCF">
            <w:pPr>
              <w:spacing w:after="0" w:line="240" w:lineRule="auto"/>
              <w:jc w:val="center"/>
              <w:rPr>
                <w:rFonts w:cs="Arial"/>
                <w:b/>
                <w:bCs/>
                <w:color w:val="171717"/>
                <w:sz w:val="18"/>
                <w:szCs w:val="18"/>
                <w:lang w:val="es-ES"/>
              </w:rPr>
            </w:pPr>
            <w:r w:rsidRPr="007226D7">
              <w:rPr>
                <w:rFonts w:cs="Arial"/>
                <w:b/>
                <w:bCs/>
                <w:color w:val="171717"/>
                <w:sz w:val="18"/>
                <w:szCs w:val="18"/>
                <w:lang w:val="es-ES"/>
              </w:rPr>
              <w:t>Carga Max - Tramo Línea 4 [pphpd]</w:t>
            </w:r>
          </w:p>
        </w:tc>
      </w:tr>
      <w:tr w:rsidR="008A5AE1" w:rsidRPr="007226D7" w:rsidTr="008A5AE1">
        <w:trPr>
          <w:trHeight w:val="319"/>
        </w:trPr>
        <w:tc>
          <w:tcPr>
            <w:tcW w:w="960" w:type="dxa"/>
            <w:vMerge w:val="restart"/>
            <w:tcBorders>
              <w:top w:val="nil"/>
              <w:left w:val="nil"/>
              <w:bottom w:val="nil"/>
              <w:right w:val="single" w:sz="4" w:space="0" w:color="auto"/>
            </w:tcBorders>
            <w:shd w:val="clear" w:color="171717" w:fill="FFFFFF"/>
            <w:noWrap/>
            <w:textDirection w:val="btLr"/>
            <w:vAlign w:val="center"/>
            <w:hideMark/>
          </w:tcPr>
          <w:p w:rsidR="008A5AE1" w:rsidRPr="007226D7" w:rsidRDefault="008A5AE1" w:rsidP="00724CCF">
            <w:pPr>
              <w:spacing w:after="0" w:line="240" w:lineRule="auto"/>
              <w:jc w:val="center"/>
              <w:rPr>
                <w:rFonts w:cs="Arial"/>
                <w:b/>
                <w:bCs/>
                <w:color w:val="171717"/>
                <w:sz w:val="18"/>
                <w:szCs w:val="18"/>
              </w:rPr>
            </w:pPr>
            <w:r w:rsidRPr="007226D7">
              <w:rPr>
                <w:rFonts w:cs="Arial"/>
                <w:b/>
                <w:bCs/>
                <w:color w:val="171717"/>
                <w:sz w:val="18"/>
                <w:szCs w:val="18"/>
              </w:rPr>
              <w:t>Intervalo</w:t>
            </w: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HPM</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3242</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3,842</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r w:rsidRPr="007226D7">
              <w:rPr>
                <w:rFonts w:cs="Arial"/>
                <w:color w:val="171717"/>
                <w:sz w:val="18"/>
                <w:szCs w:val="18"/>
              </w:rPr>
              <w:t>-</w:t>
            </w: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HPT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2,361</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3,528</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r w:rsidRPr="007226D7">
              <w:rPr>
                <w:rFonts w:cs="Arial"/>
                <w:color w:val="171717"/>
                <w:sz w:val="18"/>
                <w:szCs w:val="18"/>
              </w:rPr>
              <w:t>-</w:t>
            </w:r>
          </w:p>
        </w:tc>
      </w:tr>
      <w:tr w:rsidR="008A5AE1" w:rsidRPr="007226D7" w:rsidTr="008A5AE1">
        <w:trPr>
          <w:trHeight w:val="319"/>
        </w:trPr>
        <w:tc>
          <w:tcPr>
            <w:tcW w:w="960" w:type="dxa"/>
            <w:vMerge/>
            <w:tcBorders>
              <w:top w:val="nil"/>
              <w:left w:val="nil"/>
              <w:bottom w:val="nil"/>
              <w:right w:val="single" w:sz="4" w:space="0" w:color="auto"/>
            </w:tcBorders>
            <w:vAlign w:val="center"/>
            <w:hideMark/>
          </w:tcPr>
          <w:p w:rsidR="008A5AE1" w:rsidRPr="007226D7" w:rsidRDefault="008A5AE1" w:rsidP="00724CCF">
            <w:pPr>
              <w:spacing w:after="0" w:line="240" w:lineRule="auto"/>
              <w:jc w:val="left"/>
              <w:rPr>
                <w:rFonts w:cs="Arial"/>
                <w:b/>
                <w:bCs/>
                <w:color w:val="171717"/>
                <w:sz w:val="18"/>
                <w:szCs w:val="18"/>
              </w:rPr>
            </w:pPr>
          </w:p>
        </w:tc>
        <w:tc>
          <w:tcPr>
            <w:tcW w:w="316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left"/>
              <w:rPr>
                <w:rFonts w:cs="Arial"/>
                <w:b/>
                <w:bCs/>
                <w:color w:val="171717"/>
                <w:sz w:val="18"/>
                <w:szCs w:val="18"/>
              </w:rPr>
            </w:pPr>
            <w:r w:rsidRPr="007226D7">
              <w:rPr>
                <w:rFonts w:cs="Arial"/>
                <w:b/>
                <w:bCs/>
                <w:color w:val="171717"/>
                <w:sz w:val="18"/>
                <w:szCs w:val="18"/>
              </w:rPr>
              <w:t>HV</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761</w:t>
            </w:r>
          </w:p>
        </w:tc>
        <w:tc>
          <w:tcPr>
            <w:tcW w:w="1240" w:type="dxa"/>
            <w:tcBorders>
              <w:top w:val="nil"/>
              <w:left w:val="nil"/>
              <w:bottom w:val="nil"/>
              <w:right w:val="nil"/>
            </w:tcBorders>
            <w:shd w:val="clear" w:color="171717" w:fill="FFFFFF"/>
            <w:noWrap/>
            <w:vAlign w:val="center"/>
            <w:hideMark/>
          </w:tcPr>
          <w:p w:rsidR="008A5AE1" w:rsidRDefault="008A5AE1" w:rsidP="008A5AE1">
            <w:pPr>
              <w:autoSpaceDE w:val="0"/>
              <w:autoSpaceDN w:val="0"/>
              <w:adjustRightInd w:val="0"/>
              <w:spacing w:after="0" w:line="240" w:lineRule="auto"/>
              <w:jc w:val="right"/>
              <w:rPr>
                <w:rFonts w:cs="Arial"/>
                <w:color w:val="000000"/>
                <w:sz w:val="18"/>
                <w:szCs w:val="18"/>
              </w:rPr>
            </w:pPr>
            <w:r>
              <w:rPr>
                <w:rFonts w:cs="Arial"/>
                <w:color w:val="000000"/>
                <w:sz w:val="18"/>
                <w:szCs w:val="18"/>
              </w:rPr>
              <w:t>1,191</w:t>
            </w:r>
          </w:p>
        </w:tc>
        <w:tc>
          <w:tcPr>
            <w:tcW w:w="1240" w:type="dxa"/>
            <w:tcBorders>
              <w:top w:val="nil"/>
              <w:left w:val="nil"/>
              <w:bottom w:val="nil"/>
              <w:right w:val="nil"/>
            </w:tcBorders>
            <w:shd w:val="clear" w:color="171717" w:fill="FFFFFF"/>
            <w:noWrap/>
            <w:vAlign w:val="bottom"/>
            <w:hideMark/>
          </w:tcPr>
          <w:p w:rsidR="008A5AE1" w:rsidRPr="007226D7" w:rsidRDefault="008A5AE1" w:rsidP="00724CCF">
            <w:pPr>
              <w:spacing w:after="0" w:line="240" w:lineRule="auto"/>
              <w:jc w:val="right"/>
              <w:rPr>
                <w:rFonts w:cs="Arial"/>
                <w:color w:val="171717"/>
                <w:sz w:val="18"/>
                <w:szCs w:val="18"/>
              </w:rPr>
            </w:pPr>
            <w:r w:rsidRPr="007226D7">
              <w:rPr>
                <w:rFonts w:cs="Arial"/>
                <w:color w:val="171717"/>
                <w:sz w:val="18"/>
                <w:szCs w:val="18"/>
              </w:rPr>
              <w:t>-</w:t>
            </w:r>
          </w:p>
        </w:tc>
      </w:tr>
    </w:tbl>
    <w:p w:rsidR="00592536" w:rsidRDefault="00592536" w:rsidP="00FF59FA">
      <w:pPr>
        <w:rPr>
          <w:lang w:val="es-ES"/>
        </w:rPr>
      </w:pPr>
    </w:p>
    <w:p w:rsidR="0023304D" w:rsidRDefault="0023304D" w:rsidP="00FF59FA">
      <w:pPr>
        <w:rPr>
          <w:lang w:val="es-ES"/>
        </w:rPr>
      </w:pPr>
    </w:p>
    <w:p w:rsidR="0023304D" w:rsidRDefault="006F35D2" w:rsidP="002132CC">
      <w:pPr>
        <w:pStyle w:val="ListParagraph"/>
        <w:numPr>
          <w:ilvl w:val="0"/>
          <w:numId w:val="70"/>
        </w:numPr>
        <w:rPr>
          <w:lang w:val="es-ES"/>
        </w:rPr>
      </w:pPr>
      <w:r w:rsidRPr="007226D7">
        <w:rPr>
          <w:lang w:val="es-ES"/>
        </w:rPr>
        <w:t xml:space="preserve">Se señala cómo los escenarios 2.3 y 3.3 difieren sólo por el tamaño de las matrices de desplazamientos en frente a una invariancia sustancial en las características de la red. </w:t>
      </w:r>
    </w:p>
    <w:p w:rsidR="0023304D" w:rsidRDefault="0023304D" w:rsidP="0023304D">
      <w:pPr>
        <w:pStyle w:val="ListParagraph"/>
        <w:ind w:left="720"/>
        <w:rPr>
          <w:lang w:val="es-ES"/>
        </w:rPr>
      </w:pPr>
    </w:p>
    <w:p w:rsidR="0023304D" w:rsidRDefault="006F35D2" w:rsidP="0023304D">
      <w:pPr>
        <w:pStyle w:val="ListParagraph"/>
        <w:ind w:left="720"/>
        <w:rPr>
          <w:lang w:val="es-ES"/>
        </w:rPr>
      </w:pPr>
      <w:r w:rsidRPr="007226D7">
        <w:rPr>
          <w:lang w:val="es-ES"/>
        </w:rPr>
        <w:t xml:space="preserve">En cuanto a la expansión de las matrices, se puede ver cómo el número de viajes en transporte público aumenta de 1.158.174 unidades en HPM 2020 (escenario 2.3) hasta 1.300.888 unidades en 2030 (3.3). </w:t>
      </w:r>
    </w:p>
    <w:p w:rsidR="0023304D" w:rsidRDefault="0023304D" w:rsidP="0023304D">
      <w:pPr>
        <w:pStyle w:val="ListParagraph"/>
        <w:ind w:left="720"/>
        <w:rPr>
          <w:lang w:val="es-ES"/>
        </w:rPr>
      </w:pPr>
    </w:p>
    <w:p w:rsidR="006F35D2" w:rsidRDefault="006F35D2" w:rsidP="0023304D">
      <w:pPr>
        <w:pStyle w:val="ListParagraph"/>
        <w:ind w:left="720"/>
        <w:rPr>
          <w:lang w:val="es-ES"/>
        </w:rPr>
      </w:pPr>
      <w:r w:rsidRPr="007226D7">
        <w:rPr>
          <w:lang w:val="es-ES"/>
        </w:rPr>
        <w:t>Este aumento, igual a un</w:t>
      </w:r>
      <w:r w:rsidR="000B2336" w:rsidRPr="007226D7">
        <w:rPr>
          <w:lang w:val="es-ES"/>
        </w:rPr>
        <w:t xml:space="preserve"> crecimiento</w:t>
      </w:r>
      <w:r w:rsidRPr="007226D7">
        <w:rPr>
          <w:lang w:val="es-ES"/>
        </w:rPr>
        <w:t xml:space="preserve"> total de 12.3% en 10 años, se destaca en </w:t>
      </w:r>
      <w:r w:rsidR="000B2336" w:rsidRPr="007226D7">
        <w:rPr>
          <w:lang w:val="es-ES"/>
        </w:rPr>
        <w:t>términos</w:t>
      </w:r>
      <w:r w:rsidRPr="007226D7">
        <w:rPr>
          <w:lang w:val="es-ES"/>
        </w:rPr>
        <w:t xml:space="preserve"> </w:t>
      </w:r>
      <w:r w:rsidR="000B2336" w:rsidRPr="007226D7">
        <w:rPr>
          <w:lang w:val="es-ES"/>
        </w:rPr>
        <w:t>porcentuales</w:t>
      </w:r>
      <w:r w:rsidRPr="007226D7">
        <w:rPr>
          <w:lang w:val="es-ES"/>
        </w:rPr>
        <w:t xml:space="preserve"> también en los picos de HPT y HV. A nivel diario, se pasa de un valor de 11.190.697 desplazamientos a un valor de 12.902.168 por un aumento total del 15,3%.</w:t>
      </w:r>
    </w:p>
    <w:p w:rsidR="0023304D" w:rsidRPr="007226D7" w:rsidRDefault="0023304D" w:rsidP="0023304D">
      <w:pPr>
        <w:pStyle w:val="ListParagraph"/>
        <w:ind w:left="720"/>
        <w:rPr>
          <w:lang w:val="es-ES"/>
        </w:rPr>
      </w:pPr>
    </w:p>
    <w:p w:rsidR="0023304D" w:rsidRDefault="006F35D2">
      <w:pPr>
        <w:spacing w:after="0" w:line="240" w:lineRule="auto"/>
        <w:jc w:val="left"/>
        <w:rPr>
          <w:lang w:val="es-ES"/>
        </w:rPr>
      </w:pPr>
      <w:r w:rsidRPr="007226D7">
        <w:rPr>
          <w:lang w:val="es-ES"/>
        </w:rPr>
        <w:t>Se puede concluir sin duda que, dado que el aumento de los subidos es más que proporcional al aumento de la demanda de los viajeros en el entero sistema, la Línea 2 cambia fuertemente la elección de viaje a través de la velocidad de desplazamiento mejorada que el nuevo sistema de transporte ofrece y que por lo tanto se prefiere sobre otros.</w:t>
      </w:r>
      <w:r w:rsidR="0023304D">
        <w:rPr>
          <w:lang w:val="es-ES"/>
        </w:rPr>
        <w:br w:type="page"/>
      </w:r>
    </w:p>
    <w:p w:rsidR="0023304D" w:rsidRDefault="00B35355" w:rsidP="00B35355">
      <w:pPr>
        <w:pStyle w:val="ListParagraph"/>
        <w:numPr>
          <w:ilvl w:val="0"/>
          <w:numId w:val="70"/>
        </w:numPr>
        <w:rPr>
          <w:lang w:val="es-ES"/>
        </w:rPr>
      </w:pPr>
      <w:r w:rsidRPr="007226D7">
        <w:rPr>
          <w:lang w:val="es-ES"/>
        </w:rPr>
        <w:lastRenderedPageBreak/>
        <w:t xml:space="preserve">Del mismo modo, la comparación entre los escenarios 3.3 y 3.4 muestra el impacto de la modificas a  la red con el mismo plan de demanda. En el escenario 3.4, de hecho, presentamos las líneas 3 y 4 del metro maximizando el efecto del nuevo sistema de ferrocarril. </w:t>
      </w:r>
    </w:p>
    <w:p w:rsidR="00B35355" w:rsidRPr="007226D7" w:rsidRDefault="00B35355" w:rsidP="0023304D">
      <w:pPr>
        <w:pStyle w:val="ListParagraph"/>
        <w:ind w:left="720"/>
        <w:rPr>
          <w:lang w:val="es-ES"/>
        </w:rPr>
      </w:pPr>
      <w:r w:rsidRPr="007226D7">
        <w:rPr>
          <w:lang w:val="es-ES"/>
        </w:rPr>
        <w:t>El tiempo de viaje se reduce de un 6,56% (con base en el total de horas anuales de viaje), mientras que el tiempo de viaje promedio disminuye de 43,03 a 39,99 minutos, de 45,84 a 42,70 minutos y de 42,27 a 39,60 minutos, respectivamente por HPM, HPT y HV.</w:t>
      </w:r>
    </w:p>
    <w:p w:rsidR="0023304D" w:rsidRDefault="00B35355" w:rsidP="00B35355">
      <w:pPr>
        <w:pStyle w:val="ListParagraph"/>
        <w:numPr>
          <w:ilvl w:val="0"/>
          <w:numId w:val="70"/>
        </w:numPr>
        <w:rPr>
          <w:lang w:val="es-ES"/>
        </w:rPr>
      </w:pPr>
      <w:r w:rsidRPr="007226D7">
        <w:rPr>
          <w:lang w:val="es-ES"/>
        </w:rPr>
        <w:t xml:space="preserve">Desde el punto de vista de la atractividad de la Línea 2 del metro, la terminación de los otros elementos  de la red de ferrocarriles produce un aumento sustancial de la demanda diaria capturada (número de subidos). </w:t>
      </w:r>
    </w:p>
    <w:p w:rsidR="00B35355" w:rsidRPr="007226D7" w:rsidRDefault="00B35355" w:rsidP="0023304D">
      <w:pPr>
        <w:pStyle w:val="ListParagraph"/>
        <w:ind w:left="720"/>
        <w:rPr>
          <w:lang w:val="es-ES"/>
        </w:rPr>
      </w:pPr>
      <w:r w:rsidRPr="007226D7">
        <w:rPr>
          <w:lang w:val="es-ES"/>
        </w:rPr>
        <w:t>Se pasa de alrededor de 800.000 pasajeros a más que 1, 150,000 (+44%). Es claro que esto indica una tendencia que sin embargo está muy afectada por el valor y el tipo de tarifa, así como por la forma en que se gestionarán los intercambios entre líneas. Por este tema, consulte el párrafo sobre el análisis de sensibilidad de la tarifa.</w:t>
      </w:r>
    </w:p>
    <w:p w:rsidR="00FF59FA" w:rsidRPr="007226D7" w:rsidRDefault="008378E5" w:rsidP="006F35D2">
      <w:pPr>
        <w:jc w:val="right"/>
        <w:rPr>
          <w:lang w:val="es-ES"/>
        </w:rPr>
      </w:pPr>
      <w:r w:rsidRPr="007226D7">
        <w:rPr>
          <w:noProof/>
          <w:lang w:val="en-US" w:eastAsia="en-US"/>
        </w:rPr>
        <w:drawing>
          <wp:inline distT="0" distB="0" distL="0" distR="0" wp14:anchorId="49EA3CE5" wp14:editId="3A2EF156">
            <wp:extent cx="5447179" cy="3695700"/>
            <wp:effectExtent l="0" t="0" r="0" b="0"/>
            <wp:docPr id="70"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rsidR="008378E5" w:rsidRPr="007226D7" w:rsidRDefault="000065E7" w:rsidP="007C57FB">
      <w:pPr>
        <w:pStyle w:val="Figuras"/>
      </w:pPr>
      <w:r>
        <w:rPr>
          <w:noProof/>
        </w:rPr>
        <w:t>Figura 4.9</w:t>
      </w:r>
      <w:r w:rsidR="007C57FB" w:rsidRPr="007226D7">
        <w:rPr>
          <w:noProof/>
        </w:rPr>
        <w:t xml:space="preserve"> – 1:</w:t>
      </w:r>
      <w:r w:rsidR="007C57FB" w:rsidRPr="007226D7">
        <w:t xml:space="preserve"> Grafico de la demanda captada</w:t>
      </w:r>
    </w:p>
    <w:p w:rsidR="00B35355" w:rsidRPr="007226D7" w:rsidRDefault="00B35355" w:rsidP="00B35355">
      <w:pPr>
        <w:pStyle w:val="ListParagraph"/>
        <w:numPr>
          <w:ilvl w:val="0"/>
          <w:numId w:val="73"/>
        </w:numPr>
        <w:rPr>
          <w:rFonts w:cs="Arial"/>
          <w:lang w:val="es-ES"/>
        </w:rPr>
      </w:pPr>
      <w:r w:rsidRPr="007226D7">
        <w:rPr>
          <w:rFonts w:cs="Arial"/>
          <w:lang w:val="es-ES"/>
        </w:rPr>
        <w:t>Este aumento, como puede verse en el gráfico siguiente, se refleja también en términos de carga máxima sobre la línea - se refiere únicamente a la Línea 2 y no al sistema Línea 2 + Tram</w:t>
      </w:r>
      <w:r w:rsidR="000B2336" w:rsidRPr="007226D7">
        <w:rPr>
          <w:rFonts w:cs="Arial"/>
          <w:lang w:val="es-ES"/>
        </w:rPr>
        <w:t>o</w:t>
      </w:r>
      <w:r w:rsidRPr="007226D7">
        <w:rPr>
          <w:rFonts w:cs="Arial"/>
          <w:lang w:val="es-ES"/>
        </w:rPr>
        <w:t xml:space="preserve"> Línea 4.</w:t>
      </w:r>
    </w:p>
    <w:p w:rsidR="008378E5" w:rsidRPr="007226D7" w:rsidRDefault="008378E5" w:rsidP="006F35D2">
      <w:pPr>
        <w:jc w:val="right"/>
        <w:rPr>
          <w:lang w:val="es-ES"/>
        </w:rPr>
      </w:pPr>
      <w:r w:rsidRPr="007226D7">
        <w:rPr>
          <w:noProof/>
          <w:lang w:val="en-US" w:eastAsia="en-US"/>
        </w:rPr>
        <w:lastRenderedPageBreak/>
        <w:drawing>
          <wp:inline distT="0" distB="0" distL="0" distR="0" wp14:anchorId="35ED4968" wp14:editId="6B25FA76">
            <wp:extent cx="5447179" cy="3686175"/>
            <wp:effectExtent l="19050" t="0" r="0" b="0"/>
            <wp:docPr id="71"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7C57FB" w:rsidRPr="007226D7" w:rsidRDefault="007C57FB" w:rsidP="007C57FB">
      <w:pPr>
        <w:pStyle w:val="Figuras"/>
      </w:pPr>
      <w:r w:rsidRPr="007226D7">
        <w:rPr>
          <w:noProof/>
        </w:rPr>
        <w:t>Figura 4.</w:t>
      </w:r>
      <w:r w:rsidR="000065E7">
        <w:rPr>
          <w:noProof/>
        </w:rPr>
        <w:t>9</w:t>
      </w:r>
      <w:r w:rsidRPr="007226D7">
        <w:rPr>
          <w:noProof/>
        </w:rPr>
        <w:t xml:space="preserve"> – 2:</w:t>
      </w:r>
      <w:r w:rsidRPr="007226D7">
        <w:t xml:space="preserve"> Grafico de la carga </w:t>
      </w:r>
      <w:r w:rsidR="000B2336" w:rsidRPr="007226D7">
        <w:t>máxima</w:t>
      </w:r>
    </w:p>
    <w:p w:rsidR="008378E5" w:rsidRPr="007226D7" w:rsidRDefault="00B35355" w:rsidP="00FF59FA">
      <w:pPr>
        <w:pStyle w:val="ListParagraph"/>
        <w:numPr>
          <w:ilvl w:val="0"/>
          <w:numId w:val="73"/>
        </w:numPr>
        <w:rPr>
          <w:rFonts w:cs="Arial"/>
          <w:lang w:val="es-ES"/>
        </w:rPr>
      </w:pPr>
      <w:r w:rsidRPr="007226D7">
        <w:rPr>
          <w:rFonts w:cs="Arial"/>
          <w:lang w:val="es-ES"/>
        </w:rPr>
        <w:t>Con referencia a la producción de vehículos * km de transporte público, se puede calcular como la puesta en marcha de la Línea 2 muestra una disminución del 52% en la producción de kilometraje  por el Corredor 5 en 2018 y 100% a partir de 2020. Esto significa una reducción total de 248.258 veh*km/día equivalentes a 79.690.818 veh*km/año con claros beneficios para la contaminación del aire.</w:t>
      </w:r>
    </w:p>
    <w:p w:rsidR="007C57FB" w:rsidRPr="007226D7" w:rsidRDefault="00E52A2C" w:rsidP="007C57FB">
      <w:pPr>
        <w:pStyle w:val="Figuras"/>
      </w:pPr>
      <w:r w:rsidRPr="007226D7">
        <w:t>Tabla 4.</w:t>
      </w:r>
      <w:r w:rsidR="000065E7">
        <w:t>9</w:t>
      </w:r>
      <w:r w:rsidRPr="007226D7">
        <w:t xml:space="preserve"> – 2: Resumen de </w:t>
      </w:r>
      <w:r w:rsidR="000B2336" w:rsidRPr="007226D7">
        <w:t>vehículos</w:t>
      </w:r>
      <w:r w:rsidRPr="007226D7">
        <w:t>*km para el Corredor 5 en los escenarios 1.2; 1.3; 2.2; 2.3</w:t>
      </w:r>
    </w:p>
    <w:tbl>
      <w:tblPr>
        <w:tblW w:w="7580" w:type="dxa"/>
        <w:jc w:val="center"/>
        <w:tblInd w:w="70" w:type="dxa"/>
        <w:tblCellMar>
          <w:left w:w="70" w:type="dxa"/>
          <w:right w:w="70" w:type="dxa"/>
        </w:tblCellMar>
        <w:tblLook w:val="04A0" w:firstRow="1" w:lastRow="0" w:firstColumn="1" w:lastColumn="0" w:noHBand="0" w:noVBand="1"/>
      </w:tblPr>
      <w:tblGrid>
        <w:gridCol w:w="880"/>
        <w:gridCol w:w="2696"/>
        <w:gridCol w:w="976"/>
        <w:gridCol w:w="976"/>
        <w:gridCol w:w="976"/>
        <w:gridCol w:w="1076"/>
      </w:tblGrid>
      <w:tr w:rsidR="00BE6F6E" w:rsidRPr="007226D7" w:rsidTr="00BE6F6E">
        <w:trPr>
          <w:trHeight w:val="690"/>
          <w:jc w:val="center"/>
        </w:trPr>
        <w:tc>
          <w:tcPr>
            <w:tcW w:w="880" w:type="dxa"/>
            <w:tcBorders>
              <w:top w:val="nil"/>
              <w:left w:val="nil"/>
              <w:bottom w:val="nil"/>
              <w:right w:val="nil"/>
            </w:tcBorders>
            <w:shd w:val="clear" w:color="171717" w:fill="FFFFFF"/>
            <w:vAlign w:val="bottom"/>
            <w:hideMark/>
          </w:tcPr>
          <w:p w:rsidR="00BE6F6E" w:rsidRPr="007226D7" w:rsidRDefault="00BE6F6E" w:rsidP="00BE6F6E">
            <w:pPr>
              <w:spacing w:after="0" w:line="240" w:lineRule="auto"/>
              <w:jc w:val="left"/>
              <w:rPr>
                <w:rFonts w:cs="Arial"/>
                <w:color w:val="171717"/>
                <w:sz w:val="18"/>
                <w:szCs w:val="18"/>
                <w:lang w:val="es-ES"/>
              </w:rPr>
            </w:pPr>
            <w:r w:rsidRPr="007226D7">
              <w:rPr>
                <w:rFonts w:cs="Arial"/>
                <w:color w:val="171717"/>
                <w:sz w:val="18"/>
                <w:szCs w:val="18"/>
                <w:lang w:val="es-ES"/>
              </w:rPr>
              <w:t> </w:t>
            </w:r>
          </w:p>
        </w:tc>
        <w:tc>
          <w:tcPr>
            <w:tcW w:w="2696" w:type="dxa"/>
            <w:tcBorders>
              <w:top w:val="nil"/>
              <w:left w:val="nil"/>
              <w:bottom w:val="nil"/>
              <w:right w:val="nil"/>
            </w:tcBorders>
            <w:shd w:val="clear" w:color="171717" w:fill="FFFFFF"/>
            <w:noWrap/>
            <w:vAlign w:val="bottom"/>
            <w:hideMark/>
          </w:tcPr>
          <w:p w:rsidR="00BE6F6E" w:rsidRPr="007226D7" w:rsidRDefault="00BE6F6E" w:rsidP="00BE6F6E">
            <w:pPr>
              <w:spacing w:after="0" w:line="240" w:lineRule="auto"/>
              <w:jc w:val="left"/>
              <w:rPr>
                <w:rFonts w:cs="Arial"/>
                <w:color w:val="171717"/>
                <w:sz w:val="18"/>
                <w:szCs w:val="18"/>
                <w:lang w:val="es-ES"/>
              </w:rPr>
            </w:pPr>
            <w:r w:rsidRPr="007226D7">
              <w:rPr>
                <w:rFonts w:cs="Arial"/>
                <w:color w:val="171717"/>
                <w:sz w:val="18"/>
                <w:szCs w:val="18"/>
                <w:lang w:val="es-ES"/>
              </w:rPr>
              <w:t> </w:t>
            </w:r>
          </w:p>
        </w:tc>
        <w:tc>
          <w:tcPr>
            <w:tcW w:w="976" w:type="dxa"/>
            <w:tcBorders>
              <w:top w:val="single" w:sz="4" w:space="0" w:color="auto"/>
              <w:left w:val="single" w:sz="4" w:space="0" w:color="auto"/>
              <w:bottom w:val="single" w:sz="8" w:space="0" w:color="auto"/>
              <w:right w:val="nil"/>
            </w:tcBorders>
            <w:shd w:val="clear" w:color="171717" w:fill="FFFFFF"/>
            <w:noWrap/>
            <w:vAlign w:val="center"/>
            <w:hideMark/>
          </w:tcPr>
          <w:p w:rsidR="00BE6F6E" w:rsidRPr="007226D7" w:rsidRDefault="00BE6F6E" w:rsidP="00BE6F6E">
            <w:pPr>
              <w:spacing w:after="0" w:line="240" w:lineRule="auto"/>
              <w:jc w:val="center"/>
              <w:rPr>
                <w:rFonts w:cs="Arial"/>
                <w:b/>
                <w:bCs/>
                <w:sz w:val="18"/>
                <w:szCs w:val="18"/>
              </w:rPr>
            </w:pPr>
            <w:r w:rsidRPr="007226D7">
              <w:rPr>
                <w:rFonts w:cs="Arial"/>
                <w:b/>
                <w:bCs/>
                <w:sz w:val="18"/>
                <w:szCs w:val="18"/>
              </w:rPr>
              <w:t>HPM</w:t>
            </w:r>
          </w:p>
        </w:tc>
        <w:tc>
          <w:tcPr>
            <w:tcW w:w="976" w:type="dxa"/>
            <w:tcBorders>
              <w:top w:val="single" w:sz="4" w:space="0" w:color="auto"/>
              <w:left w:val="nil"/>
              <w:bottom w:val="single" w:sz="8" w:space="0" w:color="auto"/>
              <w:right w:val="nil"/>
            </w:tcBorders>
            <w:shd w:val="clear" w:color="171717" w:fill="FFFFFF"/>
            <w:noWrap/>
            <w:vAlign w:val="center"/>
            <w:hideMark/>
          </w:tcPr>
          <w:p w:rsidR="00BE6F6E" w:rsidRPr="007226D7" w:rsidRDefault="00BE6F6E" w:rsidP="00BE6F6E">
            <w:pPr>
              <w:spacing w:after="0" w:line="240" w:lineRule="auto"/>
              <w:jc w:val="center"/>
              <w:rPr>
                <w:rFonts w:cs="Arial"/>
                <w:b/>
                <w:bCs/>
                <w:sz w:val="18"/>
                <w:szCs w:val="18"/>
              </w:rPr>
            </w:pPr>
            <w:r w:rsidRPr="007226D7">
              <w:rPr>
                <w:rFonts w:cs="Arial"/>
                <w:b/>
                <w:bCs/>
                <w:sz w:val="18"/>
                <w:szCs w:val="18"/>
              </w:rPr>
              <w:t>HPT</w:t>
            </w:r>
          </w:p>
        </w:tc>
        <w:tc>
          <w:tcPr>
            <w:tcW w:w="976" w:type="dxa"/>
            <w:tcBorders>
              <w:top w:val="single" w:sz="4" w:space="0" w:color="auto"/>
              <w:left w:val="nil"/>
              <w:bottom w:val="single" w:sz="8"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center"/>
              <w:rPr>
                <w:rFonts w:cs="Arial"/>
                <w:b/>
                <w:bCs/>
                <w:sz w:val="18"/>
                <w:szCs w:val="18"/>
              </w:rPr>
            </w:pPr>
            <w:r w:rsidRPr="007226D7">
              <w:rPr>
                <w:rFonts w:cs="Arial"/>
                <w:b/>
                <w:bCs/>
                <w:sz w:val="18"/>
                <w:szCs w:val="18"/>
              </w:rPr>
              <w:t>HV</w:t>
            </w:r>
          </w:p>
        </w:tc>
        <w:tc>
          <w:tcPr>
            <w:tcW w:w="1076" w:type="dxa"/>
            <w:tcBorders>
              <w:top w:val="single" w:sz="4" w:space="0" w:color="auto"/>
              <w:left w:val="nil"/>
              <w:bottom w:val="single" w:sz="8"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center"/>
              <w:rPr>
                <w:rFonts w:cs="Arial"/>
                <w:b/>
                <w:bCs/>
                <w:sz w:val="18"/>
                <w:szCs w:val="18"/>
              </w:rPr>
            </w:pPr>
            <w:r w:rsidRPr="007226D7">
              <w:rPr>
                <w:rFonts w:cs="Arial"/>
                <w:b/>
                <w:bCs/>
                <w:sz w:val="18"/>
                <w:szCs w:val="18"/>
              </w:rPr>
              <w:t>Total Dìario</w:t>
            </w:r>
          </w:p>
        </w:tc>
      </w:tr>
      <w:tr w:rsidR="00BE6F6E" w:rsidRPr="007226D7" w:rsidTr="00BE6F6E">
        <w:trPr>
          <w:trHeight w:val="240"/>
          <w:jc w:val="center"/>
        </w:trPr>
        <w:tc>
          <w:tcPr>
            <w:tcW w:w="880" w:type="dxa"/>
            <w:vMerge w:val="restart"/>
            <w:tcBorders>
              <w:top w:val="single" w:sz="4" w:space="0" w:color="auto"/>
              <w:left w:val="single" w:sz="4" w:space="0" w:color="auto"/>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center"/>
              <w:rPr>
                <w:rFonts w:cs="Arial"/>
                <w:b/>
                <w:bCs/>
                <w:color w:val="171717"/>
                <w:sz w:val="18"/>
                <w:szCs w:val="18"/>
              </w:rPr>
            </w:pPr>
            <w:r w:rsidRPr="007226D7">
              <w:rPr>
                <w:rFonts w:cs="Arial"/>
                <w:b/>
                <w:bCs/>
                <w:color w:val="171717"/>
                <w:sz w:val="18"/>
                <w:szCs w:val="18"/>
              </w:rPr>
              <w:t>ESC 1.2</w:t>
            </w:r>
          </w:p>
        </w:tc>
        <w:tc>
          <w:tcPr>
            <w:tcW w:w="2696" w:type="dxa"/>
            <w:tcBorders>
              <w:top w:val="single" w:sz="4" w:space="0" w:color="auto"/>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5 - Alimentadoras</w:t>
            </w:r>
          </w:p>
        </w:tc>
        <w:tc>
          <w:tcPr>
            <w:tcW w:w="976" w:type="dxa"/>
            <w:tcBorders>
              <w:top w:val="single" w:sz="4" w:space="0" w:color="auto"/>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976" w:type="dxa"/>
            <w:tcBorders>
              <w:top w:val="single" w:sz="4" w:space="0" w:color="auto"/>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976" w:type="dxa"/>
            <w:tcBorders>
              <w:top w:val="single" w:sz="4" w:space="0" w:color="auto"/>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1076" w:type="dxa"/>
            <w:tcBorders>
              <w:top w:val="single" w:sz="4" w:space="0" w:color="auto"/>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246,710</w:t>
            </w:r>
          </w:p>
        </w:tc>
      </w:tr>
      <w:tr w:rsidR="00BE6F6E" w:rsidRPr="007226D7" w:rsidTr="00BE6F6E">
        <w:trPr>
          <w:trHeight w:val="240"/>
          <w:jc w:val="center"/>
        </w:trPr>
        <w:tc>
          <w:tcPr>
            <w:tcW w:w="880" w:type="dxa"/>
            <w:vMerge/>
            <w:tcBorders>
              <w:top w:val="single" w:sz="4" w:space="0" w:color="auto"/>
              <w:left w:val="single" w:sz="4" w:space="0" w:color="auto"/>
              <w:bottom w:val="single" w:sz="4" w:space="0" w:color="auto"/>
              <w:right w:val="single" w:sz="4" w:space="0" w:color="auto"/>
            </w:tcBorders>
            <w:vAlign w:val="center"/>
            <w:hideMark/>
          </w:tcPr>
          <w:p w:rsidR="00BE6F6E" w:rsidRPr="007226D7" w:rsidRDefault="00BE6F6E" w:rsidP="00BE6F6E">
            <w:pPr>
              <w:spacing w:after="0" w:line="240" w:lineRule="auto"/>
              <w:jc w:val="left"/>
              <w:rPr>
                <w:rFonts w:cs="Arial"/>
                <w:b/>
                <w:bCs/>
                <w:color w:val="171717"/>
                <w:sz w:val="18"/>
                <w:szCs w:val="18"/>
              </w:rPr>
            </w:pP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181,556</w:t>
            </w:r>
          </w:p>
        </w:tc>
      </w:tr>
      <w:tr w:rsidR="00BE6F6E" w:rsidRPr="007226D7" w:rsidTr="00BE6F6E">
        <w:trPr>
          <w:trHeight w:val="240"/>
          <w:jc w:val="center"/>
        </w:trPr>
        <w:tc>
          <w:tcPr>
            <w:tcW w:w="880" w:type="dxa"/>
            <w:vMerge w:val="restart"/>
            <w:tcBorders>
              <w:top w:val="nil"/>
              <w:left w:val="single" w:sz="4" w:space="0" w:color="auto"/>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center"/>
              <w:rPr>
                <w:rFonts w:cs="Arial"/>
                <w:b/>
                <w:bCs/>
                <w:color w:val="171717"/>
                <w:sz w:val="18"/>
                <w:szCs w:val="18"/>
              </w:rPr>
            </w:pPr>
            <w:r w:rsidRPr="007226D7">
              <w:rPr>
                <w:rFonts w:cs="Arial"/>
                <w:b/>
                <w:bCs/>
                <w:color w:val="171717"/>
                <w:sz w:val="18"/>
                <w:szCs w:val="18"/>
              </w:rPr>
              <w:t>ESC 1.3</w:t>
            </w: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5 - Alimentadoras</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248,258</w:t>
            </w:r>
          </w:p>
        </w:tc>
      </w:tr>
      <w:tr w:rsidR="00BE6F6E" w:rsidRPr="007226D7" w:rsidTr="00BE6F6E">
        <w:trPr>
          <w:trHeight w:val="240"/>
          <w:jc w:val="center"/>
        </w:trPr>
        <w:tc>
          <w:tcPr>
            <w:tcW w:w="880" w:type="dxa"/>
            <w:vMerge/>
            <w:tcBorders>
              <w:top w:val="nil"/>
              <w:left w:val="single" w:sz="4" w:space="0" w:color="auto"/>
              <w:bottom w:val="single" w:sz="4" w:space="0" w:color="auto"/>
              <w:right w:val="single" w:sz="4" w:space="0" w:color="auto"/>
            </w:tcBorders>
            <w:vAlign w:val="center"/>
            <w:hideMark/>
          </w:tcPr>
          <w:p w:rsidR="00BE6F6E" w:rsidRPr="007226D7" w:rsidRDefault="00BE6F6E" w:rsidP="00BE6F6E">
            <w:pPr>
              <w:spacing w:after="0" w:line="240" w:lineRule="auto"/>
              <w:jc w:val="left"/>
              <w:rPr>
                <w:rFonts w:cs="Arial"/>
                <w:b/>
                <w:bCs/>
                <w:color w:val="171717"/>
                <w:sz w:val="18"/>
                <w:szCs w:val="18"/>
              </w:rPr>
            </w:pP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5,141</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5,141</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5,141</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87,399</w:t>
            </w:r>
          </w:p>
        </w:tc>
      </w:tr>
      <w:tr w:rsidR="00BE6F6E" w:rsidRPr="007226D7" w:rsidTr="00BE6F6E">
        <w:trPr>
          <w:trHeight w:val="240"/>
          <w:jc w:val="center"/>
        </w:trPr>
        <w:tc>
          <w:tcPr>
            <w:tcW w:w="880" w:type="dxa"/>
            <w:vMerge w:val="restart"/>
            <w:tcBorders>
              <w:top w:val="single" w:sz="4" w:space="0" w:color="auto"/>
              <w:left w:val="single" w:sz="4" w:space="0" w:color="auto"/>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center"/>
              <w:rPr>
                <w:rFonts w:cs="Arial"/>
                <w:b/>
                <w:bCs/>
                <w:color w:val="171717"/>
                <w:sz w:val="18"/>
                <w:szCs w:val="18"/>
              </w:rPr>
            </w:pPr>
            <w:r w:rsidRPr="007226D7">
              <w:rPr>
                <w:rFonts w:cs="Arial"/>
                <w:b/>
                <w:bCs/>
                <w:color w:val="171717"/>
                <w:sz w:val="18"/>
                <w:szCs w:val="18"/>
              </w:rPr>
              <w:t>ESC 2.2</w:t>
            </w:r>
          </w:p>
        </w:tc>
        <w:tc>
          <w:tcPr>
            <w:tcW w:w="2696" w:type="dxa"/>
            <w:tcBorders>
              <w:top w:val="single" w:sz="4" w:space="0" w:color="auto"/>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5 - Alimentadoras</w:t>
            </w:r>
          </w:p>
        </w:tc>
        <w:tc>
          <w:tcPr>
            <w:tcW w:w="976" w:type="dxa"/>
            <w:tcBorders>
              <w:top w:val="single" w:sz="4" w:space="0" w:color="auto"/>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976" w:type="dxa"/>
            <w:tcBorders>
              <w:top w:val="single" w:sz="4" w:space="0" w:color="auto"/>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976" w:type="dxa"/>
            <w:tcBorders>
              <w:top w:val="single" w:sz="4" w:space="0" w:color="auto"/>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14,512</w:t>
            </w:r>
          </w:p>
        </w:tc>
        <w:tc>
          <w:tcPr>
            <w:tcW w:w="1076" w:type="dxa"/>
            <w:tcBorders>
              <w:top w:val="single" w:sz="4" w:space="0" w:color="auto"/>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246,710</w:t>
            </w:r>
          </w:p>
        </w:tc>
      </w:tr>
      <w:tr w:rsidR="00BE6F6E" w:rsidRPr="007226D7" w:rsidTr="00BE6F6E">
        <w:trPr>
          <w:trHeight w:val="240"/>
          <w:jc w:val="center"/>
        </w:trPr>
        <w:tc>
          <w:tcPr>
            <w:tcW w:w="880" w:type="dxa"/>
            <w:vMerge/>
            <w:tcBorders>
              <w:top w:val="single" w:sz="4" w:space="0" w:color="auto"/>
              <w:left w:val="single" w:sz="4" w:space="0" w:color="auto"/>
              <w:bottom w:val="single" w:sz="4" w:space="0" w:color="auto"/>
              <w:right w:val="single" w:sz="4" w:space="0" w:color="auto"/>
            </w:tcBorders>
            <w:vAlign w:val="center"/>
            <w:hideMark/>
          </w:tcPr>
          <w:p w:rsidR="00BE6F6E" w:rsidRPr="007226D7" w:rsidRDefault="00BE6F6E" w:rsidP="00BE6F6E">
            <w:pPr>
              <w:spacing w:after="0" w:line="240" w:lineRule="auto"/>
              <w:jc w:val="left"/>
              <w:rPr>
                <w:rFonts w:cs="Arial"/>
                <w:b/>
                <w:bCs/>
                <w:color w:val="171717"/>
                <w:sz w:val="18"/>
                <w:szCs w:val="18"/>
              </w:rPr>
            </w:pP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10,680</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181,556</w:t>
            </w:r>
          </w:p>
        </w:tc>
      </w:tr>
      <w:tr w:rsidR="00BE6F6E" w:rsidRPr="007226D7" w:rsidTr="00BE6F6E">
        <w:trPr>
          <w:trHeight w:val="240"/>
          <w:jc w:val="center"/>
        </w:trPr>
        <w:tc>
          <w:tcPr>
            <w:tcW w:w="880" w:type="dxa"/>
            <w:vMerge w:val="restart"/>
            <w:tcBorders>
              <w:top w:val="nil"/>
              <w:left w:val="single" w:sz="4" w:space="0" w:color="auto"/>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center"/>
              <w:rPr>
                <w:rFonts w:cs="Arial"/>
                <w:b/>
                <w:bCs/>
                <w:color w:val="171717"/>
                <w:sz w:val="18"/>
                <w:szCs w:val="18"/>
              </w:rPr>
            </w:pPr>
            <w:r w:rsidRPr="007226D7">
              <w:rPr>
                <w:rFonts w:cs="Arial"/>
                <w:b/>
                <w:bCs/>
                <w:color w:val="171717"/>
                <w:sz w:val="18"/>
                <w:szCs w:val="18"/>
              </w:rPr>
              <w:t>ESC 2.3</w:t>
            </w: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5 - Alimentadoras</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14,603</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248,258</w:t>
            </w:r>
          </w:p>
        </w:tc>
      </w:tr>
      <w:tr w:rsidR="00BE6F6E" w:rsidRPr="007226D7" w:rsidTr="00BE6F6E">
        <w:trPr>
          <w:trHeight w:val="240"/>
          <w:jc w:val="center"/>
        </w:trPr>
        <w:tc>
          <w:tcPr>
            <w:tcW w:w="880" w:type="dxa"/>
            <w:vMerge/>
            <w:tcBorders>
              <w:top w:val="nil"/>
              <w:left w:val="single" w:sz="4" w:space="0" w:color="auto"/>
              <w:bottom w:val="single" w:sz="4" w:space="0" w:color="auto"/>
              <w:right w:val="single" w:sz="4" w:space="0" w:color="auto"/>
            </w:tcBorders>
            <w:vAlign w:val="center"/>
            <w:hideMark/>
          </w:tcPr>
          <w:p w:rsidR="00BE6F6E" w:rsidRPr="007226D7" w:rsidRDefault="00BE6F6E" w:rsidP="00BE6F6E">
            <w:pPr>
              <w:spacing w:after="0" w:line="240" w:lineRule="auto"/>
              <w:jc w:val="left"/>
              <w:rPr>
                <w:rFonts w:cs="Arial"/>
                <w:b/>
                <w:bCs/>
                <w:color w:val="171717"/>
                <w:sz w:val="18"/>
                <w:szCs w:val="18"/>
              </w:rPr>
            </w:pPr>
          </w:p>
        </w:tc>
        <w:tc>
          <w:tcPr>
            <w:tcW w:w="2696" w:type="dxa"/>
            <w:tcBorders>
              <w:top w:val="nil"/>
              <w:left w:val="nil"/>
              <w:bottom w:val="single" w:sz="4" w:space="0" w:color="auto"/>
              <w:right w:val="single" w:sz="4" w:space="0" w:color="auto"/>
            </w:tcBorders>
            <w:shd w:val="clear" w:color="171717" w:fill="FFFFFF"/>
            <w:vAlign w:val="center"/>
            <w:hideMark/>
          </w:tcPr>
          <w:p w:rsidR="00BE6F6E" w:rsidRPr="007226D7" w:rsidRDefault="00BE6F6E" w:rsidP="00BE6F6E">
            <w:pPr>
              <w:spacing w:after="0" w:line="240" w:lineRule="auto"/>
              <w:jc w:val="left"/>
              <w:rPr>
                <w:rFonts w:cs="Arial"/>
                <w:b/>
                <w:bCs/>
                <w:sz w:val="18"/>
                <w:szCs w:val="18"/>
              </w:rPr>
            </w:pPr>
            <w:r w:rsidRPr="007226D7">
              <w:rPr>
                <w:rFonts w:cs="Arial"/>
                <w:b/>
                <w:bCs/>
                <w:sz w:val="18"/>
                <w:szCs w:val="18"/>
              </w:rPr>
              <w:t>CORREDOR 5</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sz w:val="18"/>
                <w:szCs w:val="18"/>
              </w:rPr>
            </w:pPr>
            <w:r w:rsidRPr="007226D7">
              <w:rPr>
                <w:rFonts w:cs="Arial"/>
                <w:sz w:val="18"/>
                <w:szCs w:val="18"/>
              </w:rPr>
              <w:t>0</w:t>
            </w:r>
          </w:p>
        </w:tc>
        <w:tc>
          <w:tcPr>
            <w:tcW w:w="1076" w:type="dxa"/>
            <w:tcBorders>
              <w:top w:val="nil"/>
              <w:left w:val="nil"/>
              <w:bottom w:val="single" w:sz="4" w:space="0" w:color="auto"/>
              <w:right w:val="single" w:sz="4" w:space="0" w:color="auto"/>
            </w:tcBorders>
            <w:shd w:val="clear" w:color="171717" w:fill="FFFFFF"/>
            <w:noWrap/>
            <w:vAlign w:val="center"/>
            <w:hideMark/>
          </w:tcPr>
          <w:p w:rsidR="00BE6F6E" w:rsidRPr="007226D7" w:rsidRDefault="00BE6F6E" w:rsidP="00BE6F6E">
            <w:pPr>
              <w:spacing w:after="0" w:line="240" w:lineRule="auto"/>
              <w:jc w:val="right"/>
              <w:rPr>
                <w:rFonts w:cs="Arial"/>
                <w:b/>
                <w:bCs/>
                <w:sz w:val="18"/>
                <w:szCs w:val="18"/>
              </w:rPr>
            </w:pPr>
            <w:r w:rsidRPr="007226D7">
              <w:rPr>
                <w:rFonts w:cs="Arial"/>
                <w:b/>
                <w:bCs/>
                <w:sz w:val="18"/>
                <w:szCs w:val="18"/>
              </w:rPr>
              <w:t>0</w:t>
            </w:r>
          </w:p>
        </w:tc>
      </w:tr>
    </w:tbl>
    <w:p w:rsidR="008C3680" w:rsidRPr="007226D7" w:rsidRDefault="008C3680">
      <w:pPr>
        <w:spacing w:after="0" w:line="240" w:lineRule="auto"/>
        <w:jc w:val="left"/>
        <w:rPr>
          <w:b/>
        </w:rPr>
      </w:pPr>
      <w:r w:rsidRPr="007226D7">
        <w:br w:type="page"/>
      </w:r>
    </w:p>
    <w:p w:rsidR="00874D68" w:rsidRDefault="00874D68" w:rsidP="00874D68">
      <w:pPr>
        <w:pStyle w:val="Heading2"/>
        <w:rPr>
          <w:lang w:val="es-ES"/>
        </w:rPr>
      </w:pPr>
      <w:bookmarkStart w:id="171" w:name="_Toc346541955"/>
      <w:r>
        <w:rPr>
          <w:lang w:val="es-ES"/>
        </w:rPr>
        <w:lastRenderedPageBreak/>
        <w:t>Analisi de los impactos sobre el resto del sistema</w:t>
      </w:r>
      <w:bookmarkEnd w:id="171"/>
    </w:p>
    <w:p w:rsidR="00C50025" w:rsidRPr="00630A45" w:rsidRDefault="00C50025" w:rsidP="00C50025">
      <w:pPr>
        <w:rPr>
          <w:lang w:val="es-ES"/>
        </w:rPr>
      </w:pPr>
      <w:r w:rsidRPr="00630A45">
        <w:rPr>
          <w:lang w:val="es-ES"/>
        </w:rPr>
        <w:t xml:space="preserve">Los resultados de la modelización </w:t>
      </w:r>
      <w:r>
        <w:rPr>
          <w:lang w:val="es-ES"/>
        </w:rPr>
        <w:t>expuestos</w:t>
      </w:r>
      <w:r w:rsidRPr="00630A45">
        <w:rPr>
          <w:lang w:val="es-ES"/>
        </w:rPr>
        <w:t xml:space="preserve"> en las tablas de los apartados</w:t>
      </w:r>
      <w:r w:rsidR="001D4B43" w:rsidRPr="00C50025">
        <w:rPr>
          <w:lang w:val="es-ES"/>
        </w:rPr>
        <w:t xml:space="preserve"> </w:t>
      </w:r>
      <w:r w:rsidR="00FB4F8E">
        <w:fldChar w:fldCharType="begin"/>
      </w:r>
      <w:r w:rsidR="00FB4F8E">
        <w:instrText xml:space="preserve"> REF _Ref346487147 \r \h  \* MERGEFORMAT </w:instrText>
      </w:r>
      <w:r w:rsidR="00FB4F8E">
        <w:fldChar w:fldCharType="separate"/>
      </w:r>
      <w:r w:rsidR="003142BB" w:rsidRPr="003142BB">
        <w:rPr>
          <w:lang w:val="es-ES"/>
        </w:rPr>
        <w:t>4.7.1</w:t>
      </w:r>
      <w:r w:rsidR="00FB4F8E">
        <w:fldChar w:fldCharType="end"/>
      </w:r>
      <w:r w:rsidR="001D4B43" w:rsidRPr="00C50025">
        <w:rPr>
          <w:lang w:val="es-ES"/>
        </w:rPr>
        <w:t xml:space="preserve"> a </w:t>
      </w:r>
      <w:r w:rsidR="00FB4F8E">
        <w:fldChar w:fldCharType="begin"/>
      </w:r>
      <w:r w:rsidR="00FB4F8E">
        <w:instrText xml:space="preserve"> REF _Ref346487161 \r \h  \* MERGEFORMAT </w:instrText>
      </w:r>
      <w:r w:rsidR="00FB4F8E">
        <w:fldChar w:fldCharType="separate"/>
      </w:r>
      <w:r w:rsidR="003142BB" w:rsidRPr="003142BB">
        <w:rPr>
          <w:lang w:val="es-ES"/>
        </w:rPr>
        <w:t>4.7.10</w:t>
      </w:r>
      <w:r w:rsidR="00FB4F8E">
        <w:fldChar w:fldCharType="end"/>
      </w:r>
      <w:r w:rsidR="001D4B43" w:rsidRPr="00C50025">
        <w:rPr>
          <w:lang w:val="es-ES"/>
        </w:rPr>
        <w:t xml:space="preserve"> </w:t>
      </w:r>
      <w:r w:rsidRPr="00C50025">
        <w:rPr>
          <w:lang w:val="es-ES"/>
        </w:rPr>
        <w:t>y de</w:t>
      </w:r>
      <w:r w:rsidR="001D4B43" w:rsidRPr="00C50025">
        <w:rPr>
          <w:lang w:val="es-ES"/>
        </w:rPr>
        <w:t xml:space="preserve"> </w:t>
      </w:r>
      <w:r w:rsidR="00FB4F8E">
        <w:fldChar w:fldCharType="begin"/>
      </w:r>
      <w:r w:rsidR="00FB4F8E">
        <w:instrText xml:space="preserve"> REF _Ref346487172 \r \h  \* MERGEFORMAT </w:instrText>
      </w:r>
      <w:r w:rsidR="00FB4F8E">
        <w:fldChar w:fldCharType="separate"/>
      </w:r>
      <w:r w:rsidR="003142BB" w:rsidRPr="003142BB">
        <w:rPr>
          <w:lang w:val="es-ES"/>
        </w:rPr>
        <w:t>4.8.4</w:t>
      </w:r>
      <w:r w:rsidR="00FB4F8E">
        <w:fldChar w:fldCharType="end"/>
      </w:r>
      <w:r w:rsidRPr="00C50025">
        <w:rPr>
          <w:lang w:val="es-ES"/>
        </w:rPr>
        <w:t xml:space="preserve"> a</w:t>
      </w:r>
      <w:r w:rsidR="001D4B43" w:rsidRPr="00C50025">
        <w:rPr>
          <w:lang w:val="es-ES"/>
        </w:rPr>
        <w:t xml:space="preserve"> </w:t>
      </w:r>
      <w:r w:rsidR="00FB4F8E">
        <w:fldChar w:fldCharType="begin"/>
      </w:r>
      <w:r w:rsidR="00FB4F8E">
        <w:instrText xml:space="preserve"> REF _Ref346487177 \r \h  \* MERGEFORMAT </w:instrText>
      </w:r>
      <w:r w:rsidR="00FB4F8E">
        <w:fldChar w:fldCharType="separate"/>
      </w:r>
      <w:r w:rsidR="003142BB" w:rsidRPr="003142BB">
        <w:rPr>
          <w:lang w:val="es-ES"/>
        </w:rPr>
        <w:t>4.8.6</w:t>
      </w:r>
      <w:r w:rsidR="00FB4F8E">
        <w:fldChar w:fldCharType="end"/>
      </w:r>
      <w:r w:rsidR="001D4B43" w:rsidRPr="00C50025">
        <w:rPr>
          <w:lang w:val="es-ES"/>
        </w:rPr>
        <w:t xml:space="preserve"> </w:t>
      </w:r>
      <w:r>
        <w:rPr>
          <w:lang w:val="es-ES"/>
        </w:rPr>
        <w:t>permiten</w:t>
      </w:r>
      <w:r w:rsidRPr="00630A45">
        <w:rPr>
          <w:lang w:val="es-ES"/>
        </w:rPr>
        <w:t xml:space="preserve"> identificar el impacto que la entrada en funcionamiento del metro 2 genera </w:t>
      </w:r>
      <w:r>
        <w:rPr>
          <w:lang w:val="es-ES"/>
        </w:rPr>
        <w:t>sobre los otro</w:t>
      </w:r>
      <w:r w:rsidRPr="00630A45">
        <w:rPr>
          <w:lang w:val="es-ES"/>
        </w:rPr>
        <w:t xml:space="preserve">s </w:t>
      </w:r>
      <w:r>
        <w:rPr>
          <w:lang w:val="es-ES"/>
        </w:rPr>
        <w:t>niveles</w:t>
      </w:r>
      <w:r w:rsidRPr="00630A45">
        <w:rPr>
          <w:lang w:val="es-ES"/>
        </w:rPr>
        <w:t xml:space="preserve"> de la red, teniendo en cuenta </w:t>
      </w:r>
      <w:r>
        <w:rPr>
          <w:lang w:val="es-ES"/>
        </w:rPr>
        <w:t xml:space="preserve">que el análisis </w:t>
      </w:r>
      <w:r w:rsidRPr="00630A45">
        <w:rPr>
          <w:lang w:val="es-ES"/>
        </w:rPr>
        <w:t xml:space="preserve">se llevó a cabo suponiendo </w:t>
      </w:r>
      <w:r w:rsidRPr="00630A45">
        <w:rPr>
          <w:b/>
          <w:lang w:val="es-ES"/>
        </w:rPr>
        <w:t xml:space="preserve">dos </w:t>
      </w:r>
      <w:r>
        <w:rPr>
          <w:b/>
          <w:lang w:val="es-ES"/>
        </w:rPr>
        <w:t>hipótesis</w:t>
      </w:r>
      <w:r w:rsidRPr="00630A45">
        <w:rPr>
          <w:b/>
          <w:lang w:val="es-ES"/>
        </w:rPr>
        <w:t xml:space="preserve"> de configuración de la red de transporte público de superficie</w:t>
      </w:r>
      <w:r w:rsidRPr="00630A45">
        <w:rPr>
          <w:lang w:val="es-ES"/>
        </w:rPr>
        <w:t xml:space="preserve">: la configuración de los nuevos servicios organizados de acuerdo con </w:t>
      </w:r>
      <w:r>
        <w:rPr>
          <w:lang w:val="es-ES"/>
        </w:rPr>
        <w:t xml:space="preserve">los </w:t>
      </w:r>
      <w:r w:rsidRPr="00630A45">
        <w:rPr>
          <w:lang w:val="es-ES"/>
        </w:rPr>
        <w:t>Corredores</w:t>
      </w:r>
      <w:r>
        <w:rPr>
          <w:lang w:val="es-ES"/>
        </w:rPr>
        <w:t xml:space="preserve"> Complementarios</w:t>
      </w:r>
      <w:r w:rsidRPr="00630A45">
        <w:rPr>
          <w:lang w:val="es-ES"/>
        </w:rPr>
        <w:t xml:space="preserve"> y Corredores de In</w:t>
      </w:r>
      <w:r>
        <w:rPr>
          <w:lang w:val="es-ES"/>
        </w:rPr>
        <w:t xml:space="preserve">tegración en un lado y un </w:t>
      </w:r>
      <w:r w:rsidRPr="00630A45">
        <w:rPr>
          <w:lang w:val="es-ES"/>
        </w:rPr>
        <w:t>escenario pesimista</w:t>
      </w:r>
      <w:r>
        <w:rPr>
          <w:lang w:val="es-ES"/>
        </w:rPr>
        <w:t xml:space="preserve"> en el otro</w:t>
      </w:r>
      <w:r w:rsidRPr="00630A45">
        <w:rPr>
          <w:lang w:val="es-ES"/>
        </w:rPr>
        <w:t>.</w:t>
      </w:r>
    </w:p>
    <w:p w:rsidR="001D4B43" w:rsidRPr="00C50025" w:rsidRDefault="001D4B43" w:rsidP="00874D68">
      <w:pPr>
        <w:rPr>
          <w:lang w:val="es-ES"/>
        </w:rPr>
      </w:pPr>
    </w:p>
    <w:p w:rsidR="001D4B43" w:rsidRPr="00C50025" w:rsidRDefault="00C50025" w:rsidP="00874D68">
      <w:pPr>
        <w:rPr>
          <w:lang w:val="es-ES"/>
        </w:rPr>
      </w:pPr>
      <w:r w:rsidRPr="00630A45">
        <w:rPr>
          <w:lang w:val="es-ES"/>
        </w:rPr>
        <w:t xml:space="preserve">En particular, </w:t>
      </w:r>
      <w:r>
        <w:rPr>
          <w:lang w:val="es-ES"/>
        </w:rPr>
        <w:t xml:space="preserve">con </w:t>
      </w:r>
      <w:r w:rsidRPr="00630A45">
        <w:rPr>
          <w:lang w:val="es-ES"/>
        </w:rPr>
        <w:t xml:space="preserve">los datos de los apartados </w:t>
      </w:r>
      <w:r>
        <w:rPr>
          <w:lang w:val="es-ES"/>
        </w:rPr>
        <w:t>de</w:t>
      </w:r>
      <w:r w:rsidR="001D4B43" w:rsidRPr="00C50025">
        <w:rPr>
          <w:lang w:val="es-ES"/>
        </w:rPr>
        <w:t xml:space="preserve"> </w:t>
      </w:r>
      <w:r w:rsidR="00FB4F8E">
        <w:fldChar w:fldCharType="begin"/>
      </w:r>
      <w:r w:rsidR="00FB4F8E">
        <w:instrText xml:space="preserve"> REF _Ref346487147 \r \h  \* MERGEFORMAT </w:instrText>
      </w:r>
      <w:r w:rsidR="00FB4F8E">
        <w:fldChar w:fldCharType="separate"/>
      </w:r>
      <w:r w:rsidR="003142BB" w:rsidRPr="003142BB">
        <w:rPr>
          <w:lang w:val="es-ES"/>
        </w:rPr>
        <w:t>4.7.1</w:t>
      </w:r>
      <w:r w:rsidR="00FB4F8E">
        <w:fldChar w:fldCharType="end"/>
      </w:r>
      <w:r w:rsidR="001D4B43" w:rsidRPr="00C50025">
        <w:rPr>
          <w:lang w:val="es-ES"/>
        </w:rPr>
        <w:t xml:space="preserve"> a </w:t>
      </w:r>
      <w:r w:rsidR="00FB4F8E">
        <w:fldChar w:fldCharType="begin"/>
      </w:r>
      <w:r w:rsidR="00FB4F8E">
        <w:instrText xml:space="preserve"> REF _Ref346487161 \r \h  \* MERGEFORMAT </w:instrText>
      </w:r>
      <w:r w:rsidR="00FB4F8E">
        <w:fldChar w:fldCharType="separate"/>
      </w:r>
      <w:r w:rsidR="003142BB" w:rsidRPr="003142BB">
        <w:rPr>
          <w:lang w:val="es-ES"/>
        </w:rPr>
        <w:t>4.7.10</w:t>
      </w:r>
      <w:r w:rsidR="00FB4F8E">
        <w:fldChar w:fldCharType="end"/>
      </w:r>
      <w:r w:rsidR="001D4B43" w:rsidRPr="00C50025">
        <w:rPr>
          <w:lang w:val="es-ES"/>
        </w:rPr>
        <w:t xml:space="preserve"> </w:t>
      </w:r>
      <w:r w:rsidRPr="00630A45">
        <w:rPr>
          <w:lang w:val="es-ES"/>
        </w:rPr>
        <w:t xml:space="preserve">es posible evaluar el impacto de la Línea 2 del sistema de transporte de superficie </w:t>
      </w:r>
      <w:r>
        <w:rPr>
          <w:lang w:val="es-ES"/>
        </w:rPr>
        <w:t xml:space="preserve">en la hipótesis que se acabe la </w:t>
      </w:r>
      <w:r w:rsidRPr="00C50025">
        <w:rPr>
          <w:lang w:val="es-ES"/>
        </w:rPr>
        <w:t xml:space="preserve">reorganización de las rutas en servicios de acuerdo con el planeado por PROTRANSPORTE y descrito en el apartado </w:t>
      </w:r>
      <w:r w:rsidR="00FB4F8E">
        <w:fldChar w:fldCharType="begin"/>
      </w:r>
      <w:r w:rsidR="00FB4F8E">
        <w:instrText xml:space="preserve"> REF _Ref346487452 \r \h  \* MERGEFORMAT </w:instrText>
      </w:r>
      <w:r w:rsidR="00FB4F8E">
        <w:fldChar w:fldCharType="separate"/>
      </w:r>
      <w:r w:rsidR="003142BB" w:rsidRPr="003142BB">
        <w:rPr>
          <w:lang w:val="es-ES"/>
        </w:rPr>
        <w:t>4.4.2</w:t>
      </w:r>
      <w:r w:rsidR="00FB4F8E">
        <w:fldChar w:fldCharType="end"/>
      </w:r>
      <w:r w:rsidR="001D4B43" w:rsidRPr="00C50025">
        <w:rPr>
          <w:lang w:val="es-ES"/>
        </w:rPr>
        <w:t>.</w:t>
      </w:r>
    </w:p>
    <w:p w:rsidR="00E66C64" w:rsidRPr="00C50025" w:rsidRDefault="00E66C64" w:rsidP="00874D68">
      <w:pPr>
        <w:rPr>
          <w:lang w:val="es-ES"/>
        </w:rPr>
      </w:pPr>
    </w:p>
    <w:p w:rsidR="00C50025" w:rsidRPr="008D1E8C" w:rsidRDefault="00C50025" w:rsidP="00C50025">
      <w:pPr>
        <w:rPr>
          <w:lang w:val="es-ES"/>
        </w:rPr>
      </w:pPr>
      <w:r w:rsidRPr="008D1E8C">
        <w:rPr>
          <w:lang w:val="es-ES"/>
        </w:rPr>
        <w:t>Analizando</w:t>
      </w:r>
      <w:r>
        <w:rPr>
          <w:lang w:val="es-ES"/>
        </w:rPr>
        <w:t xml:space="preserve"> </w:t>
      </w:r>
      <w:r w:rsidRPr="008D1E8C">
        <w:rPr>
          <w:lang w:val="es-ES"/>
        </w:rPr>
        <w:t xml:space="preserve">los datos sobre los totales diarios </w:t>
      </w:r>
      <w:r>
        <w:rPr>
          <w:lang w:val="es-ES"/>
        </w:rPr>
        <w:t xml:space="preserve">hay las siguientes </w:t>
      </w:r>
      <w:r w:rsidRPr="008D1E8C">
        <w:rPr>
          <w:lang w:val="es-ES"/>
        </w:rPr>
        <w:t>comparaciones:</w:t>
      </w:r>
    </w:p>
    <w:p w:rsidR="00082B39" w:rsidRPr="005B5804" w:rsidRDefault="00082B39" w:rsidP="00082B39">
      <w:pPr>
        <w:pStyle w:val="Figuras"/>
      </w:pPr>
      <w:r w:rsidRPr="005B5804">
        <w:rPr>
          <w:noProof/>
        </w:rPr>
        <w:t>Tabla 4.</w:t>
      </w:r>
      <w:r>
        <w:rPr>
          <w:noProof/>
        </w:rPr>
        <w:t>10</w:t>
      </w:r>
      <w:r w:rsidRPr="005B5804">
        <w:rPr>
          <w:noProof/>
        </w:rPr>
        <w:t xml:space="preserve"> – </w:t>
      </w:r>
      <w:r>
        <w:rPr>
          <w:noProof/>
        </w:rPr>
        <w:t>1</w:t>
      </w:r>
      <w:r w:rsidRPr="005B5804">
        <w:rPr>
          <w:noProof/>
        </w:rPr>
        <w:t xml:space="preserve"> (serie)</w:t>
      </w:r>
      <w:r w:rsidRPr="005B5804">
        <w:t xml:space="preserve">: </w:t>
      </w:r>
      <w:r>
        <w:t xml:space="preserve">comparación de resultados </w:t>
      </w:r>
    </w:p>
    <w:tbl>
      <w:tblPr>
        <w:tblW w:w="9460" w:type="dxa"/>
        <w:tblInd w:w="53" w:type="dxa"/>
        <w:tblCellMar>
          <w:left w:w="70" w:type="dxa"/>
          <w:right w:w="70" w:type="dxa"/>
        </w:tblCellMar>
        <w:tblLook w:val="04A0" w:firstRow="1" w:lastRow="0" w:firstColumn="1" w:lastColumn="0" w:noHBand="0" w:noVBand="1"/>
      </w:tblPr>
      <w:tblGrid>
        <w:gridCol w:w="1120"/>
        <w:gridCol w:w="2700"/>
        <w:gridCol w:w="984"/>
        <w:gridCol w:w="896"/>
        <w:gridCol w:w="984"/>
        <w:gridCol w:w="896"/>
        <w:gridCol w:w="998"/>
        <w:gridCol w:w="882"/>
      </w:tblGrid>
      <w:tr w:rsidR="00082B39" w:rsidRPr="00082B39" w:rsidTr="00082B39">
        <w:trPr>
          <w:trHeight w:val="31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13</w:t>
            </w:r>
            <w:proofErr w:type="gramEnd"/>
            <w:r w:rsidRPr="00082B39">
              <w:rPr>
                <w:rFonts w:cs="Arial"/>
                <w:b/>
                <w:bCs/>
                <w:sz w:val="18"/>
                <w:szCs w:val="18"/>
              </w:rPr>
              <w:t xml:space="preserve"> vs ESC 12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23</w:t>
            </w:r>
            <w:proofErr w:type="gramEnd"/>
            <w:r w:rsidRPr="00082B39">
              <w:rPr>
                <w:rFonts w:cs="Arial"/>
                <w:b/>
                <w:bCs/>
                <w:sz w:val="18"/>
                <w:szCs w:val="18"/>
              </w:rPr>
              <w:t xml:space="preserve"> vs ESC 22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33</w:t>
            </w:r>
            <w:proofErr w:type="gramEnd"/>
            <w:r w:rsidRPr="00082B39">
              <w:rPr>
                <w:rFonts w:cs="Arial"/>
                <w:b/>
                <w:bCs/>
                <w:sz w:val="18"/>
                <w:szCs w:val="18"/>
              </w:rPr>
              <w:t xml:space="preserve"> vs ESC 32</w:t>
            </w:r>
          </w:p>
        </w:tc>
      </w:tr>
      <w:tr w:rsidR="00082B39" w:rsidRPr="00082B39" w:rsidTr="00082B39">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98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896"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8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896"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98"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882" w:type="dxa"/>
            <w:tcBorders>
              <w:top w:val="single" w:sz="4" w:space="0" w:color="auto"/>
              <w:left w:val="nil"/>
              <w:bottom w:val="single" w:sz="8"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r>
      <w:tr w:rsidR="00082B39" w:rsidRPr="00082B39" w:rsidTr="00082B39">
        <w:trPr>
          <w:trHeight w:val="240"/>
        </w:trPr>
        <w:tc>
          <w:tcPr>
            <w:tcW w:w="1120" w:type="dxa"/>
            <w:vMerge w:val="restart"/>
            <w:tcBorders>
              <w:top w:val="nil"/>
              <w:left w:val="single" w:sz="4" w:space="0" w:color="auto"/>
              <w:bottom w:val="single" w:sz="4" w:space="0" w:color="auto"/>
              <w:right w:val="single" w:sz="4" w:space="0" w:color="auto"/>
            </w:tcBorders>
            <w:shd w:val="clear" w:color="171717" w:fill="DBE5F1"/>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Matrices</w:t>
            </w:r>
          </w:p>
        </w:tc>
        <w:tc>
          <w:tcPr>
            <w:tcW w:w="2700"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Coche </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98"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82"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r>
      <w:tr w:rsidR="00082B39" w:rsidRPr="00082B39" w:rsidTr="00082B39">
        <w:trPr>
          <w:trHeight w:val="240"/>
        </w:trPr>
        <w:tc>
          <w:tcPr>
            <w:tcW w:w="1120" w:type="dxa"/>
            <w:vMerge/>
            <w:tcBorders>
              <w:top w:val="nil"/>
              <w:left w:val="single" w:sz="4" w:space="0" w:color="auto"/>
              <w:bottom w:val="single" w:sz="4" w:space="0" w:color="auto"/>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Taxi </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98"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82"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r>
      <w:tr w:rsidR="00082B39" w:rsidRPr="00082B39" w:rsidTr="00082B39">
        <w:trPr>
          <w:trHeight w:val="240"/>
        </w:trPr>
        <w:tc>
          <w:tcPr>
            <w:tcW w:w="1120" w:type="dxa"/>
            <w:vMerge/>
            <w:tcBorders>
              <w:top w:val="nil"/>
              <w:left w:val="single" w:sz="4" w:space="0" w:color="auto"/>
              <w:bottom w:val="single" w:sz="4" w:space="0" w:color="auto"/>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VehPesados </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98" w:type="dxa"/>
            <w:tcBorders>
              <w:top w:val="nil"/>
              <w:left w:val="single" w:sz="4" w:space="0" w:color="auto"/>
              <w:bottom w:val="single" w:sz="4" w:space="0" w:color="auto"/>
              <w:right w:val="nil"/>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882" w:type="dxa"/>
            <w:tcBorders>
              <w:top w:val="nil"/>
              <w:left w:val="nil"/>
              <w:bottom w:val="single" w:sz="4" w:space="0" w:color="auto"/>
              <w:right w:val="single" w:sz="4" w:space="0" w:color="auto"/>
            </w:tcBorders>
            <w:shd w:val="clear" w:color="171717" w:fill="DBE5F1"/>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r>
      <w:tr w:rsidR="00082B39" w:rsidRPr="00082B39" w:rsidTr="00082B39">
        <w:trPr>
          <w:trHeight w:val="240"/>
        </w:trPr>
        <w:tc>
          <w:tcPr>
            <w:tcW w:w="1120" w:type="dxa"/>
            <w:vMerge w:val="restart"/>
            <w:tcBorders>
              <w:top w:val="nil"/>
              <w:left w:val="single" w:sz="4" w:space="0" w:color="auto"/>
              <w:bottom w:val="single" w:sz="4" w:space="0" w:color="auto"/>
              <w:right w:val="single" w:sz="4" w:space="0" w:color="auto"/>
            </w:tcBorders>
            <w:shd w:val="clear" w:color="171717" w:fill="C5D9F1"/>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Veh*Km (Privado)</w:t>
            </w:r>
          </w:p>
        </w:tc>
        <w:tc>
          <w:tcPr>
            <w:tcW w:w="2700"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Coche </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-1,628</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-0.01%</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28,764</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0.17%</w:t>
            </w:r>
          </w:p>
        </w:tc>
        <w:tc>
          <w:tcPr>
            <w:tcW w:w="998"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218,038</w:t>
            </w:r>
          </w:p>
        </w:tc>
        <w:tc>
          <w:tcPr>
            <w:tcW w:w="882"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1.05%</w:t>
            </w:r>
          </w:p>
        </w:tc>
      </w:tr>
      <w:tr w:rsidR="00082B39" w:rsidRPr="00082B39" w:rsidTr="00082B39">
        <w:trPr>
          <w:trHeight w:val="240"/>
        </w:trPr>
        <w:tc>
          <w:tcPr>
            <w:tcW w:w="1120" w:type="dxa"/>
            <w:vMerge/>
            <w:tcBorders>
              <w:top w:val="nil"/>
              <w:left w:val="single" w:sz="4" w:space="0" w:color="auto"/>
              <w:bottom w:val="single" w:sz="4" w:space="0" w:color="auto"/>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Taxi </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-6,935</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-0.07%</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10,915</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0.11%</w:t>
            </w:r>
          </w:p>
        </w:tc>
        <w:tc>
          <w:tcPr>
            <w:tcW w:w="998"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1,959</w:t>
            </w:r>
          </w:p>
        </w:tc>
        <w:tc>
          <w:tcPr>
            <w:tcW w:w="882"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0.02%</w:t>
            </w:r>
          </w:p>
        </w:tc>
      </w:tr>
      <w:tr w:rsidR="00082B39" w:rsidRPr="00082B39" w:rsidTr="00082B39">
        <w:trPr>
          <w:trHeight w:val="240"/>
        </w:trPr>
        <w:tc>
          <w:tcPr>
            <w:tcW w:w="1120" w:type="dxa"/>
            <w:vMerge/>
            <w:tcBorders>
              <w:top w:val="nil"/>
              <w:left w:val="single" w:sz="4" w:space="0" w:color="auto"/>
              <w:bottom w:val="single" w:sz="4" w:space="0" w:color="auto"/>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VehPesados </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-1,910</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-0.04%</w:t>
            </w:r>
          </w:p>
        </w:tc>
        <w:tc>
          <w:tcPr>
            <w:tcW w:w="984"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-314</w:t>
            </w:r>
          </w:p>
        </w:tc>
        <w:tc>
          <w:tcPr>
            <w:tcW w:w="896" w:type="dxa"/>
            <w:tcBorders>
              <w:top w:val="nil"/>
              <w:left w:val="nil"/>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-0.01%</w:t>
            </w:r>
          </w:p>
        </w:tc>
        <w:tc>
          <w:tcPr>
            <w:tcW w:w="998" w:type="dxa"/>
            <w:tcBorders>
              <w:top w:val="nil"/>
              <w:left w:val="single" w:sz="4" w:space="0" w:color="auto"/>
              <w:bottom w:val="single" w:sz="4" w:space="0" w:color="auto"/>
              <w:right w:val="nil"/>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-697</w:t>
            </w:r>
          </w:p>
        </w:tc>
        <w:tc>
          <w:tcPr>
            <w:tcW w:w="882" w:type="dxa"/>
            <w:tcBorders>
              <w:top w:val="nil"/>
              <w:left w:val="nil"/>
              <w:bottom w:val="single" w:sz="4" w:space="0" w:color="auto"/>
              <w:right w:val="single" w:sz="4" w:space="0" w:color="auto"/>
            </w:tcBorders>
            <w:shd w:val="clear" w:color="171717" w:fill="C5D9F1"/>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-0.01%</w:t>
            </w:r>
          </w:p>
        </w:tc>
      </w:tr>
      <w:tr w:rsidR="00082B39" w:rsidRPr="00082B39" w:rsidTr="00082B39">
        <w:trPr>
          <w:trHeight w:val="240"/>
        </w:trPr>
        <w:tc>
          <w:tcPr>
            <w:tcW w:w="1120" w:type="dxa"/>
            <w:vMerge w:val="restart"/>
            <w:tcBorders>
              <w:top w:val="nil"/>
              <w:left w:val="single" w:sz="4" w:space="0" w:color="auto"/>
              <w:bottom w:val="single" w:sz="8" w:space="0" w:color="000000"/>
              <w:right w:val="single" w:sz="4" w:space="0" w:color="auto"/>
            </w:tcBorders>
            <w:shd w:val="clear" w:color="171717" w:fill="95B3D7"/>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Veh*hr (Privado)</w:t>
            </w:r>
          </w:p>
        </w:tc>
        <w:tc>
          <w:tcPr>
            <w:tcW w:w="2700" w:type="dxa"/>
            <w:tcBorders>
              <w:top w:val="nil"/>
              <w:left w:val="nil"/>
              <w:bottom w:val="single" w:sz="4" w:space="0" w:color="auto"/>
              <w:right w:val="single" w:sz="4" w:space="0" w:color="auto"/>
            </w:tcBorders>
            <w:shd w:val="clear" w:color="171717" w:fill="95B3D7"/>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Coche </w:t>
            </w:r>
          </w:p>
        </w:tc>
        <w:tc>
          <w:tcPr>
            <w:tcW w:w="984"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-4,641</w:t>
            </w:r>
          </w:p>
        </w:tc>
        <w:tc>
          <w:tcPr>
            <w:tcW w:w="896" w:type="dxa"/>
            <w:tcBorders>
              <w:top w:val="nil"/>
              <w:left w:val="nil"/>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-0.67%</w:t>
            </w:r>
          </w:p>
        </w:tc>
        <w:tc>
          <w:tcPr>
            <w:tcW w:w="984"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-5,102</w:t>
            </w:r>
          </w:p>
        </w:tc>
        <w:tc>
          <w:tcPr>
            <w:tcW w:w="896" w:type="dxa"/>
            <w:tcBorders>
              <w:top w:val="nil"/>
              <w:left w:val="nil"/>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-0.70%</w:t>
            </w:r>
          </w:p>
        </w:tc>
        <w:tc>
          <w:tcPr>
            <w:tcW w:w="998"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-6,813</w:t>
            </w:r>
          </w:p>
        </w:tc>
        <w:tc>
          <w:tcPr>
            <w:tcW w:w="882" w:type="dxa"/>
            <w:tcBorders>
              <w:top w:val="nil"/>
              <w:left w:val="nil"/>
              <w:bottom w:val="single" w:sz="4" w:space="0" w:color="auto"/>
              <w:right w:val="single" w:sz="4" w:space="0" w:color="auto"/>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-0.72%</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95B3D7"/>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Taxi </w:t>
            </w:r>
          </w:p>
        </w:tc>
        <w:tc>
          <w:tcPr>
            <w:tcW w:w="984"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-2,131</w:t>
            </w:r>
          </w:p>
        </w:tc>
        <w:tc>
          <w:tcPr>
            <w:tcW w:w="896" w:type="dxa"/>
            <w:tcBorders>
              <w:top w:val="nil"/>
              <w:left w:val="nil"/>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-0.53%</w:t>
            </w:r>
          </w:p>
        </w:tc>
        <w:tc>
          <w:tcPr>
            <w:tcW w:w="984"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-2,043</w:t>
            </w:r>
          </w:p>
        </w:tc>
        <w:tc>
          <w:tcPr>
            <w:tcW w:w="896" w:type="dxa"/>
            <w:tcBorders>
              <w:top w:val="nil"/>
              <w:left w:val="nil"/>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-0.51%</w:t>
            </w:r>
          </w:p>
        </w:tc>
        <w:tc>
          <w:tcPr>
            <w:tcW w:w="998" w:type="dxa"/>
            <w:tcBorders>
              <w:top w:val="nil"/>
              <w:left w:val="single" w:sz="4" w:space="0" w:color="auto"/>
              <w:bottom w:val="single" w:sz="4"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-2,370</w:t>
            </w:r>
          </w:p>
        </w:tc>
        <w:tc>
          <w:tcPr>
            <w:tcW w:w="882" w:type="dxa"/>
            <w:tcBorders>
              <w:top w:val="nil"/>
              <w:left w:val="nil"/>
              <w:bottom w:val="single" w:sz="4" w:space="0" w:color="auto"/>
              <w:right w:val="single" w:sz="4" w:space="0" w:color="auto"/>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-0.55%</w:t>
            </w:r>
          </w:p>
        </w:tc>
      </w:tr>
      <w:tr w:rsidR="00082B39" w:rsidRPr="00082B39" w:rsidTr="00082B39">
        <w:trPr>
          <w:trHeight w:val="255"/>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8" w:space="0" w:color="auto"/>
              <w:right w:val="single" w:sz="4" w:space="0" w:color="auto"/>
            </w:tcBorders>
            <w:shd w:val="clear" w:color="171717" w:fill="95B3D7"/>
            <w:noWrap/>
            <w:vAlign w:val="center"/>
            <w:hideMark/>
          </w:tcPr>
          <w:p w:rsidR="00082B39" w:rsidRPr="00082B39" w:rsidRDefault="00082B39" w:rsidP="00082B39">
            <w:pPr>
              <w:spacing w:after="0" w:line="240" w:lineRule="auto"/>
              <w:jc w:val="left"/>
              <w:rPr>
                <w:rFonts w:cs="Arial"/>
                <w:sz w:val="18"/>
                <w:szCs w:val="18"/>
              </w:rPr>
            </w:pPr>
            <w:r w:rsidRPr="00082B39">
              <w:rPr>
                <w:rFonts w:cs="Arial"/>
                <w:sz w:val="18"/>
                <w:szCs w:val="18"/>
              </w:rPr>
              <w:t xml:space="preserve">VehPesados </w:t>
            </w:r>
          </w:p>
        </w:tc>
        <w:tc>
          <w:tcPr>
            <w:tcW w:w="984" w:type="dxa"/>
            <w:tcBorders>
              <w:top w:val="nil"/>
              <w:left w:val="single" w:sz="4" w:space="0" w:color="auto"/>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-489</w:t>
            </w:r>
          </w:p>
        </w:tc>
        <w:tc>
          <w:tcPr>
            <w:tcW w:w="896" w:type="dxa"/>
            <w:tcBorders>
              <w:top w:val="nil"/>
              <w:left w:val="nil"/>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-0.39%</w:t>
            </w:r>
          </w:p>
        </w:tc>
        <w:tc>
          <w:tcPr>
            <w:tcW w:w="984" w:type="dxa"/>
            <w:tcBorders>
              <w:top w:val="nil"/>
              <w:left w:val="single" w:sz="4" w:space="0" w:color="auto"/>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-359</w:t>
            </w:r>
          </w:p>
        </w:tc>
        <w:tc>
          <w:tcPr>
            <w:tcW w:w="896" w:type="dxa"/>
            <w:tcBorders>
              <w:top w:val="nil"/>
              <w:left w:val="nil"/>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-0.27%</w:t>
            </w:r>
          </w:p>
        </w:tc>
        <w:tc>
          <w:tcPr>
            <w:tcW w:w="998" w:type="dxa"/>
            <w:tcBorders>
              <w:top w:val="nil"/>
              <w:left w:val="single" w:sz="4" w:space="0" w:color="auto"/>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-634</w:t>
            </w:r>
          </w:p>
        </w:tc>
        <w:tc>
          <w:tcPr>
            <w:tcW w:w="882" w:type="dxa"/>
            <w:tcBorders>
              <w:top w:val="nil"/>
              <w:left w:val="nil"/>
              <w:bottom w:val="single" w:sz="8" w:space="0" w:color="auto"/>
              <w:right w:val="nil"/>
            </w:tcBorders>
            <w:shd w:val="clear" w:color="171717" w:fill="95B3D7"/>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-0.38%</w:t>
            </w:r>
          </w:p>
        </w:tc>
      </w:tr>
    </w:tbl>
    <w:p w:rsidR="00082B39" w:rsidRDefault="00082B39" w:rsidP="00874D68"/>
    <w:tbl>
      <w:tblPr>
        <w:tblW w:w="9460" w:type="dxa"/>
        <w:tblInd w:w="53" w:type="dxa"/>
        <w:tblCellMar>
          <w:left w:w="70" w:type="dxa"/>
          <w:right w:w="70" w:type="dxa"/>
        </w:tblCellMar>
        <w:tblLook w:val="04A0" w:firstRow="1" w:lastRow="0" w:firstColumn="1" w:lastColumn="0" w:noHBand="0" w:noVBand="1"/>
      </w:tblPr>
      <w:tblGrid>
        <w:gridCol w:w="1120"/>
        <w:gridCol w:w="2700"/>
        <w:gridCol w:w="912"/>
        <w:gridCol w:w="968"/>
        <w:gridCol w:w="904"/>
        <w:gridCol w:w="976"/>
        <w:gridCol w:w="904"/>
        <w:gridCol w:w="976"/>
      </w:tblGrid>
      <w:tr w:rsidR="00082B39" w:rsidRPr="00082B39" w:rsidTr="00082B39">
        <w:trPr>
          <w:trHeight w:val="25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13</w:t>
            </w:r>
            <w:proofErr w:type="gramEnd"/>
            <w:r w:rsidRPr="00082B39">
              <w:rPr>
                <w:rFonts w:cs="Arial"/>
                <w:b/>
                <w:bCs/>
                <w:sz w:val="18"/>
                <w:szCs w:val="18"/>
              </w:rPr>
              <w:t xml:space="preserve"> vs ESC 12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23</w:t>
            </w:r>
            <w:proofErr w:type="gramEnd"/>
            <w:r w:rsidRPr="00082B39">
              <w:rPr>
                <w:rFonts w:cs="Arial"/>
                <w:b/>
                <w:bCs/>
                <w:sz w:val="18"/>
                <w:szCs w:val="18"/>
              </w:rPr>
              <w:t xml:space="preserve"> vs ESC 22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33</w:t>
            </w:r>
            <w:proofErr w:type="gramEnd"/>
            <w:r w:rsidRPr="00082B39">
              <w:rPr>
                <w:rFonts w:cs="Arial"/>
                <w:b/>
                <w:bCs/>
                <w:sz w:val="18"/>
                <w:szCs w:val="18"/>
              </w:rPr>
              <w:t xml:space="preserve"> vs ESC 32</w:t>
            </w:r>
          </w:p>
        </w:tc>
      </w:tr>
      <w:tr w:rsidR="00082B39" w:rsidRPr="00082B39" w:rsidTr="00082B39">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912"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68"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0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76"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0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76" w:type="dxa"/>
            <w:tcBorders>
              <w:top w:val="single" w:sz="4" w:space="0" w:color="auto"/>
              <w:left w:val="nil"/>
              <w:bottom w:val="single" w:sz="8"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r>
      <w:tr w:rsidR="00082B39" w:rsidRPr="00082B39" w:rsidTr="00082B39">
        <w:trPr>
          <w:trHeight w:val="750"/>
        </w:trPr>
        <w:tc>
          <w:tcPr>
            <w:tcW w:w="1120" w:type="dxa"/>
            <w:tcBorders>
              <w:top w:val="nil"/>
              <w:left w:val="single" w:sz="4" w:space="0" w:color="auto"/>
              <w:bottom w:val="single" w:sz="4" w:space="0" w:color="auto"/>
              <w:right w:val="single" w:sz="4" w:space="0" w:color="auto"/>
            </w:tcBorders>
            <w:shd w:val="clear" w:color="171717" w:fill="D7E4BC"/>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Matriz de viajes </w:t>
            </w:r>
          </w:p>
        </w:tc>
        <w:tc>
          <w:tcPr>
            <w:tcW w:w="2700" w:type="dxa"/>
            <w:tcBorders>
              <w:top w:val="nil"/>
              <w:left w:val="nil"/>
              <w:bottom w:val="single" w:sz="4" w:space="0" w:color="auto"/>
              <w:right w:val="single" w:sz="4" w:space="0" w:color="auto"/>
            </w:tcBorders>
            <w:shd w:val="clear" w:color="171717" w:fill="D7E4BC"/>
            <w:noWrap/>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Todos Modos</w:t>
            </w:r>
          </w:p>
        </w:tc>
        <w:tc>
          <w:tcPr>
            <w:tcW w:w="912" w:type="dxa"/>
            <w:tcBorders>
              <w:top w:val="nil"/>
              <w:left w:val="single" w:sz="4" w:space="0" w:color="auto"/>
              <w:bottom w:val="single" w:sz="4" w:space="0" w:color="auto"/>
              <w:right w:val="nil"/>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968" w:type="dxa"/>
            <w:tcBorders>
              <w:top w:val="nil"/>
              <w:left w:val="nil"/>
              <w:bottom w:val="single" w:sz="4" w:space="0" w:color="auto"/>
              <w:right w:val="nil"/>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04" w:type="dxa"/>
            <w:tcBorders>
              <w:top w:val="nil"/>
              <w:left w:val="single" w:sz="4" w:space="0" w:color="auto"/>
              <w:bottom w:val="single" w:sz="4" w:space="0" w:color="auto"/>
              <w:right w:val="nil"/>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976" w:type="dxa"/>
            <w:tcBorders>
              <w:top w:val="nil"/>
              <w:left w:val="nil"/>
              <w:bottom w:val="single" w:sz="4" w:space="0" w:color="auto"/>
              <w:right w:val="nil"/>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c>
          <w:tcPr>
            <w:tcW w:w="904" w:type="dxa"/>
            <w:tcBorders>
              <w:top w:val="nil"/>
              <w:left w:val="single" w:sz="4" w:space="0" w:color="auto"/>
              <w:bottom w:val="single" w:sz="4" w:space="0" w:color="auto"/>
              <w:right w:val="nil"/>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w:t>
            </w:r>
          </w:p>
        </w:tc>
        <w:tc>
          <w:tcPr>
            <w:tcW w:w="976" w:type="dxa"/>
            <w:tcBorders>
              <w:top w:val="nil"/>
              <w:left w:val="nil"/>
              <w:bottom w:val="single" w:sz="4" w:space="0" w:color="auto"/>
              <w:right w:val="single" w:sz="4" w:space="0" w:color="auto"/>
            </w:tcBorders>
            <w:shd w:val="clear" w:color="171717" w:fill="D7E4BC"/>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0.00%</w:t>
            </w:r>
          </w:p>
        </w:tc>
      </w:tr>
      <w:tr w:rsidR="00082B39" w:rsidRPr="00082B39" w:rsidTr="00082B39">
        <w:trPr>
          <w:trHeight w:val="499"/>
        </w:trPr>
        <w:tc>
          <w:tcPr>
            <w:tcW w:w="1120" w:type="dxa"/>
            <w:vMerge w:val="restart"/>
            <w:tcBorders>
              <w:top w:val="nil"/>
              <w:left w:val="single" w:sz="4" w:space="0" w:color="auto"/>
              <w:bottom w:val="single" w:sz="8" w:space="0" w:color="000000"/>
              <w:right w:val="single" w:sz="4" w:space="0" w:color="auto"/>
            </w:tcBorders>
            <w:shd w:val="clear" w:color="171717" w:fill="92D050"/>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Veh*Km (Pùblico)</w:t>
            </w: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Camioneta rural </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082B39">
        <w:trPr>
          <w:trHeight w:val="499"/>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Microbus </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082B39">
        <w:trPr>
          <w:trHeight w:val="499"/>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Omnibus </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1 -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1</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2 -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2</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3 -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3</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4 -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4</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5 -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1,548</w:t>
            </w:r>
          </w:p>
        </w:tc>
        <w:tc>
          <w:tcPr>
            <w:tcW w:w="968"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0.63%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1,548</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0.63%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1,548</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0.63%</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5</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-94,157</w:t>
            </w:r>
          </w:p>
        </w:tc>
        <w:tc>
          <w:tcPr>
            <w:tcW w:w="968"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-51.86%</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-181,556</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-100.00%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-181,556</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-100.00%</w:t>
            </w:r>
          </w:p>
        </w:tc>
      </w:tr>
      <w:tr w:rsidR="00082B39" w:rsidRPr="00082B39" w:rsidTr="00082B39">
        <w:trPr>
          <w:trHeight w:val="499"/>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CORREDORES Interconexión -</w:t>
            </w:r>
            <w:proofErr w:type="gramStart"/>
            <w:r w:rsidRPr="00082B39">
              <w:rPr>
                <w:rFonts w:cs="Arial"/>
                <w:b/>
                <w:bCs/>
                <w:sz w:val="18"/>
                <w:szCs w:val="18"/>
              </w:rPr>
              <w:t xml:space="preserve">  </w:t>
            </w:r>
            <w:proofErr w:type="gramEnd"/>
            <w:r w:rsidRPr="00082B39">
              <w:rPr>
                <w:rFonts w:cs="Arial"/>
                <w:b/>
                <w:bCs/>
                <w:sz w:val="18"/>
                <w:szCs w:val="18"/>
              </w:rPr>
              <w:t xml:space="preserve">Alimentadoras </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r>
      <w:tr w:rsidR="00082B39" w:rsidRPr="00082B39" w:rsidTr="00082B39">
        <w:trPr>
          <w:trHeight w:val="499"/>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CORREDORES Interconexión</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L1</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L2</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6,198</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11,180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11,180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L3</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L4</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1,818</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1,818</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Metropolitano </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240"/>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Metropolitano - Alimentadoras</w:t>
            </w:r>
          </w:p>
        </w:tc>
        <w:tc>
          <w:tcPr>
            <w:tcW w:w="912"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68"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0.00%</w:t>
            </w:r>
          </w:p>
        </w:tc>
      </w:tr>
      <w:tr w:rsidR="00082B39" w:rsidRPr="00082B39" w:rsidTr="00082B39">
        <w:trPr>
          <w:trHeight w:val="499"/>
        </w:trPr>
        <w:tc>
          <w:tcPr>
            <w:tcW w:w="1120" w:type="dxa"/>
            <w:vMerge/>
            <w:tcBorders>
              <w:top w:val="nil"/>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tcBorders>
              <w:top w:val="nil"/>
              <w:left w:val="nil"/>
              <w:bottom w:val="single" w:sz="8" w:space="0" w:color="auto"/>
              <w:right w:val="single" w:sz="4" w:space="0" w:color="auto"/>
            </w:tcBorders>
            <w:shd w:val="clear" w:color="171717" w:fill="92D050"/>
            <w:noWrap/>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Total [veh*km]</w:t>
            </w:r>
          </w:p>
        </w:tc>
        <w:tc>
          <w:tcPr>
            <w:tcW w:w="912" w:type="dxa"/>
            <w:tcBorders>
              <w:top w:val="nil"/>
              <w:left w:val="single" w:sz="4" w:space="0" w:color="auto"/>
              <w:bottom w:val="single" w:sz="8" w:space="0" w:color="auto"/>
              <w:right w:val="nil"/>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-86,411</w:t>
            </w:r>
          </w:p>
        </w:tc>
        <w:tc>
          <w:tcPr>
            <w:tcW w:w="968" w:type="dxa"/>
            <w:tcBorders>
              <w:top w:val="nil"/>
              <w:left w:val="nil"/>
              <w:bottom w:val="single" w:sz="8" w:space="0" w:color="auto"/>
              <w:right w:val="nil"/>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-3.18%</w:t>
            </w:r>
          </w:p>
        </w:tc>
        <w:tc>
          <w:tcPr>
            <w:tcW w:w="904" w:type="dxa"/>
            <w:tcBorders>
              <w:top w:val="nil"/>
              <w:left w:val="single" w:sz="4" w:space="0" w:color="auto"/>
              <w:bottom w:val="single" w:sz="8" w:space="0" w:color="auto"/>
              <w:right w:val="nil"/>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-167,011</w:t>
            </w:r>
          </w:p>
        </w:tc>
        <w:tc>
          <w:tcPr>
            <w:tcW w:w="976" w:type="dxa"/>
            <w:tcBorders>
              <w:top w:val="nil"/>
              <w:left w:val="nil"/>
              <w:bottom w:val="single" w:sz="8" w:space="0" w:color="auto"/>
              <w:right w:val="nil"/>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-6.15%</w:t>
            </w:r>
          </w:p>
        </w:tc>
        <w:tc>
          <w:tcPr>
            <w:tcW w:w="904" w:type="dxa"/>
            <w:tcBorders>
              <w:top w:val="nil"/>
              <w:left w:val="single" w:sz="4" w:space="0" w:color="auto"/>
              <w:bottom w:val="single" w:sz="8" w:space="0" w:color="auto"/>
              <w:right w:val="nil"/>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-167,011</w:t>
            </w:r>
          </w:p>
        </w:tc>
        <w:tc>
          <w:tcPr>
            <w:tcW w:w="976" w:type="dxa"/>
            <w:tcBorders>
              <w:top w:val="nil"/>
              <w:left w:val="nil"/>
              <w:bottom w:val="single" w:sz="8" w:space="0" w:color="auto"/>
              <w:right w:val="single" w:sz="4" w:space="0" w:color="auto"/>
            </w:tcBorders>
            <w:shd w:val="clear" w:color="171717" w:fill="92D050"/>
            <w:noWrap/>
            <w:vAlign w:val="center"/>
            <w:hideMark/>
          </w:tcPr>
          <w:p w:rsidR="00082B39" w:rsidRPr="00082B39" w:rsidRDefault="00082B39" w:rsidP="00082B39">
            <w:pPr>
              <w:spacing w:after="0" w:line="240" w:lineRule="auto"/>
              <w:jc w:val="right"/>
              <w:rPr>
                <w:rFonts w:cs="Arial"/>
                <w:b/>
                <w:bCs/>
                <w:sz w:val="18"/>
                <w:szCs w:val="18"/>
              </w:rPr>
            </w:pPr>
            <w:r w:rsidRPr="00082B39">
              <w:rPr>
                <w:rFonts w:cs="Arial"/>
                <w:b/>
                <w:bCs/>
                <w:sz w:val="18"/>
                <w:szCs w:val="18"/>
              </w:rPr>
              <w:t>-6.15%</w:t>
            </w:r>
          </w:p>
        </w:tc>
      </w:tr>
    </w:tbl>
    <w:p w:rsidR="00082B39" w:rsidRPr="001D4B43" w:rsidRDefault="00082B39" w:rsidP="00874D68"/>
    <w:tbl>
      <w:tblPr>
        <w:tblW w:w="9460" w:type="dxa"/>
        <w:tblInd w:w="53" w:type="dxa"/>
        <w:tblCellMar>
          <w:left w:w="70" w:type="dxa"/>
          <w:right w:w="70" w:type="dxa"/>
        </w:tblCellMar>
        <w:tblLook w:val="04A0" w:firstRow="1" w:lastRow="0" w:firstColumn="1" w:lastColumn="0" w:noHBand="0" w:noVBand="1"/>
      </w:tblPr>
      <w:tblGrid>
        <w:gridCol w:w="1120"/>
        <w:gridCol w:w="2700"/>
        <w:gridCol w:w="966"/>
        <w:gridCol w:w="914"/>
        <w:gridCol w:w="904"/>
        <w:gridCol w:w="976"/>
        <w:gridCol w:w="904"/>
        <w:gridCol w:w="976"/>
      </w:tblGrid>
      <w:tr w:rsidR="00082B39" w:rsidRPr="00082B39" w:rsidTr="00082B39">
        <w:trPr>
          <w:trHeight w:val="25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13</w:t>
            </w:r>
            <w:proofErr w:type="gramEnd"/>
            <w:r w:rsidRPr="00082B39">
              <w:rPr>
                <w:rFonts w:cs="Arial"/>
                <w:b/>
                <w:bCs/>
                <w:sz w:val="18"/>
                <w:szCs w:val="18"/>
              </w:rPr>
              <w:t xml:space="preserve"> vs ESC 12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23</w:t>
            </w:r>
            <w:proofErr w:type="gramEnd"/>
            <w:r w:rsidRPr="00082B39">
              <w:rPr>
                <w:rFonts w:cs="Arial"/>
                <w:b/>
                <w:bCs/>
                <w:sz w:val="18"/>
                <w:szCs w:val="18"/>
              </w:rPr>
              <w:t xml:space="preserve"> vs ESC 22</w:t>
            </w:r>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 xml:space="preserve">ESC </w:t>
            </w:r>
            <w:proofErr w:type="gramStart"/>
            <w:r w:rsidRPr="00082B39">
              <w:rPr>
                <w:rFonts w:cs="Arial"/>
                <w:b/>
                <w:bCs/>
                <w:sz w:val="18"/>
                <w:szCs w:val="18"/>
              </w:rPr>
              <w:t>33</w:t>
            </w:r>
            <w:proofErr w:type="gramEnd"/>
            <w:r w:rsidRPr="00082B39">
              <w:rPr>
                <w:rFonts w:cs="Arial"/>
                <w:b/>
                <w:bCs/>
                <w:sz w:val="18"/>
                <w:szCs w:val="18"/>
              </w:rPr>
              <w:t xml:space="preserve"> vs ESC 32</w:t>
            </w:r>
          </w:p>
        </w:tc>
      </w:tr>
      <w:tr w:rsidR="00082B39" w:rsidRPr="00082B39" w:rsidTr="00A00B73">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sz w:val="18"/>
                <w:szCs w:val="18"/>
              </w:rPr>
            </w:pPr>
          </w:p>
        </w:tc>
        <w:tc>
          <w:tcPr>
            <w:tcW w:w="966"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14"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0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76" w:type="dxa"/>
            <w:tcBorders>
              <w:top w:val="single" w:sz="4" w:space="0" w:color="auto"/>
              <w:left w:val="nil"/>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c>
          <w:tcPr>
            <w:tcW w:w="904" w:type="dxa"/>
            <w:tcBorders>
              <w:top w:val="single" w:sz="4" w:space="0" w:color="auto"/>
              <w:left w:val="single" w:sz="4" w:space="0" w:color="auto"/>
              <w:bottom w:val="single" w:sz="8" w:space="0" w:color="auto"/>
              <w:right w:val="nil"/>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VALOR</w:t>
            </w:r>
          </w:p>
        </w:tc>
        <w:tc>
          <w:tcPr>
            <w:tcW w:w="976" w:type="dxa"/>
            <w:tcBorders>
              <w:top w:val="single" w:sz="4" w:space="0" w:color="auto"/>
              <w:left w:val="nil"/>
              <w:bottom w:val="single" w:sz="8"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center"/>
              <w:rPr>
                <w:rFonts w:cs="Arial"/>
                <w:b/>
                <w:bCs/>
                <w:sz w:val="18"/>
                <w:szCs w:val="18"/>
              </w:rPr>
            </w:pPr>
            <w:r w:rsidRPr="00082B39">
              <w:rPr>
                <w:rFonts w:cs="Arial"/>
                <w:b/>
                <w:bCs/>
                <w:sz w:val="18"/>
                <w:szCs w:val="18"/>
              </w:rPr>
              <w:t>%</w:t>
            </w:r>
          </w:p>
        </w:tc>
      </w:tr>
      <w:tr w:rsidR="00082B39" w:rsidRPr="00082B39" w:rsidTr="00A00B73">
        <w:trPr>
          <w:trHeight w:val="499"/>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75923C"/>
            <w:vAlign w:val="center"/>
            <w:hideMark/>
          </w:tcPr>
          <w:p w:rsidR="00082B39" w:rsidRPr="00082B39" w:rsidRDefault="00082B39" w:rsidP="00082B39">
            <w:pPr>
              <w:spacing w:after="0" w:line="240" w:lineRule="auto"/>
              <w:jc w:val="left"/>
              <w:rPr>
                <w:rFonts w:cs="Arial"/>
                <w:b/>
                <w:bCs/>
                <w:color w:val="FFFFFF"/>
                <w:sz w:val="18"/>
                <w:szCs w:val="18"/>
              </w:rPr>
            </w:pPr>
            <w:r w:rsidRPr="00082B39">
              <w:rPr>
                <w:rFonts w:cs="Arial"/>
                <w:b/>
                <w:bCs/>
                <w:color w:val="FFFFFF"/>
                <w:sz w:val="18"/>
                <w:szCs w:val="18"/>
              </w:rPr>
              <w:t>Viajeros (Pùblico)*</w:t>
            </w:r>
          </w:p>
        </w:tc>
        <w:tc>
          <w:tcPr>
            <w:tcW w:w="2700" w:type="dxa"/>
            <w:tcBorders>
              <w:top w:val="single" w:sz="4" w:space="0" w:color="auto"/>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Camioneta rural </w:t>
            </w:r>
          </w:p>
        </w:tc>
        <w:tc>
          <w:tcPr>
            <w:tcW w:w="966" w:type="dxa"/>
            <w:tcBorders>
              <w:top w:val="single" w:sz="4" w:space="0" w:color="auto"/>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14" w:type="dxa"/>
            <w:tcBorders>
              <w:top w:val="single" w:sz="4" w:space="0" w:color="auto"/>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single" w:sz="8" w:space="0" w:color="auto"/>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single" w:sz="8" w:space="0" w:color="auto"/>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single" w:sz="4" w:space="0" w:color="auto"/>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single" w:sz="4" w:space="0" w:color="auto"/>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A00B73">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Microbus </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single" w:sz="4" w:space="0" w:color="auto"/>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single" w:sz="4" w:space="0" w:color="auto"/>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082B3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SERVICIOS CONVENCIONALES - Omnibus </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149,159</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-57,863</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-0.73%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-86,124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-0.96%</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1 -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-15,416</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-1.31%</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-46,792</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-3.60%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-62,674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-3.93%</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1</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-19,308</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-1.69%</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-85,345</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-6.67%</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-103,454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-7.00%</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2 -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5,848</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10,342</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3.23%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16,014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4.21%</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2</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12,694</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3.98%</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-5,450</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-1.69%</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-17,105</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-4.65%</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3 -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8,558</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2.03%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554</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0.12%</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2,428</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0.45%</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3</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9,611</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3.80%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4,471</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1.56%</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-3,024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-0.90%</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4 -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14,327</w:t>
            </w:r>
          </w:p>
        </w:tc>
        <w:tc>
          <w:tcPr>
            <w:tcW w:w="914"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2.02%</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36,314</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4.87%</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-5,792</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-0.69%</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4</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712</w:t>
            </w:r>
          </w:p>
        </w:tc>
        <w:tc>
          <w:tcPr>
            <w:tcW w:w="914"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0.11%</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-55,764</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-8.21%</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-63,519</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-8.44%</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5 -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192,952</w:t>
            </w:r>
          </w:p>
        </w:tc>
        <w:tc>
          <w:tcPr>
            <w:tcW w:w="914"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21.70%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199,899</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21.28%</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227,762</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19.69%</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 5</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-645,466</w:t>
            </w:r>
          </w:p>
        </w:tc>
        <w:tc>
          <w:tcPr>
            <w:tcW w:w="914"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-88.17%</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-768,064</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-100.00%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-866,019</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bCs/>
                <w:sz w:val="18"/>
                <w:szCs w:val="18"/>
              </w:rPr>
            </w:pPr>
            <w:r w:rsidRPr="00A27C51">
              <w:rPr>
                <w:rFonts w:cs="Arial"/>
                <w:bCs/>
                <w:sz w:val="18"/>
                <w:szCs w:val="18"/>
              </w:rPr>
              <w:t>-100.00%</w:t>
            </w:r>
          </w:p>
        </w:tc>
      </w:tr>
      <w:tr w:rsidR="00082B39" w:rsidRPr="00082B39" w:rsidTr="00082B3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CORREDORES Interconexión -</w:t>
            </w:r>
            <w:proofErr w:type="gramStart"/>
            <w:r w:rsidRPr="00082B39">
              <w:rPr>
                <w:rFonts w:cs="Arial"/>
                <w:b/>
                <w:bCs/>
                <w:sz w:val="18"/>
                <w:szCs w:val="18"/>
              </w:rPr>
              <w:t xml:space="preserve">  </w:t>
            </w:r>
            <w:proofErr w:type="gramEnd"/>
            <w:r w:rsidRPr="00082B39">
              <w:rPr>
                <w:rFonts w:cs="Arial"/>
                <w:b/>
                <w:bCs/>
                <w:sz w:val="18"/>
                <w:szCs w:val="18"/>
              </w:rPr>
              <w:t xml:space="preserve">Alimentadoras </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8,000</w:t>
            </w:r>
          </w:p>
        </w:tc>
        <w:tc>
          <w:tcPr>
            <w:tcW w:w="914"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1.63%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-2,337</w:t>
            </w:r>
          </w:p>
        </w:tc>
        <w:tc>
          <w:tcPr>
            <w:tcW w:w="976" w:type="dxa"/>
            <w:tcBorders>
              <w:top w:val="nil"/>
              <w:left w:val="nil"/>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-0.48%</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1,724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A27C51" w:rsidRDefault="00082B39" w:rsidP="00082B39">
            <w:pPr>
              <w:spacing w:after="0" w:line="240" w:lineRule="auto"/>
              <w:jc w:val="right"/>
              <w:rPr>
                <w:rFonts w:cs="Arial"/>
                <w:sz w:val="18"/>
                <w:szCs w:val="18"/>
              </w:rPr>
            </w:pPr>
            <w:r w:rsidRPr="00A27C51">
              <w:rPr>
                <w:rFonts w:cs="Arial"/>
                <w:sz w:val="18"/>
                <w:szCs w:val="18"/>
              </w:rPr>
              <w:t>0.32%</w:t>
            </w:r>
          </w:p>
        </w:tc>
      </w:tr>
      <w:tr w:rsidR="00082B39" w:rsidRPr="00082B39" w:rsidTr="00082B3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CORREDORES Interconexión</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1,973</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0.15%</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-70,143</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-5.17%</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-66,749</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-4.53%</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L1</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98,869</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16.67%</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250,052</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51.23%</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308,134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54.52%</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L2</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304,448</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586,692</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703,694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L3</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Tren eléctrico L4</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color w:val="C5C5C5"/>
                <w:sz w:val="18"/>
                <w:szCs w:val="18"/>
              </w:rPr>
            </w:pPr>
            <w:r w:rsidRPr="00082B39">
              <w:rPr>
                <w:rFonts w:cs="Arial"/>
                <w:color w:val="C5C5C5"/>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75,654</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99,233</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proofErr w:type="gramStart"/>
            <w:r w:rsidRPr="00082B39">
              <w:rPr>
                <w:rFonts w:cs="Arial"/>
                <w:sz w:val="18"/>
                <w:szCs w:val="18"/>
              </w:rPr>
              <w:t>n.a</w:t>
            </w:r>
            <w:proofErr w:type="gramEnd"/>
            <w:r w:rsidRPr="00082B39">
              <w:rPr>
                <w:rFonts w:cs="Arial"/>
                <w:sz w:val="18"/>
                <w:szCs w:val="18"/>
              </w:rPr>
              <w:t>.</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 xml:space="preserve">Metropolitano </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5,170</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0.50%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-11,545</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-1.28%</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-22,760</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-2.47%</w:t>
            </w:r>
          </w:p>
        </w:tc>
      </w:tr>
      <w:tr w:rsidR="00082B39" w:rsidRPr="00082B39" w:rsidTr="00082B39">
        <w:trPr>
          <w:trHeight w:val="240"/>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082B39" w:rsidRPr="00082B39" w:rsidRDefault="00082B39" w:rsidP="00082B39">
            <w:pPr>
              <w:spacing w:after="0" w:line="240" w:lineRule="auto"/>
              <w:jc w:val="left"/>
              <w:rPr>
                <w:rFonts w:cs="Arial"/>
                <w:b/>
                <w:bCs/>
                <w:sz w:val="18"/>
                <w:szCs w:val="18"/>
              </w:rPr>
            </w:pPr>
            <w:r w:rsidRPr="00082B39">
              <w:rPr>
                <w:rFonts w:cs="Arial"/>
                <w:b/>
                <w:bCs/>
                <w:sz w:val="18"/>
                <w:szCs w:val="18"/>
              </w:rPr>
              <w:t>Metropolitano - Alimentadoras</w:t>
            </w:r>
          </w:p>
        </w:tc>
        <w:tc>
          <w:tcPr>
            <w:tcW w:w="966"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-1,848</w:t>
            </w:r>
          </w:p>
        </w:tc>
        <w:tc>
          <w:tcPr>
            <w:tcW w:w="914"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-0.21%</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-3,507</w:t>
            </w:r>
          </w:p>
        </w:tc>
        <w:tc>
          <w:tcPr>
            <w:tcW w:w="976" w:type="dxa"/>
            <w:tcBorders>
              <w:top w:val="nil"/>
              <w:left w:val="nil"/>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-0.40%</w:t>
            </w:r>
          </w:p>
        </w:tc>
        <w:tc>
          <w:tcPr>
            <w:tcW w:w="904" w:type="dxa"/>
            <w:tcBorders>
              <w:top w:val="nil"/>
              <w:left w:val="single" w:sz="4" w:space="0" w:color="auto"/>
              <w:bottom w:val="single" w:sz="4" w:space="0" w:color="auto"/>
              <w:right w:val="nil"/>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-9,254</w:t>
            </w:r>
          </w:p>
        </w:tc>
        <w:tc>
          <w:tcPr>
            <w:tcW w:w="976" w:type="dxa"/>
            <w:tcBorders>
              <w:top w:val="nil"/>
              <w:left w:val="nil"/>
              <w:bottom w:val="single" w:sz="4" w:space="0" w:color="auto"/>
              <w:right w:val="single" w:sz="4" w:space="0" w:color="auto"/>
            </w:tcBorders>
            <w:shd w:val="clear" w:color="171717" w:fill="FFFFFF"/>
            <w:noWrap/>
            <w:vAlign w:val="center"/>
            <w:hideMark/>
          </w:tcPr>
          <w:p w:rsidR="00082B39" w:rsidRPr="00082B39" w:rsidRDefault="00082B39" w:rsidP="00082B39">
            <w:pPr>
              <w:spacing w:after="0" w:line="240" w:lineRule="auto"/>
              <w:jc w:val="right"/>
              <w:rPr>
                <w:rFonts w:cs="Arial"/>
                <w:sz w:val="18"/>
                <w:szCs w:val="18"/>
              </w:rPr>
            </w:pPr>
            <w:r w:rsidRPr="00082B39">
              <w:rPr>
                <w:rFonts w:cs="Arial"/>
                <w:sz w:val="18"/>
                <w:szCs w:val="18"/>
              </w:rPr>
              <w:t>-0.94%</w:t>
            </w:r>
          </w:p>
        </w:tc>
      </w:tr>
      <w:tr w:rsidR="00082B39" w:rsidRPr="00082B39" w:rsidTr="00082B39">
        <w:trPr>
          <w:trHeight w:val="499"/>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082B39" w:rsidRPr="00082B39" w:rsidRDefault="00082B39" w:rsidP="00082B39">
            <w:pPr>
              <w:spacing w:after="0" w:line="240" w:lineRule="auto"/>
              <w:jc w:val="left"/>
              <w:rPr>
                <w:rFonts w:cs="Arial"/>
                <w:b/>
                <w:bCs/>
                <w:color w:val="FFFFFF"/>
                <w:sz w:val="18"/>
                <w:szCs w:val="18"/>
              </w:rPr>
            </w:pPr>
          </w:p>
        </w:tc>
        <w:tc>
          <w:tcPr>
            <w:tcW w:w="2700" w:type="dxa"/>
            <w:tcBorders>
              <w:top w:val="nil"/>
              <w:left w:val="nil"/>
              <w:bottom w:val="single" w:sz="8" w:space="0" w:color="auto"/>
              <w:right w:val="single" w:sz="4" w:space="0" w:color="auto"/>
            </w:tcBorders>
            <w:shd w:val="clear" w:color="171717" w:fill="75923C"/>
            <w:noWrap/>
            <w:vAlign w:val="center"/>
            <w:hideMark/>
          </w:tcPr>
          <w:p w:rsidR="00082B39" w:rsidRPr="00082B39" w:rsidRDefault="00082B39" w:rsidP="00082B39">
            <w:pPr>
              <w:spacing w:after="0" w:line="240" w:lineRule="auto"/>
              <w:jc w:val="left"/>
              <w:rPr>
                <w:rFonts w:cs="Arial"/>
                <w:b/>
                <w:bCs/>
                <w:color w:val="FFFFFF"/>
                <w:sz w:val="18"/>
                <w:szCs w:val="18"/>
              </w:rPr>
            </w:pPr>
            <w:r w:rsidRPr="00082B39">
              <w:rPr>
                <w:rFonts w:cs="Arial"/>
                <w:b/>
                <w:bCs/>
                <w:color w:val="FFFFFF"/>
                <w:sz w:val="18"/>
                <w:szCs w:val="18"/>
              </w:rPr>
              <w:t>Total [pax]</w:t>
            </w:r>
          </w:p>
        </w:tc>
        <w:tc>
          <w:tcPr>
            <w:tcW w:w="966" w:type="dxa"/>
            <w:tcBorders>
              <w:top w:val="nil"/>
              <w:left w:val="single" w:sz="4" w:space="0" w:color="auto"/>
              <w:bottom w:val="single" w:sz="8" w:space="0" w:color="auto"/>
              <w:right w:val="nil"/>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130,283</w:t>
            </w:r>
          </w:p>
        </w:tc>
        <w:tc>
          <w:tcPr>
            <w:tcW w:w="914" w:type="dxa"/>
            <w:tcBorders>
              <w:top w:val="nil"/>
              <w:left w:val="nil"/>
              <w:bottom w:val="single" w:sz="8" w:space="0" w:color="auto"/>
              <w:right w:val="nil"/>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0.70%</w:t>
            </w:r>
          </w:p>
        </w:tc>
        <w:tc>
          <w:tcPr>
            <w:tcW w:w="904" w:type="dxa"/>
            <w:tcBorders>
              <w:top w:val="nil"/>
              <w:left w:val="single" w:sz="4" w:space="0" w:color="auto"/>
              <w:bottom w:val="single" w:sz="8" w:space="0" w:color="auto"/>
              <w:right w:val="nil"/>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57,166</w:t>
            </w:r>
          </w:p>
        </w:tc>
        <w:tc>
          <w:tcPr>
            <w:tcW w:w="976" w:type="dxa"/>
            <w:tcBorders>
              <w:top w:val="nil"/>
              <w:left w:val="nil"/>
              <w:bottom w:val="single" w:sz="8" w:space="0" w:color="auto"/>
              <w:right w:val="nil"/>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0.30%</w:t>
            </w:r>
          </w:p>
        </w:tc>
        <w:tc>
          <w:tcPr>
            <w:tcW w:w="904" w:type="dxa"/>
            <w:tcBorders>
              <w:top w:val="nil"/>
              <w:left w:val="single" w:sz="4" w:space="0" w:color="auto"/>
              <w:bottom w:val="single" w:sz="8" w:space="0" w:color="auto"/>
              <w:right w:val="nil"/>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52,514</w:t>
            </w:r>
          </w:p>
        </w:tc>
        <w:tc>
          <w:tcPr>
            <w:tcW w:w="976" w:type="dxa"/>
            <w:tcBorders>
              <w:top w:val="nil"/>
              <w:left w:val="nil"/>
              <w:bottom w:val="single" w:sz="8" w:space="0" w:color="auto"/>
              <w:right w:val="single" w:sz="4" w:space="0" w:color="auto"/>
            </w:tcBorders>
            <w:shd w:val="clear" w:color="171717" w:fill="75923C"/>
            <w:noWrap/>
            <w:vAlign w:val="center"/>
            <w:hideMark/>
          </w:tcPr>
          <w:p w:rsidR="00082B39" w:rsidRPr="00082B39" w:rsidRDefault="00082B39" w:rsidP="00082B39">
            <w:pPr>
              <w:spacing w:after="0" w:line="240" w:lineRule="auto"/>
              <w:jc w:val="right"/>
              <w:rPr>
                <w:rFonts w:cs="Arial"/>
                <w:b/>
                <w:bCs/>
                <w:color w:val="FFFFFF"/>
                <w:sz w:val="18"/>
                <w:szCs w:val="18"/>
              </w:rPr>
            </w:pPr>
            <w:r w:rsidRPr="00082B39">
              <w:rPr>
                <w:rFonts w:cs="Arial"/>
                <w:b/>
                <w:bCs/>
                <w:color w:val="FFFFFF"/>
                <w:sz w:val="18"/>
                <w:szCs w:val="18"/>
              </w:rPr>
              <w:t>0.24%</w:t>
            </w:r>
          </w:p>
        </w:tc>
      </w:tr>
    </w:tbl>
    <w:p w:rsidR="00874D68" w:rsidRDefault="00874D68" w:rsidP="00874D68"/>
    <w:p w:rsidR="00C50025" w:rsidRPr="008D1E8C" w:rsidRDefault="00C50025" w:rsidP="00C50025">
      <w:pPr>
        <w:rPr>
          <w:lang w:val="es-ES"/>
        </w:rPr>
      </w:pPr>
      <w:r w:rsidRPr="008D1E8C">
        <w:rPr>
          <w:lang w:val="es-ES"/>
        </w:rPr>
        <w:t xml:space="preserve">Los impactos se miden sustancialmente en términos de tráfico de pasajeros ya que la producción kilometrica literalmente sigue la activación / desactivación de los servicios que caracterizan a los escenarios </w:t>
      </w:r>
      <w:r>
        <w:rPr>
          <w:lang w:val="es-ES"/>
        </w:rPr>
        <w:t>implementados</w:t>
      </w:r>
      <w:r w:rsidRPr="008D1E8C">
        <w:rPr>
          <w:lang w:val="es-ES"/>
        </w:rPr>
        <w:t>.</w:t>
      </w:r>
    </w:p>
    <w:p w:rsidR="00C50025" w:rsidRPr="00C50025" w:rsidRDefault="00C50025" w:rsidP="00C50025">
      <w:pPr>
        <w:rPr>
          <w:lang w:val="es-ES"/>
        </w:rPr>
      </w:pPr>
      <w:r w:rsidRPr="008D1E8C">
        <w:rPr>
          <w:lang w:val="es-ES"/>
        </w:rPr>
        <w:t xml:space="preserve">De hecho, </w:t>
      </w:r>
      <w:r>
        <w:rPr>
          <w:lang w:val="es-ES"/>
        </w:rPr>
        <w:t>hay</w:t>
      </w:r>
      <w:r w:rsidRPr="008D1E8C">
        <w:rPr>
          <w:lang w:val="es-ES"/>
        </w:rPr>
        <w:t xml:space="preserve"> que la diferencia sustancial en términos de producción kilometrica se produce en la desactivación de servicios</w:t>
      </w:r>
      <w:r>
        <w:rPr>
          <w:lang w:val="es-ES"/>
        </w:rPr>
        <w:t xml:space="preserve"> en el tramo troncal relacionado</w:t>
      </w:r>
      <w:r w:rsidRPr="008D1E8C">
        <w:rPr>
          <w:lang w:val="es-ES"/>
        </w:rPr>
        <w:t xml:space="preserve"> con </w:t>
      </w:r>
      <w:r>
        <w:rPr>
          <w:lang w:val="es-ES"/>
        </w:rPr>
        <w:t xml:space="preserve">el </w:t>
      </w:r>
      <w:r w:rsidRPr="008D1E8C">
        <w:rPr>
          <w:lang w:val="es-ES"/>
        </w:rPr>
        <w:t xml:space="preserve">Corredor 5 que tiene </w:t>
      </w:r>
      <w:r w:rsidRPr="00C50025">
        <w:rPr>
          <w:lang w:val="es-ES"/>
        </w:rPr>
        <w:t>lugar en manera parcial en el año 2018 y total a partir de 2020.</w:t>
      </w:r>
    </w:p>
    <w:p w:rsidR="00C50025" w:rsidRPr="00C50025" w:rsidRDefault="00C50025" w:rsidP="00C50025">
      <w:pPr>
        <w:rPr>
          <w:lang w:val="es-ES"/>
        </w:rPr>
      </w:pPr>
      <w:r w:rsidRPr="00C50025">
        <w:rPr>
          <w:lang w:val="es-ES"/>
        </w:rPr>
        <w:t>Teniendo en cuenta esta reducción se produce el incremento de la producción relativo a la Línea 2 y al tramo San José-Gambeta de la Línea 4.</w:t>
      </w:r>
    </w:p>
    <w:p w:rsidR="00C50025" w:rsidRPr="00C50025" w:rsidRDefault="00C50025" w:rsidP="00C50025">
      <w:pPr>
        <w:rPr>
          <w:lang w:val="es-ES"/>
        </w:rPr>
      </w:pPr>
      <w:r w:rsidRPr="00C50025">
        <w:rPr>
          <w:lang w:val="es-ES"/>
        </w:rPr>
        <w:t>En terminos de viajeros, hay los elementos más interesantes:</w:t>
      </w:r>
    </w:p>
    <w:p w:rsidR="00C50025" w:rsidRPr="00C50025" w:rsidRDefault="00C50025" w:rsidP="00C50025">
      <w:pPr>
        <w:pStyle w:val="ListParagraph"/>
        <w:numPr>
          <w:ilvl w:val="0"/>
          <w:numId w:val="73"/>
        </w:numPr>
        <w:rPr>
          <w:lang w:val="es-ES"/>
        </w:rPr>
      </w:pPr>
      <w:r w:rsidRPr="00C50025">
        <w:rPr>
          <w:lang w:val="es-ES"/>
        </w:rPr>
        <w:t>2018 – la activación del primer tramo de la Línea 2 conduce a un aumento de más del 20% de los alimentadores del Corredor 5 que, para simplificar el modelado, funciona como alimentador del Tren Eléctrico. Por encima de todo, sin embargo, hay un aumento de 16,67% de los valores para la Línea 1 de Tren Eléctrico. Los valores restantes son iguales.</w:t>
      </w:r>
    </w:p>
    <w:p w:rsidR="00C50025" w:rsidRPr="00C50025" w:rsidRDefault="00C50025" w:rsidP="00C50025">
      <w:pPr>
        <w:pStyle w:val="ListParagraph"/>
        <w:numPr>
          <w:ilvl w:val="0"/>
          <w:numId w:val="73"/>
        </w:numPr>
        <w:rPr>
          <w:lang w:val="es-ES"/>
        </w:rPr>
      </w:pPr>
      <w:r w:rsidRPr="00C50025">
        <w:rPr>
          <w:lang w:val="es-ES"/>
        </w:rPr>
        <w:t>2020 - con la activación de toda la línea, el aumento sobre los alimentadores del Corredor 5 permanece esencialmente sin cambios, aproximadamente al 20%, mientras que hubo un aumento significativo (51,23% en comparación con la condición sin el proyecto y + 6,68 comparado con el valor de proyecto de 2018) para la Linea 1 del Tren Electrico. Los pasajeros del Metropolitano han una ligera disminución.</w:t>
      </w:r>
    </w:p>
    <w:p w:rsidR="00C50025" w:rsidRPr="00C50025" w:rsidRDefault="00C50025" w:rsidP="00874D68">
      <w:pPr>
        <w:pStyle w:val="ListParagraph"/>
        <w:numPr>
          <w:ilvl w:val="0"/>
          <w:numId w:val="73"/>
        </w:numPr>
        <w:rPr>
          <w:lang w:val="es-ES"/>
        </w:rPr>
      </w:pPr>
      <w:r w:rsidRPr="00C50025">
        <w:rPr>
          <w:lang w:val="es-ES"/>
        </w:rPr>
        <w:t>2030 – la situación es similar a la de 2020, con un incremento del 54,52% en comparación con el escenario sin la Línea 2 y un aumento del 18% con respecto a la configuración equivalente para el año 2020. Los pasajeros del Metropolitano sufren un ligero descenso.</w:t>
      </w:r>
    </w:p>
    <w:p w:rsidR="00C50025" w:rsidRPr="00C50025" w:rsidRDefault="00C50025" w:rsidP="00C50025">
      <w:pPr>
        <w:rPr>
          <w:lang w:val="es-ES"/>
        </w:rPr>
      </w:pPr>
      <w:r w:rsidRPr="00C50025">
        <w:rPr>
          <w:lang w:val="es-ES"/>
        </w:rPr>
        <w:t>En esencia, se puede concluir que la presencia de la Línea 2 tiene una gran influencia con signo positivo sobre los alimentadores del corredor 5 y sobre la Línea 1 del Tren Eléctrico.</w:t>
      </w:r>
    </w:p>
    <w:p w:rsidR="00570C47" w:rsidRPr="00C50025" w:rsidRDefault="00C50025" w:rsidP="00C50025">
      <w:pPr>
        <w:rPr>
          <w:lang w:val="es-ES"/>
        </w:rPr>
      </w:pPr>
      <w:r w:rsidRPr="00C50025">
        <w:rPr>
          <w:lang w:val="es-ES"/>
        </w:rPr>
        <w:t>La</w:t>
      </w:r>
      <w:r w:rsidRPr="00E73475">
        <w:rPr>
          <w:lang w:val="es-ES"/>
        </w:rPr>
        <w:t xml:space="preserve"> reducc</w:t>
      </w:r>
      <w:r>
        <w:rPr>
          <w:lang w:val="es-ES"/>
        </w:rPr>
        <w:t>ión de destancias y viajeros de s</w:t>
      </w:r>
      <w:r w:rsidRPr="00E73475">
        <w:rPr>
          <w:lang w:val="es-ES"/>
        </w:rPr>
        <w:t xml:space="preserve">ervicios convencionales no se siente </w:t>
      </w:r>
      <w:r>
        <w:rPr>
          <w:lang w:val="es-ES"/>
        </w:rPr>
        <w:t>aquí porque ya está en la introducción del sistema de c</w:t>
      </w:r>
      <w:r w:rsidRPr="00E73475">
        <w:rPr>
          <w:lang w:val="es-ES"/>
        </w:rPr>
        <w:t xml:space="preserve">orredores independientemente de la presencia de la Línea 2 del metro. En las tablas de los apartados </w:t>
      </w:r>
      <w:r>
        <w:rPr>
          <w:lang w:val="es-ES"/>
        </w:rPr>
        <w:t xml:space="preserve">de </w:t>
      </w:r>
      <w:r w:rsidRPr="00E73475">
        <w:rPr>
          <w:lang w:val="es-ES"/>
        </w:rPr>
        <w:t xml:space="preserve">4.7.1 a 4.7.10 </w:t>
      </w:r>
      <w:r>
        <w:rPr>
          <w:lang w:val="es-ES"/>
        </w:rPr>
        <w:t>son contenidos</w:t>
      </w:r>
      <w:r w:rsidRPr="00E73475">
        <w:rPr>
          <w:lang w:val="es-ES"/>
        </w:rPr>
        <w:t xml:space="preserve"> los datos para un</w:t>
      </w:r>
      <w:r>
        <w:rPr>
          <w:lang w:val="es-ES"/>
        </w:rPr>
        <w:t>a</w:t>
      </w:r>
      <w:r w:rsidRPr="00E73475">
        <w:rPr>
          <w:lang w:val="es-ES"/>
        </w:rPr>
        <w:t xml:space="preserve"> posible </w:t>
      </w:r>
      <w:r>
        <w:rPr>
          <w:lang w:val="es-ES"/>
        </w:rPr>
        <w:t xml:space="preserve">comparación entre los escenarios X.2  y los escenarios X.1 de </w:t>
      </w:r>
      <w:r w:rsidRPr="00E73475">
        <w:rPr>
          <w:lang w:val="es-ES"/>
        </w:rPr>
        <w:t>que es evidente el impacto de la introducción de nuevos servicios en lugar de los actual</w:t>
      </w:r>
      <w:r>
        <w:rPr>
          <w:lang w:val="es-ES"/>
        </w:rPr>
        <w:t>es</w:t>
      </w:r>
      <w:r w:rsidRPr="00E73475">
        <w:rPr>
          <w:lang w:val="es-ES"/>
        </w:rPr>
        <w:t>.</w:t>
      </w:r>
      <w:r w:rsidR="00570C47" w:rsidRPr="00C50025">
        <w:rPr>
          <w:lang w:val="es-ES"/>
        </w:rPr>
        <w:br w:type="page"/>
      </w:r>
    </w:p>
    <w:p w:rsidR="005B7BB9" w:rsidRPr="00595A65" w:rsidRDefault="005B7BB9" w:rsidP="005B7BB9">
      <w:pPr>
        <w:rPr>
          <w:lang w:val="es-ES"/>
        </w:rPr>
      </w:pPr>
      <w:r w:rsidRPr="00595A65">
        <w:rPr>
          <w:lang w:val="es-ES"/>
        </w:rPr>
        <w:lastRenderedPageBreak/>
        <w:t>A continuación se muestra una tabla con la comparación entre los escenarios</w:t>
      </w:r>
      <w:r>
        <w:rPr>
          <w:lang w:val="es-ES"/>
        </w:rPr>
        <w:t xml:space="preserve"> pesimistas</w:t>
      </w:r>
      <w:r w:rsidRPr="00595A65">
        <w:rPr>
          <w:lang w:val="es-ES"/>
        </w:rPr>
        <w:t xml:space="preserve"> en con</w:t>
      </w:r>
      <w:r>
        <w:rPr>
          <w:lang w:val="es-ES"/>
        </w:rPr>
        <w:t>tra de los escenarios de</w:t>
      </w:r>
      <w:r w:rsidRPr="00595A65">
        <w:rPr>
          <w:lang w:val="es-ES"/>
        </w:rPr>
        <w:t xml:space="preserve"> DO</w:t>
      </w:r>
      <w:r>
        <w:rPr>
          <w:lang w:val="es-ES"/>
        </w:rPr>
        <w:t xml:space="preserve"> </w:t>
      </w:r>
      <w:r w:rsidRPr="00595A65">
        <w:rPr>
          <w:lang w:val="es-ES"/>
        </w:rPr>
        <w:t>NOTHING.</w:t>
      </w:r>
    </w:p>
    <w:p w:rsidR="005B7BB9" w:rsidRPr="00595A65" w:rsidRDefault="005B7BB9" w:rsidP="005B7BB9">
      <w:pPr>
        <w:rPr>
          <w:lang w:val="es-ES"/>
        </w:rPr>
      </w:pPr>
      <w:r w:rsidRPr="00595A65">
        <w:rPr>
          <w:lang w:val="es-ES"/>
        </w:rPr>
        <w:t>Los escenarios pesimistas se construyeron sobre la base de los escenarios DONOTHING con algunas pequeñas variaciones en el sistema de Rutas necesaria</w:t>
      </w:r>
      <w:r>
        <w:rPr>
          <w:lang w:val="es-ES"/>
        </w:rPr>
        <w:t>s  a la</w:t>
      </w:r>
      <w:r w:rsidRPr="00595A65">
        <w:rPr>
          <w:lang w:val="es-ES"/>
        </w:rPr>
        <w:t xml:space="preserve"> eliminación de aquellos con alta super</w:t>
      </w:r>
      <w:r>
        <w:rPr>
          <w:lang w:val="es-ES"/>
        </w:rPr>
        <w:t xml:space="preserve">posición con el nuevo eje de </w:t>
      </w:r>
      <w:r w:rsidRPr="00595A65">
        <w:rPr>
          <w:lang w:val="es-ES"/>
        </w:rPr>
        <w:t>fuerza. Los detalles se pueden encontrar en la sección 4,8.</w:t>
      </w:r>
    </w:p>
    <w:p w:rsidR="005B7BB9" w:rsidRDefault="005B7BB9" w:rsidP="005B7BB9">
      <w:pPr>
        <w:rPr>
          <w:lang w:val="es-ES"/>
        </w:rPr>
      </w:pPr>
      <w:r w:rsidRPr="00595A65">
        <w:rPr>
          <w:lang w:val="es-ES"/>
        </w:rPr>
        <w:t>Con las comparaciones que siguen se mide el impacto de la introducción de la Línea 2 del Tren Eléctrico en caso de no aplicación del s</w:t>
      </w:r>
      <w:r>
        <w:rPr>
          <w:lang w:val="es-ES"/>
        </w:rPr>
        <w:t>istema de corredores creado</w:t>
      </w:r>
      <w:r w:rsidRPr="00595A65">
        <w:rPr>
          <w:lang w:val="es-ES"/>
        </w:rPr>
        <w:t xml:space="preserve"> por PORTRANSPORTE.</w:t>
      </w:r>
    </w:p>
    <w:p w:rsidR="005B7BB9" w:rsidRPr="00595A65" w:rsidRDefault="005B7BB9" w:rsidP="005B7BB9">
      <w:pPr>
        <w:rPr>
          <w:lang w:val="es-ES"/>
        </w:rPr>
      </w:pPr>
    </w:p>
    <w:p w:rsidR="00082B39" w:rsidRDefault="00A27C51" w:rsidP="00A27C51">
      <w:pPr>
        <w:pStyle w:val="Figuras"/>
      </w:pPr>
      <w:r w:rsidRPr="005B5804">
        <w:rPr>
          <w:noProof/>
        </w:rPr>
        <w:t>Tabla 4.</w:t>
      </w:r>
      <w:r>
        <w:rPr>
          <w:noProof/>
        </w:rPr>
        <w:t>10</w:t>
      </w:r>
      <w:r w:rsidRPr="005B5804">
        <w:rPr>
          <w:noProof/>
        </w:rPr>
        <w:t xml:space="preserve"> – </w:t>
      </w:r>
      <w:r>
        <w:rPr>
          <w:noProof/>
        </w:rPr>
        <w:t>2</w:t>
      </w:r>
      <w:r w:rsidRPr="005B5804">
        <w:rPr>
          <w:noProof/>
        </w:rPr>
        <w:t xml:space="preserve"> (serie)</w:t>
      </w:r>
      <w:r w:rsidRPr="005B5804">
        <w:t xml:space="preserve">: </w:t>
      </w:r>
      <w:r>
        <w:t>comparación de resultados entre los escenarios Pesimistas y los escenarios DoNothing</w:t>
      </w:r>
    </w:p>
    <w:tbl>
      <w:tblPr>
        <w:tblW w:w="0" w:type="auto"/>
        <w:tblInd w:w="53" w:type="dxa"/>
        <w:tblLayout w:type="fixed"/>
        <w:tblCellMar>
          <w:left w:w="70" w:type="dxa"/>
          <w:right w:w="70" w:type="dxa"/>
        </w:tblCellMar>
        <w:tblLook w:val="04A0" w:firstRow="1" w:lastRow="0" w:firstColumn="1" w:lastColumn="0" w:noHBand="0" w:noVBand="1"/>
      </w:tblPr>
      <w:tblGrid>
        <w:gridCol w:w="1120"/>
        <w:gridCol w:w="2700"/>
        <w:gridCol w:w="984"/>
        <w:gridCol w:w="896"/>
        <w:gridCol w:w="984"/>
        <w:gridCol w:w="896"/>
        <w:gridCol w:w="984"/>
        <w:gridCol w:w="896"/>
      </w:tblGrid>
      <w:tr w:rsidR="00A27C51" w:rsidRPr="00A27C51" w:rsidTr="00A27C51">
        <w:trPr>
          <w:trHeight w:val="31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13_P vs ESC </w:t>
            </w:r>
            <w:proofErr w:type="gramStart"/>
            <w:r w:rsidRPr="00A27C51">
              <w:rPr>
                <w:rFonts w:ascii="Arial Narrow" w:hAnsi="Arial Narrow" w:cs="Arial"/>
                <w:b/>
                <w:bCs/>
                <w:sz w:val="18"/>
                <w:szCs w:val="18"/>
              </w:rPr>
              <w:t>11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23_P vs ESC </w:t>
            </w:r>
            <w:proofErr w:type="gramStart"/>
            <w:r w:rsidRPr="00A27C51">
              <w:rPr>
                <w:rFonts w:ascii="Arial Narrow" w:hAnsi="Arial Narrow" w:cs="Arial"/>
                <w:b/>
                <w:bCs/>
                <w:sz w:val="18"/>
                <w:szCs w:val="18"/>
              </w:rPr>
              <w:t>21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33_P vs ESC </w:t>
            </w:r>
            <w:proofErr w:type="gramStart"/>
            <w:r w:rsidRPr="00A27C51">
              <w:rPr>
                <w:rFonts w:ascii="Arial Narrow" w:hAnsi="Arial Narrow" w:cs="Arial"/>
                <w:b/>
                <w:bCs/>
                <w:sz w:val="18"/>
                <w:szCs w:val="18"/>
              </w:rPr>
              <w:t>31</w:t>
            </w:r>
            <w:proofErr w:type="gramEnd"/>
          </w:p>
        </w:tc>
      </w:tr>
      <w:tr w:rsidR="00A27C51" w:rsidRPr="00A27C51" w:rsidTr="00A27C51">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984"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896"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84"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896"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84"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896" w:type="dxa"/>
            <w:tcBorders>
              <w:top w:val="single" w:sz="4" w:space="0" w:color="auto"/>
              <w:left w:val="nil"/>
              <w:bottom w:val="single" w:sz="8"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r>
      <w:tr w:rsidR="00A27C51" w:rsidRPr="00A27C51" w:rsidTr="00A27C51">
        <w:trPr>
          <w:trHeight w:val="240"/>
        </w:trPr>
        <w:tc>
          <w:tcPr>
            <w:tcW w:w="1120" w:type="dxa"/>
            <w:vMerge w:val="restart"/>
            <w:tcBorders>
              <w:top w:val="nil"/>
              <w:left w:val="single" w:sz="4" w:space="0" w:color="auto"/>
              <w:bottom w:val="single" w:sz="4" w:space="0" w:color="auto"/>
              <w:right w:val="single" w:sz="4" w:space="0" w:color="auto"/>
            </w:tcBorders>
            <w:shd w:val="clear" w:color="171717" w:fill="DBE5F1"/>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Matrices</w:t>
            </w:r>
          </w:p>
        </w:tc>
        <w:tc>
          <w:tcPr>
            <w:tcW w:w="2700"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Coche </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r>
      <w:tr w:rsidR="00A27C51" w:rsidRPr="00A27C51" w:rsidTr="00A27C51">
        <w:trPr>
          <w:trHeight w:val="240"/>
        </w:trPr>
        <w:tc>
          <w:tcPr>
            <w:tcW w:w="1120" w:type="dxa"/>
            <w:vMerge/>
            <w:tcBorders>
              <w:top w:val="nil"/>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Taxi </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r>
      <w:tr w:rsidR="00A27C51" w:rsidRPr="00A27C51" w:rsidTr="00A27C51">
        <w:trPr>
          <w:trHeight w:val="240"/>
        </w:trPr>
        <w:tc>
          <w:tcPr>
            <w:tcW w:w="1120" w:type="dxa"/>
            <w:vMerge/>
            <w:tcBorders>
              <w:top w:val="nil"/>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VehPesados </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84" w:type="dxa"/>
            <w:tcBorders>
              <w:top w:val="nil"/>
              <w:left w:val="single" w:sz="4" w:space="0" w:color="auto"/>
              <w:bottom w:val="single" w:sz="4" w:space="0" w:color="auto"/>
              <w:right w:val="nil"/>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896" w:type="dxa"/>
            <w:tcBorders>
              <w:top w:val="nil"/>
              <w:left w:val="nil"/>
              <w:bottom w:val="single" w:sz="4" w:space="0" w:color="auto"/>
              <w:right w:val="single" w:sz="4" w:space="0" w:color="auto"/>
            </w:tcBorders>
            <w:shd w:val="clear" w:color="171717" w:fill="DBE5F1"/>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r>
      <w:tr w:rsidR="00A27C51" w:rsidRPr="00A27C51" w:rsidTr="00A27C51">
        <w:trPr>
          <w:trHeight w:val="240"/>
        </w:trPr>
        <w:tc>
          <w:tcPr>
            <w:tcW w:w="1120" w:type="dxa"/>
            <w:vMerge w:val="restart"/>
            <w:tcBorders>
              <w:top w:val="nil"/>
              <w:left w:val="single" w:sz="4" w:space="0" w:color="auto"/>
              <w:bottom w:val="single" w:sz="4" w:space="0" w:color="auto"/>
              <w:right w:val="single" w:sz="4" w:space="0" w:color="auto"/>
            </w:tcBorders>
            <w:shd w:val="clear" w:color="171717" w:fill="C5D9F1"/>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Veh*Km (Privado)</w:t>
            </w:r>
          </w:p>
        </w:tc>
        <w:tc>
          <w:tcPr>
            <w:tcW w:w="2700"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Coche </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-5,443</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-0.03%</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6,519</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0.04%</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-6,814</w:t>
            </w:r>
          </w:p>
        </w:tc>
        <w:tc>
          <w:tcPr>
            <w:tcW w:w="896"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-0.03%</w:t>
            </w:r>
          </w:p>
        </w:tc>
      </w:tr>
      <w:tr w:rsidR="00A27C51" w:rsidRPr="00A27C51" w:rsidTr="00A27C51">
        <w:trPr>
          <w:trHeight w:val="240"/>
        </w:trPr>
        <w:tc>
          <w:tcPr>
            <w:tcW w:w="1120" w:type="dxa"/>
            <w:vMerge/>
            <w:tcBorders>
              <w:top w:val="nil"/>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Taxi </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13,333</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0.12%</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12,312</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0.11%</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11,649</w:t>
            </w:r>
          </w:p>
        </w:tc>
        <w:tc>
          <w:tcPr>
            <w:tcW w:w="896"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0.10%</w:t>
            </w:r>
          </w:p>
        </w:tc>
      </w:tr>
      <w:tr w:rsidR="00A27C51" w:rsidRPr="00A27C51" w:rsidTr="00A27C51">
        <w:trPr>
          <w:trHeight w:val="240"/>
        </w:trPr>
        <w:tc>
          <w:tcPr>
            <w:tcW w:w="1120" w:type="dxa"/>
            <w:vMerge/>
            <w:tcBorders>
              <w:top w:val="nil"/>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VehPesados </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8,182</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0.16%</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10,374</w:t>
            </w:r>
          </w:p>
        </w:tc>
        <w:tc>
          <w:tcPr>
            <w:tcW w:w="896" w:type="dxa"/>
            <w:tcBorders>
              <w:top w:val="nil"/>
              <w:left w:val="nil"/>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0.20%</w:t>
            </w:r>
          </w:p>
        </w:tc>
        <w:tc>
          <w:tcPr>
            <w:tcW w:w="984" w:type="dxa"/>
            <w:tcBorders>
              <w:top w:val="nil"/>
              <w:left w:val="single" w:sz="4" w:space="0" w:color="auto"/>
              <w:bottom w:val="single" w:sz="4" w:space="0" w:color="auto"/>
              <w:right w:val="nil"/>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7,792</w:t>
            </w:r>
          </w:p>
        </w:tc>
        <w:tc>
          <w:tcPr>
            <w:tcW w:w="896" w:type="dxa"/>
            <w:tcBorders>
              <w:top w:val="nil"/>
              <w:left w:val="nil"/>
              <w:bottom w:val="single" w:sz="4" w:space="0" w:color="auto"/>
              <w:right w:val="single" w:sz="4" w:space="0" w:color="auto"/>
            </w:tcBorders>
            <w:shd w:val="clear" w:color="171717" w:fill="C5D9F1"/>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0.13%</w:t>
            </w:r>
          </w:p>
        </w:tc>
      </w:tr>
      <w:tr w:rsidR="00A27C51" w:rsidRPr="00A27C51" w:rsidTr="00A27C51">
        <w:trPr>
          <w:trHeight w:val="240"/>
        </w:trPr>
        <w:tc>
          <w:tcPr>
            <w:tcW w:w="1120" w:type="dxa"/>
            <w:vMerge w:val="restart"/>
            <w:tcBorders>
              <w:top w:val="nil"/>
              <w:left w:val="single" w:sz="4" w:space="0" w:color="auto"/>
              <w:bottom w:val="single" w:sz="8" w:space="0" w:color="000000"/>
              <w:right w:val="single" w:sz="4" w:space="0" w:color="auto"/>
            </w:tcBorders>
            <w:shd w:val="clear" w:color="171717" w:fill="95B3D7"/>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Veh*hr (Privado)</w:t>
            </w:r>
          </w:p>
        </w:tc>
        <w:tc>
          <w:tcPr>
            <w:tcW w:w="2700" w:type="dxa"/>
            <w:tcBorders>
              <w:top w:val="nil"/>
              <w:left w:val="nil"/>
              <w:bottom w:val="single" w:sz="4"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Coche </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-11,460</w:t>
            </w:r>
          </w:p>
        </w:tc>
        <w:tc>
          <w:tcPr>
            <w:tcW w:w="896" w:type="dxa"/>
            <w:tcBorders>
              <w:top w:val="nil"/>
              <w:left w:val="nil"/>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-1.14%</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-10,712</w:t>
            </w:r>
          </w:p>
        </w:tc>
        <w:tc>
          <w:tcPr>
            <w:tcW w:w="896" w:type="dxa"/>
            <w:tcBorders>
              <w:top w:val="nil"/>
              <w:left w:val="nil"/>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-1.00%</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-14,835</w:t>
            </w:r>
          </w:p>
        </w:tc>
        <w:tc>
          <w:tcPr>
            <w:tcW w:w="896" w:type="dxa"/>
            <w:tcBorders>
              <w:top w:val="nil"/>
              <w:left w:val="nil"/>
              <w:bottom w:val="single" w:sz="4"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-1.07%</w:t>
            </w:r>
          </w:p>
        </w:tc>
      </w:tr>
      <w:tr w:rsidR="00A27C51" w:rsidRPr="00A27C51" w:rsidTr="00A27C51">
        <w:trPr>
          <w:trHeight w:val="240"/>
        </w:trPr>
        <w:tc>
          <w:tcPr>
            <w:tcW w:w="1120" w:type="dxa"/>
            <w:vMerge/>
            <w:tcBorders>
              <w:top w:val="nil"/>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Taxi </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-5,709</w:t>
            </w:r>
          </w:p>
        </w:tc>
        <w:tc>
          <w:tcPr>
            <w:tcW w:w="896" w:type="dxa"/>
            <w:tcBorders>
              <w:top w:val="nil"/>
              <w:left w:val="nil"/>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-0.89%</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-5,161</w:t>
            </w:r>
          </w:p>
        </w:tc>
        <w:tc>
          <w:tcPr>
            <w:tcW w:w="896" w:type="dxa"/>
            <w:tcBorders>
              <w:top w:val="nil"/>
              <w:left w:val="nil"/>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-0.80%</w:t>
            </w:r>
          </w:p>
        </w:tc>
        <w:tc>
          <w:tcPr>
            <w:tcW w:w="984" w:type="dxa"/>
            <w:tcBorders>
              <w:top w:val="nil"/>
              <w:left w:val="single" w:sz="4" w:space="0" w:color="auto"/>
              <w:bottom w:val="single" w:sz="4"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-6,381</w:t>
            </w:r>
          </w:p>
        </w:tc>
        <w:tc>
          <w:tcPr>
            <w:tcW w:w="896" w:type="dxa"/>
            <w:tcBorders>
              <w:top w:val="nil"/>
              <w:left w:val="nil"/>
              <w:bottom w:val="single" w:sz="4"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-0.93%</w:t>
            </w:r>
          </w:p>
        </w:tc>
      </w:tr>
      <w:tr w:rsidR="00A27C51" w:rsidRPr="00A27C51" w:rsidTr="00A27C51">
        <w:trPr>
          <w:trHeight w:val="255"/>
        </w:trPr>
        <w:tc>
          <w:tcPr>
            <w:tcW w:w="1120" w:type="dxa"/>
            <w:vMerge/>
            <w:tcBorders>
              <w:top w:val="nil"/>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8"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left"/>
              <w:rPr>
                <w:rFonts w:cs="Arial"/>
                <w:sz w:val="18"/>
                <w:szCs w:val="18"/>
              </w:rPr>
            </w:pPr>
            <w:r w:rsidRPr="00A27C51">
              <w:rPr>
                <w:rFonts w:cs="Arial"/>
                <w:sz w:val="18"/>
                <w:szCs w:val="18"/>
              </w:rPr>
              <w:t xml:space="preserve">VehPesados </w:t>
            </w:r>
          </w:p>
        </w:tc>
        <w:tc>
          <w:tcPr>
            <w:tcW w:w="984" w:type="dxa"/>
            <w:tcBorders>
              <w:top w:val="nil"/>
              <w:left w:val="single" w:sz="4" w:space="0" w:color="auto"/>
              <w:bottom w:val="single" w:sz="8"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-1,424</w:t>
            </w:r>
          </w:p>
        </w:tc>
        <w:tc>
          <w:tcPr>
            <w:tcW w:w="896" w:type="dxa"/>
            <w:tcBorders>
              <w:top w:val="nil"/>
              <w:left w:val="nil"/>
              <w:bottom w:val="single" w:sz="8"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-0.69%</w:t>
            </w:r>
          </w:p>
        </w:tc>
        <w:tc>
          <w:tcPr>
            <w:tcW w:w="984" w:type="dxa"/>
            <w:tcBorders>
              <w:top w:val="nil"/>
              <w:left w:val="single" w:sz="4" w:space="0" w:color="auto"/>
              <w:bottom w:val="single" w:sz="8"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-1,328</w:t>
            </w:r>
          </w:p>
        </w:tc>
        <w:tc>
          <w:tcPr>
            <w:tcW w:w="896" w:type="dxa"/>
            <w:tcBorders>
              <w:top w:val="nil"/>
              <w:left w:val="nil"/>
              <w:bottom w:val="single" w:sz="8"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-0.62%</w:t>
            </w:r>
          </w:p>
        </w:tc>
        <w:tc>
          <w:tcPr>
            <w:tcW w:w="984" w:type="dxa"/>
            <w:tcBorders>
              <w:top w:val="nil"/>
              <w:left w:val="single" w:sz="4" w:space="0" w:color="auto"/>
              <w:bottom w:val="single" w:sz="8" w:space="0" w:color="auto"/>
              <w:right w:val="nil"/>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-1,813</w:t>
            </w:r>
          </w:p>
        </w:tc>
        <w:tc>
          <w:tcPr>
            <w:tcW w:w="896" w:type="dxa"/>
            <w:tcBorders>
              <w:top w:val="nil"/>
              <w:left w:val="nil"/>
              <w:bottom w:val="single" w:sz="8" w:space="0" w:color="auto"/>
              <w:right w:val="single" w:sz="4" w:space="0" w:color="auto"/>
            </w:tcBorders>
            <w:shd w:val="clear" w:color="171717" w:fill="95B3D7"/>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-0.70%</w:t>
            </w:r>
          </w:p>
        </w:tc>
      </w:tr>
    </w:tbl>
    <w:p w:rsidR="00FD086F" w:rsidRDefault="00FD086F" w:rsidP="00874D68"/>
    <w:tbl>
      <w:tblPr>
        <w:tblW w:w="9460" w:type="dxa"/>
        <w:tblInd w:w="53" w:type="dxa"/>
        <w:tblCellMar>
          <w:left w:w="70" w:type="dxa"/>
          <w:right w:w="70" w:type="dxa"/>
        </w:tblCellMar>
        <w:tblLook w:val="04A0" w:firstRow="1" w:lastRow="0" w:firstColumn="1" w:lastColumn="0" w:noHBand="0" w:noVBand="1"/>
      </w:tblPr>
      <w:tblGrid>
        <w:gridCol w:w="1120"/>
        <w:gridCol w:w="2700"/>
        <w:gridCol w:w="940"/>
        <w:gridCol w:w="940"/>
        <w:gridCol w:w="940"/>
        <w:gridCol w:w="940"/>
        <w:gridCol w:w="940"/>
        <w:gridCol w:w="940"/>
      </w:tblGrid>
      <w:tr w:rsidR="00A27C51" w:rsidRPr="00A27C51" w:rsidTr="00A27C51">
        <w:trPr>
          <w:trHeight w:val="25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13_P vs ESC </w:t>
            </w:r>
            <w:proofErr w:type="gramStart"/>
            <w:r w:rsidRPr="00A27C51">
              <w:rPr>
                <w:rFonts w:ascii="Arial Narrow" w:hAnsi="Arial Narrow" w:cs="Arial"/>
                <w:b/>
                <w:bCs/>
                <w:sz w:val="18"/>
                <w:szCs w:val="18"/>
              </w:rPr>
              <w:t>11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23_P vs ESC </w:t>
            </w:r>
            <w:proofErr w:type="gramStart"/>
            <w:r w:rsidRPr="00A27C51">
              <w:rPr>
                <w:rFonts w:ascii="Arial Narrow" w:hAnsi="Arial Narrow" w:cs="Arial"/>
                <w:b/>
                <w:bCs/>
                <w:sz w:val="18"/>
                <w:szCs w:val="18"/>
              </w:rPr>
              <w:t>21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33_P vs ESC </w:t>
            </w:r>
            <w:proofErr w:type="gramStart"/>
            <w:r w:rsidRPr="00A27C51">
              <w:rPr>
                <w:rFonts w:ascii="Arial Narrow" w:hAnsi="Arial Narrow" w:cs="Arial"/>
                <w:b/>
                <w:bCs/>
                <w:sz w:val="18"/>
                <w:szCs w:val="18"/>
              </w:rPr>
              <w:t>31</w:t>
            </w:r>
            <w:proofErr w:type="gramEnd"/>
          </w:p>
        </w:tc>
      </w:tr>
      <w:tr w:rsidR="00A27C51" w:rsidRPr="00A27C51" w:rsidTr="00A27C51">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940"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940"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40"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940"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40"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940" w:type="dxa"/>
            <w:tcBorders>
              <w:top w:val="single" w:sz="4" w:space="0" w:color="auto"/>
              <w:left w:val="nil"/>
              <w:bottom w:val="single" w:sz="8"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r>
      <w:tr w:rsidR="00A27C51" w:rsidRPr="00A27C51" w:rsidTr="00A27C51">
        <w:trPr>
          <w:trHeight w:val="750"/>
        </w:trPr>
        <w:tc>
          <w:tcPr>
            <w:tcW w:w="1120" w:type="dxa"/>
            <w:tcBorders>
              <w:top w:val="nil"/>
              <w:left w:val="single" w:sz="4" w:space="0" w:color="auto"/>
              <w:bottom w:val="single" w:sz="4" w:space="0" w:color="auto"/>
              <w:right w:val="single" w:sz="4" w:space="0" w:color="auto"/>
            </w:tcBorders>
            <w:shd w:val="clear" w:color="171717" w:fill="D7E4BC"/>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Matriz de viajes </w:t>
            </w:r>
          </w:p>
        </w:tc>
        <w:tc>
          <w:tcPr>
            <w:tcW w:w="2700" w:type="dxa"/>
            <w:tcBorders>
              <w:top w:val="nil"/>
              <w:left w:val="nil"/>
              <w:bottom w:val="single" w:sz="4" w:space="0" w:color="auto"/>
              <w:right w:val="single" w:sz="4" w:space="0" w:color="auto"/>
            </w:tcBorders>
            <w:shd w:val="clear" w:color="171717" w:fill="D7E4BC"/>
            <w:noWrap/>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Todos Modos</w:t>
            </w:r>
          </w:p>
        </w:tc>
        <w:tc>
          <w:tcPr>
            <w:tcW w:w="940" w:type="dxa"/>
            <w:tcBorders>
              <w:top w:val="nil"/>
              <w:left w:val="single" w:sz="4" w:space="0" w:color="auto"/>
              <w:bottom w:val="single" w:sz="4" w:space="0" w:color="auto"/>
              <w:right w:val="nil"/>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940" w:type="dxa"/>
            <w:tcBorders>
              <w:top w:val="nil"/>
              <w:left w:val="nil"/>
              <w:bottom w:val="single" w:sz="4" w:space="0" w:color="auto"/>
              <w:right w:val="nil"/>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40" w:type="dxa"/>
            <w:tcBorders>
              <w:top w:val="nil"/>
              <w:left w:val="single" w:sz="4" w:space="0" w:color="auto"/>
              <w:bottom w:val="single" w:sz="4" w:space="0" w:color="auto"/>
              <w:right w:val="nil"/>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940" w:type="dxa"/>
            <w:tcBorders>
              <w:top w:val="nil"/>
              <w:left w:val="nil"/>
              <w:bottom w:val="single" w:sz="4" w:space="0" w:color="auto"/>
              <w:right w:val="nil"/>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c>
          <w:tcPr>
            <w:tcW w:w="940" w:type="dxa"/>
            <w:tcBorders>
              <w:top w:val="nil"/>
              <w:left w:val="single" w:sz="4" w:space="0" w:color="auto"/>
              <w:bottom w:val="single" w:sz="4" w:space="0" w:color="auto"/>
              <w:right w:val="nil"/>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w:t>
            </w:r>
          </w:p>
        </w:tc>
        <w:tc>
          <w:tcPr>
            <w:tcW w:w="940" w:type="dxa"/>
            <w:tcBorders>
              <w:top w:val="nil"/>
              <w:left w:val="nil"/>
              <w:bottom w:val="single" w:sz="4" w:space="0" w:color="auto"/>
              <w:right w:val="single" w:sz="4" w:space="0" w:color="auto"/>
            </w:tcBorders>
            <w:shd w:val="clear" w:color="171717" w:fill="D7E4BC"/>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0.00%</w:t>
            </w:r>
          </w:p>
        </w:tc>
      </w:tr>
      <w:tr w:rsidR="00A27C51" w:rsidRPr="00A27C51" w:rsidTr="00A27C51">
        <w:trPr>
          <w:trHeight w:val="499"/>
        </w:trPr>
        <w:tc>
          <w:tcPr>
            <w:tcW w:w="1120" w:type="dxa"/>
            <w:vMerge w:val="restart"/>
            <w:tcBorders>
              <w:top w:val="single" w:sz="4" w:space="0" w:color="auto"/>
              <w:left w:val="single" w:sz="4" w:space="0" w:color="auto"/>
              <w:bottom w:val="nil"/>
              <w:right w:val="single" w:sz="4" w:space="0" w:color="auto"/>
            </w:tcBorders>
            <w:shd w:val="clear" w:color="171717" w:fill="92D050"/>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Veh*Km (Pùblico)</w:t>
            </w:r>
          </w:p>
        </w:tc>
        <w:tc>
          <w:tcPr>
            <w:tcW w:w="2700" w:type="dxa"/>
            <w:tcBorders>
              <w:top w:val="single" w:sz="4" w:space="0" w:color="auto"/>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Camioneta rural </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-99,687</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-4.36%</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-210,849</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-9.22%</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-210,849</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-9.22%</w:t>
            </w:r>
          </w:p>
        </w:tc>
      </w:tr>
      <w:tr w:rsidR="00A27C51" w:rsidRPr="00A27C51" w:rsidTr="00A27C51">
        <w:trPr>
          <w:trHeight w:val="499"/>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Microbus </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-136,896</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-7.35%</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-142,168</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-7.64%</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-142,168</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-7.64%</w:t>
            </w:r>
          </w:p>
        </w:tc>
      </w:tr>
      <w:tr w:rsidR="00A27C51" w:rsidRPr="00A27C51" w:rsidTr="00A27C51">
        <w:trPr>
          <w:trHeight w:val="499"/>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Omnibus </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-10,242</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-1.89%</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-18,383</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-3.40%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-18,383</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-3.40%</w:t>
            </w:r>
          </w:p>
        </w:tc>
      </w:tr>
      <w:tr w:rsidR="00A27C51" w:rsidRPr="00A27C51" w:rsidTr="00A27C51">
        <w:trPr>
          <w:trHeight w:val="24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L1</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8,887</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303.38%</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8,887</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303.38%</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8,887</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303.38%</w:t>
            </w:r>
          </w:p>
        </w:tc>
      </w:tr>
      <w:tr w:rsidR="00A27C51" w:rsidRPr="00A27C51" w:rsidTr="00A27C51">
        <w:trPr>
          <w:trHeight w:val="24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L2</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6,198</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11,180</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11,180</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r>
      <w:tr w:rsidR="00A27C51" w:rsidRPr="00A27C51" w:rsidTr="00A27C51">
        <w:trPr>
          <w:trHeight w:val="24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Alimentadoras Tren L2</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95,728</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82,652</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82,652</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r>
      <w:tr w:rsidR="00A27C51" w:rsidRPr="00A27C51" w:rsidTr="00A27C51">
        <w:trPr>
          <w:trHeight w:val="24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L4</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color w:val="C5C5C5"/>
                <w:sz w:val="18"/>
                <w:szCs w:val="18"/>
              </w:rPr>
            </w:pPr>
            <w:r w:rsidRPr="00A27C51">
              <w:rPr>
                <w:rFonts w:cs="Arial"/>
                <w:color w:val="C5C5C5"/>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color w:val="C5C5C5"/>
                <w:sz w:val="18"/>
                <w:szCs w:val="18"/>
              </w:rPr>
            </w:pPr>
            <w:r w:rsidRPr="00A27C51">
              <w:rPr>
                <w:rFonts w:cs="Arial"/>
                <w:color w:val="C5C5C5"/>
                <w:sz w:val="18"/>
                <w:szCs w:val="18"/>
              </w:rPr>
              <w:t>-</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1,818</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1,818</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r>
      <w:tr w:rsidR="00A27C51" w:rsidRPr="00A27C51" w:rsidTr="00A27C51">
        <w:trPr>
          <w:trHeight w:val="24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Metropolitano </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r>
      <w:tr w:rsidR="00A27C51" w:rsidRPr="00A27C51" w:rsidTr="00A27C51">
        <w:trPr>
          <w:trHeight w:val="480"/>
        </w:trPr>
        <w:tc>
          <w:tcPr>
            <w:tcW w:w="1120" w:type="dxa"/>
            <w:vMerge/>
            <w:tcBorders>
              <w:top w:val="nil"/>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Metropolitano - Alimentadoras</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0.00%</w:t>
            </w:r>
          </w:p>
        </w:tc>
      </w:tr>
      <w:tr w:rsidR="00A27C51" w:rsidRPr="00A27C51" w:rsidTr="00A27C51">
        <w:trPr>
          <w:trHeight w:val="499"/>
        </w:trPr>
        <w:tc>
          <w:tcPr>
            <w:tcW w:w="1120" w:type="dxa"/>
            <w:vMerge/>
            <w:tcBorders>
              <w:top w:val="nil"/>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tcBorders>
              <w:top w:val="nil"/>
              <w:left w:val="nil"/>
              <w:bottom w:val="single" w:sz="4" w:space="0" w:color="auto"/>
              <w:right w:val="single" w:sz="4" w:space="0" w:color="auto"/>
            </w:tcBorders>
            <w:shd w:val="clear" w:color="171717" w:fill="92D050"/>
            <w:noWrap/>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Total [veh*km]</w:t>
            </w:r>
          </w:p>
        </w:tc>
        <w:tc>
          <w:tcPr>
            <w:tcW w:w="940" w:type="dxa"/>
            <w:tcBorders>
              <w:top w:val="nil"/>
              <w:left w:val="single" w:sz="4" w:space="0" w:color="auto"/>
              <w:bottom w:val="single" w:sz="8" w:space="0" w:color="auto"/>
              <w:right w:val="nil"/>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-136,012</w:t>
            </w:r>
          </w:p>
        </w:tc>
        <w:tc>
          <w:tcPr>
            <w:tcW w:w="940" w:type="dxa"/>
            <w:tcBorders>
              <w:top w:val="nil"/>
              <w:left w:val="nil"/>
              <w:bottom w:val="single" w:sz="8" w:space="0" w:color="auto"/>
              <w:right w:val="nil"/>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-2.85%</w:t>
            </w:r>
          </w:p>
        </w:tc>
        <w:tc>
          <w:tcPr>
            <w:tcW w:w="940" w:type="dxa"/>
            <w:tcBorders>
              <w:top w:val="nil"/>
              <w:left w:val="single" w:sz="4" w:space="0" w:color="auto"/>
              <w:bottom w:val="single" w:sz="8" w:space="0" w:color="auto"/>
              <w:right w:val="nil"/>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-354,717</w:t>
            </w:r>
          </w:p>
        </w:tc>
        <w:tc>
          <w:tcPr>
            <w:tcW w:w="940" w:type="dxa"/>
            <w:tcBorders>
              <w:top w:val="nil"/>
              <w:left w:val="nil"/>
              <w:bottom w:val="single" w:sz="8" w:space="0" w:color="auto"/>
              <w:right w:val="nil"/>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-7.42%</w:t>
            </w:r>
          </w:p>
        </w:tc>
        <w:tc>
          <w:tcPr>
            <w:tcW w:w="940" w:type="dxa"/>
            <w:tcBorders>
              <w:top w:val="nil"/>
              <w:left w:val="single" w:sz="4" w:space="0" w:color="auto"/>
              <w:bottom w:val="single" w:sz="8" w:space="0" w:color="auto"/>
              <w:right w:val="nil"/>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-266,863</w:t>
            </w:r>
          </w:p>
        </w:tc>
        <w:tc>
          <w:tcPr>
            <w:tcW w:w="940" w:type="dxa"/>
            <w:tcBorders>
              <w:top w:val="nil"/>
              <w:left w:val="nil"/>
              <w:bottom w:val="single" w:sz="8" w:space="0" w:color="auto"/>
              <w:right w:val="single" w:sz="4" w:space="0" w:color="auto"/>
            </w:tcBorders>
            <w:shd w:val="clear" w:color="171717" w:fill="92D050"/>
            <w:noWrap/>
            <w:vAlign w:val="center"/>
            <w:hideMark/>
          </w:tcPr>
          <w:p w:rsidR="00A27C51" w:rsidRPr="00A27C51" w:rsidRDefault="00A27C51" w:rsidP="00A27C51">
            <w:pPr>
              <w:spacing w:after="0" w:line="240" w:lineRule="auto"/>
              <w:jc w:val="right"/>
              <w:rPr>
                <w:rFonts w:cs="Arial"/>
                <w:b/>
                <w:bCs/>
                <w:sz w:val="18"/>
                <w:szCs w:val="18"/>
              </w:rPr>
            </w:pPr>
            <w:r w:rsidRPr="00A27C51">
              <w:rPr>
                <w:rFonts w:cs="Arial"/>
                <w:b/>
                <w:bCs/>
                <w:sz w:val="18"/>
                <w:szCs w:val="18"/>
              </w:rPr>
              <w:t>-5.58%</w:t>
            </w:r>
          </w:p>
        </w:tc>
      </w:tr>
    </w:tbl>
    <w:p w:rsidR="00A27C51" w:rsidRDefault="00A27C51" w:rsidP="00874D68"/>
    <w:p w:rsidR="00A27C51" w:rsidRDefault="00A27C51">
      <w:pPr>
        <w:spacing w:after="0" w:line="240" w:lineRule="auto"/>
        <w:jc w:val="left"/>
      </w:pPr>
      <w:r>
        <w:br w:type="page"/>
      </w:r>
    </w:p>
    <w:tbl>
      <w:tblPr>
        <w:tblW w:w="9460" w:type="dxa"/>
        <w:tblInd w:w="53" w:type="dxa"/>
        <w:tblCellMar>
          <w:left w:w="70" w:type="dxa"/>
          <w:right w:w="70" w:type="dxa"/>
        </w:tblCellMar>
        <w:tblLook w:val="04A0" w:firstRow="1" w:lastRow="0" w:firstColumn="1" w:lastColumn="0" w:noHBand="0" w:noVBand="1"/>
      </w:tblPr>
      <w:tblGrid>
        <w:gridCol w:w="1120"/>
        <w:gridCol w:w="2700"/>
        <w:gridCol w:w="994"/>
        <w:gridCol w:w="886"/>
        <w:gridCol w:w="940"/>
        <w:gridCol w:w="940"/>
        <w:gridCol w:w="966"/>
        <w:gridCol w:w="914"/>
      </w:tblGrid>
      <w:tr w:rsidR="00A27C51" w:rsidRPr="00A27C51" w:rsidTr="00A27C51">
        <w:trPr>
          <w:trHeight w:val="255"/>
        </w:trPr>
        <w:tc>
          <w:tcPr>
            <w:tcW w:w="1120" w:type="dxa"/>
            <w:vMerge w:val="restart"/>
            <w:tcBorders>
              <w:top w:val="single" w:sz="4" w:space="0" w:color="auto"/>
              <w:left w:val="single" w:sz="4" w:space="0" w:color="auto"/>
              <w:bottom w:val="single" w:sz="8" w:space="0" w:color="000000"/>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lastRenderedPageBreak/>
              <w:t>Variable</w:t>
            </w:r>
          </w:p>
        </w:tc>
        <w:tc>
          <w:tcPr>
            <w:tcW w:w="2700" w:type="dxa"/>
            <w:vMerge w:val="restart"/>
            <w:tcBorders>
              <w:top w:val="single" w:sz="4" w:space="0" w:color="auto"/>
              <w:left w:val="single" w:sz="4" w:space="0" w:color="auto"/>
              <w:bottom w:val="single" w:sz="8" w:space="0" w:color="000000"/>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Vehículo/Modo</w:t>
            </w:r>
          </w:p>
        </w:tc>
        <w:tc>
          <w:tcPr>
            <w:tcW w:w="1880" w:type="dxa"/>
            <w:gridSpan w:val="2"/>
            <w:tcBorders>
              <w:top w:val="single" w:sz="4" w:space="0" w:color="auto"/>
              <w:left w:val="single" w:sz="4" w:space="0" w:color="auto"/>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13_P vs ESC </w:t>
            </w:r>
            <w:proofErr w:type="gramStart"/>
            <w:r w:rsidRPr="00A27C51">
              <w:rPr>
                <w:rFonts w:ascii="Arial Narrow" w:hAnsi="Arial Narrow" w:cs="Arial"/>
                <w:b/>
                <w:bCs/>
                <w:sz w:val="18"/>
                <w:szCs w:val="18"/>
              </w:rPr>
              <w:t>11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23_P vs ESC </w:t>
            </w:r>
            <w:proofErr w:type="gramStart"/>
            <w:r w:rsidRPr="00A27C51">
              <w:rPr>
                <w:rFonts w:ascii="Arial Narrow" w:hAnsi="Arial Narrow" w:cs="Arial"/>
                <w:b/>
                <w:bCs/>
                <w:sz w:val="18"/>
                <w:szCs w:val="18"/>
              </w:rPr>
              <w:t>21</w:t>
            </w:r>
            <w:proofErr w:type="gramEnd"/>
          </w:p>
        </w:tc>
        <w:tc>
          <w:tcPr>
            <w:tcW w:w="1880" w:type="dxa"/>
            <w:gridSpan w:val="2"/>
            <w:tcBorders>
              <w:top w:val="single" w:sz="4" w:space="0" w:color="auto"/>
              <w:left w:val="nil"/>
              <w:bottom w:val="single" w:sz="8" w:space="0" w:color="auto"/>
              <w:right w:val="single" w:sz="4" w:space="0" w:color="000000"/>
            </w:tcBorders>
            <w:shd w:val="clear" w:color="171717" w:fill="FFFFFF"/>
            <w:noWrap/>
            <w:vAlign w:val="center"/>
            <w:hideMark/>
          </w:tcPr>
          <w:p w:rsidR="00A27C51" w:rsidRPr="00A27C51" w:rsidRDefault="00A27C51" w:rsidP="00A27C51">
            <w:pPr>
              <w:spacing w:after="0" w:line="240" w:lineRule="auto"/>
              <w:jc w:val="center"/>
              <w:rPr>
                <w:rFonts w:ascii="Arial Narrow" w:hAnsi="Arial Narrow" w:cs="Arial"/>
                <w:b/>
                <w:bCs/>
                <w:sz w:val="18"/>
                <w:szCs w:val="18"/>
              </w:rPr>
            </w:pPr>
            <w:r w:rsidRPr="00A27C51">
              <w:rPr>
                <w:rFonts w:ascii="Arial Narrow" w:hAnsi="Arial Narrow" w:cs="Arial"/>
                <w:b/>
                <w:bCs/>
                <w:sz w:val="18"/>
                <w:szCs w:val="18"/>
              </w:rPr>
              <w:t xml:space="preserve">ESC 33_P vs ESC </w:t>
            </w:r>
            <w:proofErr w:type="gramStart"/>
            <w:r w:rsidRPr="00A27C51">
              <w:rPr>
                <w:rFonts w:ascii="Arial Narrow" w:hAnsi="Arial Narrow" w:cs="Arial"/>
                <w:b/>
                <w:bCs/>
                <w:sz w:val="18"/>
                <w:szCs w:val="18"/>
              </w:rPr>
              <w:t>31</w:t>
            </w:r>
            <w:proofErr w:type="gramEnd"/>
          </w:p>
        </w:tc>
      </w:tr>
      <w:tr w:rsidR="00A27C51" w:rsidRPr="00A27C51" w:rsidTr="00A27C51">
        <w:trPr>
          <w:trHeight w:val="255"/>
        </w:trPr>
        <w:tc>
          <w:tcPr>
            <w:tcW w:w="112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2700" w:type="dxa"/>
            <w:vMerge/>
            <w:tcBorders>
              <w:top w:val="single" w:sz="4" w:space="0" w:color="auto"/>
              <w:left w:val="single" w:sz="4" w:space="0" w:color="auto"/>
              <w:bottom w:val="single" w:sz="8" w:space="0" w:color="000000"/>
              <w:right w:val="single" w:sz="4" w:space="0" w:color="auto"/>
            </w:tcBorders>
            <w:vAlign w:val="center"/>
            <w:hideMark/>
          </w:tcPr>
          <w:p w:rsidR="00A27C51" w:rsidRPr="00A27C51" w:rsidRDefault="00A27C51" w:rsidP="00A27C51">
            <w:pPr>
              <w:spacing w:after="0" w:line="240" w:lineRule="auto"/>
              <w:jc w:val="left"/>
              <w:rPr>
                <w:rFonts w:cs="Arial"/>
                <w:b/>
                <w:bCs/>
                <w:sz w:val="18"/>
                <w:szCs w:val="18"/>
              </w:rPr>
            </w:pPr>
          </w:p>
        </w:tc>
        <w:tc>
          <w:tcPr>
            <w:tcW w:w="994"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886"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40"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940" w:type="dxa"/>
            <w:tcBorders>
              <w:top w:val="single" w:sz="4" w:space="0" w:color="auto"/>
              <w:left w:val="nil"/>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c>
          <w:tcPr>
            <w:tcW w:w="966" w:type="dxa"/>
            <w:tcBorders>
              <w:top w:val="single" w:sz="4" w:space="0" w:color="auto"/>
              <w:left w:val="single" w:sz="4" w:space="0" w:color="auto"/>
              <w:bottom w:val="single" w:sz="8" w:space="0" w:color="auto"/>
              <w:right w:val="nil"/>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VALOR</w:t>
            </w:r>
          </w:p>
        </w:tc>
        <w:tc>
          <w:tcPr>
            <w:tcW w:w="914" w:type="dxa"/>
            <w:tcBorders>
              <w:top w:val="single" w:sz="4" w:space="0" w:color="auto"/>
              <w:left w:val="nil"/>
              <w:bottom w:val="single" w:sz="8"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center"/>
              <w:rPr>
                <w:rFonts w:cs="Arial"/>
                <w:b/>
                <w:bCs/>
                <w:sz w:val="18"/>
                <w:szCs w:val="18"/>
              </w:rPr>
            </w:pPr>
            <w:r w:rsidRPr="00A27C51">
              <w:rPr>
                <w:rFonts w:cs="Arial"/>
                <w:b/>
                <w:bCs/>
                <w:sz w:val="18"/>
                <w:szCs w:val="18"/>
              </w:rPr>
              <w:t>%</w:t>
            </w:r>
          </w:p>
        </w:tc>
      </w:tr>
      <w:tr w:rsidR="00A27C51" w:rsidRPr="00A27C51" w:rsidTr="00A27C51">
        <w:trPr>
          <w:trHeight w:val="499"/>
        </w:trPr>
        <w:tc>
          <w:tcPr>
            <w:tcW w:w="1120" w:type="dxa"/>
            <w:vMerge w:val="restart"/>
            <w:tcBorders>
              <w:top w:val="single" w:sz="8" w:space="0" w:color="000000"/>
              <w:left w:val="single" w:sz="4" w:space="0" w:color="auto"/>
              <w:bottom w:val="nil"/>
              <w:right w:val="single" w:sz="4" w:space="0" w:color="auto"/>
            </w:tcBorders>
            <w:shd w:val="clear" w:color="171717" w:fill="75923C"/>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Viajeros (Pùblico)*</w:t>
            </w:r>
          </w:p>
        </w:tc>
        <w:tc>
          <w:tcPr>
            <w:tcW w:w="2700" w:type="dxa"/>
            <w:tcBorders>
              <w:top w:val="single" w:sz="8" w:space="0" w:color="000000"/>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Camioneta rural </w:t>
            </w:r>
          </w:p>
        </w:tc>
        <w:tc>
          <w:tcPr>
            <w:tcW w:w="994" w:type="dxa"/>
            <w:tcBorders>
              <w:top w:val="single" w:sz="4" w:space="0" w:color="auto"/>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552,910</w:t>
            </w:r>
          </w:p>
        </w:tc>
        <w:tc>
          <w:tcPr>
            <w:tcW w:w="886" w:type="dxa"/>
            <w:tcBorders>
              <w:top w:val="single" w:sz="4" w:space="0" w:color="auto"/>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10.25%</w:t>
            </w:r>
          </w:p>
        </w:tc>
        <w:tc>
          <w:tcPr>
            <w:tcW w:w="940" w:type="dxa"/>
            <w:tcBorders>
              <w:top w:val="single" w:sz="4" w:space="0" w:color="auto"/>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406,916</w:t>
            </w:r>
          </w:p>
        </w:tc>
        <w:tc>
          <w:tcPr>
            <w:tcW w:w="940" w:type="dxa"/>
            <w:tcBorders>
              <w:top w:val="single" w:sz="4" w:space="0" w:color="auto"/>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7.29%</w:t>
            </w:r>
          </w:p>
        </w:tc>
        <w:tc>
          <w:tcPr>
            <w:tcW w:w="966" w:type="dxa"/>
            <w:tcBorders>
              <w:top w:val="single" w:sz="4" w:space="0" w:color="auto"/>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264,564</w:t>
            </w:r>
          </w:p>
        </w:tc>
        <w:tc>
          <w:tcPr>
            <w:tcW w:w="914" w:type="dxa"/>
            <w:tcBorders>
              <w:top w:val="single" w:sz="4" w:space="0" w:color="auto"/>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4.12%</w:t>
            </w:r>
          </w:p>
        </w:tc>
      </w:tr>
      <w:tr w:rsidR="00A27C51" w:rsidRPr="00A27C51" w:rsidTr="00A27C51">
        <w:trPr>
          <w:trHeight w:val="499"/>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Microbus </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230,374</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4.33%</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287,791</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5.25%</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249,656</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3.96%</w:t>
            </w:r>
          </w:p>
        </w:tc>
      </w:tr>
      <w:tr w:rsidR="00A27C51" w:rsidRPr="00A27C51" w:rsidTr="00A27C51">
        <w:trPr>
          <w:trHeight w:val="499"/>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SERVICIOS CONVENCIONALES - Omnibus </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341,245</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15.98%</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334,404</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15.24%</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335,542</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13.49%</w:t>
            </w:r>
          </w:p>
        </w:tc>
      </w:tr>
      <w:tr w:rsidR="00A27C51" w:rsidRPr="00A27C51" w:rsidTr="00A27C51">
        <w:trPr>
          <w:trHeight w:val="24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L1</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97,725</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103.64%</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111,422</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106.81%</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106,982</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63.26%</w:t>
            </w:r>
          </w:p>
        </w:tc>
      </w:tr>
      <w:tr w:rsidR="00A27C51" w:rsidRPr="00A27C51" w:rsidTr="00A27C51">
        <w:trPr>
          <w:trHeight w:val="24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L2</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117,819</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proofErr w:type="gramStart"/>
            <w:r w:rsidRPr="00A27C51">
              <w:rPr>
                <w:rFonts w:cs="Arial"/>
                <w:bCs/>
                <w:sz w:val="18"/>
                <w:szCs w:val="18"/>
              </w:rPr>
              <w:t>n.a</w:t>
            </w:r>
            <w:proofErr w:type="gramEnd"/>
            <w:r w:rsidRPr="00A27C51">
              <w:rPr>
                <w:rFonts w:cs="Arial"/>
                <w:bCs/>
                <w:sz w:val="18"/>
                <w:szCs w:val="18"/>
              </w:rPr>
              <w:t>.</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253,195</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proofErr w:type="gramStart"/>
            <w:r w:rsidRPr="00A27C51">
              <w:rPr>
                <w:rFonts w:cs="Arial"/>
                <w:bCs/>
                <w:sz w:val="18"/>
                <w:szCs w:val="18"/>
              </w:rPr>
              <w:t>n.a</w:t>
            </w:r>
            <w:proofErr w:type="gramEnd"/>
            <w:r w:rsidRPr="00A27C51">
              <w:rPr>
                <w:rFonts w:cs="Arial"/>
                <w:bCs/>
                <w:sz w:val="18"/>
                <w:szCs w:val="18"/>
              </w:rPr>
              <w:t>.</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r w:rsidRPr="00A27C51">
              <w:rPr>
                <w:rFonts w:cs="Arial"/>
                <w:bCs/>
                <w:sz w:val="18"/>
                <w:szCs w:val="18"/>
              </w:rPr>
              <w:t>302,048</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bCs/>
                <w:sz w:val="18"/>
                <w:szCs w:val="18"/>
              </w:rPr>
            </w:pPr>
            <w:proofErr w:type="gramStart"/>
            <w:r w:rsidRPr="00A27C51">
              <w:rPr>
                <w:rFonts w:cs="Arial"/>
                <w:bCs/>
                <w:sz w:val="18"/>
                <w:szCs w:val="18"/>
              </w:rPr>
              <w:t>n.a</w:t>
            </w:r>
            <w:proofErr w:type="gramEnd"/>
            <w:r w:rsidRPr="00A27C51">
              <w:rPr>
                <w:rFonts w:cs="Arial"/>
                <w:bCs/>
                <w:sz w:val="18"/>
                <w:szCs w:val="18"/>
              </w:rPr>
              <w:t>.</w:t>
            </w:r>
          </w:p>
        </w:tc>
      </w:tr>
      <w:tr w:rsidR="00A27C51" w:rsidRPr="00A27C51" w:rsidTr="00A27C51">
        <w:trPr>
          <w:trHeight w:val="24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Alimentadoras Tren L2</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626,201</w:t>
            </w:r>
          </w:p>
        </w:tc>
        <w:tc>
          <w:tcPr>
            <w:tcW w:w="886"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462,481</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6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593,901</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r>
      <w:tr w:rsidR="00A27C51" w:rsidRPr="00A27C51" w:rsidTr="00A27C51">
        <w:trPr>
          <w:trHeight w:val="24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Tren eléctrico L4</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37,307</w:t>
            </w:r>
          </w:p>
        </w:tc>
        <w:tc>
          <w:tcPr>
            <w:tcW w:w="940"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c>
          <w:tcPr>
            <w:tcW w:w="96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52,334</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proofErr w:type="gramStart"/>
            <w:r w:rsidRPr="00A27C51">
              <w:rPr>
                <w:rFonts w:cs="Arial"/>
                <w:sz w:val="18"/>
                <w:szCs w:val="18"/>
              </w:rPr>
              <w:t>n.a</w:t>
            </w:r>
            <w:proofErr w:type="gramEnd"/>
            <w:r w:rsidRPr="00A27C51">
              <w:rPr>
                <w:rFonts w:cs="Arial"/>
                <w:sz w:val="18"/>
                <w:szCs w:val="18"/>
              </w:rPr>
              <w:t>.</w:t>
            </w:r>
          </w:p>
        </w:tc>
      </w:tr>
      <w:tr w:rsidR="00A27C51" w:rsidRPr="00A27C51" w:rsidTr="00A27C51">
        <w:trPr>
          <w:trHeight w:val="24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 xml:space="preserve">Metropolitano </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-138,570</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-29.99%</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-251,963</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-50.96%</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-413,706</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-62.98%</w:t>
            </w:r>
          </w:p>
        </w:tc>
      </w:tr>
      <w:tr w:rsidR="00A27C51" w:rsidRPr="00A27C51" w:rsidTr="00A27C51">
        <w:trPr>
          <w:trHeight w:val="480"/>
        </w:trPr>
        <w:tc>
          <w:tcPr>
            <w:tcW w:w="1120" w:type="dxa"/>
            <w:vMerge/>
            <w:tcBorders>
              <w:top w:val="single" w:sz="4" w:space="0" w:color="auto"/>
              <w:left w:val="single" w:sz="4" w:space="0" w:color="auto"/>
              <w:bottom w:val="nil"/>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FFFFFF"/>
            <w:vAlign w:val="center"/>
            <w:hideMark/>
          </w:tcPr>
          <w:p w:rsidR="00A27C51" w:rsidRPr="00A27C51" w:rsidRDefault="00A27C51" w:rsidP="00A27C51">
            <w:pPr>
              <w:spacing w:after="0" w:line="240" w:lineRule="auto"/>
              <w:jc w:val="left"/>
              <w:rPr>
                <w:rFonts w:cs="Arial"/>
                <w:b/>
                <w:bCs/>
                <w:sz w:val="18"/>
                <w:szCs w:val="18"/>
              </w:rPr>
            </w:pPr>
            <w:r w:rsidRPr="00A27C51">
              <w:rPr>
                <w:rFonts w:cs="Arial"/>
                <w:b/>
                <w:bCs/>
                <w:sz w:val="18"/>
                <w:szCs w:val="18"/>
              </w:rPr>
              <w:t>Metropolitano - Alimentadoras</w:t>
            </w:r>
          </w:p>
        </w:tc>
        <w:tc>
          <w:tcPr>
            <w:tcW w:w="994"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54,619</w:t>
            </w:r>
          </w:p>
        </w:tc>
        <w:tc>
          <w:tcPr>
            <w:tcW w:w="886"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52.20%</w:t>
            </w:r>
          </w:p>
        </w:tc>
        <w:tc>
          <w:tcPr>
            <w:tcW w:w="940"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76,084</w:t>
            </w:r>
          </w:p>
        </w:tc>
        <w:tc>
          <w:tcPr>
            <w:tcW w:w="940" w:type="dxa"/>
            <w:tcBorders>
              <w:top w:val="nil"/>
              <w:left w:val="nil"/>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68.67%</w:t>
            </w:r>
          </w:p>
        </w:tc>
        <w:tc>
          <w:tcPr>
            <w:tcW w:w="966" w:type="dxa"/>
            <w:tcBorders>
              <w:top w:val="nil"/>
              <w:left w:val="single" w:sz="4" w:space="0" w:color="auto"/>
              <w:bottom w:val="single" w:sz="4" w:space="0" w:color="auto"/>
              <w:right w:val="nil"/>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44,885</w:t>
            </w:r>
          </w:p>
        </w:tc>
        <w:tc>
          <w:tcPr>
            <w:tcW w:w="914" w:type="dxa"/>
            <w:tcBorders>
              <w:top w:val="nil"/>
              <w:left w:val="nil"/>
              <w:bottom w:val="single" w:sz="4" w:space="0" w:color="auto"/>
              <w:right w:val="single" w:sz="4" w:space="0" w:color="auto"/>
            </w:tcBorders>
            <w:shd w:val="clear" w:color="171717" w:fill="FFFFFF"/>
            <w:noWrap/>
            <w:vAlign w:val="center"/>
            <w:hideMark/>
          </w:tcPr>
          <w:p w:rsidR="00A27C51" w:rsidRPr="00A27C51" w:rsidRDefault="00A27C51" w:rsidP="00A27C51">
            <w:pPr>
              <w:spacing w:after="0" w:line="240" w:lineRule="auto"/>
              <w:jc w:val="right"/>
              <w:rPr>
                <w:rFonts w:cs="Arial"/>
                <w:sz w:val="18"/>
                <w:szCs w:val="18"/>
              </w:rPr>
            </w:pPr>
            <w:r w:rsidRPr="00A27C51">
              <w:rPr>
                <w:rFonts w:cs="Arial"/>
                <w:sz w:val="18"/>
                <w:szCs w:val="18"/>
              </w:rPr>
              <w:t>30.18%</w:t>
            </w:r>
          </w:p>
        </w:tc>
      </w:tr>
      <w:tr w:rsidR="00A27C51" w:rsidRPr="00A27C51" w:rsidTr="00A27C51">
        <w:trPr>
          <w:trHeight w:val="499"/>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A27C51" w:rsidRPr="00A27C51" w:rsidRDefault="00A27C51" w:rsidP="00A27C51">
            <w:pPr>
              <w:spacing w:after="0" w:line="240" w:lineRule="auto"/>
              <w:jc w:val="left"/>
              <w:rPr>
                <w:rFonts w:cs="Arial"/>
                <w:b/>
                <w:bCs/>
                <w:color w:val="FFFFFF"/>
                <w:sz w:val="18"/>
                <w:szCs w:val="18"/>
              </w:rPr>
            </w:pPr>
          </w:p>
        </w:tc>
        <w:tc>
          <w:tcPr>
            <w:tcW w:w="2700" w:type="dxa"/>
            <w:tcBorders>
              <w:top w:val="nil"/>
              <w:left w:val="nil"/>
              <w:bottom w:val="single" w:sz="4" w:space="0" w:color="auto"/>
              <w:right w:val="single" w:sz="4" w:space="0" w:color="auto"/>
            </w:tcBorders>
            <w:shd w:val="clear" w:color="171717" w:fill="75923C"/>
            <w:noWrap/>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Total [pax]</w:t>
            </w:r>
          </w:p>
        </w:tc>
        <w:tc>
          <w:tcPr>
            <w:tcW w:w="994" w:type="dxa"/>
            <w:tcBorders>
              <w:top w:val="nil"/>
              <w:left w:val="single" w:sz="4" w:space="0" w:color="auto"/>
              <w:bottom w:val="single" w:sz="8" w:space="0" w:color="auto"/>
              <w:right w:val="nil"/>
            </w:tcBorders>
            <w:shd w:val="clear" w:color="171717" w:fill="75923C"/>
            <w:noWrap/>
            <w:vAlign w:val="center"/>
            <w:hideMark/>
          </w:tcPr>
          <w:p w:rsidR="00A27C51" w:rsidRPr="00A27C51" w:rsidRDefault="00A27C51" w:rsidP="00A27C51">
            <w:pPr>
              <w:spacing w:after="0" w:line="240" w:lineRule="auto"/>
              <w:jc w:val="right"/>
              <w:rPr>
                <w:rFonts w:cs="Arial"/>
                <w:b/>
                <w:bCs/>
                <w:color w:val="FFFFFF"/>
                <w:sz w:val="18"/>
                <w:szCs w:val="18"/>
              </w:rPr>
            </w:pPr>
            <w:r w:rsidRPr="00A27C51">
              <w:rPr>
                <w:rFonts w:cs="Arial"/>
                <w:b/>
                <w:bCs/>
                <w:color w:val="FFFFFF"/>
                <w:sz w:val="18"/>
                <w:szCs w:val="18"/>
              </w:rPr>
              <w:t>1,882,323</w:t>
            </w:r>
          </w:p>
        </w:tc>
        <w:tc>
          <w:tcPr>
            <w:tcW w:w="886" w:type="dxa"/>
            <w:tcBorders>
              <w:top w:val="nil"/>
              <w:left w:val="nil"/>
              <w:bottom w:val="single" w:sz="8" w:space="0" w:color="auto"/>
              <w:right w:val="nil"/>
            </w:tcBorders>
            <w:shd w:val="clear" w:color="171717" w:fill="75923C"/>
            <w:noWrap/>
            <w:vAlign w:val="center"/>
            <w:hideMark/>
          </w:tcPr>
          <w:p w:rsidR="00A27C51" w:rsidRPr="00A27C51" w:rsidRDefault="00A27C51" w:rsidP="00A27C51">
            <w:pPr>
              <w:spacing w:after="0" w:line="240" w:lineRule="auto"/>
              <w:jc w:val="right"/>
              <w:rPr>
                <w:rFonts w:cs="Arial"/>
                <w:b/>
                <w:bCs/>
                <w:color w:val="FFFFFF"/>
                <w:sz w:val="18"/>
                <w:szCs w:val="18"/>
              </w:rPr>
            </w:pPr>
            <w:r w:rsidRPr="00A27C51">
              <w:rPr>
                <w:rFonts w:cs="Arial"/>
                <w:b/>
                <w:bCs/>
                <w:color w:val="FFFFFF"/>
                <w:sz w:val="18"/>
                <w:szCs w:val="18"/>
              </w:rPr>
              <w:t>13.94%</w:t>
            </w:r>
          </w:p>
        </w:tc>
        <w:tc>
          <w:tcPr>
            <w:tcW w:w="940" w:type="dxa"/>
            <w:tcBorders>
              <w:top w:val="nil"/>
              <w:left w:val="single" w:sz="4" w:space="0" w:color="auto"/>
              <w:bottom w:val="single" w:sz="8" w:space="0" w:color="auto"/>
              <w:right w:val="nil"/>
            </w:tcBorders>
            <w:shd w:val="clear" w:color="171717" w:fill="75923C"/>
            <w:noWrap/>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 </w:t>
            </w:r>
          </w:p>
        </w:tc>
        <w:tc>
          <w:tcPr>
            <w:tcW w:w="940" w:type="dxa"/>
            <w:tcBorders>
              <w:top w:val="nil"/>
              <w:left w:val="nil"/>
              <w:bottom w:val="single" w:sz="8" w:space="0" w:color="auto"/>
              <w:right w:val="nil"/>
            </w:tcBorders>
            <w:shd w:val="clear" w:color="171717" w:fill="75923C"/>
            <w:noWrap/>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 </w:t>
            </w:r>
          </w:p>
        </w:tc>
        <w:tc>
          <w:tcPr>
            <w:tcW w:w="966" w:type="dxa"/>
            <w:tcBorders>
              <w:top w:val="nil"/>
              <w:left w:val="single" w:sz="4" w:space="0" w:color="auto"/>
              <w:bottom w:val="single" w:sz="8" w:space="0" w:color="auto"/>
              <w:right w:val="nil"/>
            </w:tcBorders>
            <w:shd w:val="clear" w:color="171717" w:fill="75923C"/>
            <w:noWrap/>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 </w:t>
            </w:r>
          </w:p>
        </w:tc>
        <w:tc>
          <w:tcPr>
            <w:tcW w:w="914" w:type="dxa"/>
            <w:tcBorders>
              <w:top w:val="nil"/>
              <w:left w:val="nil"/>
              <w:bottom w:val="single" w:sz="8" w:space="0" w:color="auto"/>
              <w:right w:val="single" w:sz="4" w:space="0" w:color="auto"/>
            </w:tcBorders>
            <w:shd w:val="clear" w:color="171717" w:fill="75923C"/>
            <w:noWrap/>
            <w:vAlign w:val="center"/>
            <w:hideMark/>
          </w:tcPr>
          <w:p w:rsidR="00A27C51" w:rsidRPr="00A27C51" w:rsidRDefault="00A27C51" w:rsidP="00A27C51">
            <w:pPr>
              <w:spacing w:after="0" w:line="240" w:lineRule="auto"/>
              <w:jc w:val="left"/>
              <w:rPr>
                <w:rFonts w:cs="Arial"/>
                <w:b/>
                <w:bCs/>
                <w:color w:val="FFFFFF"/>
                <w:sz w:val="18"/>
                <w:szCs w:val="18"/>
              </w:rPr>
            </w:pPr>
            <w:r w:rsidRPr="00A27C51">
              <w:rPr>
                <w:rFonts w:cs="Arial"/>
                <w:b/>
                <w:bCs/>
                <w:color w:val="FFFFFF"/>
                <w:sz w:val="18"/>
                <w:szCs w:val="18"/>
              </w:rPr>
              <w:t> </w:t>
            </w:r>
          </w:p>
        </w:tc>
      </w:tr>
    </w:tbl>
    <w:p w:rsidR="00082B39" w:rsidRDefault="00082B39" w:rsidP="00874D68"/>
    <w:p w:rsidR="005B7BB9" w:rsidRPr="00333BA5" w:rsidRDefault="005B7BB9" w:rsidP="005B7BB9">
      <w:pPr>
        <w:rPr>
          <w:lang w:val="es-ES"/>
        </w:rPr>
      </w:pPr>
      <w:r w:rsidRPr="00333BA5">
        <w:rPr>
          <w:lang w:val="es-ES"/>
        </w:rPr>
        <w:t>Como ya se ha dicho, la implantación de la Línea 2 provoca un aumento general de Viajeros de transporte público.</w:t>
      </w:r>
    </w:p>
    <w:p w:rsidR="005B7BB9" w:rsidRPr="00333BA5" w:rsidRDefault="005B7BB9" w:rsidP="005B7BB9">
      <w:pPr>
        <w:rPr>
          <w:lang w:val="es-ES"/>
        </w:rPr>
      </w:pPr>
      <w:r w:rsidRPr="00333BA5">
        <w:rPr>
          <w:lang w:val="es-ES"/>
        </w:rPr>
        <w:t>Esto ocurre incluso en las líneas convencionales a pesar de la reducción en la producci</w:t>
      </w:r>
      <w:r>
        <w:rPr>
          <w:lang w:val="es-ES"/>
        </w:rPr>
        <w:t>ón kilométrica</w:t>
      </w:r>
      <w:r w:rsidRPr="00333BA5">
        <w:rPr>
          <w:lang w:val="es-ES"/>
        </w:rPr>
        <w:t xml:space="preserve">. Nuevos aumentos </w:t>
      </w:r>
      <w:r>
        <w:rPr>
          <w:lang w:val="es-ES"/>
        </w:rPr>
        <w:t>en el número de viajeros ocurren pa</w:t>
      </w:r>
      <w:r w:rsidRPr="00333BA5">
        <w:rPr>
          <w:lang w:val="es-ES"/>
        </w:rPr>
        <w:t>r</w:t>
      </w:r>
      <w:r>
        <w:rPr>
          <w:lang w:val="es-ES"/>
        </w:rPr>
        <w:t>a</w:t>
      </w:r>
      <w:r w:rsidRPr="00333BA5">
        <w:rPr>
          <w:lang w:val="es-ES"/>
        </w:rPr>
        <w:t xml:space="preserve"> la Línea 1 del Tren Eléctrico.</w:t>
      </w:r>
    </w:p>
    <w:p w:rsidR="005B7BB9" w:rsidRPr="00333BA5" w:rsidRDefault="005B7BB9" w:rsidP="005B7BB9">
      <w:pPr>
        <w:rPr>
          <w:lang w:val="es-ES"/>
        </w:rPr>
      </w:pPr>
      <w:r>
        <w:rPr>
          <w:lang w:val="es-ES"/>
        </w:rPr>
        <w:t xml:space="preserve">El </w:t>
      </w:r>
      <w:r w:rsidRPr="00333BA5">
        <w:rPr>
          <w:lang w:val="es-ES"/>
        </w:rPr>
        <w:t>Metropolitan</w:t>
      </w:r>
      <w:r>
        <w:rPr>
          <w:lang w:val="es-ES"/>
        </w:rPr>
        <w:t>o, sin embargo, ve</w:t>
      </w:r>
      <w:r w:rsidRPr="00333BA5">
        <w:rPr>
          <w:lang w:val="es-ES"/>
        </w:rPr>
        <w:t xml:space="preserve"> una reducción significativa (-30% en 2018 y -60% en 2020 y 2030) </w:t>
      </w:r>
      <w:r>
        <w:rPr>
          <w:lang w:val="es-ES"/>
        </w:rPr>
        <w:t>en el número de v</w:t>
      </w:r>
      <w:r w:rsidR="00592536">
        <w:rPr>
          <w:lang w:val="es-ES"/>
        </w:rPr>
        <w:t xml:space="preserve">iajeros </w:t>
      </w:r>
      <w:r w:rsidR="00592536" w:rsidRPr="00592536">
        <w:rPr>
          <w:lang w:val="es-ES"/>
        </w:rPr>
        <w:t>como resultado de</w:t>
      </w:r>
      <w:r w:rsidR="00592536">
        <w:rPr>
          <w:lang w:val="es-ES"/>
        </w:rPr>
        <w:t xml:space="preserve"> los </w:t>
      </w:r>
      <w:r w:rsidR="00592536" w:rsidRPr="00592536">
        <w:rPr>
          <w:lang w:val="es-ES"/>
        </w:rPr>
        <w:t xml:space="preserve">incrementos en las </w:t>
      </w:r>
      <w:r w:rsidR="00592536">
        <w:rPr>
          <w:lang w:val="es-ES"/>
        </w:rPr>
        <w:t>tarifas.</w:t>
      </w:r>
    </w:p>
    <w:p w:rsidR="00082B39" w:rsidRPr="005B7BB9" w:rsidRDefault="00082B39" w:rsidP="00874D68">
      <w:pPr>
        <w:rPr>
          <w:lang w:val="es-ES"/>
        </w:rPr>
      </w:pPr>
    </w:p>
    <w:p w:rsidR="00874D68" w:rsidRPr="005B7BB9" w:rsidRDefault="00874D68" w:rsidP="00874D68">
      <w:pPr>
        <w:rPr>
          <w:lang w:val="es-ES"/>
        </w:rPr>
      </w:pPr>
    </w:p>
    <w:p w:rsidR="00874D68" w:rsidRPr="005B7BB9" w:rsidRDefault="00874D68">
      <w:pPr>
        <w:spacing w:after="0" w:line="240" w:lineRule="auto"/>
        <w:jc w:val="left"/>
        <w:rPr>
          <w:b/>
          <w:lang w:val="es-ES"/>
        </w:rPr>
      </w:pPr>
      <w:r w:rsidRPr="005B7BB9">
        <w:rPr>
          <w:lang w:val="es-ES"/>
        </w:rPr>
        <w:br w:type="page"/>
      </w:r>
    </w:p>
    <w:p w:rsidR="00ED1F70" w:rsidRPr="007226D7" w:rsidRDefault="00ED1F70" w:rsidP="00ED1F70">
      <w:pPr>
        <w:pStyle w:val="Heading2"/>
      </w:pPr>
      <w:bookmarkStart w:id="172" w:name="_Toc346541956"/>
      <w:r w:rsidRPr="007226D7">
        <w:lastRenderedPageBreak/>
        <w:t>Analisis de la sensibilidad</w:t>
      </w:r>
      <w:bookmarkEnd w:id="159"/>
      <w:bookmarkEnd w:id="172"/>
    </w:p>
    <w:p w:rsidR="007B0CB2" w:rsidRPr="007226D7" w:rsidRDefault="007B0CB2" w:rsidP="007B0CB2">
      <w:pPr>
        <w:rPr>
          <w:lang w:val="es-ES"/>
        </w:rPr>
      </w:pPr>
      <w:r w:rsidRPr="0023304D">
        <w:rPr>
          <w:lang w:val="es-ES"/>
        </w:rPr>
        <w:t>A continuación se presentan los resultados obtenidos de la simulación de los diferente</w:t>
      </w:r>
      <w:r w:rsidRPr="007226D7">
        <w:rPr>
          <w:lang w:val="es-ES"/>
        </w:rPr>
        <w:t>s escenarios de sensibilidad de la demanda captada por la Línea 2 del Metro de Lima ante variaciones en el intervalo de paso y tarifa.</w:t>
      </w:r>
    </w:p>
    <w:p w:rsidR="007B0CB2" w:rsidRPr="007226D7" w:rsidRDefault="00E52A2C" w:rsidP="00E52A2C">
      <w:pPr>
        <w:pStyle w:val="Figuras"/>
      </w:pPr>
      <w:r w:rsidRPr="007226D7">
        <w:t>Tabla 4.</w:t>
      </w:r>
      <w:r w:rsidR="000065E7">
        <w:t>11</w:t>
      </w:r>
      <w:r w:rsidRPr="007226D7">
        <w:t xml:space="preserve"> – 1: </w:t>
      </w:r>
      <w:r w:rsidR="000B2336" w:rsidRPr="007226D7">
        <w:t>Parámetros</w:t>
      </w:r>
      <w:r w:rsidRPr="007226D7">
        <w:t xml:space="preserve"> del </w:t>
      </w:r>
      <w:r w:rsidR="000B2336" w:rsidRPr="007226D7">
        <w:t>análisis</w:t>
      </w:r>
      <w:r w:rsidRPr="007226D7">
        <w:t xml:space="preserve"> de sensibilidad</w:t>
      </w:r>
    </w:p>
    <w:p w:rsidR="007B0CB2" w:rsidRPr="007226D7" w:rsidRDefault="007B0CB2" w:rsidP="007B0CB2">
      <w:pPr>
        <w:jc w:val="center"/>
      </w:pPr>
      <w:r w:rsidRPr="007226D7">
        <w:object w:dxaOrig="11236" w:dyaOrig="67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65pt;height:209.55pt" o:ole="">
            <v:imagedata r:id="rId255" o:title=""/>
          </v:shape>
          <o:OLEObject Type="Embed" ProgID="Excel.Sheet.12" ShapeID="_x0000_i1025" DrawAspect="Content" ObjectID="_1469972374" r:id="rId256"/>
        </w:object>
      </w:r>
    </w:p>
    <w:p w:rsidR="00E52A2C" w:rsidRPr="007226D7" w:rsidRDefault="00E52A2C" w:rsidP="007B0CB2">
      <w:pPr>
        <w:rPr>
          <w:lang w:val="es-ES"/>
        </w:rPr>
      </w:pPr>
    </w:p>
    <w:p w:rsidR="007B0CB2" w:rsidRPr="007226D7" w:rsidRDefault="007B0CB2" w:rsidP="007B0CB2">
      <w:pPr>
        <w:rPr>
          <w:lang w:val="es-ES"/>
        </w:rPr>
      </w:pPr>
      <w:r w:rsidRPr="007226D7">
        <w:rPr>
          <w:lang w:val="es-ES"/>
        </w:rPr>
        <w:t>La tabla a continuación muestra la demanda en día laborable para diferentes combinaciones de tarifa e intervalo. Todos estos valores se han calculado para la demanda del año 2020.</w:t>
      </w:r>
    </w:p>
    <w:p w:rsidR="007B0CB2" w:rsidRPr="007226D7" w:rsidRDefault="00E52A2C" w:rsidP="00E52A2C">
      <w:pPr>
        <w:pStyle w:val="Figuras"/>
      </w:pPr>
      <w:r w:rsidRPr="007226D7">
        <w:t>Tabla 4.</w:t>
      </w:r>
      <w:r w:rsidR="000065E7">
        <w:t>11</w:t>
      </w:r>
      <w:r w:rsidRPr="007226D7">
        <w:t xml:space="preserve"> – 2: Demanda </w:t>
      </w:r>
      <w:r w:rsidR="000B2336" w:rsidRPr="007226D7">
        <w:t>diaria</w:t>
      </w:r>
      <w:r w:rsidRPr="007226D7">
        <w:t xml:space="preserve"> </w:t>
      </w:r>
      <w:r w:rsidR="000B2336" w:rsidRPr="007226D7">
        <w:t>según</w:t>
      </w:r>
      <w:r w:rsidRPr="007226D7">
        <w:t xml:space="preserve"> los resultados del </w:t>
      </w:r>
      <w:r w:rsidR="000B2336" w:rsidRPr="007226D7">
        <w:t>análisis</w:t>
      </w:r>
      <w:r w:rsidRPr="007226D7">
        <w:t xml:space="preserve"> de sensibilidad</w:t>
      </w:r>
    </w:p>
    <w:p w:rsidR="007B0CB2" w:rsidRPr="007226D7" w:rsidRDefault="007B0CB2" w:rsidP="007B0CB2">
      <w:pPr>
        <w:jc w:val="center"/>
      </w:pPr>
      <w:r w:rsidRPr="007226D7">
        <w:object w:dxaOrig="11236" w:dyaOrig="6771">
          <v:shape id="_x0000_i1026" type="#_x0000_t75" style="width:346.65pt;height:209.55pt;mso-position-vertical:absolute" o:ole="">
            <v:imagedata r:id="rId257" o:title=""/>
          </v:shape>
          <o:OLEObject Type="Embed" ProgID="Excel.Sheet.12" ShapeID="_x0000_i1026" DrawAspect="Content" ObjectID="_1469972375" r:id="rId258"/>
        </w:object>
      </w:r>
    </w:p>
    <w:p w:rsidR="008F6E4B" w:rsidRPr="007226D7" w:rsidRDefault="007B0CB2" w:rsidP="007B0CB2">
      <w:pPr>
        <w:rPr>
          <w:b/>
          <w:lang w:val="es-ES"/>
        </w:rPr>
      </w:pPr>
      <w:r w:rsidRPr="008C61F3">
        <w:rPr>
          <w:lang w:val="es-ES_tradnl"/>
        </w:rPr>
        <w:t>La tabla muestra en rojo los casos en los que la carga máxima en hora punta supera ampliamente la oferta.</w:t>
      </w:r>
      <w:bookmarkStart w:id="173" w:name="_Toc342751295"/>
      <w:r w:rsidR="008F6E4B" w:rsidRPr="007226D7">
        <w:rPr>
          <w:lang w:val="es-ES"/>
        </w:rPr>
        <w:br w:type="page"/>
      </w:r>
    </w:p>
    <w:p w:rsidR="00ED1F70" w:rsidRPr="007226D7" w:rsidRDefault="00ED1F70" w:rsidP="00ED1F70">
      <w:pPr>
        <w:pStyle w:val="Heading2"/>
      </w:pPr>
      <w:bookmarkStart w:id="174" w:name="_Toc346541957"/>
      <w:r w:rsidRPr="007226D7">
        <w:lastRenderedPageBreak/>
        <w:t>Balance Oferta Demanda</w:t>
      </w:r>
      <w:bookmarkEnd w:id="173"/>
      <w:bookmarkEnd w:id="174"/>
    </w:p>
    <w:bookmarkEnd w:id="75"/>
    <w:bookmarkEnd w:id="76"/>
    <w:p w:rsidR="008378E5" w:rsidRPr="007226D7" w:rsidRDefault="008378E5" w:rsidP="008378E5">
      <w:pPr>
        <w:rPr>
          <w:lang w:val="es-ES"/>
        </w:rPr>
      </w:pPr>
      <w:r w:rsidRPr="007226D7">
        <w:rPr>
          <w:lang w:val="es-ES"/>
        </w:rPr>
        <w:t>En este párrafo se destaca la progresión de algunos indicadores relevantes durante el período de análisis: 30 años desde el año 2018 hasta el año 2048.</w:t>
      </w:r>
    </w:p>
    <w:p w:rsidR="008378E5" w:rsidRPr="007226D7" w:rsidRDefault="008378E5" w:rsidP="008378E5">
      <w:pPr>
        <w:rPr>
          <w:lang w:val="es-ES"/>
        </w:rPr>
      </w:pPr>
      <w:r w:rsidRPr="007226D7">
        <w:rPr>
          <w:lang w:val="es-ES"/>
        </w:rPr>
        <w:t>Dentro de los límites de tiempo y de las herramientas disponibles en esta etapa del trabajo, la evaluación del estado de 2018 a 2020 se llevó a cabo con proyección del año 2018 con una tasa de crecimiento compatible con el crecimiento de las matrices de transporte público, mientras que por el período de 2020 a 2030 se utilizó la interpolación de los valores de los pares de escenarios simulados. Desde el año 2030 hasta 2048 se proyectó la tendencia lineal 2020 - 2030.</w:t>
      </w:r>
    </w:p>
    <w:p w:rsidR="00B35355" w:rsidRPr="007226D7" w:rsidRDefault="00B35355" w:rsidP="00B35355">
      <w:pPr>
        <w:rPr>
          <w:lang w:val="es-ES"/>
        </w:rPr>
      </w:pPr>
      <w:r w:rsidRPr="007226D7">
        <w:rPr>
          <w:lang w:val="es-ES"/>
        </w:rPr>
        <w:t xml:space="preserve">De esta manera se hace la proyección del principal indicador de performance del modelo construido en el </w:t>
      </w:r>
      <w:r w:rsidR="000B2336" w:rsidRPr="007226D7">
        <w:rPr>
          <w:lang w:val="es-ES"/>
        </w:rPr>
        <w:t>análisis</w:t>
      </w:r>
      <w:r w:rsidRPr="007226D7">
        <w:rPr>
          <w:lang w:val="es-ES"/>
        </w:rPr>
        <w:t xml:space="preserve"> de demanda: el tiempo de viaje y en consecuencia el ahorro de tiempo total.</w:t>
      </w:r>
    </w:p>
    <w:p w:rsidR="00B35355" w:rsidRPr="007226D7" w:rsidRDefault="00B35355" w:rsidP="00B35355">
      <w:pPr>
        <w:rPr>
          <w:lang w:val="es-ES"/>
        </w:rPr>
      </w:pPr>
      <w:r w:rsidRPr="007226D7">
        <w:rPr>
          <w:lang w:val="es-ES"/>
        </w:rPr>
        <w:t>Con referencia a HPM, el tiempo medio de viaje pasa de 44,92 min en las condiciones actuales (2012) a 45,78 min en el escenario 1.1 hasta alcanzar 48,17 min en el escenario 3.1. Con la introducción del sistema de corredores, es decir la condición optimizada, estos valores se reducen a los siguientes: 41.78 y 45.95, respectivamente para los escenarios 1.2 y 3.2.</w:t>
      </w:r>
    </w:p>
    <w:p w:rsidR="00B35355" w:rsidRPr="007226D7" w:rsidRDefault="00B35355" w:rsidP="00B35355">
      <w:pPr>
        <w:rPr>
          <w:lang w:val="es-ES"/>
        </w:rPr>
      </w:pPr>
      <w:r w:rsidRPr="007226D7">
        <w:rPr>
          <w:lang w:val="es-ES"/>
        </w:rPr>
        <w:t>Esta reducción equivale a una reducción de casi 95% en 2018 y casi un 5% en 2030. El avance del proyecto de los corredores complementarios es tal que será el escenario "optimizado" la real base de comparación para la situación de proyecto.</w:t>
      </w:r>
    </w:p>
    <w:p w:rsidR="00B35355" w:rsidRPr="007226D7" w:rsidRDefault="00B35355" w:rsidP="00B35355">
      <w:pPr>
        <w:rPr>
          <w:lang w:val="es-ES"/>
        </w:rPr>
      </w:pPr>
      <w:r w:rsidRPr="007226D7">
        <w:rPr>
          <w:lang w:val="es-ES"/>
        </w:rPr>
        <w:t>Los tiempos de viaje en la situación  con proyecto, por lo tanto son los siguientes: 40.53 min en 2018 y 43,03 min en 2030.</w:t>
      </w:r>
    </w:p>
    <w:p w:rsidR="00B35355" w:rsidRPr="007226D7" w:rsidRDefault="00B35355" w:rsidP="00B35355">
      <w:pPr>
        <w:rPr>
          <w:lang w:val="es-ES"/>
        </w:rPr>
      </w:pPr>
      <w:r w:rsidRPr="007226D7">
        <w:rPr>
          <w:rFonts w:cs="Arial"/>
          <w:lang w:val="es-ES"/>
        </w:rPr>
        <w:t>Con respecto al tiempo de viaje, hay que señalar que el modelo proporciona valores medios para todos los viajeros que viajan en transporte público en Lima, o mejor en servicios representados en el modelo, y no sólo para los viajeros afectados por la nueva línea.</w:t>
      </w:r>
    </w:p>
    <w:p w:rsidR="00B35355" w:rsidRPr="007226D7" w:rsidRDefault="00B35355" w:rsidP="00B35355">
      <w:pPr>
        <w:rPr>
          <w:lang w:val="es-ES"/>
        </w:rPr>
      </w:pPr>
      <w:r w:rsidRPr="007226D7">
        <w:rPr>
          <w:lang w:val="es-ES"/>
        </w:rPr>
        <w:t>Con la introducción de los efectos de la red de metro se verifica una disminución adicional de 43,03 min en el escenario 3.3 a 39,99 min en el escenario 3.4.</w:t>
      </w:r>
    </w:p>
    <w:p w:rsidR="00E52A2C" w:rsidRPr="007226D7" w:rsidRDefault="00B35355" w:rsidP="00E52A2C">
      <w:pPr>
        <w:rPr>
          <w:lang w:val="es-ES"/>
        </w:rPr>
      </w:pPr>
      <w:r w:rsidRPr="007226D7">
        <w:rPr>
          <w:lang w:val="es-ES"/>
        </w:rPr>
        <w:t xml:space="preserve">Los valores para las tres bandas </w:t>
      </w:r>
      <w:r w:rsidR="000B2336" w:rsidRPr="007226D7">
        <w:rPr>
          <w:lang w:val="es-ES"/>
        </w:rPr>
        <w:t>están</w:t>
      </w:r>
      <w:r w:rsidRPr="007226D7">
        <w:rPr>
          <w:lang w:val="es-ES"/>
        </w:rPr>
        <w:t xml:space="preserve"> </w:t>
      </w:r>
      <w:proofErr w:type="gramStart"/>
      <w:r w:rsidRPr="007226D7">
        <w:rPr>
          <w:lang w:val="es-ES"/>
        </w:rPr>
        <w:t>descritas</w:t>
      </w:r>
      <w:proofErr w:type="gramEnd"/>
      <w:r w:rsidRPr="007226D7">
        <w:rPr>
          <w:lang w:val="es-ES"/>
        </w:rPr>
        <w:t xml:space="preserve"> a continuación:</w:t>
      </w:r>
    </w:p>
    <w:p w:rsidR="00E52A2C" w:rsidRPr="007226D7" w:rsidRDefault="00E52A2C" w:rsidP="00E52A2C">
      <w:pPr>
        <w:rPr>
          <w:lang w:val="es-ES"/>
        </w:rPr>
      </w:pPr>
    </w:p>
    <w:p w:rsidR="00E52A2C" w:rsidRPr="007226D7" w:rsidRDefault="00E52A2C" w:rsidP="00E52A2C">
      <w:pPr>
        <w:pStyle w:val="Figuras"/>
      </w:pPr>
      <w:r w:rsidRPr="007226D7">
        <w:t>Tabla 4.1</w:t>
      </w:r>
      <w:r w:rsidR="000065E7">
        <w:t>2</w:t>
      </w:r>
      <w:r w:rsidRPr="007226D7">
        <w:t xml:space="preserve"> – 1: Tiempo medio de viaje</w:t>
      </w:r>
    </w:p>
    <w:tbl>
      <w:tblPr>
        <w:tblW w:w="6328" w:type="dxa"/>
        <w:jc w:val="center"/>
        <w:tblInd w:w="70" w:type="dxa"/>
        <w:tblCellMar>
          <w:left w:w="70" w:type="dxa"/>
          <w:right w:w="70" w:type="dxa"/>
        </w:tblCellMar>
        <w:tblLook w:val="04A0" w:firstRow="1" w:lastRow="0" w:firstColumn="1" w:lastColumn="0" w:noHBand="0" w:noVBand="1"/>
      </w:tblPr>
      <w:tblGrid>
        <w:gridCol w:w="968"/>
        <w:gridCol w:w="1340"/>
        <w:gridCol w:w="1340"/>
        <w:gridCol w:w="1340"/>
        <w:gridCol w:w="1340"/>
      </w:tblGrid>
      <w:tr w:rsidR="002A4069" w:rsidRPr="007226D7" w:rsidTr="002A4069">
        <w:trPr>
          <w:trHeight w:val="240"/>
          <w:jc w:val="center"/>
        </w:trPr>
        <w:tc>
          <w:tcPr>
            <w:tcW w:w="968" w:type="dxa"/>
            <w:tcBorders>
              <w:top w:val="nil"/>
              <w:left w:val="nil"/>
              <w:bottom w:val="nil"/>
              <w:right w:val="nil"/>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lang w:val="es-ES"/>
              </w:rPr>
            </w:pPr>
          </w:p>
        </w:tc>
        <w:tc>
          <w:tcPr>
            <w:tcW w:w="536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center"/>
              <w:rPr>
                <w:rFonts w:cs="Arial"/>
                <w:b/>
                <w:bCs/>
                <w:color w:val="171717"/>
                <w:sz w:val="18"/>
                <w:szCs w:val="18"/>
                <w:lang w:val="es-ES"/>
              </w:rPr>
            </w:pPr>
            <w:r w:rsidRPr="007226D7">
              <w:rPr>
                <w:rFonts w:cs="Arial"/>
                <w:b/>
                <w:bCs/>
                <w:color w:val="171717"/>
                <w:sz w:val="18"/>
                <w:szCs w:val="18"/>
                <w:lang w:val="es-ES"/>
              </w:rPr>
              <w:t>HPM</w:t>
            </w:r>
          </w:p>
        </w:tc>
      </w:tr>
      <w:tr w:rsidR="002A4069" w:rsidRPr="007226D7" w:rsidTr="002A4069">
        <w:trPr>
          <w:trHeight w:val="450"/>
          <w:jc w:val="center"/>
        </w:trPr>
        <w:tc>
          <w:tcPr>
            <w:tcW w:w="968" w:type="dxa"/>
            <w:tcBorders>
              <w:top w:val="nil"/>
              <w:left w:val="nil"/>
              <w:bottom w:val="nil"/>
              <w:right w:val="nil"/>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lang w:val="es-ES"/>
              </w:rPr>
            </w:pPr>
          </w:p>
        </w:tc>
        <w:tc>
          <w:tcPr>
            <w:tcW w:w="1340" w:type="dxa"/>
            <w:tcBorders>
              <w:top w:val="nil"/>
              <w:left w:val="single" w:sz="4" w:space="0" w:color="auto"/>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8"/>
                <w:szCs w:val="18"/>
                <w:lang w:val="es-ES"/>
              </w:rPr>
            </w:pPr>
            <w:r w:rsidRPr="007226D7">
              <w:rPr>
                <w:rFonts w:cs="Arial"/>
                <w:b/>
                <w:bCs/>
                <w:color w:val="171717"/>
                <w:sz w:val="18"/>
                <w:szCs w:val="18"/>
                <w:lang w:val="es-ES"/>
              </w:rPr>
              <w:t>DO NOTHING</w:t>
            </w:r>
          </w:p>
        </w:tc>
        <w:tc>
          <w:tcPr>
            <w:tcW w:w="1340"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lang w:val="es-ES"/>
              </w:rPr>
            </w:pPr>
            <w:r w:rsidRPr="007226D7">
              <w:rPr>
                <w:rFonts w:cs="Arial"/>
                <w:b/>
                <w:bCs/>
                <w:color w:val="171717"/>
                <w:sz w:val="16"/>
                <w:szCs w:val="16"/>
                <w:lang w:val="es-ES"/>
              </w:rPr>
              <w:t>SITUACIÓN OPTIMIZADA</w:t>
            </w:r>
          </w:p>
        </w:tc>
        <w:tc>
          <w:tcPr>
            <w:tcW w:w="1340"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lang w:val="es-ES"/>
              </w:rPr>
            </w:pPr>
            <w:r w:rsidRPr="007226D7">
              <w:rPr>
                <w:rFonts w:cs="Arial"/>
                <w:b/>
                <w:bCs/>
                <w:color w:val="171717"/>
                <w:sz w:val="16"/>
                <w:szCs w:val="16"/>
                <w:lang w:val="es-ES"/>
              </w:rPr>
              <w:t>PROYECTO</w:t>
            </w:r>
          </w:p>
        </w:tc>
        <w:tc>
          <w:tcPr>
            <w:tcW w:w="1340"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lang w:val="es-ES"/>
              </w:rPr>
            </w:pPr>
            <w:r w:rsidRPr="007226D7">
              <w:rPr>
                <w:rFonts w:cs="Arial"/>
                <w:b/>
                <w:bCs/>
                <w:color w:val="171717"/>
                <w:sz w:val="16"/>
                <w:szCs w:val="16"/>
                <w:lang w:val="es-ES"/>
              </w:rPr>
              <w:t>PROYECTO + RED BASICA</w:t>
            </w:r>
          </w:p>
        </w:tc>
      </w:tr>
      <w:tr w:rsidR="002A4069" w:rsidRPr="007226D7" w:rsidTr="002A4069">
        <w:trPr>
          <w:trHeight w:val="240"/>
          <w:jc w:val="center"/>
        </w:trPr>
        <w:tc>
          <w:tcPr>
            <w:tcW w:w="9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lang w:val="es-ES"/>
              </w:rPr>
            </w:pPr>
            <w:r w:rsidRPr="007226D7">
              <w:rPr>
                <w:rFonts w:cs="Arial"/>
                <w:b/>
                <w:bCs/>
                <w:color w:val="171717"/>
                <w:sz w:val="18"/>
                <w:szCs w:val="18"/>
                <w:lang w:val="es-ES"/>
              </w:rPr>
              <w:t>2012</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44.92</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w:t>
            </w:r>
          </w:p>
        </w:tc>
      </w:tr>
      <w:tr w:rsidR="002A4069" w:rsidRPr="007226D7" w:rsidTr="002A4069">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lang w:val="es-ES"/>
              </w:rPr>
            </w:pPr>
            <w:r w:rsidRPr="007226D7">
              <w:rPr>
                <w:rFonts w:cs="Arial"/>
                <w:b/>
                <w:bCs/>
                <w:color w:val="171717"/>
                <w:sz w:val="18"/>
                <w:szCs w:val="18"/>
                <w:lang w:val="es-ES"/>
              </w:rPr>
              <w:t>2018</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45.78</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41.78</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40.53</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w:t>
            </w:r>
          </w:p>
        </w:tc>
      </w:tr>
      <w:tr w:rsidR="002A4069" w:rsidRPr="007226D7" w:rsidTr="002A4069">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lang w:val="es-ES"/>
              </w:rPr>
            </w:pPr>
            <w:r w:rsidRPr="007226D7">
              <w:rPr>
                <w:rFonts w:cs="Arial"/>
                <w:b/>
                <w:bCs/>
                <w:color w:val="171717"/>
                <w:sz w:val="18"/>
                <w:szCs w:val="18"/>
                <w:lang w:val="es-ES"/>
              </w:rPr>
              <w:t>2020</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lang w:val="es-ES"/>
              </w:rPr>
            </w:pPr>
            <w:r w:rsidRPr="007226D7">
              <w:rPr>
                <w:rFonts w:cs="Arial"/>
                <w:color w:val="171717"/>
                <w:sz w:val="18"/>
                <w:szCs w:val="18"/>
                <w:lang w:val="es-ES"/>
              </w:rPr>
              <w:t>46.29</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lang w:val="es-ES"/>
              </w:rPr>
              <w:t>43</w:t>
            </w:r>
            <w:r w:rsidRPr="007226D7">
              <w:rPr>
                <w:rFonts w:cs="Arial"/>
                <w:color w:val="171717"/>
                <w:sz w:val="18"/>
                <w:szCs w:val="18"/>
              </w:rPr>
              <w:t>.35</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40.80</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2030</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48.17</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45.95</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43.03</w:t>
            </w:r>
          </w:p>
        </w:tc>
        <w:tc>
          <w:tcPr>
            <w:tcW w:w="1340"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39.99</w:t>
            </w:r>
          </w:p>
        </w:tc>
      </w:tr>
    </w:tbl>
    <w:p w:rsidR="002A4069" w:rsidRPr="007226D7" w:rsidRDefault="002A4069" w:rsidP="008378E5">
      <w:pPr>
        <w:spacing w:after="0" w:line="240" w:lineRule="auto"/>
        <w:jc w:val="left"/>
      </w:pPr>
    </w:p>
    <w:p w:rsidR="00786A0E" w:rsidRPr="007226D7" w:rsidRDefault="00786A0E">
      <w:pPr>
        <w:spacing w:after="0" w:line="240" w:lineRule="auto"/>
        <w:jc w:val="left"/>
      </w:pPr>
      <w:r w:rsidRPr="007226D7">
        <w:br w:type="page"/>
      </w:r>
    </w:p>
    <w:p w:rsidR="002A4069" w:rsidRPr="007226D7" w:rsidRDefault="002A4069" w:rsidP="008378E5">
      <w:pPr>
        <w:spacing w:after="0" w:line="240" w:lineRule="auto"/>
        <w:jc w:val="left"/>
      </w:pPr>
    </w:p>
    <w:tbl>
      <w:tblPr>
        <w:tblW w:w="6328" w:type="dxa"/>
        <w:jc w:val="center"/>
        <w:tblInd w:w="70" w:type="dxa"/>
        <w:tblCellMar>
          <w:left w:w="70" w:type="dxa"/>
          <w:right w:w="70" w:type="dxa"/>
        </w:tblCellMar>
        <w:tblLook w:val="04A0" w:firstRow="1" w:lastRow="0" w:firstColumn="1" w:lastColumn="0" w:noHBand="0" w:noVBand="1"/>
      </w:tblPr>
      <w:tblGrid>
        <w:gridCol w:w="960"/>
        <w:gridCol w:w="1295"/>
        <w:gridCol w:w="1397"/>
        <w:gridCol w:w="1338"/>
        <w:gridCol w:w="1338"/>
      </w:tblGrid>
      <w:tr w:rsidR="002A4069" w:rsidRPr="007226D7" w:rsidTr="002A4069">
        <w:trPr>
          <w:trHeight w:val="240"/>
          <w:jc w:val="center"/>
        </w:trPr>
        <w:tc>
          <w:tcPr>
            <w:tcW w:w="960" w:type="dxa"/>
            <w:tcBorders>
              <w:top w:val="nil"/>
              <w:left w:val="nil"/>
              <w:bottom w:val="nil"/>
              <w:right w:val="single" w:sz="4" w:space="0" w:color="auto"/>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rPr>
            </w:pPr>
          </w:p>
        </w:tc>
        <w:tc>
          <w:tcPr>
            <w:tcW w:w="53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center"/>
              <w:rPr>
                <w:rFonts w:cs="Arial"/>
                <w:b/>
                <w:bCs/>
                <w:color w:val="171717"/>
                <w:sz w:val="18"/>
                <w:szCs w:val="18"/>
              </w:rPr>
            </w:pPr>
            <w:r w:rsidRPr="007226D7">
              <w:rPr>
                <w:rFonts w:cs="Arial"/>
                <w:b/>
                <w:bCs/>
                <w:color w:val="171717"/>
                <w:sz w:val="18"/>
                <w:szCs w:val="18"/>
              </w:rPr>
              <w:t>HPT</w:t>
            </w:r>
          </w:p>
        </w:tc>
      </w:tr>
      <w:tr w:rsidR="002A4069" w:rsidRPr="007226D7" w:rsidTr="002A4069">
        <w:trPr>
          <w:trHeight w:val="450"/>
          <w:jc w:val="center"/>
        </w:trPr>
        <w:tc>
          <w:tcPr>
            <w:tcW w:w="960" w:type="dxa"/>
            <w:tcBorders>
              <w:top w:val="nil"/>
              <w:left w:val="nil"/>
              <w:bottom w:val="nil"/>
              <w:right w:val="single" w:sz="4" w:space="0" w:color="auto"/>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rPr>
            </w:pPr>
          </w:p>
        </w:tc>
        <w:tc>
          <w:tcPr>
            <w:tcW w:w="1295" w:type="dxa"/>
            <w:tcBorders>
              <w:top w:val="nil"/>
              <w:left w:val="single" w:sz="4" w:space="0" w:color="auto"/>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8"/>
                <w:szCs w:val="18"/>
              </w:rPr>
            </w:pPr>
            <w:r w:rsidRPr="007226D7">
              <w:rPr>
                <w:rFonts w:cs="Arial"/>
                <w:b/>
                <w:bCs/>
                <w:color w:val="171717"/>
                <w:sz w:val="18"/>
                <w:szCs w:val="18"/>
              </w:rPr>
              <w:t>DO NOTHING</w:t>
            </w:r>
          </w:p>
        </w:tc>
        <w:tc>
          <w:tcPr>
            <w:tcW w:w="1397"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SITUACIÓN OPTIMIZADA</w:t>
            </w:r>
          </w:p>
        </w:tc>
        <w:tc>
          <w:tcPr>
            <w:tcW w:w="1338"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PROYECTO</w:t>
            </w:r>
          </w:p>
        </w:tc>
        <w:tc>
          <w:tcPr>
            <w:tcW w:w="1338"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PROYECTO + RED BASICA</w:t>
            </w:r>
          </w:p>
        </w:tc>
      </w:tr>
      <w:tr w:rsidR="002A4069" w:rsidRPr="007226D7" w:rsidTr="002A4069">
        <w:trPr>
          <w:trHeight w:val="24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2012</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48.21</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2018</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49.27</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44.89</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44.09</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2020</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49.70</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46.18</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44.16</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2030</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51.31</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48.73</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45.84</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42.70</w:t>
            </w:r>
          </w:p>
        </w:tc>
      </w:tr>
    </w:tbl>
    <w:p w:rsidR="002A4069" w:rsidRPr="007226D7" w:rsidRDefault="002A4069" w:rsidP="008378E5">
      <w:pPr>
        <w:spacing w:after="0" w:line="240" w:lineRule="auto"/>
        <w:jc w:val="left"/>
      </w:pPr>
    </w:p>
    <w:tbl>
      <w:tblPr>
        <w:tblW w:w="6328" w:type="dxa"/>
        <w:jc w:val="center"/>
        <w:tblInd w:w="70" w:type="dxa"/>
        <w:tblCellMar>
          <w:left w:w="70" w:type="dxa"/>
          <w:right w:w="70" w:type="dxa"/>
        </w:tblCellMar>
        <w:tblLook w:val="04A0" w:firstRow="1" w:lastRow="0" w:firstColumn="1" w:lastColumn="0" w:noHBand="0" w:noVBand="1"/>
      </w:tblPr>
      <w:tblGrid>
        <w:gridCol w:w="960"/>
        <w:gridCol w:w="1295"/>
        <w:gridCol w:w="1397"/>
        <w:gridCol w:w="1338"/>
        <w:gridCol w:w="1338"/>
      </w:tblGrid>
      <w:tr w:rsidR="002A4069" w:rsidRPr="007226D7" w:rsidTr="002A4069">
        <w:trPr>
          <w:trHeight w:val="240"/>
          <w:jc w:val="center"/>
        </w:trPr>
        <w:tc>
          <w:tcPr>
            <w:tcW w:w="960" w:type="dxa"/>
            <w:tcBorders>
              <w:top w:val="nil"/>
              <w:left w:val="nil"/>
              <w:bottom w:val="nil"/>
              <w:right w:val="single" w:sz="4" w:space="0" w:color="auto"/>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rPr>
            </w:pPr>
          </w:p>
        </w:tc>
        <w:tc>
          <w:tcPr>
            <w:tcW w:w="53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center"/>
              <w:rPr>
                <w:rFonts w:cs="Arial"/>
                <w:b/>
                <w:bCs/>
                <w:color w:val="171717"/>
                <w:sz w:val="18"/>
                <w:szCs w:val="18"/>
              </w:rPr>
            </w:pPr>
            <w:r w:rsidRPr="007226D7">
              <w:rPr>
                <w:rFonts w:cs="Arial"/>
                <w:b/>
                <w:bCs/>
                <w:color w:val="171717"/>
                <w:sz w:val="18"/>
                <w:szCs w:val="18"/>
              </w:rPr>
              <w:t>HV</w:t>
            </w:r>
          </w:p>
        </w:tc>
      </w:tr>
      <w:tr w:rsidR="002A4069" w:rsidRPr="007226D7" w:rsidTr="002A4069">
        <w:trPr>
          <w:trHeight w:val="450"/>
          <w:jc w:val="center"/>
        </w:trPr>
        <w:tc>
          <w:tcPr>
            <w:tcW w:w="960" w:type="dxa"/>
            <w:tcBorders>
              <w:top w:val="nil"/>
              <w:left w:val="nil"/>
              <w:bottom w:val="nil"/>
              <w:right w:val="single" w:sz="4" w:space="0" w:color="auto"/>
            </w:tcBorders>
            <w:shd w:val="clear" w:color="auto" w:fill="auto"/>
            <w:noWrap/>
            <w:vAlign w:val="bottom"/>
            <w:hideMark/>
          </w:tcPr>
          <w:p w:rsidR="002A4069" w:rsidRPr="007226D7" w:rsidRDefault="002A4069" w:rsidP="002A4069">
            <w:pPr>
              <w:spacing w:after="0" w:line="240" w:lineRule="auto"/>
              <w:jc w:val="left"/>
              <w:rPr>
                <w:rFonts w:cs="Arial"/>
                <w:color w:val="171717"/>
                <w:sz w:val="18"/>
                <w:szCs w:val="18"/>
              </w:rPr>
            </w:pPr>
          </w:p>
        </w:tc>
        <w:tc>
          <w:tcPr>
            <w:tcW w:w="1295" w:type="dxa"/>
            <w:tcBorders>
              <w:top w:val="nil"/>
              <w:left w:val="single" w:sz="4" w:space="0" w:color="auto"/>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8"/>
                <w:szCs w:val="18"/>
              </w:rPr>
            </w:pPr>
            <w:r w:rsidRPr="007226D7">
              <w:rPr>
                <w:rFonts w:cs="Arial"/>
                <w:b/>
                <w:bCs/>
                <w:color w:val="171717"/>
                <w:sz w:val="18"/>
                <w:szCs w:val="18"/>
              </w:rPr>
              <w:t>DO NOTHING</w:t>
            </w:r>
          </w:p>
        </w:tc>
        <w:tc>
          <w:tcPr>
            <w:tcW w:w="1397"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SITUACIÓN OPTIMIZADA</w:t>
            </w:r>
          </w:p>
        </w:tc>
        <w:tc>
          <w:tcPr>
            <w:tcW w:w="1338"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PROYECTO</w:t>
            </w:r>
          </w:p>
        </w:tc>
        <w:tc>
          <w:tcPr>
            <w:tcW w:w="1338" w:type="dxa"/>
            <w:tcBorders>
              <w:top w:val="nil"/>
              <w:left w:val="nil"/>
              <w:bottom w:val="single" w:sz="4" w:space="0" w:color="auto"/>
              <w:right w:val="single" w:sz="4" w:space="0" w:color="auto"/>
            </w:tcBorders>
            <w:shd w:val="clear" w:color="auto" w:fill="auto"/>
            <w:vAlign w:val="center"/>
            <w:hideMark/>
          </w:tcPr>
          <w:p w:rsidR="002A4069" w:rsidRPr="007226D7" w:rsidRDefault="002A4069" w:rsidP="002A4069">
            <w:pPr>
              <w:spacing w:after="0" w:line="240" w:lineRule="auto"/>
              <w:jc w:val="center"/>
              <w:rPr>
                <w:rFonts w:cs="Arial"/>
                <w:b/>
                <w:bCs/>
                <w:color w:val="171717"/>
                <w:sz w:val="16"/>
                <w:szCs w:val="16"/>
              </w:rPr>
            </w:pPr>
            <w:r w:rsidRPr="007226D7">
              <w:rPr>
                <w:rFonts w:cs="Arial"/>
                <w:b/>
                <w:bCs/>
                <w:color w:val="171717"/>
                <w:sz w:val="16"/>
                <w:szCs w:val="16"/>
              </w:rPr>
              <w:t>PROYECTO + RED BASICA</w:t>
            </w:r>
          </w:p>
        </w:tc>
      </w:tr>
      <w:tr w:rsidR="002A4069" w:rsidRPr="007226D7" w:rsidTr="002A4069">
        <w:trPr>
          <w:trHeight w:val="24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2012</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45.18</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2018</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45.48</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41.31</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40.76</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2020</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45.82</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42.33</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40.99</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w:t>
            </w:r>
          </w:p>
        </w:tc>
      </w:tr>
      <w:tr w:rsidR="002A4069" w:rsidRPr="007226D7" w:rsidTr="002A4069">
        <w:trPr>
          <w:trHeight w:val="24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b/>
                <w:bCs/>
                <w:color w:val="171717"/>
                <w:sz w:val="18"/>
                <w:szCs w:val="18"/>
              </w:rPr>
            </w:pPr>
            <w:r w:rsidRPr="007226D7">
              <w:rPr>
                <w:rFonts w:cs="Arial"/>
                <w:b/>
                <w:bCs/>
                <w:color w:val="171717"/>
                <w:sz w:val="18"/>
                <w:szCs w:val="18"/>
              </w:rPr>
              <w:t>2030</w:t>
            </w:r>
          </w:p>
        </w:tc>
        <w:tc>
          <w:tcPr>
            <w:tcW w:w="1295"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46.85</w:t>
            </w:r>
          </w:p>
        </w:tc>
        <w:tc>
          <w:tcPr>
            <w:tcW w:w="1397"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44.49</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42.27</w:t>
            </w:r>
          </w:p>
        </w:tc>
        <w:tc>
          <w:tcPr>
            <w:tcW w:w="1338" w:type="dxa"/>
            <w:tcBorders>
              <w:top w:val="nil"/>
              <w:left w:val="nil"/>
              <w:bottom w:val="single" w:sz="4" w:space="0" w:color="auto"/>
              <w:right w:val="single" w:sz="4" w:space="0" w:color="auto"/>
            </w:tcBorders>
            <w:shd w:val="clear" w:color="auto" w:fill="auto"/>
            <w:noWrap/>
            <w:vAlign w:val="bottom"/>
            <w:hideMark/>
          </w:tcPr>
          <w:p w:rsidR="002A4069" w:rsidRPr="007226D7" w:rsidRDefault="002A4069" w:rsidP="002A4069">
            <w:pPr>
              <w:spacing w:after="0" w:line="240" w:lineRule="auto"/>
              <w:jc w:val="right"/>
              <w:rPr>
                <w:rFonts w:cs="Arial"/>
                <w:color w:val="171717"/>
                <w:sz w:val="18"/>
                <w:szCs w:val="18"/>
              </w:rPr>
            </w:pPr>
            <w:r w:rsidRPr="007226D7">
              <w:rPr>
                <w:rFonts w:cs="Arial"/>
                <w:color w:val="171717"/>
                <w:sz w:val="18"/>
                <w:szCs w:val="18"/>
              </w:rPr>
              <w:t>39.60</w:t>
            </w:r>
          </w:p>
        </w:tc>
      </w:tr>
    </w:tbl>
    <w:p w:rsidR="002A4069" w:rsidRPr="007226D7" w:rsidRDefault="002A4069" w:rsidP="002A4069">
      <w:pPr>
        <w:spacing w:after="0" w:line="240" w:lineRule="auto"/>
        <w:jc w:val="center"/>
      </w:pPr>
    </w:p>
    <w:p w:rsidR="00B35355" w:rsidRPr="007226D7" w:rsidRDefault="00B35355" w:rsidP="008378E5">
      <w:pPr>
        <w:spacing w:after="0" w:line="240" w:lineRule="auto"/>
        <w:jc w:val="left"/>
        <w:rPr>
          <w:lang w:val="es-ES"/>
        </w:rPr>
      </w:pPr>
    </w:p>
    <w:p w:rsidR="002A4069" w:rsidRPr="007226D7" w:rsidRDefault="00B35355" w:rsidP="00E41450">
      <w:pPr>
        <w:spacing w:after="0" w:line="240" w:lineRule="auto"/>
        <w:rPr>
          <w:lang w:val="es-ES"/>
        </w:rPr>
      </w:pPr>
      <w:r w:rsidRPr="007226D7">
        <w:rPr>
          <w:lang w:val="es-ES"/>
        </w:rPr>
        <w:t>Finalmente, se muestra a través de los siguientes gráficos la tendencia del tiempo promedio de viaje en todo el intervalo de 30 años desde 2018 hasta 2048, tanto en la condición de diseño que en la de referencia (situación optimizada).</w:t>
      </w:r>
    </w:p>
    <w:p w:rsidR="00B35355" w:rsidRPr="007226D7" w:rsidRDefault="00B35355" w:rsidP="008378E5">
      <w:pPr>
        <w:spacing w:after="0" w:line="240" w:lineRule="auto"/>
        <w:jc w:val="left"/>
        <w:rPr>
          <w:lang w:val="es-ES"/>
        </w:rPr>
      </w:pPr>
    </w:p>
    <w:p w:rsidR="008378E5" w:rsidRPr="007226D7" w:rsidRDefault="008378E5" w:rsidP="008378E5">
      <w:pPr>
        <w:spacing w:after="0" w:line="240" w:lineRule="auto"/>
        <w:jc w:val="left"/>
        <w:rPr>
          <w:lang w:val="es-ES"/>
        </w:rPr>
      </w:pPr>
      <w:r w:rsidRPr="007226D7">
        <w:rPr>
          <w:noProof/>
          <w:lang w:val="en-US" w:eastAsia="en-US"/>
        </w:rPr>
        <w:drawing>
          <wp:inline distT="0" distB="0" distL="0" distR="0" wp14:anchorId="317C9B85" wp14:editId="14671476">
            <wp:extent cx="5936776" cy="3766782"/>
            <wp:effectExtent l="0" t="0" r="0" b="0"/>
            <wp:docPr id="66"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7C57FB" w:rsidRPr="007226D7" w:rsidRDefault="007C57FB" w:rsidP="007C57FB">
      <w:pPr>
        <w:pStyle w:val="Figuras"/>
        <w:rPr>
          <w:noProof/>
        </w:rPr>
      </w:pPr>
    </w:p>
    <w:p w:rsidR="007C57FB" w:rsidRPr="007226D7" w:rsidRDefault="007C57FB" w:rsidP="009D0E06">
      <w:pPr>
        <w:pStyle w:val="Figuras"/>
      </w:pPr>
      <w:r w:rsidRPr="007226D7">
        <w:rPr>
          <w:noProof/>
        </w:rPr>
        <w:t>Figura 4.1</w:t>
      </w:r>
      <w:r w:rsidR="000065E7">
        <w:rPr>
          <w:noProof/>
        </w:rPr>
        <w:t>2</w:t>
      </w:r>
      <w:r w:rsidRPr="007226D7">
        <w:rPr>
          <w:noProof/>
        </w:rPr>
        <w:t xml:space="preserve"> – 1:</w:t>
      </w:r>
      <w:r w:rsidR="009D0E06" w:rsidRPr="007226D7">
        <w:t xml:space="preserve"> Grafico del tiempo medio de viaje en la hpm – 2018-2048</w:t>
      </w:r>
    </w:p>
    <w:p w:rsidR="001B09E9" w:rsidRPr="007226D7" w:rsidRDefault="001B09E9">
      <w:pPr>
        <w:spacing w:after="0" w:line="240" w:lineRule="auto"/>
        <w:jc w:val="left"/>
        <w:rPr>
          <w:b/>
          <w:sz w:val="16"/>
          <w:szCs w:val="16"/>
          <w:lang w:val="es-ES"/>
        </w:rPr>
      </w:pPr>
      <w:r w:rsidRPr="007226D7">
        <w:rPr>
          <w:lang w:val="es-ES"/>
        </w:rPr>
        <w:br w:type="page"/>
      </w:r>
    </w:p>
    <w:p w:rsidR="009D0E06" w:rsidRPr="007226D7" w:rsidRDefault="008378E5" w:rsidP="009D0E06">
      <w:pPr>
        <w:spacing w:after="0" w:line="240" w:lineRule="auto"/>
        <w:jc w:val="left"/>
        <w:rPr>
          <w:lang w:val="es-ES"/>
        </w:rPr>
      </w:pPr>
      <w:r w:rsidRPr="007226D7">
        <w:rPr>
          <w:noProof/>
          <w:lang w:val="en-US" w:eastAsia="en-US"/>
        </w:rPr>
        <w:lastRenderedPageBreak/>
        <w:drawing>
          <wp:inline distT="0" distB="0" distL="0" distR="0" wp14:anchorId="5188AFDC" wp14:editId="03CF5F38">
            <wp:extent cx="5936776" cy="3671248"/>
            <wp:effectExtent l="0" t="0" r="0" b="0"/>
            <wp:docPr id="67"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9D0E06" w:rsidRPr="007226D7" w:rsidRDefault="009D0E06" w:rsidP="009D0E06">
      <w:pPr>
        <w:pStyle w:val="Figuras"/>
        <w:spacing w:before="120"/>
      </w:pPr>
      <w:r w:rsidRPr="007226D7">
        <w:rPr>
          <w:noProof/>
        </w:rPr>
        <w:t>Figura 4.1</w:t>
      </w:r>
      <w:r w:rsidR="000065E7">
        <w:rPr>
          <w:noProof/>
        </w:rPr>
        <w:t>2</w:t>
      </w:r>
      <w:r w:rsidRPr="007226D7">
        <w:rPr>
          <w:noProof/>
        </w:rPr>
        <w:t xml:space="preserve"> – 2:</w:t>
      </w:r>
      <w:r w:rsidRPr="007226D7">
        <w:t xml:space="preserve"> Grafico del tiempo medio de viaje en la HPT – 2018-2048</w:t>
      </w:r>
    </w:p>
    <w:p w:rsidR="008378E5" w:rsidRPr="007226D7" w:rsidRDefault="008378E5" w:rsidP="008378E5">
      <w:pPr>
        <w:spacing w:after="0" w:line="240" w:lineRule="auto"/>
        <w:jc w:val="left"/>
        <w:rPr>
          <w:lang w:val="es-ES"/>
        </w:rPr>
      </w:pPr>
      <w:r w:rsidRPr="007226D7">
        <w:rPr>
          <w:noProof/>
          <w:lang w:val="en-US" w:eastAsia="en-US"/>
        </w:rPr>
        <w:drawing>
          <wp:inline distT="0" distB="0" distL="0" distR="0" wp14:anchorId="4584A815" wp14:editId="0D310513">
            <wp:extent cx="5936776" cy="3725839"/>
            <wp:effectExtent l="0" t="0" r="0" b="0"/>
            <wp:docPr id="68"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9D0E06" w:rsidRPr="007226D7" w:rsidRDefault="009D0E06" w:rsidP="008378E5">
      <w:pPr>
        <w:spacing w:after="0" w:line="240" w:lineRule="auto"/>
        <w:jc w:val="left"/>
        <w:rPr>
          <w:lang w:val="es-ES"/>
        </w:rPr>
      </w:pPr>
    </w:p>
    <w:p w:rsidR="009D0E06" w:rsidRPr="007226D7" w:rsidRDefault="009D0E06" w:rsidP="009D0E06">
      <w:pPr>
        <w:pStyle w:val="Figuras"/>
        <w:spacing w:before="120"/>
      </w:pPr>
      <w:r w:rsidRPr="007226D7">
        <w:rPr>
          <w:noProof/>
        </w:rPr>
        <w:t>Figura 4.1</w:t>
      </w:r>
      <w:r w:rsidR="000065E7">
        <w:rPr>
          <w:noProof/>
        </w:rPr>
        <w:t>2</w:t>
      </w:r>
      <w:r w:rsidRPr="007226D7">
        <w:rPr>
          <w:noProof/>
        </w:rPr>
        <w:t xml:space="preserve"> – 3:</w:t>
      </w:r>
      <w:r w:rsidRPr="007226D7">
        <w:t xml:space="preserve"> Grafico del tiempo medio de viaje en la HV – 2018-2048</w:t>
      </w:r>
    </w:p>
    <w:p w:rsidR="00A467E3" w:rsidRPr="007226D7" w:rsidRDefault="00A467E3" w:rsidP="001B09E9">
      <w:pPr>
        <w:rPr>
          <w:lang w:val="es-ES"/>
        </w:rPr>
      </w:pPr>
      <w:r w:rsidRPr="007226D7">
        <w:rPr>
          <w:lang w:val="es-ES"/>
        </w:rPr>
        <w:lastRenderedPageBreak/>
        <w:t xml:space="preserve">Las </w:t>
      </w:r>
      <w:r w:rsidR="000B2336" w:rsidRPr="007226D7">
        <w:rPr>
          <w:lang w:val="es-ES"/>
        </w:rPr>
        <w:t>imágenes</w:t>
      </w:r>
      <w:r w:rsidRPr="007226D7">
        <w:rPr>
          <w:lang w:val="es-ES"/>
        </w:rPr>
        <w:t xml:space="preserve"> siguientes muestran la evolución del tiempo total de viaje (en base anual), expresado en miles de horas / año, junto con la gráfica de los ahorros de tiempo asociados.</w:t>
      </w:r>
    </w:p>
    <w:p w:rsidR="008378E5" w:rsidRPr="007226D7" w:rsidRDefault="008378E5" w:rsidP="004D481A">
      <w:pPr>
        <w:spacing w:after="0" w:line="240" w:lineRule="auto"/>
        <w:jc w:val="center"/>
        <w:rPr>
          <w:lang w:val="es-ES"/>
        </w:rPr>
      </w:pPr>
      <w:r w:rsidRPr="007226D7">
        <w:rPr>
          <w:noProof/>
          <w:lang w:val="en-US" w:eastAsia="en-US"/>
        </w:rPr>
        <w:drawing>
          <wp:inline distT="0" distB="0" distL="0" distR="0" wp14:anchorId="2C9C5C68" wp14:editId="0591C598">
            <wp:extent cx="5415148" cy="3111335"/>
            <wp:effectExtent l="0" t="0" r="0" b="0"/>
            <wp:docPr id="69"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1B09E9" w:rsidRPr="007226D7" w:rsidRDefault="009D0E06" w:rsidP="009D0E06">
      <w:pPr>
        <w:pStyle w:val="Figuras"/>
      </w:pPr>
      <w:r w:rsidRPr="007226D7">
        <w:rPr>
          <w:noProof/>
        </w:rPr>
        <w:t>Figura 4.1</w:t>
      </w:r>
      <w:r w:rsidR="000065E7">
        <w:rPr>
          <w:noProof/>
        </w:rPr>
        <w:t>2</w:t>
      </w:r>
      <w:r w:rsidRPr="007226D7">
        <w:rPr>
          <w:noProof/>
        </w:rPr>
        <w:t xml:space="preserve"> – 4: </w:t>
      </w:r>
      <w:r w:rsidRPr="007226D7">
        <w:t xml:space="preserve">Grafico del tiempo total de viaje en la </w:t>
      </w:r>
      <w:r w:rsidR="000B2336" w:rsidRPr="007226D7">
        <w:t>situación</w:t>
      </w:r>
      <w:r w:rsidRPr="007226D7">
        <w:t xml:space="preserve"> con y sin proyecto expresado en miles horas/año - </w:t>
      </w:r>
      <w:r w:rsidRPr="007226D7">
        <w:tab/>
        <w:t xml:space="preserve"> 2018-2048</w:t>
      </w:r>
    </w:p>
    <w:p w:rsidR="001B09E9" w:rsidRPr="007226D7" w:rsidRDefault="001B09E9" w:rsidP="004D481A">
      <w:pPr>
        <w:spacing w:after="0" w:line="240" w:lineRule="auto"/>
        <w:jc w:val="center"/>
        <w:rPr>
          <w:lang w:val="es-ES"/>
        </w:rPr>
      </w:pPr>
      <w:r w:rsidRPr="007226D7">
        <w:rPr>
          <w:noProof/>
          <w:lang w:val="en-US" w:eastAsia="en-US"/>
        </w:rPr>
        <w:drawing>
          <wp:inline distT="0" distB="0" distL="0" distR="0" wp14:anchorId="44561A75" wp14:editId="3641C3DC">
            <wp:extent cx="5427023" cy="3348841"/>
            <wp:effectExtent l="0" t="0" r="0" b="0"/>
            <wp:docPr id="73"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8378E5" w:rsidRPr="007226D7" w:rsidRDefault="009D0E06" w:rsidP="009D0E06">
      <w:pPr>
        <w:pStyle w:val="Figuras"/>
      </w:pPr>
      <w:r w:rsidRPr="007226D7">
        <w:rPr>
          <w:noProof/>
        </w:rPr>
        <w:t>Figura 4.1</w:t>
      </w:r>
      <w:r w:rsidR="000065E7">
        <w:rPr>
          <w:noProof/>
        </w:rPr>
        <w:t>2</w:t>
      </w:r>
      <w:r w:rsidRPr="007226D7">
        <w:rPr>
          <w:noProof/>
        </w:rPr>
        <w:t xml:space="preserve"> – 4: </w:t>
      </w:r>
      <w:r w:rsidRPr="007226D7">
        <w:t>Grafico del ahorro de tiempo expresado en miles horas/año – 2018-2048</w:t>
      </w:r>
    </w:p>
    <w:p w:rsidR="009D0E06" w:rsidRPr="007226D7" w:rsidRDefault="009D0E06" w:rsidP="008378E5">
      <w:pPr>
        <w:spacing w:after="0" w:line="240" w:lineRule="auto"/>
        <w:jc w:val="left"/>
        <w:rPr>
          <w:b/>
          <w:lang w:val="es-ES"/>
        </w:rPr>
      </w:pPr>
    </w:p>
    <w:p w:rsidR="009D0E06" w:rsidRPr="007226D7" w:rsidRDefault="00B35355" w:rsidP="009D0E06">
      <w:pPr>
        <w:rPr>
          <w:lang w:val="es-ES"/>
        </w:rPr>
      </w:pPr>
      <w:r w:rsidRPr="007226D7">
        <w:rPr>
          <w:lang w:val="es-ES"/>
        </w:rPr>
        <w:t>Se puede concluir que el ahorro de tiempo producido por la introducción del metro equivale a 6</w:t>
      </w:r>
      <w:proofErr w:type="gramStart"/>
      <w:r w:rsidRPr="007226D7">
        <w:rPr>
          <w:lang w:val="es-ES"/>
        </w:rPr>
        <w:t>,257,014,000</w:t>
      </w:r>
      <w:proofErr w:type="gramEnd"/>
      <w:r w:rsidRPr="007226D7">
        <w:rPr>
          <w:lang w:val="es-ES"/>
        </w:rPr>
        <w:t xml:space="preserve"> horas-hombre en el período de tiempo de 30 años entre 2018 y 2048.</w:t>
      </w:r>
    </w:p>
    <w:p w:rsidR="004072D0" w:rsidRPr="007226D7" w:rsidRDefault="004072D0" w:rsidP="004072D0">
      <w:pPr>
        <w:pStyle w:val="Heading2"/>
      </w:pPr>
      <w:bookmarkStart w:id="175" w:name="_Toc346541958"/>
      <w:r w:rsidRPr="007226D7">
        <w:lastRenderedPageBreak/>
        <w:t>Documentacion en soporte digital</w:t>
      </w:r>
      <w:bookmarkEnd w:id="175"/>
    </w:p>
    <w:p w:rsidR="004072D0" w:rsidRPr="008C61F3" w:rsidRDefault="004072D0" w:rsidP="004072D0">
      <w:pPr>
        <w:rPr>
          <w:lang w:val="es-ES_tradnl"/>
        </w:rPr>
      </w:pPr>
      <w:r w:rsidRPr="008C61F3">
        <w:rPr>
          <w:lang w:val="es-ES_tradnl"/>
        </w:rPr>
        <w:t>La documentación que se entrega en soporte digital se estructura en dos grupos, las bases de datos del modelo de transportes y archivo TRANSCAD.</w:t>
      </w:r>
    </w:p>
    <w:p w:rsidR="004072D0" w:rsidRPr="008C61F3" w:rsidRDefault="004072D0" w:rsidP="004072D0">
      <w:pPr>
        <w:rPr>
          <w:lang w:val="es-ES_tradnl"/>
        </w:rPr>
      </w:pPr>
      <w:r w:rsidRPr="008C61F3">
        <w:rPr>
          <w:lang w:val="es-ES_tradnl"/>
        </w:rPr>
        <w:t>Los siguientes apartados recogen los archivos que se presentan para cada uno de los grupos.</w:t>
      </w:r>
    </w:p>
    <w:p w:rsidR="004072D0" w:rsidRPr="007226D7" w:rsidRDefault="004072D0" w:rsidP="004072D0">
      <w:pPr>
        <w:pStyle w:val="Heading3"/>
        <w:rPr>
          <w:lang w:val="es-ES"/>
        </w:rPr>
      </w:pPr>
      <w:bookmarkStart w:id="176" w:name="_Toc346541959"/>
      <w:r w:rsidRPr="007226D7">
        <w:rPr>
          <w:lang w:val="es-ES"/>
        </w:rPr>
        <w:t>Aplicación Modelo</w:t>
      </w:r>
      <w:bookmarkEnd w:id="176"/>
    </w:p>
    <w:p w:rsidR="004072D0" w:rsidRPr="007226D7" w:rsidRDefault="004072D0" w:rsidP="002132CC">
      <w:pPr>
        <w:pStyle w:val="ListParagraph"/>
        <w:numPr>
          <w:ilvl w:val="0"/>
          <w:numId w:val="71"/>
        </w:numPr>
        <w:rPr>
          <w:lang w:val="es-ES"/>
        </w:rPr>
      </w:pPr>
      <w:r w:rsidRPr="007226D7">
        <w:rPr>
          <w:lang w:val="es-ES"/>
        </w:rPr>
        <w:t>Archivos de aplicación de los modelos</w:t>
      </w:r>
    </w:p>
    <w:p w:rsidR="004072D0" w:rsidRPr="007226D7" w:rsidRDefault="004072D0" w:rsidP="004072D0">
      <w:pPr>
        <w:pStyle w:val="Heading3"/>
        <w:rPr>
          <w:lang w:val="es-ES"/>
        </w:rPr>
      </w:pPr>
      <w:bookmarkStart w:id="177" w:name="_Toc346541960"/>
      <w:r w:rsidRPr="007226D7">
        <w:rPr>
          <w:lang w:val="es-ES"/>
        </w:rPr>
        <w:t>TRANSCAD</w:t>
      </w:r>
      <w:bookmarkEnd w:id="177"/>
    </w:p>
    <w:p w:rsidR="004072D0" w:rsidRPr="007226D7" w:rsidRDefault="004072D0" w:rsidP="002132CC">
      <w:pPr>
        <w:pStyle w:val="ListParagraph"/>
        <w:numPr>
          <w:ilvl w:val="0"/>
          <w:numId w:val="72"/>
        </w:numPr>
        <w:rPr>
          <w:lang w:val="es-ES"/>
        </w:rPr>
      </w:pPr>
      <w:r w:rsidRPr="007226D7">
        <w:rPr>
          <w:lang w:val="es-ES"/>
        </w:rPr>
        <w:t>Zonificación</w:t>
      </w:r>
    </w:p>
    <w:p w:rsidR="004072D0" w:rsidRPr="007226D7" w:rsidRDefault="004072D0" w:rsidP="002132CC">
      <w:pPr>
        <w:pStyle w:val="ListParagraph"/>
        <w:numPr>
          <w:ilvl w:val="0"/>
          <w:numId w:val="72"/>
        </w:numPr>
        <w:rPr>
          <w:lang w:val="es-ES"/>
        </w:rPr>
      </w:pPr>
      <w:r w:rsidRPr="007226D7">
        <w:rPr>
          <w:lang w:val="es-ES"/>
        </w:rPr>
        <w:t>RedBase2012: viario y sistema de rutas</w:t>
      </w:r>
    </w:p>
    <w:p w:rsidR="004072D0" w:rsidRPr="007226D7" w:rsidRDefault="004072D0" w:rsidP="002132CC">
      <w:pPr>
        <w:pStyle w:val="ListParagraph"/>
        <w:numPr>
          <w:ilvl w:val="0"/>
          <w:numId w:val="72"/>
        </w:numPr>
        <w:rPr>
          <w:lang w:val="es-ES"/>
        </w:rPr>
      </w:pPr>
      <w:r w:rsidRPr="007226D7">
        <w:rPr>
          <w:lang w:val="es-ES"/>
        </w:rPr>
        <w:t>Matrices: matrices de viajes</w:t>
      </w:r>
    </w:p>
    <w:p w:rsidR="004072D0" w:rsidRPr="007226D7" w:rsidRDefault="004072D0" w:rsidP="002132CC">
      <w:pPr>
        <w:pStyle w:val="ListParagraph"/>
        <w:numPr>
          <w:ilvl w:val="0"/>
          <w:numId w:val="72"/>
        </w:numPr>
        <w:rPr>
          <w:lang w:val="es-ES"/>
        </w:rPr>
      </w:pPr>
      <w:r w:rsidRPr="007226D7">
        <w:rPr>
          <w:lang w:val="es-ES"/>
        </w:rPr>
        <w:t>Modos: archivos auxiliares</w:t>
      </w:r>
    </w:p>
    <w:p w:rsidR="004072D0" w:rsidRPr="007226D7" w:rsidRDefault="004072D0" w:rsidP="002132CC">
      <w:pPr>
        <w:pStyle w:val="ListParagraph"/>
        <w:numPr>
          <w:ilvl w:val="0"/>
          <w:numId w:val="72"/>
        </w:numPr>
        <w:rPr>
          <w:lang w:val="es-ES"/>
        </w:rPr>
      </w:pPr>
      <w:r w:rsidRPr="007226D7">
        <w:rPr>
          <w:lang w:val="es-ES"/>
        </w:rPr>
        <w:t>Macros: macros para la ejecución de los procesos</w:t>
      </w:r>
    </w:p>
    <w:p w:rsidR="004072D0" w:rsidRPr="007226D7" w:rsidRDefault="004072D0" w:rsidP="002132CC">
      <w:pPr>
        <w:pStyle w:val="ListParagraph"/>
        <w:numPr>
          <w:ilvl w:val="0"/>
          <w:numId w:val="72"/>
        </w:numPr>
        <w:rPr>
          <w:lang w:val="es-ES"/>
        </w:rPr>
      </w:pPr>
      <w:r w:rsidRPr="007226D7">
        <w:rPr>
          <w:lang w:val="es-ES"/>
        </w:rPr>
        <w:t>Resultados: carpeta para la generación de resultados</w:t>
      </w:r>
    </w:p>
    <w:p w:rsidR="00E62CFB" w:rsidRPr="007226D7" w:rsidRDefault="00E62CFB" w:rsidP="00E62CFB">
      <w:pPr>
        <w:pStyle w:val="ListParagraph"/>
        <w:ind w:left="720"/>
        <w:rPr>
          <w:lang w:val="es-ES"/>
        </w:rPr>
      </w:pPr>
    </w:p>
    <w:p w:rsidR="00E62CFB" w:rsidRPr="006C214F" w:rsidRDefault="00E62CFB" w:rsidP="00E62CFB">
      <w:pPr>
        <w:pStyle w:val="Heading2"/>
        <w:rPr>
          <w:lang w:val="es-ES"/>
        </w:rPr>
      </w:pPr>
      <w:r w:rsidRPr="006C214F">
        <w:rPr>
          <w:lang w:val="es-ES"/>
        </w:rPr>
        <w:t xml:space="preserve"> </w:t>
      </w:r>
      <w:bookmarkStart w:id="178" w:name="_Toc346541961"/>
      <w:r w:rsidRPr="006C214F">
        <w:rPr>
          <w:lang w:val="es-ES"/>
        </w:rPr>
        <w:t>Estudio de Recopilación de Datos de Transporte Urbano para el Área Metropolitana de Lima y Callao</w:t>
      </w:r>
      <w:r w:rsidR="006B5B25" w:rsidRPr="006C214F">
        <w:rPr>
          <w:lang w:val="es-ES"/>
        </w:rPr>
        <w:t>.</w:t>
      </w:r>
      <w:bookmarkEnd w:id="178"/>
    </w:p>
    <w:p w:rsidR="00E62CFB" w:rsidRPr="008C61F3" w:rsidRDefault="00E62CFB" w:rsidP="00E62CFB">
      <w:pPr>
        <w:rPr>
          <w:lang w:val="es-ES_tradnl"/>
        </w:rPr>
      </w:pPr>
      <w:r w:rsidRPr="008C61F3">
        <w:rPr>
          <w:lang w:val="es-ES_tradnl"/>
        </w:rPr>
        <w:t>El día 6 diciembre 2012 fueron presentados al público los resultados del “ESTUDIO DE RECOPILACIÓN DE DATOS DE TRANSPORTE URBANO PARA EL ÁREA METROPOLITANA DE LIMA Y CALLAO" por JICA.</w:t>
      </w:r>
    </w:p>
    <w:p w:rsidR="00E62CFB" w:rsidRPr="008C61F3" w:rsidRDefault="00E62CFB" w:rsidP="00E62CFB">
      <w:pPr>
        <w:rPr>
          <w:lang w:val="es-ES_tradnl"/>
        </w:rPr>
      </w:pPr>
      <w:r w:rsidRPr="008C61F3">
        <w:rPr>
          <w:lang w:val="es-ES_tradnl"/>
        </w:rPr>
        <w:t>Una copia del borrador de ese estudio fue entregada al Consorcio  el día 11/12/2012 por PROINVERSION mediante su carta n° 29.</w:t>
      </w:r>
    </w:p>
    <w:p w:rsidR="00E62CFB" w:rsidRPr="008C61F3" w:rsidRDefault="00E62CFB" w:rsidP="00E62CFB">
      <w:pPr>
        <w:rPr>
          <w:lang w:val="es-ES_tradnl"/>
        </w:rPr>
      </w:pPr>
      <w:r w:rsidRPr="008C61F3">
        <w:rPr>
          <w:lang w:val="es-ES_tradnl"/>
        </w:rPr>
        <w:t>En cualquier caso, es importante recordar los diferentes objetivos que se relacionan con los dos estudios:</w:t>
      </w:r>
    </w:p>
    <w:p w:rsidR="00E62CFB" w:rsidRPr="008C61F3" w:rsidRDefault="00E62CFB" w:rsidP="00E62CFB">
      <w:pPr>
        <w:pStyle w:val="ListParagraph"/>
        <w:numPr>
          <w:ilvl w:val="0"/>
          <w:numId w:val="72"/>
        </w:numPr>
        <w:rPr>
          <w:lang w:val="es-ES_tradnl"/>
        </w:rPr>
      </w:pPr>
      <w:r w:rsidRPr="008C61F3">
        <w:rPr>
          <w:lang w:val="es-ES_tradnl"/>
        </w:rPr>
        <w:t>El estudio elaborado por JICA se posiciona como una herramienta para la planificación estratégica, es decir en el proceso de planificación con el cual se establecen los objetivos de un sistema (territorio / transporte) y se indican los medios, herramientas y acciones para alcanzarlos en un perspectiva a largo plazo.</w:t>
      </w:r>
    </w:p>
    <w:p w:rsidR="00E62CFB" w:rsidRPr="008C61F3" w:rsidRDefault="00E62CFB" w:rsidP="00E62CFB">
      <w:pPr>
        <w:pStyle w:val="ListParagraph"/>
        <w:numPr>
          <w:ilvl w:val="0"/>
          <w:numId w:val="72"/>
        </w:numPr>
        <w:rPr>
          <w:lang w:val="es-ES_tradnl"/>
        </w:rPr>
      </w:pPr>
      <w:r w:rsidRPr="008C61F3">
        <w:rPr>
          <w:lang w:val="es-ES_tradnl"/>
        </w:rPr>
        <w:t>La planificación "estratégica" trabaja a gran escala, en contraste con la planificación "táctica", que se refiere a actividades más específicas, centrándose en distintas intervenciones. Las actividades desarrolladas para este estudio se encuentran en este segundo contexto, que tiene un objeto específico de análisis (Línea 2 del Tren Eléctrico).</w:t>
      </w:r>
    </w:p>
    <w:p w:rsidR="00E62CFB" w:rsidRPr="008C61F3" w:rsidRDefault="00E62CFB" w:rsidP="00E62CFB">
      <w:pPr>
        <w:rPr>
          <w:lang w:val="es-ES_tradnl"/>
        </w:rPr>
      </w:pPr>
    </w:p>
    <w:p w:rsidR="007E0837" w:rsidRPr="008C61F3" w:rsidRDefault="007E0837" w:rsidP="007E0837">
      <w:pPr>
        <w:rPr>
          <w:lang w:val="es-ES_tradnl"/>
        </w:rPr>
      </w:pPr>
      <w:r w:rsidRPr="008C61F3">
        <w:rPr>
          <w:lang w:val="es-ES_tradnl"/>
        </w:rPr>
        <w:lastRenderedPageBreak/>
        <w:t>Aunque no es requerido en los TDR, se decidió en todo caso de analizar y comparar el contenido de este último estudio con lo que ha sido desarrollado por el Consorcio GEODATA - ESAN - SERCONSULT.</w:t>
      </w:r>
    </w:p>
    <w:p w:rsidR="007E0837" w:rsidRPr="008C61F3" w:rsidRDefault="007E0837" w:rsidP="007E0837">
      <w:pPr>
        <w:rPr>
          <w:lang w:val="es-ES_tradnl"/>
        </w:rPr>
      </w:pPr>
      <w:r w:rsidRPr="008C61F3">
        <w:rPr>
          <w:lang w:val="es-ES_tradnl"/>
        </w:rPr>
        <w:t>Obviamente, siendo las escalas de referencia diferentes, el trabajo de campo llevado a cabo por el grupo de JICA, es más amplio e integral.</w:t>
      </w:r>
    </w:p>
    <w:p w:rsidR="007E0837" w:rsidRPr="008C61F3" w:rsidRDefault="007E0837" w:rsidP="007E0837">
      <w:pPr>
        <w:rPr>
          <w:lang w:val="es-ES_tradnl"/>
        </w:rPr>
      </w:pPr>
      <w:r w:rsidRPr="008C61F3">
        <w:rPr>
          <w:lang w:val="es-ES_tradnl"/>
        </w:rPr>
        <w:t>En cualquier caso, muchas de las estaciones de conteo, donde se recogieron los datos necesarios para la actualización y la alimentación de las herramientas de simulación, son las mismas que las utilizadas en el desarrollo de este estudio (disponibles en el estudio "SERVICIO DE TOMA Y ANALISIS-DE ESTUDIO DE LA DEMANDA DE LINEA 2 METRO DE LIMA ").</w:t>
      </w:r>
    </w:p>
    <w:p w:rsidR="00E62CFB" w:rsidRPr="008C61F3" w:rsidRDefault="007E0837" w:rsidP="007E0837">
      <w:pPr>
        <w:rPr>
          <w:lang w:val="es-ES_tradnl"/>
        </w:rPr>
      </w:pPr>
      <w:r w:rsidRPr="008C61F3">
        <w:rPr>
          <w:lang w:val="es-ES_tradnl"/>
        </w:rPr>
        <w:t>Las siguientes imágenes muestran, respectivamente, los lugares investigados en los dos diferentes estudios.</w:t>
      </w:r>
    </w:p>
    <w:p w:rsidR="007E0837" w:rsidRPr="008C61F3" w:rsidRDefault="007E0837" w:rsidP="007E0837">
      <w:pPr>
        <w:jc w:val="center"/>
        <w:rPr>
          <w:lang w:val="es-ES_tradnl"/>
        </w:rPr>
      </w:pPr>
    </w:p>
    <w:p w:rsidR="00E62CFB" w:rsidRPr="007226D7" w:rsidRDefault="007E0837" w:rsidP="007E0837">
      <w:pPr>
        <w:jc w:val="center"/>
        <w:rPr>
          <w:lang w:val="fr-FR"/>
        </w:rPr>
      </w:pPr>
      <w:r w:rsidRPr="007226D7">
        <w:rPr>
          <w:noProof/>
          <w:lang w:val="en-US" w:eastAsia="en-US"/>
        </w:rPr>
        <w:drawing>
          <wp:inline distT="0" distB="0" distL="0" distR="0" wp14:anchorId="1403A218" wp14:editId="6A6E3E05">
            <wp:extent cx="3686257" cy="2413736"/>
            <wp:effectExtent l="19050" t="0" r="9443" b="0"/>
            <wp:docPr id="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srcRect l="21906" t="27084" r="28061" b="14780"/>
                    <a:stretch>
                      <a:fillRect/>
                    </a:stretch>
                  </pic:blipFill>
                  <pic:spPr bwMode="auto">
                    <a:xfrm>
                      <a:off x="0" y="0"/>
                      <a:ext cx="3688979" cy="2415518"/>
                    </a:xfrm>
                    <a:prstGeom prst="rect">
                      <a:avLst/>
                    </a:prstGeom>
                    <a:noFill/>
                    <a:ln w="9525">
                      <a:noFill/>
                      <a:miter lim="800000"/>
                      <a:headEnd/>
                      <a:tailEnd/>
                    </a:ln>
                  </pic:spPr>
                </pic:pic>
              </a:graphicData>
            </a:graphic>
          </wp:inline>
        </w:drawing>
      </w:r>
    </w:p>
    <w:p w:rsidR="007E0837" w:rsidRPr="008C61F3" w:rsidRDefault="007E0837" w:rsidP="007E0837">
      <w:pPr>
        <w:jc w:val="center"/>
        <w:rPr>
          <w:b/>
          <w:sz w:val="16"/>
          <w:szCs w:val="16"/>
          <w:lang w:val="es-ES_tradnl"/>
        </w:rPr>
      </w:pPr>
      <w:r w:rsidRPr="008C61F3">
        <w:rPr>
          <w:b/>
          <w:sz w:val="16"/>
          <w:szCs w:val="16"/>
          <w:lang w:val="es-ES_tradnl"/>
        </w:rPr>
        <w:t>Figura 4.1</w:t>
      </w:r>
      <w:r w:rsidR="000065E7" w:rsidRPr="008C61F3">
        <w:rPr>
          <w:b/>
          <w:sz w:val="16"/>
          <w:szCs w:val="16"/>
          <w:lang w:val="es-ES_tradnl"/>
        </w:rPr>
        <w:t>4</w:t>
      </w:r>
      <w:r w:rsidRPr="008C61F3">
        <w:rPr>
          <w:b/>
          <w:sz w:val="16"/>
          <w:szCs w:val="16"/>
          <w:lang w:val="es-ES_tradnl"/>
        </w:rPr>
        <w:t xml:space="preserve"> – 1: Esquema de los lugares investigados en el estudio Data Collection Survey on Urban Transport for Lima and Callao Metropolitan Area draft final report por la JICA.</w:t>
      </w:r>
    </w:p>
    <w:p w:rsidR="007E0837" w:rsidRPr="008C61F3" w:rsidRDefault="007E0837" w:rsidP="007E0837">
      <w:pPr>
        <w:spacing w:after="0" w:line="240" w:lineRule="auto"/>
        <w:jc w:val="left"/>
        <w:rPr>
          <w:lang w:val="es-ES_tradnl"/>
        </w:rPr>
      </w:pPr>
    </w:p>
    <w:p w:rsidR="007E0837" w:rsidRPr="008C61F3" w:rsidRDefault="007E0837" w:rsidP="007E0837">
      <w:pPr>
        <w:spacing w:after="0" w:line="240" w:lineRule="auto"/>
        <w:jc w:val="left"/>
        <w:rPr>
          <w:lang w:val="es-ES_tradnl"/>
        </w:rPr>
      </w:pPr>
    </w:p>
    <w:p w:rsidR="007E0837" w:rsidRPr="007226D7" w:rsidRDefault="007E0837" w:rsidP="007E0837">
      <w:pPr>
        <w:jc w:val="center"/>
        <w:rPr>
          <w:lang w:val="fr-FR"/>
        </w:rPr>
      </w:pPr>
      <w:r w:rsidRPr="007226D7">
        <w:rPr>
          <w:noProof/>
          <w:lang w:val="en-US" w:eastAsia="en-US"/>
        </w:rPr>
        <w:drawing>
          <wp:inline distT="0" distB="0" distL="0" distR="0" wp14:anchorId="224E34B6" wp14:editId="2D48FD5D">
            <wp:extent cx="4616561" cy="1614031"/>
            <wp:effectExtent l="19050" t="0" r="0" b="0"/>
            <wp:docPr id="1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srcRect/>
                    <a:stretch>
                      <a:fillRect/>
                    </a:stretch>
                  </pic:blipFill>
                  <pic:spPr bwMode="auto">
                    <a:xfrm>
                      <a:off x="0" y="0"/>
                      <a:ext cx="4625077" cy="1617008"/>
                    </a:xfrm>
                    <a:prstGeom prst="rect">
                      <a:avLst/>
                    </a:prstGeom>
                    <a:noFill/>
                  </pic:spPr>
                </pic:pic>
              </a:graphicData>
            </a:graphic>
          </wp:inline>
        </w:drawing>
      </w:r>
    </w:p>
    <w:p w:rsidR="007E0837" w:rsidRPr="008C61F3" w:rsidRDefault="007E0837" w:rsidP="007E0837">
      <w:pPr>
        <w:jc w:val="center"/>
        <w:rPr>
          <w:b/>
          <w:sz w:val="16"/>
          <w:szCs w:val="16"/>
          <w:lang w:val="es-ES_tradnl"/>
        </w:rPr>
      </w:pPr>
      <w:r w:rsidRPr="008C61F3">
        <w:rPr>
          <w:b/>
          <w:sz w:val="16"/>
          <w:szCs w:val="16"/>
          <w:lang w:val="es-ES_tradnl"/>
        </w:rPr>
        <w:t>Figura 4.1</w:t>
      </w:r>
      <w:r w:rsidR="000065E7" w:rsidRPr="008C61F3">
        <w:rPr>
          <w:b/>
          <w:sz w:val="16"/>
          <w:szCs w:val="16"/>
          <w:lang w:val="es-ES_tradnl"/>
        </w:rPr>
        <w:t xml:space="preserve">4 </w:t>
      </w:r>
      <w:r w:rsidRPr="008C61F3">
        <w:rPr>
          <w:b/>
          <w:sz w:val="16"/>
          <w:szCs w:val="16"/>
          <w:lang w:val="es-ES_tradnl"/>
        </w:rPr>
        <w:t>– 2: Esquema de los lugares investigados en el estudio “SERVICIO DE TOMA Y ANALISIS-DE ESTUDIO DE LA DEMANDA DE LINEA 2 METRO DE LIMA” por el equipo TARYET.</w:t>
      </w:r>
    </w:p>
    <w:p w:rsidR="007E0837" w:rsidRPr="008C61F3" w:rsidRDefault="007E0837" w:rsidP="007E0837">
      <w:pPr>
        <w:rPr>
          <w:lang w:val="es-ES_tradnl"/>
        </w:rPr>
      </w:pPr>
    </w:p>
    <w:p w:rsidR="007E0837" w:rsidRPr="008C61F3" w:rsidRDefault="007E0837" w:rsidP="007E0837">
      <w:pPr>
        <w:rPr>
          <w:lang w:val="es-ES_tradnl"/>
        </w:rPr>
      </w:pPr>
      <w:r w:rsidRPr="008C61F3">
        <w:rPr>
          <w:lang w:val="es-ES_tradnl"/>
        </w:rPr>
        <w:lastRenderedPageBreak/>
        <w:t>El segundo elemento fundamental que puede ser comparado es el tamaño de la matriz de los desplazamientos (públicos / privados).</w:t>
      </w:r>
    </w:p>
    <w:p w:rsidR="007E0837" w:rsidRPr="008C61F3" w:rsidRDefault="007E0837" w:rsidP="007E0837">
      <w:pPr>
        <w:rPr>
          <w:lang w:val="es-ES_tradnl"/>
        </w:rPr>
      </w:pPr>
      <w:r w:rsidRPr="008C61F3">
        <w:rPr>
          <w:lang w:val="es-ES_tradnl"/>
        </w:rPr>
        <w:t>Esta comparación fue posible en los años 2012, 2020 y 2030, sólo para los desplazamientos relativos a la hora punta de la mañana.</w:t>
      </w:r>
    </w:p>
    <w:p w:rsidR="007E0837" w:rsidRPr="008C61F3" w:rsidRDefault="007E0837" w:rsidP="007E0837">
      <w:pPr>
        <w:rPr>
          <w:lang w:val="es-ES_tradnl"/>
        </w:rPr>
      </w:pPr>
      <w:r w:rsidRPr="008C61F3">
        <w:rPr>
          <w:lang w:val="es-ES_tradnl"/>
        </w:rPr>
        <w:t>A continuación se muestra lo que comparece en el documento elaborado por JICA:</w:t>
      </w:r>
    </w:p>
    <w:p w:rsidR="007E0837" w:rsidRPr="008C61F3" w:rsidRDefault="007E0837" w:rsidP="007E0837">
      <w:pPr>
        <w:rPr>
          <w:lang w:val="es-ES_tradnl"/>
        </w:rPr>
      </w:pPr>
    </w:p>
    <w:p w:rsidR="007E0837" w:rsidRPr="008C61F3" w:rsidRDefault="007E0837" w:rsidP="007E0837">
      <w:pPr>
        <w:jc w:val="center"/>
        <w:rPr>
          <w:b/>
          <w:sz w:val="16"/>
          <w:szCs w:val="16"/>
          <w:lang w:val="es-ES_tradnl"/>
        </w:rPr>
      </w:pPr>
      <w:r w:rsidRPr="006C214F">
        <w:rPr>
          <w:b/>
          <w:sz w:val="16"/>
          <w:szCs w:val="16"/>
          <w:lang w:val="es-ES"/>
        </w:rPr>
        <w:t>Tabla 4.1</w:t>
      </w:r>
      <w:r w:rsidR="000065E7">
        <w:rPr>
          <w:b/>
          <w:sz w:val="16"/>
          <w:szCs w:val="16"/>
          <w:lang w:val="es-ES"/>
        </w:rPr>
        <w:t>4</w:t>
      </w:r>
      <w:r w:rsidRPr="006C214F">
        <w:rPr>
          <w:b/>
          <w:sz w:val="16"/>
          <w:szCs w:val="16"/>
          <w:lang w:val="es-ES"/>
        </w:rPr>
        <w:t xml:space="preserve"> – 1  tamaño de la matriz de los desplazamientos (públicos / privados) por la JICA</w:t>
      </w:r>
    </w:p>
    <w:tbl>
      <w:tblPr>
        <w:tblW w:w="8340" w:type="dxa"/>
        <w:jc w:val="center"/>
        <w:tblInd w:w="57" w:type="dxa"/>
        <w:tblCellMar>
          <w:left w:w="70" w:type="dxa"/>
          <w:right w:w="70" w:type="dxa"/>
        </w:tblCellMar>
        <w:tblLook w:val="04A0" w:firstRow="1" w:lastRow="0" w:firstColumn="1" w:lastColumn="0" w:noHBand="0" w:noVBand="1"/>
      </w:tblPr>
      <w:tblGrid>
        <w:gridCol w:w="2140"/>
        <w:gridCol w:w="1240"/>
        <w:gridCol w:w="1240"/>
        <w:gridCol w:w="1240"/>
        <w:gridCol w:w="1240"/>
        <w:gridCol w:w="1240"/>
      </w:tblGrid>
      <w:tr w:rsidR="007E0837" w:rsidRPr="007226D7" w:rsidTr="00412C3D">
        <w:trPr>
          <w:trHeight w:val="330"/>
          <w:jc w:val="center"/>
        </w:trPr>
        <w:tc>
          <w:tcPr>
            <w:tcW w:w="2140" w:type="dxa"/>
            <w:tcBorders>
              <w:top w:val="single" w:sz="4" w:space="0" w:color="auto"/>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sz w:val="24"/>
                <w:szCs w:val="24"/>
              </w:rPr>
              <w:t>Año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Público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Privado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Total</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Público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Privado</w:t>
            </w:r>
          </w:p>
        </w:tc>
      </w:tr>
      <w:tr w:rsidR="007E0837" w:rsidRPr="007226D7" w:rsidTr="00412C3D">
        <w:trPr>
          <w:trHeight w:val="330"/>
          <w:jc w:val="center"/>
        </w:trPr>
        <w:tc>
          <w:tcPr>
            <w:tcW w:w="2140"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2012</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999,972</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303,114</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1,303,086</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76.7%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23.3%</w:t>
            </w:r>
          </w:p>
        </w:tc>
      </w:tr>
      <w:tr w:rsidR="007E0837" w:rsidRPr="007226D7" w:rsidTr="00412C3D">
        <w:trPr>
          <w:trHeight w:val="330"/>
          <w:jc w:val="center"/>
        </w:trPr>
        <w:tc>
          <w:tcPr>
            <w:tcW w:w="2140"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2020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1,090,237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346,943</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1,437,180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75.9%</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24.1%</w:t>
            </w:r>
          </w:p>
        </w:tc>
      </w:tr>
      <w:tr w:rsidR="007E0837" w:rsidRPr="007226D7" w:rsidTr="00412C3D">
        <w:trPr>
          <w:trHeight w:val="330"/>
          <w:jc w:val="center"/>
        </w:trPr>
        <w:tc>
          <w:tcPr>
            <w:tcW w:w="2140"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2030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1,215,816</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390,897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1,606,713</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75.7%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24.3%</w:t>
            </w:r>
          </w:p>
        </w:tc>
      </w:tr>
      <w:tr w:rsidR="007E0837" w:rsidRPr="007226D7" w:rsidTr="00412C3D">
        <w:trPr>
          <w:trHeight w:val="330"/>
          <w:jc w:val="center"/>
        </w:trPr>
        <w:tc>
          <w:tcPr>
            <w:tcW w:w="2140"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Evolution 20-12</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9.0%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14.5%</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10.3%</w:t>
            </w: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r>
      <w:tr w:rsidR="007E0837" w:rsidRPr="007226D7" w:rsidTr="00412C3D">
        <w:trPr>
          <w:trHeight w:val="330"/>
          <w:jc w:val="center"/>
        </w:trPr>
        <w:tc>
          <w:tcPr>
            <w:tcW w:w="2140"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Evolution 30-20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11.5%</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11.8%</w:t>
            </w: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r>
    </w:tbl>
    <w:p w:rsidR="007E0837" w:rsidRPr="007226D7" w:rsidRDefault="007E0837" w:rsidP="007E0837">
      <w:pPr>
        <w:rPr>
          <w:lang w:val="fr-FR"/>
        </w:rPr>
      </w:pPr>
    </w:p>
    <w:p w:rsidR="007E0837" w:rsidRPr="008C61F3" w:rsidRDefault="007E0837" w:rsidP="007E0837">
      <w:pPr>
        <w:rPr>
          <w:lang w:val="es-ES_tradnl"/>
        </w:rPr>
      </w:pPr>
      <w:r w:rsidRPr="008C61F3">
        <w:rPr>
          <w:lang w:val="es-ES_tradnl"/>
        </w:rPr>
        <w:t>Suponiendo que la categoría "Privado", incluya taxis y vehículos pesados es posible comparar directamente los totales con los obtenidos en el presente estudio:</w:t>
      </w:r>
    </w:p>
    <w:p w:rsidR="007E0837" w:rsidRPr="008C61F3" w:rsidRDefault="007E0837" w:rsidP="007E0837">
      <w:pPr>
        <w:rPr>
          <w:lang w:val="es-ES_tradnl"/>
        </w:rPr>
      </w:pPr>
    </w:p>
    <w:p w:rsidR="007E0837" w:rsidRPr="008C61F3" w:rsidRDefault="007E0837" w:rsidP="007E0837">
      <w:pPr>
        <w:jc w:val="center"/>
        <w:rPr>
          <w:b/>
          <w:sz w:val="16"/>
          <w:szCs w:val="16"/>
          <w:lang w:val="es-ES_tradnl"/>
        </w:rPr>
      </w:pPr>
      <w:r w:rsidRPr="006C214F">
        <w:rPr>
          <w:b/>
          <w:sz w:val="16"/>
          <w:szCs w:val="16"/>
          <w:lang w:val="es-ES"/>
        </w:rPr>
        <w:t>Tabla 4.1</w:t>
      </w:r>
      <w:r w:rsidR="000065E7">
        <w:rPr>
          <w:b/>
          <w:sz w:val="16"/>
          <w:szCs w:val="16"/>
          <w:lang w:val="es-ES"/>
        </w:rPr>
        <w:t>4</w:t>
      </w:r>
      <w:r w:rsidRPr="006C214F">
        <w:rPr>
          <w:b/>
          <w:sz w:val="16"/>
          <w:szCs w:val="16"/>
          <w:lang w:val="es-ES"/>
        </w:rPr>
        <w:t xml:space="preserve"> – 2  tamaño de la matriz de los desplazamientos (públicos / privados) por el equipo GEODATA-ESAN-SERCONSULT</w:t>
      </w:r>
    </w:p>
    <w:tbl>
      <w:tblPr>
        <w:tblW w:w="7820" w:type="dxa"/>
        <w:jc w:val="center"/>
        <w:tblInd w:w="57" w:type="dxa"/>
        <w:tblCellMar>
          <w:left w:w="70" w:type="dxa"/>
          <w:right w:w="70" w:type="dxa"/>
        </w:tblCellMar>
        <w:tblLook w:val="04A0" w:firstRow="1" w:lastRow="0" w:firstColumn="1" w:lastColumn="0" w:noHBand="0" w:noVBand="1"/>
      </w:tblPr>
      <w:tblGrid>
        <w:gridCol w:w="1998"/>
        <w:gridCol w:w="1016"/>
        <w:gridCol w:w="1240"/>
        <w:gridCol w:w="1240"/>
        <w:gridCol w:w="1240"/>
        <w:gridCol w:w="1240"/>
      </w:tblGrid>
      <w:tr w:rsidR="007E0837" w:rsidRPr="007226D7" w:rsidTr="00412C3D">
        <w:trPr>
          <w:trHeight w:val="330"/>
          <w:jc w:val="center"/>
        </w:trPr>
        <w:tc>
          <w:tcPr>
            <w:tcW w:w="1998" w:type="dxa"/>
            <w:tcBorders>
              <w:top w:val="single" w:sz="4" w:space="0" w:color="auto"/>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sz w:val="24"/>
                <w:szCs w:val="24"/>
              </w:rPr>
              <w:t>Año</w:t>
            </w:r>
          </w:p>
        </w:tc>
        <w:tc>
          <w:tcPr>
            <w:tcW w:w="862"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Público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Privado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Total</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Público</w:t>
            </w:r>
          </w:p>
        </w:tc>
        <w:tc>
          <w:tcPr>
            <w:tcW w:w="1240" w:type="dxa"/>
            <w:tcBorders>
              <w:top w:val="single" w:sz="4" w:space="0" w:color="auto"/>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Privado</w:t>
            </w:r>
          </w:p>
        </w:tc>
      </w:tr>
      <w:tr w:rsidR="007E0837" w:rsidRPr="007226D7" w:rsidTr="00412C3D">
        <w:trPr>
          <w:trHeight w:val="330"/>
          <w:jc w:val="center"/>
        </w:trPr>
        <w:tc>
          <w:tcPr>
            <w:tcW w:w="1998"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2012</w:t>
            </w:r>
          </w:p>
        </w:tc>
        <w:tc>
          <w:tcPr>
            <w:tcW w:w="862"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1,026,919</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317,397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1,344,316</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76.4%</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23.6%</w:t>
            </w:r>
          </w:p>
        </w:tc>
      </w:tr>
      <w:tr w:rsidR="007E0837" w:rsidRPr="007226D7" w:rsidTr="00412C3D">
        <w:trPr>
          <w:trHeight w:val="330"/>
          <w:jc w:val="center"/>
        </w:trPr>
        <w:tc>
          <w:tcPr>
            <w:tcW w:w="1998"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2020</w:t>
            </w:r>
          </w:p>
        </w:tc>
        <w:tc>
          <w:tcPr>
            <w:tcW w:w="862"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1,158,174</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358,446</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1,516,620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76.4%</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23.6%</w:t>
            </w:r>
          </w:p>
        </w:tc>
      </w:tr>
      <w:tr w:rsidR="007E0837" w:rsidRPr="007226D7" w:rsidTr="00412C3D">
        <w:trPr>
          <w:trHeight w:val="330"/>
          <w:jc w:val="center"/>
        </w:trPr>
        <w:tc>
          <w:tcPr>
            <w:tcW w:w="1998"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2030</w:t>
            </w:r>
          </w:p>
        </w:tc>
        <w:tc>
          <w:tcPr>
            <w:tcW w:w="862"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1,300,888</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408,697</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r w:rsidRPr="007226D7">
              <w:rPr>
                <w:rFonts w:ascii="Arial Narrow" w:hAnsi="Arial Narrow"/>
                <w:color w:val="171717"/>
                <w:sz w:val="24"/>
                <w:szCs w:val="24"/>
              </w:rPr>
              <w:t>1,709,585</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76.1%</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23.9%</w:t>
            </w:r>
          </w:p>
        </w:tc>
      </w:tr>
      <w:tr w:rsidR="007E0837" w:rsidRPr="007226D7" w:rsidTr="00412C3D">
        <w:trPr>
          <w:trHeight w:val="330"/>
          <w:jc w:val="center"/>
        </w:trPr>
        <w:tc>
          <w:tcPr>
            <w:tcW w:w="1998"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Evolution 20-12</w:t>
            </w:r>
          </w:p>
        </w:tc>
        <w:tc>
          <w:tcPr>
            <w:tcW w:w="862"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12.8%</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12.9%</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12.8%</w:t>
            </w: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r>
      <w:tr w:rsidR="007E0837" w:rsidRPr="007226D7" w:rsidTr="00412C3D">
        <w:trPr>
          <w:trHeight w:val="330"/>
          <w:jc w:val="center"/>
        </w:trPr>
        <w:tc>
          <w:tcPr>
            <w:tcW w:w="1998" w:type="dxa"/>
            <w:tcBorders>
              <w:top w:val="nil"/>
              <w:left w:val="single" w:sz="4" w:space="0" w:color="auto"/>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b/>
                <w:bCs/>
                <w:sz w:val="24"/>
                <w:szCs w:val="24"/>
              </w:rPr>
            </w:pPr>
            <w:r w:rsidRPr="007226D7">
              <w:rPr>
                <w:rFonts w:ascii="Arial Narrow" w:hAnsi="Arial Narrow"/>
                <w:b/>
                <w:bCs/>
                <w:color w:val="000000"/>
                <w:sz w:val="24"/>
                <w:szCs w:val="24"/>
              </w:rPr>
              <w:t>Evolution 30-20</w:t>
            </w:r>
          </w:p>
        </w:tc>
        <w:tc>
          <w:tcPr>
            <w:tcW w:w="862"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12.3%</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14.0%</w:t>
            </w:r>
          </w:p>
        </w:tc>
        <w:tc>
          <w:tcPr>
            <w:tcW w:w="1240" w:type="dxa"/>
            <w:tcBorders>
              <w:top w:val="nil"/>
              <w:left w:val="nil"/>
              <w:bottom w:val="single" w:sz="4" w:space="0" w:color="auto"/>
              <w:right w:val="single" w:sz="4" w:space="0" w:color="auto"/>
            </w:tcBorders>
            <w:shd w:val="clear" w:color="171717" w:fill="FFFFFF"/>
            <w:noWrap/>
            <w:vAlign w:val="center"/>
            <w:hideMark/>
          </w:tcPr>
          <w:p w:rsidR="007E0837" w:rsidRPr="007226D7" w:rsidRDefault="007E0837" w:rsidP="00412C3D">
            <w:pPr>
              <w:spacing w:after="0" w:line="240" w:lineRule="auto"/>
              <w:jc w:val="center"/>
              <w:rPr>
                <w:rFonts w:ascii="Arial Narrow" w:hAnsi="Arial Narrow"/>
                <w:sz w:val="24"/>
                <w:szCs w:val="24"/>
              </w:rPr>
            </w:pPr>
            <w:r w:rsidRPr="007226D7">
              <w:rPr>
                <w:rFonts w:ascii="Arial Narrow" w:hAnsi="Arial Narrow"/>
                <w:sz w:val="24"/>
                <w:szCs w:val="24"/>
              </w:rPr>
              <w:t>12.7%</w:t>
            </w: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c>
          <w:tcPr>
            <w:tcW w:w="1240" w:type="dxa"/>
            <w:tcBorders>
              <w:top w:val="nil"/>
              <w:left w:val="nil"/>
              <w:bottom w:val="nil"/>
              <w:right w:val="nil"/>
            </w:tcBorders>
            <w:shd w:val="clear" w:color="171717" w:fill="FFFFFF"/>
            <w:noWrap/>
            <w:vAlign w:val="center"/>
            <w:hideMark/>
          </w:tcPr>
          <w:p w:rsidR="007E0837" w:rsidRPr="007226D7" w:rsidRDefault="007E0837" w:rsidP="00412C3D">
            <w:pPr>
              <w:spacing w:after="0" w:line="240" w:lineRule="auto"/>
              <w:jc w:val="center"/>
              <w:rPr>
                <w:rFonts w:ascii="Arial Narrow" w:hAnsi="Arial Narrow"/>
                <w:color w:val="171717"/>
                <w:sz w:val="24"/>
                <w:szCs w:val="24"/>
              </w:rPr>
            </w:pPr>
          </w:p>
        </w:tc>
      </w:tr>
    </w:tbl>
    <w:p w:rsidR="007E0837" w:rsidRPr="007226D7" w:rsidRDefault="007E0837" w:rsidP="007E0837">
      <w:pPr>
        <w:rPr>
          <w:lang w:val="fr-FR"/>
        </w:rPr>
      </w:pPr>
    </w:p>
    <w:p w:rsidR="007E0837" w:rsidRPr="007226D7" w:rsidRDefault="007E0837" w:rsidP="007E0837">
      <w:pPr>
        <w:rPr>
          <w:lang w:val="fr-FR"/>
        </w:rPr>
      </w:pPr>
    </w:p>
    <w:p w:rsidR="007E0837" w:rsidRPr="008C61F3" w:rsidRDefault="007E0837" w:rsidP="007E0837">
      <w:pPr>
        <w:rPr>
          <w:lang w:val="es-ES_tradnl"/>
        </w:rPr>
      </w:pPr>
      <w:r w:rsidRPr="008C61F3">
        <w:rPr>
          <w:lang w:val="es-ES_tradnl"/>
        </w:rPr>
        <w:t>Los datos son totalmente compatibles tanto en términos totales como en distribución modal. También las tendencias de crecimiento para los próximos años expresan la misma evolución.</w:t>
      </w:r>
    </w:p>
    <w:p w:rsidR="007E0837" w:rsidRPr="008C61F3" w:rsidRDefault="007E0837" w:rsidP="007E0837">
      <w:pPr>
        <w:rPr>
          <w:lang w:val="es-ES_tradnl"/>
        </w:rPr>
      </w:pPr>
      <w:r w:rsidRPr="008C61F3">
        <w:rPr>
          <w:lang w:val="es-ES_tradnl"/>
        </w:rPr>
        <w:t>Examinando el modelo de transporte, no es posible con el material disponible en la actualidad comparar directamente las estructuras de los códigos de simulación utilizados, no siendo explicitados todos los parámetros que caracterizan a las redes de transporte y a los procesos de asignación.</w:t>
      </w:r>
    </w:p>
    <w:sectPr w:rsidR="007E0837" w:rsidRPr="008C61F3" w:rsidSect="00616C7B">
      <w:pgSz w:w="11907" w:h="16840" w:code="9"/>
      <w:pgMar w:top="1985" w:right="1134" w:bottom="1701" w:left="1418" w:header="720" w:footer="833" w:gutter="0"/>
      <w:paperSrc w:first="15" w:other="15"/>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4CCF" w:rsidRDefault="00724CCF">
      <w:r>
        <w:separator/>
      </w:r>
    </w:p>
  </w:endnote>
  <w:endnote w:type="continuationSeparator" w:id="0">
    <w:p w:rsidR="00724CCF" w:rsidRDefault="00724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G Mincho Light J">
    <w:altName w:val="Times New Roman"/>
    <w:charset w:val="00"/>
    <w:family w:val="auto"/>
    <w:pitch w:val="variable"/>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Narrow,BoldItalic">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F8169F">
    <w:pPr>
      <w:pBdr>
        <w:top w:val="single" w:sz="18" w:space="4" w:color="999999"/>
      </w:pBdr>
      <w:ind w:left="-142"/>
      <w:jc w:val="left"/>
      <w:rPr>
        <w:sz w:val="20"/>
      </w:rPr>
    </w:pPr>
    <w:r>
      <w:rPr>
        <w:b/>
        <w:noProof/>
        <w:color w:val="FF0000"/>
        <w:lang w:val="en-US" w:eastAsia="en-US"/>
      </w:rPr>
      <w:drawing>
        <wp:anchor distT="0" distB="0" distL="114300" distR="114300" simplePos="0" relativeHeight="251663872" behindDoc="0" locked="0" layoutInCell="1" allowOverlap="1" wp14:anchorId="3BCBB657" wp14:editId="111EEFFD">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srcRect/>
                  <a:stretch>
                    <a:fillRect/>
                  </a:stretch>
                </pic:blipFill>
                <pic:spPr bwMode="auto">
                  <a:xfrm>
                    <a:off x="0" y="0"/>
                    <a:ext cx="1600200" cy="419100"/>
                  </a:xfrm>
                  <a:prstGeom prst="rect">
                    <a:avLst/>
                  </a:prstGeom>
                  <a:noFill/>
                  <a:ln w="9525">
                    <a:noFill/>
                    <a:miter lim="800000"/>
                    <a:headEnd/>
                    <a:tailEnd/>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Pr>
        <w:rFonts w:cs="Arial"/>
        <w:noProof/>
        <w:sz w:val="20"/>
      </w:rPr>
      <w:t>4</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3142BB">
      <w:rPr>
        <w:rFonts w:cs="Arial"/>
        <w:noProof/>
        <w:sz w:val="20"/>
      </w:rPr>
      <w:t>338</w:t>
    </w:r>
    <w:r w:rsidRPr="00F24A73">
      <w:rPr>
        <w:rFonts w:cs="Arial"/>
        <w:sz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93920" behindDoc="0" locked="0" layoutInCell="1" allowOverlap="1" wp14:anchorId="608E26FA" wp14:editId="487A337D">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Pr>
        <w:rFonts w:cs="Arial"/>
        <w:noProof/>
        <w:sz w:val="20"/>
      </w:rPr>
      <w:t>54</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3142BB">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95968" behindDoc="0" locked="0" layoutInCell="1" allowOverlap="1" wp14:anchorId="22A73641" wp14:editId="03D91B88">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89</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7572D7">
    <w:pPr>
      <w:pBdr>
        <w:top w:val="single" w:sz="18" w:space="3" w:color="999999"/>
      </w:pBdr>
      <w:ind w:left="-142"/>
      <w:jc w:val="right"/>
      <w:rPr>
        <w:sz w:val="20"/>
      </w:rPr>
    </w:pP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Pr>
        <w:rFonts w:cs="Arial"/>
        <w:noProof/>
        <w:sz w:val="20"/>
      </w:rPr>
      <w:t>2</w:t>
    </w:r>
    <w:r w:rsidRPr="00F24A73">
      <w:rPr>
        <w:rFonts w:cs="Arial"/>
        <w:sz w:val="20"/>
      </w:rPr>
      <w:fldChar w:fldCharType="end"/>
    </w:r>
    <w:r w:rsidRPr="00F24A73">
      <w:rPr>
        <w:rFonts w:cs="Arial"/>
        <w:sz w:val="20"/>
      </w:rPr>
      <w:t xml:space="preserve"> de </w:t>
    </w:r>
    <w:r>
      <w:rPr>
        <w:rFonts w:cs="Arial"/>
        <w:sz w:val="20"/>
      </w:rPr>
      <w:t>393</w:t>
    </w:r>
  </w:p>
  <w:p w:rsidR="00724CCF" w:rsidRPr="00E24DF3" w:rsidRDefault="00724CCF" w:rsidP="00E24DF3">
    <w:pPr>
      <w:pStyle w:val="Footer"/>
      <w:rPr>
        <w:lang w:val="en-US"/>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803136" behindDoc="0" locked="0" layoutInCell="1" allowOverlap="1" wp14:anchorId="4993D61A" wp14:editId="47898A66">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756"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93</w:t>
    </w:r>
    <w:r w:rsidRPr="00F24A73">
      <w:rPr>
        <w:rFonts w:cs="Arial"/>
        <w:sz w:val="20"/>
      </w:rPr>
      <w:fldChar w:fldCharType="end"/>
    </w:r>
    <w:r w:rsidRPr="00F24A73">
      <w:rPr>
        <w:rFonts w:cs="Arial"/>
        <w:sz w:val="20"/>
      </w:rPr>
      <w:t xml:space="preserve"> de </w:t>
    </w:r>
    <w:r>
      <w:rPr>
        <w:rFonts w:cs="Arial"/>
        <w:sz w:val="20"/>
      </w:rPr>
      <w:t>393</w:t>
    </w:r>
  </w:p>
  <w:p w:rsidR="00724CCF" w:rsidRPr="0090614E" w:rsidRDefault="00724CCF" w:rsidP="0090614E">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818496" behindDoc="0" locked="0" layoutInCell="1" allowOverlap="1" wp14:anchorId="7C4788BA" wp14:editId="5F5533C4">
          <wp:simplePos x="0" y="0"/>
          <wp:positionH relativeFrom="column">
            <wp:posOffset>-568960</wp:posOffset>
          </wp:positionH>
          <wp:positionV relativeFrom="paragraph">
            <wp:posOffset>130810</wp:posOffset>
          </wp:positionV>
          <wp:extent cx="1600200" cy="419100"/>
          <wp:effectExtent l="0" t="0" r="0" b="0"/>
          <wp:wrapThrough wrapText="bothSides">
            <wp:wrapPolygon edited="0">
              <wp:start x="0" y="0"/>
              <wp:lineTo x="0" y="20618"/>
              <wp:lineTo x="21343" y="20618"/>
              <wp:lineTo x="21343" y="0"/>
              <wp:lineTo x="0" y="0"/>
            </wp:wrapPolygon>
          </wp:wrapThrough>
          <wp:docPr id="758"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99</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99040" behindDoc="0" locked="0" layoutInCell="1" allowOverlap="1" wp14:anchorId="46D3F1D3" wp14:editId="4BF1074A">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760"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118</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813376" behindDoc="0" locked="0" layoutInCell="1" allowOverlap="1" wp14:anchorId="77268D4A" wp14:editId="1D07424D">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763"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125</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7572D7">
    <w:pPr>
      <w:pBdr>
        <w:top w:val="single" w:sz="18" w:space="3" w:color="999999"/>
      </w:pBdr>
      <w:ind w:left="-142"/>
      <w:jc w:val="left"/>
      <w:rPr>
        <w:sz w:val="20"/>
      </w:rPr>
    </w:pP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127</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166392" w:rsidRDefault="00724CCF" w:rsidP="007572D7">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7572D7">
    <w:pPr>
      <w:pBdr>
        <w:top w:val="single" w:sz="18" w:space="3" w:color="999999"/>
      </w:pBdr>
      <w:ind w:left="-142"/>
      <w:jc w:val="left"/>
      <w:rPr>
        <w:sz w:val="20"/>
      </w:rPr>
    </w:pPr>
    <w:r>
      <w:rPr>
        <w:noProof/>
        <w:lang w:val="en-US" w:eastAsia="en-US"/>
      </w:rPr>
      <w:drawing>
        <wp:anchor distT="0" distB="0" distL="114300" distR="114300" simplePos="0" relativeHeight="251802112" behindDoc="0" locked="0" layoutInCell="1" allowOverlap="1" wp14:anchorId="195D4FB8" wp14:editId="2BC80BC1">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765"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130</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166392" w:rsidRDefault="00724CCF" w:rsidP="007572D7">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737E6E" w:rsidRDefault="00724CCF" w:rsidP="00737E6E">
    <w:pPr>
      <w:pBdr>
        <w:top w:val="single" w:sz="18" w:space="3" w:color="999999"/>
      </w:pBdr>
      <w:ind w:left="-142"/>
      <w:jc w:val="right"/>
      <w:rPr>
        <w:sz w:val="20"/>
      </w:rPr>
    </w:pPr>
    <w:r>
      <w:rPr>
        <w:noProof/>
        <w:lang w:val="en-US" w:eastAsia="en-US"/>
      </w:rPr>
      <w:drawing>
        <wp:anchor distT="0" distB="0" distL="114300" distR="114300" simplePos="0" relativeHeight="251801088" behindDoc="0" locked="0" layoutInCell="1" allowOverlap="1" wp14:anchorId="35B5CD6B" wp14:editId="1A9648FB">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766"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339</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1F5AAF">
    <w:pPr>
      <w:pBdr>
        <w:top w:val="single" w:sz="18" w:space="4" w:color="999999"/>
      </w:pBdr>
      <w:ind w:left="-142"/>
      <w:jc w:val="left"/>
      <w:rPr>
        <w:sz w:val="20"/>
      </w:rPr>
    </w:pPr>
    <w:r>
      <w:rPr>
        <w:noProof/>
        <w:lang w:val="en-US" w:eastAsia="en-US"/>
      </w:rPr>
      <w:drawing>
        <wp:anchor distT="0" distB="0" distL="114300" distR="114300" simplePos="0" relativeHeight="251675136" behindDoc="0" locked="0" layoutInCell="1" allowOverlap="1">
          <wp:simplePos x="0" y="0"/>
          <wp:positionH relativeFrom="column">
            <wp:posOffset>-33655</wp:posOffset>
          </wp:positionH>
          <wp:positionV relativeFrom="paragraph">
            <wp:posOffset>71755</wp:posOffset>
          </wp:positionV>
          <wp:extent cx="1600200" cy="419100"/>
          <wp:effectExtent l="0" t="0" r="0" b="0"/>
          <wp:wrapThrough wrapText="bothSides">
            <wp:wrapPolygon edited="0">
              <wp:start x="0" y="0"/>
              <wp:lineTo x="0" y="20618"/>
              <wp:lineTo x="21343" y="20618"/>
              <wp:lineTo x="21343" y="0"/>
              <wp:lineTo x="0" y="0"/>
            </wp:wrapPolygon>
          </wp:wrapThrough>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p>
  <w:p w:rsidR="00724CCF" w:rsidRDefault="00724C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DA0F86">
    <w:pPr>
      <w:pBdr>
        <w:top w:val="single" w:sz="18" w:space="3" w:color="999999"/>
      </w:pBdr>
      <w:ind w:left="-142"/>
      <w:jc w:val="right"/>
      <w:rPr>
        <w:sz w:val="20"/>
      </w:rPr>
    </w:pPr>
    <w:r>
      <w:rPr>
        <w:noProof/>
        <w:lang w:val="en-US" w:eastAsia="en-US"/>
      </w:rPr>
      <w:drawing>
        <wp:anchor distT="0" distB="0" distL="114300" distR="114300" simplePos="0" relativeHeight="251697664" behindDoc="0" locked="0" layoutInCell="1" allowOverlap="1" wp14:anchorId="6D6A5394" wp14:editId="231555CB">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4</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E24DF3">
    <w:pPr>
      <w:pBdr>
        <w:top w:val="single" w:sz="18" w:space="3" w:color="999999"/>
      </w:pBdr>
      <w:ind w:left="-142"/>
      <w:jc w:val="left"/>
      <w:rPr>
        <w:sz w:val="20"/>
      </w:rPr>
    </w:pPr>
    <w:r>
      <w:rPr>
        <w:noProof/>
        <w:lang w:val="en-US" w:eastAsia="en-US"/>
      </w:rPr>
      <w:drawing>
        <wp:anchor distT="0" distB="0" distL="114300" distR="114300" simplePos="0" relativeHeight="251695616" behindDoc="0" locked="0" layoutInCell="1" allowOverlap="1" wp14:anchorId="7DD7B639" wp14:editId="57769E91">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2</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E24DF3" w:rsidRDefault="00724CCF" w:rsidP="00E24DF3">
    <w:pPr>
      <w:pStyle w:val="Footer"/>
      <w:rPr>
        <w:lang w:val="en-U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E24DF3">
    <w:pPr>
      <w:pBdr>
        <w:top w:val="single" w:sz="18" w:space="3" w:color="999999"/>
      </w:pBdr>
      <w:ind w:left="-142"/>
      <w:jc w:val="left"/>
      <w:rPr>
        <w:sz w:val="20"/>
      </w:rPr>
    </w:pPr>
    <w:r>
      <w:rPr>
        <w:noProof/>
        <w:lang w:val="en-US" w:eastAsia="en-US"/>
      </w:rPr>
      <w:drawing>
        <wp:anchor distT="0" distB="0" distL="114300" distR="114300" simplePos="0" relativeHeight="251829760" behindDoc="0" locked="0" layoutInCell="1" allowOverlap="1" wp14:anchorId="20622B34" wp14:editId="712036FD">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3</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E24DF3" w:rsidRDefault="00724CCF" w:rsidP="00E24DF3">
    <w:pPr>
      <w:pStyle w:val="Footer"/>
      <w:rPr>
        <w:lang w:val="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10976" behindDoc="0" locked="0" layoutInCell="1" allowOverlap="1" wp14:anchorId="6CFFB294" wp14:editId="2872D8CB">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56</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87776" behindDoc="0" locked="0" layoutInCell="1" allowOverlap="1" wp14:anchorId="5EE4A939" wp14:editId="053CE593">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57</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89824" behindDoc="0" locked="0" layoutInCell="1" allowOverlap="1" wp14:anchorId="2286D200" wp14:editId="29331AB3">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Pr>
        <w:rFonts w:cs="Arial"/>
        <w:noProof/>
        <w:sz w:val="20"/>
      </w:rPr>
      <w:t>53</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3142BB">
      <w:rPr>
        <w:rFonts w:cs="Arial"/>
        <w:noProof/>
        <w:sz w:val="20"/>
      </w:rPr>
      <w:t>338</w:t>
    </w:r>
    <w:r w:rsidRPr="00F24A73">
      <w:rPr>
        <w:rFonts w:cs="Arial"/>
        <w:sz w:val="20"/>
      </w:rPr>
      <w:fldChar w:fldCharType="end"/>
    </w:r>
  </w:p>
  <w:p w:rsidR="00724CCF" w:rsidRPr="0090614E" w:rsidRDefault="00724CCF" w:rsidP="0090614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F24A73" w:rsidRDefault="00724CCF" w:rsidP="0090614E">
    <w:pPr>
      <w:pBdr>
        <w:top w:val="single" w:sz="18" w:space="3" w:color="999999"/>
      </w:pBdr>
      <w:ind w:left="-142"/>
      <w:jc w:val="left"/>
      <w:rPr>
        <w:sz w:val="20"/>
      </w:rPr>
    </w:pPr>
    <w:r>
      <w:rPr>
        <w:noProof/>
        <w:lang w:val="en-US" w:eastAsia="en-US"/>
      </w:rPr>
      <w:drawing>
        <wp:anchor distT="0" distB="0" distL="114300" distR="114300" simplePos="0" relativeHeight="251791872" behindDoc="0" locked="0" layoutInCell="1" allowOverlap="1" wp14:anchorId="3C396F35" wp14:editId="026C2477">
          <wp:simplePos x="0" y="0"/>
          <wp:positionH relativeFrom="column">
            <wp:posOffset>-33655</wp:posOffset>
          </wp:positionH>
          <wp:positionV relativeFrom="paragraph">
            <wp:posOffset>71755</wp:posOffset>
          </wp:positionV>
          <wp:extent cx="1600200" cy="419100"/>
          <wp:effectExtent l="19050" t="0" r="0" b="0"/>
          <wp:wrapThrough wrapText="bothSides">
            <wp:wrapPolygon edited="0">
              <wp:start x="-257" y="0"/>
              <wp:lineTo x="-257" y="20618"/>
              <wp:lineTo x="21600" y="20618"/>
              <wp:lineTo x="21600" y="0"/>
              <wp:lineTo x="-257" y="0"/>
            </wp:wrapPolygon>
          </wp:wrapThrough>
          <wp:docPr id="1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pic:spPr>
              </pic:pic>
            </a:graphicData>
          </a:graphic>
        </wp:anchor>
      </w:drawing>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Pr>
        <w:b/>
        <w:color w:val="FF0000"/>
      </w:rPr>
      <w:tab/>
    </w:r>
    <w:r w:rsidRPr="00F24A73">
      <w:rPr>
        <w:b/>
        <w:color w:val="FF0000"/>
      </w:rPr>
      <w:t xml:space="preserve">  </w:t>
    </w:r>
    <w:r w:rsidRPr="00F24A73">
      <w:rPr>
        <w:rFonts w:cs="Arial"/>
        <w:sz w:val="20"/>
      </w:rPr>
      <w:fldChar w:fldCharType="begin"/>
    </w:r>
    <w:r w:rsidRPr="00F24A73">
      <w:rPr>
        <w:rFonts w:cs="Arial"/>
        <w:sz w:val="20"/>
      </w:rPr>
      <w:instrText xml:space="preserve"> PAGE </w:instrText>
    </w:r>
    <w:r w:rsidRPr="00F24A73">
      <w:rPr>
        <w:rFonts w:cs="Arial"/>
        <w:sz w:val="20"/>
      </w:rPr>
      <w:fldChar w:fldCharType="separate"/>
    </w:r>
    <w:r w:rsidR="00B45290">
      <w:rPr>
        <w:rFonts w:cs="Arial"/>
        <w:noProof/>
        <w:sz w:val="20"/>
      </w:rPr>
      <w:t>58</w:t>
    </w:r>
    <w:r w:rsidRPr="00F24A73">
      <w:rPr>
        <w:rFonts w:cs="Arial"/>
        <w:sz w:val="20"/>
      </w:rPr>
      <w:fldChar w:fldCharType="end"/>
    </w:r>
    <w:r w:rsidRPr="00F24A73">
      <w:rPr>
        <w:rFonts w:cs="Arial"/>
        <w:sz w:val="20"/>
      </w:rPr>
      <w:t xml:space="preserve"> de </w:t>
    </w:r>
    <w:r w:rsidRPr="00F24A73">
      <w:rPr>
        <w:rFonts w:cs="Arial"/>
        <w:sz w:val="20"/>
      </w:rPr>
      <w:fldChar w:fldCharType="begin"/>
    </w:r>
    <w:r w:rsidRPr="00F24A73">
      <w:rPr>
        <w:rFonts w:cs="Arial"/>
        <w:sz w:val="20"/>
      </w:rPr>
      <w:instrText xml:space="preserve"> NUMPAGES </w:instrText>
    </w:r>
    <w:r w:rsidRPr="00F24A73">
      <w:rPr>
        <w:rFonts w:cs="Arial"/>
        <w:sz w:val="20"/>
      </w:rPr>
      <w:fldChar w:fldCharType="separate"/>
    </w:r>
    <w:r w:rsidR="00B45290">
      <w:rPr>
        <w:rFonts w:cs="Arial"/>
        <w:noProof/>
        <w:sz w:val="20"/>
      </w:rPr>
      <w:t>338</w:t>
    </w:r>
    <w:r w:rsidRPr="00F24A73">
      <w:rPr>
        <w:rFonts w:cs="Arial"/>
        <w:sz w:val="20"/>
      </w:rPr>
      <w:fldChar w:fldCharType="end"/>
    </w:r>
  </w:p>
  <w:p w:rsidR="00724CCF" w:rsidRPr="0090614E" w:rsidRDefault="00724CCF" w:rsidP="009061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4CCF" w:rsidRDefault="00724CCF">
      <w:r>
        <w:separator/>
      </w:r>
    </w:p>
  </w:footnote>
  <w:footnote w:type="continuationSeparator" w:id="0">
    <w:p w:rsidR="00724CCF" w:rsidRDefault="00724CCF">
      <w:r>
        <w:continuationSeparator/>
      </w:r>
    </w:p>
  </w:footnote>
  <w:footnote w:id="1">
    <w:p w:rsidR="00724CCF" w:rsidRPr="004E7139" w:rsidRDefault="00724CCF" w:rsidP="004E7139">
      <w:pPr>
        <w:pStyle w:val="FootnoteText"/>
        <w:rPr>
          <w:lang w:val="es-ES"/>
        </w:rPr>
      </w:pPr>
      <w:r>
        <w:rPr>
          <w:rStyle w:val="FootnoteReference"/>
        </w:rPr>
        <w:footnoteRef/>
      </w:r>
      <w:r w:rsidRPr="004E7139">
        <w:rPr>
          <w:lang w:val="es-ES"/>
        </w:rPr>
        <w:t xml:space="preserve">  Ley de Organización y Funciones del Ministerio de Transportes y Comunicaciones</w:t>
      </w:r>
    </w:p>
  </w:footnote>
  <w:footnote w:id="2">
    <w:p w:rsidR="00724CCF" w:rsidRPr="00EA591A" w:rsidRDefault="00724CCF" w:rsidP="00EA591A">
      <w:pPr>
        <w:pStyle w:val="FootnoteText"/>
        <w:rPr>
          <w:rFonts w:ascii="Arial" w:hAnsi="Arial" w:cs="Arial"/>
          <w:lang w:val="es-ES"/>
        </w:rPr>
      </w:pPr>
      <w:r>
        <w:rPr>
          <w:rStyle w:val="FootnoteReference"/>
        </w:rPr>
        <w:footnoteRef/>
      </w:r>
      <w:r w:rsidRPr="00EA591A">
        <w:rPr>
          <w:lang w:val="es-ES"/>
        </w:rPr>
        <w:t> </w:t>
      </w:r>
      <w:r w:rsidRPr="00EA591A">
        <w:rPr>
          <w:rFonts w:ascii="Arial" w:hAnsi="Arial" w:cs="Arial"/>
          <w:bCs/>
          <w:lang w:val="es-ES"/>
        </w:rPr>
        <w:t>Perú: Estimaciones yProyecciones de Población por Sexo, Según Departamento, Provincia y Distrito,2000-2015</w:t>
      </w:r>
    </w:p>
  </w:footnote>
  <w:footnote w:id="3">
    <w:p w:rsidR="00724CCF" w:rsidRPr="00831CAF" w:rsidRDefault="00724CCF" w:rsidP="00831CAF">
      <w:pPr>
        <w:pStyle w:val="FootnoteText"/>
        <w:rPr>
          <w:rFonts w:ascii="Arial" w:hAnsi="Arial" w:cs="Arial"/>
          <w:sz w:val="16"/>
          <w:szCs w:val="16"/>
          <w:lang w:val="es-ES"/>
        </w:rPr>
      </w:pPr>
      <w:r w:rsidRPr="009605B1">
        <w:rPr>
          <w:rStyle w:val="FootnoteReference"/>
          <w:rFonts w:cs="Arial"/>
          <w:sz w:val="16"/>
          <w:szCs w:val="16"/>
        </w:rPr>
        <w:footnoteRef/>
      </w:r>
      <w:r w:rsidRPr="00831CAF">
        <w:rPr>
          <w:rFonts w:ascii="Arial" w:hAnsi="Arial" w:cs="Arial"/>
          <w:sz w:val="16"/>
          <w:szCs w:val="16"/>
          <w:lang w:val="es-ES"/>
        </w:rPr>
        <w:t xml:space="preserve"> Perfil Sociodemográfico del Departamento de Lima y la Provincia Constitucional del Callao</w:t>
      </w:r>
    </w:p>
  </w:footnote>
  <w:footnote w:id="4">
    <w:p w:rsidR="00724CCF" w:rsidRPr="00DC449F" w:rsidRDefault="00724CCF" w:rsidP="00DC449F">
      <w:pPr>
        <w:pStyle w:val="FootnoteText"/>
        <w:rPr>
          <w:lang w:val="es-ES"/>
        </w:rPr>
      </w:pPr>
      <w:r w:rsidRPr="000344EC">
        <w:rPr>
          <w:rStyle w:val="FootnoteReference"/>
        </w:rPr>
        <w:footnoteRef/>
      </w:r>
      <w:r w:rsidRPr="000344EC">
        <w:rPr>
          <w:lang w:val="es-ES"/>
        </w:rPr>
        <w:t xml:space="preserve">  INEI: Las Tecnologías de Información y Comunicación en los Hogares - Informe Técnico N° 01 Marzo 2012</w:t>
      </w:r>
    </w:p>
  </w:footnote>
  <w:footnote w:id="5">
    <w:p w:rsidR="00724CCF" w:rsidRPr="00DC449F" w:rsidRDefault="00724CCF" w:rsidP="00DC449F">
      <w:pPr>
        <w:pStyle w:val="FootnoteText"/>
        <w:rPr>
          <w:rFonts w:ascii="Arial" w:hAnsi="Arial" w:cs="Arial"/>
          <w:sz w:val="16"/>
          <w:szCs w:val="16"/>
          <w:lang w:val="es-ES"/>
        </w:rPr>
      </w:pPr>
      <w:r w:rsidRPr="000D74BD">
        <w:rPr>
          <w:rStyle w:val="FootnoteReference"/>
          <w:rFonts w:cs="Arial"/>
          <w:sz w:val="16"/>
          <w:szCs w:val="16"/>
        </w:rPr>
        <w:footnoteRef/>
      </w:r>
      <w:r w:rsidRPr="00DC449F">
        <w:rPr>
          <w:rFonts w:ascii="Arial" w:hAnsi="Arial" w:cs="Arial"/>
          <w:sz w:val="16"/>
          <w:szCs w:val="16"/>
          <w:lang w:val="es-ES"/>
        </w:rPr>
        <w:t xml:space="preserve"> Programa de las Naciones Unidas – PNUD : Informe sobre Desarrollo Humano / Perú 2007 </w:t>
      </w:r>
    </w:p>
  </w:footnote>
  <w:footnote w:id="6">
    <w:p w:rsidR="00724CCF" w:rsidRPr="00DC449F" w:rsidRDefault="00724CCF" w:rsidP="00DC449F">
      <w:pPr>
        <w:pStyle w:val="FootnoteText"/>
        <w:rPr>
          <w:lang w:val="es-ES"/>
        </w:rPr>
      </w:pPr>
      <w:r>
        <w:rPr>
          <w:rStyle w:val="FootnoteReference"/>
        </w:rPr>
        <w:footnoteRef/>
      </w:r>
      <w:r w:rsidRPr="00DC449F">
        <w:rPr>
          <w:lang w:val="es-ES"/>
        </w:rPr>
        <w:t xml:space="preserve"> INEI - Perú: Evolución de los Indicadores de Empleo e Ingresos por Departamentos, 2001-2010 Octubre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Pr="0059044B" w:rsidRDefault="008C61F3">
    <w:pPr>
      <w:rPr>
        <w:rFonts w:cs="Arial"/>
        <w:sz w:val="18"/>
        <w:szCs w:val="18"/>
      </w:rPr>
    </w:pPr>
    <w:r>
      <w:rPr>
        <w:rFonts w:cs="Arial"/>
        <w:noProof/>
        <w:sz w:val="18"/>
        <w:szCs w:val="18"/>
        <w:lang w:val="en-US" w:eastAsia="en-US"/>
      </w:rPr>
      <mc:AlternateContent>
        <mc:Choice Requires="wps">
          <w:drawing>
            <wp:anchor distT="0" distB="0" distL="114300" distR="114300" simplePos="0" relativeHeight="251661824" behindDoc="0" locked="0" layoutInCell="1" allowOverlap="1">
              <wp:simplePos x="0" y="0"/>
              <wp:positionH relativeFrom="column">
                <wp:posOffset>4334510</wp:posOffset>
              </wp:positionH>
              <wp:positionV relativeFrom="paragraph">
                <wp:posOffset>-128270</wp:posOffset>
              </wp:positionV>
              <wp:extent cx="1499235" cy="500380"/>
              <wp:effectExtent l="0" t="0" r="0" b="0"/>
              <wp:wrapNone/>
              <wp:docPr id="6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724CCF" w:rsidRPr="007B4CD3" w:rsidRDefault="00724CCF" w:rsidP="00384BE0">
                          <w:pPr>
                            <w:rPr>
                              <w:color w:val="FFFFFF" w:themeColor="background1"/>
                              <w:sz w:val="16"/>
                              <w:szCs w:val="16"/>
                              <w:lang w:val="es-ES"/>
                            </w:rPr>
                          </w:pPr>
                          <w:r>
                            <w:rPr>
                              <w:rFonts w:cs="Arial"/>
                              <w:color w:val="FFFFFF" w:themeColor="background1"/>
                              <w:sz w:val="16"/>
                              <w:szCs w:val="16"/>
                              <w:lang w:val="es-ES"/>
                            </w:rPr>
                            <w:t>División de las actividades</w:t>
                          </w:r>
                        </w:p>
                        <w:p w:rsidR="00724CCF" w:rsidRPr="007B4CD3" w:rsidRDefault="00724CCF" w:rsidP="00684FA4">
                          <w:pPr>
                            <w:rPr>
                              <w:color w:val="FFFFFF" w:themeColor="background1"/>
                              <w:sz w:val="16"/>
                              <w:szCs w:val="16"/>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2" type="#_x0000_t202" style="position:absolute;left:0;text-align:left;margin-left:341.3pt;margin-top:-10.1pt;width:118.05pt;height:39.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" filled="f" stroked="f" strokecolor="white [3212]">
              <v:textbox>
                <w:txbxContent>
                  <w:p w:rsidR="00724CCF" w:rsidRPr="007B4CD3" w:rsidRDefault="00724CCF" w:rsidP="00384BE0">
                    <w:pPr>
                      <w:rPr>
                        <w:color w:val="FFFFFF" w:themeColor="background1"/>
                        <w:sz w:val="16"/>
                        <w:szCs w:val="16"/>
                        <w:lang w:val="es-ES"/>
                      </w:rPr>
                    </w:pPr>
                    <w:r>
                      <w:rPr>
                        <w:rFonts w:cs="Arial"/>
                        <w:color w:val="FFFFFF" w:themeColor="background1"/>
                        <w:sz w:val="16"/>
                        <w:szCs w:val="16"/>
                        <w:lang w:val="es-ES"/>
                      </w:rPr>
                      <w:t>División de las actividades</w:t>
                    </w:r>
                  </w:p>
                  <w:p w:rsidR="00724CCF" w:rsidRPr="007B4CD3" w:rsidRDefault="00724CCF" w:rsidP="00684FA4">
                    <w:pPr>
                      <w:rPr>
                        <w:color w:val="FFFFFF" w:themeColor="background1"/>
                        <w:sz w:val="16"/>
                        <w:szCs w:val="16"/>
                        <w:lang w:val="es-ES"/>
                      </w:rPr>
                    </w:pPr>
                  </w:p>
                </w:txbxContent>
              </v:textbox>
            </v:shape>
          </w:pict>
        </mc:Fallback>
      </mc:AlternateContent>
    </w:r>
    <w:r>
      <w:rPr>
        <w:rFonts w:cs="Arial"/>
        <w:noProof/>
        <w:sz w:val="18"/>
        <w:szCs w:val="18"/>
        <w:lang w:val="en-US" w:eastAsia="en-US"/>
      </w:rPr>
      <mc:AlternateContent>
        <mc:Choice Requires="wps">
          <w:drawing>
            <wp:anchor distT="0" distB="0" distL="114300" distR="114300" simplePos="0" relativeHeight="251662848" behindDoc="0" locked="0" layoutInCell="1" allowOverlap="1">
              <wp:simplePos x="0" y="0"/>
              <wp:positionH relativeFrom="column">
                <wp:posOffset>673100</wp:posOffset>
              </wp:positionH>
              <wp:positionV relativeFrom="paragraph">
                <wp:posOffset>372110</wp:posOffset>
              </wp:positionV>
              <wp:extent cx="5250180" cy="382905"/>
              <wp:effectExtent l="0" t="0" r="0" b="0"/>
              <wp:wrapNone/>
              <wp:docPr id="68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684FA4" w:rsidRDefault="00724CCF">
                          <w:pPr>
                            <w:rPr>
                              <w:sz w:val="18"/>
                              <w:szCs w:val="18"/>
                              <w:lang w:val="es-ES"/>
                            </w:rPr>
                          </w:pPr>
                          <w:r w:rsidRPr="00684FA4">
                            <w:rPr>
                              <w:sz w:val="18"/>
                              <w:szCs w:val="18"/>
                              <w:lang w:val="es-ES"/>
                            </w:rPr>
                            <w:t>Concurso de Proyectos Integrales para la Concesión de la Línea 2 de la Red Básica del Metro de Lima – Proyecto Especial Sistema Eléctrico de Transporte Masivo de Lima y Callao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3" type="#_x0000_t202" style="position:absolute;left:0;text-align:left;margin-left:53pt;margin-top:29.3pt;width:413.4pt;height:30.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gy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" filled="f" stroked="f">
              <v:textbox>
                <w:txbxContent>
                  <w:p w:rsidR="00724CCF" w:rsidRPr="00684FA4" w:rsidRDefault="00724CCF">
                    <w:pPr>
                      <w:rPr>
                        <w:sz w:val="18"/>
                        <w:szCs w:val="18"/>
                        <w:lang w:val="es-ES"/>
                      </w:rPr>
                    </w:pPr>
                    <w:r w:rsidRPr="00684FA4">
                      <w:rPr>
                        <w:sz w:val="18"/>
                        <w:szCs w:val="18"/>
                        <w:lang w:val="es-ES"/>
                      </w:rPr>
                      <w:t>Concurso de Proyectos Integrales para la Concesión de la Línea 2 de la Red Básica del Metro de Lima – Proyecto Especial Sistema Eléctrico de Transporte Masivo de Lima y Callao</w:t>
                    </w:r>
                  </w:p>
                </w:txbxContent>
              </v:textbox>
            </v:shape>
          </w:pict>
        </mc:Fallback>
      </mc:AlternateContent>
    </w:r>
    <w:r w:rsidR="00724CCF">
      <w:rPr>
        <w:rFonts w:cs="Arial"/>
        <w:noProof/>
        <w:sz w:val="18"/>
        <w:szCs w:val="18"/>
        <w:lang w:val="en-US" w:eastAsia="en-US"/>
      </w:rPr>
      <w:drawing>
        <wp:anchor distT="0" distB="0" distL="114300" distR="114300" simplePos="0" relativeHeight="251660800" behindDoc="1" locked="0" layoutInCell="1" allowOverlap="1">
          <wp:simplePos x="0" y="0"/>
          <wp:positionH relativeFrom="column">
            <wp:posOffset>23495</wp:posOffset>
          </wp:positionH>
          <wp:positionV relativeFrom="paragraph">
            <wp:posOffset>-190500</wp:posOffset>
          </wp:positionV>
          <wp:extent cx="5899785" cy="647700"/>
          <wp:effectExtent l="19050" t="0" r="5715" b="0"/>
          <wp:wrapThrough wrapText="bothSides">
            <wp:wrapPolygon edited="0">
              <wp:start x="-70" y="0"/>
              <wp:lineTo x="-70" y="20965"/>
              <wp:lineTo x="21621" y="20965"/>
              <wp:lineTo x="21621" y="0"/>
              <wp:lineTo x="-70" y="0"/>
            </wp:wrapPolygon>
          </wp:wrapThrough>
          <wp:docPr id="18" name="Picture 17" descr="encabezad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cabezado 2012"/>
                  <pic:cNvPicPr>
                    <a:picLocks noChangeAspect="1" noChangeArrowheads="1"/>
                  </pic:cNvPicPr>
                </pic:nvPicPr>
                <pic:blipFill>
                  <a:blip r:embed="rId1"/>
                  <a:srcRect t="20331" r="4767" b="28464"/>
                  <a:stretch>
                    <a:fillRect/>
                  </a:stretch>
                </pic:blipFill>
                <pic:spPr bwMode="auto">
                  <a:xfrm>
                    <a:off x="0" y="0"/>
                    <a:ext cx="5899785" cy="647700"/>
                  </a:xfrm>
                  <a:prstGeom prst="rect">
                    <a:avLst/>
                  </a:prstGeom>
                  <a:noFill/>
                  <a:ln w="9525">
                    <a:noFill/>
                    <a:miter lim="800000"/>
                    <a:headEnd/>
                    <a:tailEnd/>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16448" behindDoc="0" locked="0" layoutInCell="1" allowOverlap="1">
              <wp:simplePos x="0" y="0"/>
              <wp:positionH relativeFrom="column">
                <wp:posOffset>1499870</wp:posOffset>
              </wp:positionH>
              <wp:positionV relativeFrom="paragraph">
                <wp:posOffset>57150</wp:posOffset>
              </wp:positionV>
              <wp:extent cx="4398010" cy="447675"/>
              <wp:effectExtent l="0" t="0" r="2540" b="9525"/>
              <wp:wrapNone/>
              <wp:docPr id="67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801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042" type="#_x0000_t202" style="position:absolute;left:0;text-align:left;margin-left:118.1pt;margin-top:4.5pt;width:346.3pt;height:35.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SgswIAALQ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15424"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673"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8" o:spid="_x0000_s1026" type="#_x0000_t32" style="position:absolute;margin-left:114.1pt;margin-top:4.5pt;width:.05pt;height:21.25pt;flip:y;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" strokecolor="#9b9b9b" strokeweight="2.25pt"/>
          </w:pict>
        </mc:Fallback>
      </mc:AlternateContent>
    </w:r>
    <w:r w:rsidR="00724CCF">
      <w:rPr>
        <w:noProof/>
        <w:lang w:val="en-US" w:eastAsia="en-US"/>
      </w:rPr>
      <w:drawing>
        <wp:anchor distT="0" distB="0" distL="114300" distR="114300" simplePos="0" relativeHeight="251806208" behindDoc="0" locked="0" layoutInCell="1" allowOverlap="1" wp14:anchorId="4F13AA95" wp14:editId="4083E721">
          <wp:simplePos x="0" y="0"/>
          <wp:positionH relativeFrom="column">
            <wp:posOffset>-93980</wp:posOffset>
          </wp:positionH>
          <wp:positionV relativeFrom="paragraph">
            <wp:posOffset>38100</wp:posOffset>
          </wp:positionV>
          <wp:extent cx="1244600" cy="285750"/>
          <wp:effectExtent l="0" t="0" r="0" b="0"/>
          <wp:wrapNone/>
          <wp:docPr id="762" name="Imagen 727"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14400" behindDoc="0" locked="0" layoutInCell="1" allowOverlap="1">
              <wp:simplePos x="0" y="0"/>
              <wp:positionH relativeFrom="column">
                <wp:posOffset>1569720</wp:posOffset>
              </wp:positionH>
              <wp:positionV relativeFrom="paragraph">
                <wp:posOffset>46355</wp:posOffset>
              </wp:positionV>
              <wp:extent cx="4340225" cy="387350"/>
              <wp:effectExtent l="0" t="0" r="3175" b="12700"/>
              <wp:wrapNone/>
              <wp:docPr id="1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022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123.6pt;margin-top:3.65pt;width:341.75pt;height:30.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12352"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16"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6" o:spid="_x0000_s1026" type="#_x0000_t32" style="position:absolute;margin-left:114.1pt;margin-top:4.5pt;width:.05pt;height:21.25pt;flip: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" strokecolor="#9b9b9b" strokeweight="2.25pt"/>
          </w:pict>
        </mc:Fallback>
      </mc:AlternateContent>
    </w:r>
    <w:r w:rsidR="00724CCF">
      <w:rPr>
        <w:noProof/>
        <w:lang w:val="en-US" w:eastAsia="en-US"/>
      </w:rPr>
      <w:drawing>
        <wp:anchor distT="0" distB="0" distL="114300" distR="114300" simplePos="0" relativeHeight="251804160" behindDoc="0" locked="0" layoutInCell="1" allowOverlap="1" wp14:anchorId="788AFCC9" wp14:editId="0710A9BA">
          <wp:simplePos x="0" y="0"/>
          <wp:positionH relativeFrom="column">
            <wp:posOffset>-93980</wp:posOffset>
          </wp:positionH>
          <wp:positionV relativeFrom="paragraph">
            <wp:posOffset>38100</wp:posOffset>
          </wp:positionV>
          <wp:extent cx="1244600" cy="285750"/>
          <wp:effectExtent l="0" t="0" r="0" b="0"/>
          <wp:wrapNone/>
          <wp:docPr id="764" name="Imagen 725"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27712" behindDoc="0" locked="0" layoutInCell="1" allowOverlap="1">
              <wp:simplePos x="0" y="0"/>
              <wp:positionH relativeFrom="column">
                <wp:posOffset>1476375</wp:posOffset>
              </wp:positionH>
              <wp:positionV relativeFrom="paragraph">
                <wp:posOffset>57150</wp:posOffset>
              </wp:positionV>
              <wp:extent cx="4481195" cy="387350"/>
              <wp:effectExtent l="0" t="0" r="14605" b="12700"/>
              <wp:wrapNone/>
              <wp:docPr id="68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034" type="#_x0000_t202" style="position:absolute;left:0;text-align:left;margin-left:116.25pt;margin-top:4.5pt;width:352.85pt;height:30.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43mtg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693568"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681"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7" o:spid="_x0000_s1026" type="#_x0000_t32" style="position:absolute;margin-left:114.1pt;margin-top:4.5pt;width:.05pt;height:21.25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" strokecolor="#9b9b9b" strokeweight="2.25pt"/>
          </w:pict>
        </mc:Fallback>
      </mc:AlternateContent>
    </w:r>
    <w:r w:rsidR="00724CCF">
      <w:rPr>
        <w:noProof/>
        <w:lang w:val="en-US" w:eastAsia="en-US"/>
      </w:rPr>
      <w:drawing>
        <wp:anchor distT="0" distB="0" distL="114300" distR="114300" simplePos="0" relativeHeight="251692544" behindDoc="0" locked="0" layoutInCell="1" allowOverlap="1">
          <wp:simplePos x="0" y="0"/>
          <wp:positionH relativeFrom="column">
            <wp:posOffset>-93980</wp:posOffset>
          </wp:positionH>
          <wp:positionV relativeFrom="paragraph">
            <wp:posOffset>38100</wp:posOffset>
          </wp:positionV>
          <wp:extent cx="1244600" cy="285750"/>
          <wp:effectExtent l="19050" t="0" r="0" b="0"/>
          <wp:wrapNone/>
          <wp:docPr id="11" name="Picture 3" descr="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0xx\3065\JOB-AREA\INFRA\ETR\Proinversion.jpg"/>
                  <pic:cNvPicPr>
                    <a:picLocks noChangeAspect="1" noChangeArrowheads="1"/>
                  </pic:cNvPicPr>
                </pic:nvPicPr>
                <pic:blipFill>
                  <a:blip r:embed="rId1"/>
                  <a:srcRect/>
                  <a:stretch>
                    <a:fillRect/>
                  </a:stretch>
                </pic:blipFill>
                <pic:spPr bwMode="auto">
                  <a:xfrm>
                    <a:off x="0" y="0"/>
                    <a:ext cx="1244600" cy="285750"/>
                  </a:xfrm>
                  <a:prstGeom prst="rect">
                    <a:avLst/>
                  </a:prstGeom>
                  <a:noFill/>
                  <a:ln w="9525">
                    <a:noFill/>
                    <a:miter lim="800000"/>
                    <a:headEnd/>
                    <a:tailEnd/>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8B4AD4">
    <w:pPr>
      <w:rPr>
        <w:rFonts w:cs="Arial"/>
        <w:sz w:val="18"/>
        <w:szCs w:val="18"/>
      </w:rPr>
    </w:pPr>
    <w:r>
      <w:rPr>
        <w:noProof/>
        <w:lang w:val="en-US" w:eastAsia="en-US"/>
      </w:rPr>
      <mc:AlternateContent>
        <mc:Choice Requires="wps">
          <w:drawing>
            <wp:anchor distT="0" distB="0" distL="114300" distR="114300" simplePos="0" relativeHeight="251826688" behindDoc="0" locked="0" layoutInCell="1" allowOverlap="1">
              <wp:simplePos x="0" y="0"/>
              <wp:positionH relativeFrom="column">
                <wp:posOffset>1363980</wp:posOffset>
              </wp:positionH>
              <wp:positionV relativeFrom="paragraph">
                <wp:posOffset>-9525</wp:posOffset>
              </wp:positionV>
              <wp:extent cx="4574540" cy="387350"/>
              <wp:effectExtent l="0" t="0" r="16510" b="12700"/>
              <wp:wrapNone/>
              <wp:docPr id="6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454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6C214F" w:rsidRDefault="00724CCF" w:rsidP="00D61978">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107.4pt;margin-top:-.75pt;width:360.2pt;height:30.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6C214F" w:rsidRDefault="00724CCF" w:rsidP="00D61978">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689472" behindDoc="0" locked="0" layoutInCell="1" allowOverlap="1">
              <wp:simplePos x="0" y="0"/>
              <wp:positionH relativeFrom="column">
                <wp:posOffset>1296035</wp:posOffset>
              </wp:positionH>
              <wp:positionV relativeFrom="paragraph">
                <wp:posOffset>57150</wp:posOffset>
              </wp:positionV>
              <wp:extent cx="1270" cy="269875"/>
              <wp:effectExtent l="19050" t="19050" r="36830" b="15875"/>
              <wp:wrapNone/>
              <wp:docPr id="679"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269875"/>
                      </a:xfrm>
                      <a:prstGeom prst="straightConnector1">
                        <a:avLst/>
                      </a:prstGeom>
                      <a:noFill/>
                      <a:ln w="28575">
                        <a:solidFill>
                          <a:srgbClr val="9F9F9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1" o:spid="_x0000_s1026" type="#_x0000_t32" style="position:absolute;margin-left:102.05pt;margin-top:4.5pt;width:.1pt;height:21.2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" strokecolor="#9f9f9f" strokeweight="2.25pt"/>
          </w:pict>
        </mc:Fallback>
      </mc:AlternateContent>
    </w:r>
    <w:r w:rsidR="00724CCF">
      <w:rPr>
        <w:noProof/>
        <w:lang w:val="en-US" w:eastAsia="en-US"/>
      </w:rPr>
      <w:drawing>
        <wp:anchor distT="0" distB="0" distL="114300" distR="114300" simplePos="0" relativeHeight="251687424" behindDoc="0" locked="0" layoutInCell="1" allowOverlap="1">
          <wp:simplePos x="0" y="0"/>
          <wp:positionH relativeFrom="column">
            <wp:posOffset>-93980</wp:posOffset>
          </wp:positionH>
          <wp:positionV relativeFrom="paragraph">
            <wp:posOffset>38100</wp:posOffset>
          </wp:positionV>
          <wp:extent cx="1244600" cy="285750"/>
          <wp:effectExtent l="19050" t="0" r="0" b="0"/>
          <wp:wrapNone/>
          <wp:docPr id="3" name="Picture 3" descr="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0xx\3065\JOB-AREA\INFRA\ETR\Proinversion.jpg"/>
                  <pic:cNvPicPr>
                    <a:picLocks noChangeAspect="1" noChangeArrowheads="1"/>
                  </pic:cNvPicPr>
                </pic:nvPicPr>
                <pic:blipFill>
                  <a:blip r:embed="rId1"/>
                  <a:srcRect/>
                  <a:stretch>
                    <a:fillRect/>
                  </a:stretch>
                </pic:blipFill>
                <pic:spPr bwMode="auto">
                  <a:xfrm>
                    <a:off x="0" y="0"/>
                    <a:ext cx="1244600" cy="285750"/>
                  </a:xfrm>
                  <a:prstGeom prst="rect">
                    <a:avLst/>
                  </a:prstGeom>
                  <a:noFill/>
                  <a:ln w="9525">
                    <a:noFill/>
                    <a:miter lim="800000"/>
                    <a:headEnd/>
                    <a:tailEnd/>
                  </a:ln>
                </pic:spPr>
              </pic:pic>
            </a:graphicData>
          </a:graphic>
        </wp:anchor>
      </w:drawing>
    </w:r>
  </w:p>
  <w:p w:rsidR="00724CCF" w:rsidRDefault="00724CCF" w:rsidP="008B4AD4">
    <w:pPr>
      <w:rPr>
        <w:rFonts w:cs="Arial"/>
        <w:sz w:val="18"/>
        <w:szCs w:val="18"/>
      </w:rPr>
    </w:pPr>
  </w:p>
  <w:p w:rsidR="00724CCF" w:rsidRPr="00F24A73" w:rsidRDefault="00724CCF" w:rsidP="008B4AD4">
    <w:pPr>
      <w:pBdr>
        <w:top w:val="single" w:sz="18" w:space="3" w:color="999999"/>
      </w:pBdr>
      <w:ind w:left="-142"/>
      <w:jc w:val="left"/>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24640" behindDoc="0" locked="0" layoutInCell="1" allowOverlap="1">
              <wp:simplePos x="0" y="0"/>
              <wp:positionH relativeFrom="column">
                <wp:posOffset>1528445</wp:posOffset>
              </wp:positionH>
              <wp:positionV relativeFrom="paragraph">
                <wp:posOffset>46355</wp:posOffset>
              </wp:positionV>
              <wp:extent cx="4324350" cy="372745"/>
              <wp:effectExtent l="0" t="0" r="0" b="8255"/>
              <wp:wrapNone/>
              <wp:docPr id="67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7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36" type="#_x0000_t202" style="position:absolute;left:0;text-align:left;margin-left:120.35pt;margin-top:3.65pt;width:340.5pt;height:29.3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sidR="00724CCF" w:rsidRPr="00163BF1">
      <w:rPr>
        <w:rFonts w:cs="Arial"/>
        <w:noProof/>
        <w:sz w:val="18"/>
        <w:szCs w:val="18"/>
        <w:lang w:val="en-US" w:eastAsia="en-US"/>
      </w:rPr>
      <w:drawing>
        <wp:anchor distT="0" distB="0" distL="114300" distR="114300" simplePos="0" relativeHeight="251831808" behindDoc="0" locked="0" layoutInCell="1" allowOverlap="1" wp14:anchorId="0C5A674D" wp14:editId="0339B4BE">
          <wp:simplePos x="0" y="0"/>
          <wp:positionH relativeFrom="column">
            <wp:posOffset>61595</wp:posOffset>
          </wp:positionH>
          <wp:positionV relativeFrom="paragraph">
            <wp:posOffset>38100</wp:posOffset>
          </wp:positionV>
          <wp:extent cx="1247775" cy="285750"/>
          <wp:effectExtent l="19050" t="0" r="9525" b="0"/>
          <wp:wrapNone/>
          <wp:docPr id="15" name="Picture 3" descr="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0xx\3065\JOB-AREA\INFRA\ETR\Proinversion.jpg"/>
                  <pic:cNvPicPr>
                    <a:picLocks noChangeAspect="1" noChangeArrowheads="1"/>
                  </pic:cNvPicPr>
                </pic:nvPicPr>
                <pic:blipFill>
                  <a:blip r:embed="rId1"/>
                  <a:srcRect/>
                  <a:stretch>
                    <a:fillRect/>
                  </a:stretch>
                </pic:blipFill>
                <pic:spPr bwMode="auto">
                  <a:xfrm>
                    <a:off x="0" y="0"/>
                    <a:ext cx="1247775" cy="285750"/>
                  </a:xfrm>
                  <a:prstGeom prst="rect">
                    <a:avLst/>
                  </a:prstGeom>
                  <a:noFill/>
                  <a:ln w="9525">
                    <a:noFill/>
                    <a:miter lim="800000"/>
                    <a:headEnd/>
                    <a:tailEnd/>
                  </a:ln>
                </pic:spPr>
              </pic:pic>
            </a:graphicData>
          </a:graphic>
        </wp:anchor>
      </w:drawing>
    </w:r>
    <w:r>
      <w:rPr>
        <w:noProof/>
        <w:lang w:val="en-US" w:eastAsia="en-US"/>
      </w:rPr>
      <mc:AlternateContent>
        <mc:Choice Requires="wps">
          <w:drawing>
            <wp:anchor distT="0" distB="0" distL="114300" distR="114300" simplePos="0" relativeHeight="251823616"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677"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6" o:spid="_x0000_s1026" type="#_x0000_t32" style="position:absolute;margin-left:114.1pt;margin-top:4.5pt;width:.05pt;height:21.25pt;flip: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" strokecolor="#9b9b9b" strokeweight="2.25pt"/>
          </w:pict>
        </mc:Fallback>
      </mc:AlternateContent>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8B4AD4">
    <w:pPr>
      <w:rPr>
        <w:rFonts w:cs="Arial"/>
        <w:sz w:val="18"/>
        <w:szCs w:val="18"/>
      </w:rPr>
    </w:pPr>
    <w:r>
      <w:rPr>
        <w:noProof/>
        <w:lang w:val="en-US" w:eastAsia="en-US"/>
      </w:rPr>
      <mc:AlternateContent>
        <mc:Choice Requires="wps">
          <w:drawing>
            <wp:anchor distT="0" distB="0" distL="114300" distR="114300" simplePos="0" relativeHeight="251825664" behindDoc="0" locked="0" layoutInCell="1" allowOverlap="1">
              <wp:simplePos x="0" y="0"/>
              <wp:positionH relativeFrom="column">
                <wp:posOffset>1553845</wp:posOffset>
              </wp:positionH>
              <wp:positionV relativeFrom="paragraph">
                <wp:posOffset>46355</wp:posOffset>
              </wp:positionV>
              <wp:extent cx="4458335" cy="280670"/>
              <wp:effectExtent l="0" t="0" r="18415" b="5080"/>
              <wp:wrapNone/>
              <wp:docPr id="67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8335"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8A37E4" w:rsidRDefault="00724CCF" w:rsidP="007572D7">
                          <w:pPr>
                            <w:rPr>
                              <w:sz w:val="16"/>
                              <w:szCs w:val="16"/>
                              <w:lang w:val="es-ES"/>
                            </w:rPr>
                          </w:pPr>
                          <w:r w:rsidRPr="008A37E4">
                            <w:rPr>
                              <w:rFonts w:cs="Arial"/>
                              <w:color w:val="000000"/>
                              <w:sz w:val="16"/>
                              <w:szCs w:val="16"/>
                              <w:lang w:val="es-ES"/>
                            </w:rPr>
                            <w:t xml:space="preserve">Estudio de Preinversión a Nivel de </w:t>
                          </w:r>
                          <w:r w:rsidRPr="008A37E4">
                            <w:rPr>
                              <w:rFonts w:cs="Arial"/>
                              <w:color w:val="000000"/>
                              <w:sz w:val="16"/>
                              <w:szCs w:val="16"/>
                              <w:highlight w:val="yellow"/>
                              <w:lang w:val="es-ES"/>
                            </w:rPr>
                            <w:t>Factibilidad</w:t>
                          </w:r>
                          <w:r w:rsidRPr="008A37E4">
                            <w:rPr>
                              <w:rFonts w:cs="Arial"/>
                              <w:color w:val="000000"/>
                              <w:sz w:val="16"/>
                              <w:szCs w:val="16"/>
                              <w:lang w:val="es-ES"/>
                            </w:rPr>
                            <w:t xml:space="preserve"> de la Línea 2 y Tramo de la Línea 4 del Metro de Lima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 o:spid="_x0000_s1037" type="#_x0000_t202" style="position:absolute;left:0;text-align:left;margin-left:122.35pt;margin-top:3.65pt;width:351.05pt;height:22.1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2tgIAALQ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" filled="f" stroked="f">
              <v:textbox inset="0,0,0,0">
                <w:txbxContent>
                  <w:p w:rsidR="00724CCF" w:rsidRPr="008A37E4" w:rsidRDefault="00724CCF" w:rsidP="007572D7">
                    <w:pPr>
                      <w:rPr>
                        <w:sz w:val="16"/>
                        <w:szCs w:val="16"/>
                        <w:lang w:val="es-ES"/>
                      </w:rPr>
                    </w:pPr>
                    <w:r w:rsidRPr="008A37E4">
                      <w:rPr>
                        <w:rFonts w:cs="Arial"/>
                        <w:color w:val="000000"/>
                        <w:sz w:val="16"/>
                        <w:szCs w:val="16"/>
                        <w:lang w:val="es-ES"/>
                      </w:rPr>
                      <w:t xml:space="preserve">Estudio de Preinversión a Nivel de </w:t>
                    </w:r>
                    <w:r w:rsidRPr="008A37E4">
                      <w:rPr>
                        <w:rFonts w:cs="Arial"/>
                        <w:color w:val="000000"/>
                        <w:sz w:val="16"/>
                        <w:szCs w:val="16"/>
                        <w:highlight w:val="yellow"/>
                        <w:lang w:val="es-ES"/>
                      </w:rPr>
                      <w:t>Factibilidad</w:t>
                    </w:r>
                    <w:r w:rsidRPr="008A37E4">
                      <w:rPr>
                        <w:rFonts w:cs="Arial"/>
                        <w:color w:val="000000"/>
                        <w:sz w:val="16"/>
                        <w:szCs w:val="16"/>
                        <w:lang w:val="es-ES"/>
                      </w:rPr>
                      <w:t xml:space="preserve"> de la Línea 2 y Tramo de la Línea 4 del Metro de Lima</w:t>
                    </w:r>
                  </w:p>
                </w:txbxContent>
              </v:textbox>
            </v:shape>
          </w:pict>
        </mc:Fallback>
      </mc:AlternateContent>
    </w:r>
    <w:r>
      <w:rPr>
        <w:noProof/>
        <w:lang w:val="en-US" w:eastAsia="en-US"/>
      </w:rPr>
      <mc:AlternateContent>
        <mc:Choice Requires="wps">
          <w:drawing>
            <wp:anchor distT="0" distB="0" distL="114300" distR="114300" simplePos="0" relativeHeight="251805184" behindDoc="0" locked="0" layoutInCell="1" allowOverlap="1">
              <wp:simplePos x="0" y="0"/>
              <wp:positionH relativeFrom="column">
                <wp:posOffset>1448435</wp:posOffset>
              </wp:positionH>
              <wp:positionV relativeFrom="paragraph">
                <wp:posOffset>57150</wp:posOffset>
              </wp:positionV>
              <wp:extent cx="1270" cy="269875"/>
              <wp:effectExtent l="19050" t="19050" r="36830" b="15875"/>
              <wp:wrapNone/>
              <wp:docPr id="672"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269875"/>
                      </a:xfrm>
                      <a:prstGeom prst="straightConnector1">
                        <a:avLst/>
                      </a:prstGeom>
                      <a:noFill/>
                      <a:ln w="28575">
                        <a:solidFill>
                          <a:srgbClr val="9F9F9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margin-left:114.05pt;margin-top:4.5pt;width:.1pt;height:21.25pt;flip: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" strokecolor="#9f9f9f" strokeweight="2.25pt"/>
          </w:pict>
        </mc:Fallback>
      </mc:AlternateContent>
    </w:r>
  </w:p>
  <w:p w:rsidR="00724CCF" w:rsidRDefault="00724CCF" w:rsidP="008B4AD4">
    <w:pPr>
      <w:rPr>
        <w:rFonts w:cs="Arial"/>
        <w:sz w:val="18"/>
        <w:szCs w:val="18"/>
      </w:rPr>
    </w:pPr>
  </w:p>
  <w:p w:rsidR="00724CCF" w:rsidRPr="00F24A73" w:rsidRDefault="00724CCF" w:rsidP="008B4AD4">
    <w:pPr>
      <w:pBdr>
        <w:top w:val="single" w:sz="18" w:space="3" w:color="999999"/>
      </w:pBdr>
      <w:ind w:left="-142"/>
      <w:jc w:val="left"/>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22592" behindDoc="0" locked="0" layoutInCell="1" allowOverlap="1">
              <wp:simplePos x="0" y="0"/>
              <wp:positionH relativeFrom="column">
                <wp:posOffset>1506855</wp:posOffset>
              </wp:positionH>
              <wp:positionV relativeFrom="paragraph">
                <wp:posOffset>57150</wp:posOffset>
              </wp:positionV>
              <wp:extent cx="4487545" cy="438150"/>
              <wp:effectExtent l="0" t="0" r="8255" b="0"/>
              <wp:wrapNone/>
              <wp:docPr id="2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54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8" type="#_x0000_t202" style="position:absolute;left:0;text-align:left;margin-left:118.65pt;margin-top:4.5pt;width:353.35pt;height:34.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P2tQ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08256"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21"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80" o:spid="_x0000_s1026" type="#_x0000_t32" style="position:absolute;margin-left:114.1pt;margin-top:4.5pt;width:.05pt;height:21.25p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" strokecolor="#9b9b9b" strokeweight="2.25pt"/>
          </w:pict>
        </mc:Fallback>
      </mc:AlternateContent>
    </w:r>
    <w:r w:rsidR="00724CCF">
      <w:rPr>
        <w:noProof/>
        <w:lang w:val="en-US" w:eastAsia="en-US"/>
      </w:rPr>
      <w:drawing>
        <wp:anchor distT="0" distB="0" distL="114300" distR="114300" simplePos="0" relativeHeight="251800064" behindDoc="0" locked="0" layoutInCell="1" allowOverlap="1" wp14:anchorId="57D7803D" wp14:editId="015F8C3E">
          <wp:simplePos x="0" y="0"/>
          <wp:positionH relativeFrom="column">
            <wp:posOffset>-93980</wp:posOffset>
          </wp:positionH>
          <wp:positionV relativeFrom="paragraph">
            <wp:posOffset>38100</wp:posOffset>
          </wp:positionV>
          <wp:extent cx="1244600" cy="285750"/>
          <wp:effectExtent l="0" t="0" r="0" b="0"/>
          <wp:wrapNone/>
          <wp:docPr id="755" name="Imagen 734"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20544" behindDoc="0" locked="0" layoutInCell="1" allowOverlap="1">
              <wp:simplePos x="0" y="0"/>
              <wp:positionH relativeFrom="column">
                <wp:posOffset>1696720</wp:posOffset>
              </wp:positionH>
              <wp:positionV relativeFrom="paragraph">
                <wp:posOffset>57150</wp:posOffset>
              </wp:positionV>
              <wp:extent cx="5824220" cy="280670"/>
              <wp:effectExtent l="0" t="0" r="5080" b="5080"/>
              <wp:wrapNone/>
              <wp:docPr id="2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039" type="#_x0000_t202" style="position:absolute;left:0;text-align:left;margin-left:133.6pt;margin-top:4.5pt;width:458.6pt;height:22.1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aT7tAIAALM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21568"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1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3" o:spid="_x0000_s1026" type="#_x0000_t32" style="position:absolute;margin-left:114.1pt;margin-top:4.5pt;width:.05pt;height:21.25pt;flip: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" strokecolor="#9b9b9b" strokeweight="2.25pt"/>
          </w:pict>
        </mc:Fallback>
      </mc:AlternateContent>
    </w:r>
    <w:r w:rsidR="00724CCF">
      <w:rPr>
        <w:noProof/>
        <w:lang w:val="en-US" w:eastAsia="en-US"/>
      </w:rPr>
      <w:drawing>
        <wp:anchor distT="0" distB="0" distL="114300" distR="114300" simplePos="0" relativeHeight="251810304" behindDoc="0" locked="0" layoutInCell="1" allowOverlap="1" wp14:anchorId="028F4007" wp14:editId="4C97FF45">
          <wp:simplePos x="0" y="0"/>
          <wp:positionH relativeFrom="column">
            <wp:posOffset>-93980</wp:posOffset>
          </wp:positionH>
          <wp:positionV relativeFrom="paragraph">
            <wp:posOffset>38100</wp:posOffset>
          </wp:positionV>
          <wp:extent cx="1244600" cy="285750"/>
          <wp:effectExtent l="0" t="0" r="0" b="0"/>
          <wp:wrapNone/>
          <wp:docPr id="757" name="Imagen 732"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11328" behindDoc="0" locked="0" layoutInCell="1" allowOverlap="1">
              <wp:simplePos x="0" y="0"/>
              <wp:positionH relativeFrom="column">
                <wp:posOffset>1506220</wp:posOffset>
              </wp:positionH>
              <wp:positionV relativeFrom="paragraph">
                <wp:posOffset>57150</wp:posOffset>
              </wp:positionV>
              <wp:extent cx="4391660" cy="385445"/>
              <wp:effectExtent l="0" t="0" r="8890" b="14605"/>
              <wp:wrapNone/>
              <wp:docPr id="73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40" type="#_x0000_t202" style="position:absolute;left:0;text-align:left;margin-left:118.6pt;margin-top:4.5pt;width:345.8pt;height:30.3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07232"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708"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9" o:spid="_x0000_s1026" type="#_x0000_t32" style="position:absolute;margin-left:114.1pt;margin-top:4.5pt;width:.05pt;height:21.25pt;flip: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" strokecolor="#9b9b9b" strokeweight="2.25pt"/>
          </w:pict>
        </mc:Fallback>
      </mc:AlternateContent>
    </w:r>
    <w:r w:rsidR="00724CCF">
      <w:rPr>
        <w:noProof/>
        <w:lang w:val="en-US" w:eastAsia="en-US"/>
      </w:rPr>
      <w:drawing>
        <wp:anchor distT="0" distB="0" distL="114300" distR="114300" simplePos="0" relativeHeight="251798016" behindDoc="0" locked="0" layoutInCell="1" allowOverlap="1" wp14:anchorId="190EC06C" wp14:editId="65F8AB66">
          <wp:simplePos x="0" y="0"/>
          <wp:positionH relativeFrom="column">
            <wp:posOffset>-93980</wp:posOffset>
          </wp:positionH>
          <wp:positionV relativeFrom="paragraph">
            <wp:posOffset>38100</wp:posOffset>
          </wp:positionV>
          <wp:extent cx="1244600" cy="285750"/>
          <wp:effectExtent l="0" t="0" r="0" b="0"/>
          <wp:wrapNone/>
          <wp:docPr id="759" name="Imagen 730"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CF" w:rsidRDefault="008C61F3" w:rsidP="00E24DF3">
    <w:pPr>
      <w:rPr>
        <w:rFonts w:cs="Arial"/>
        <w:sz w:val="18"/>
        <w:szCs w:val="18"/>
      </w:rPr>
    </w:pPr>
    <w:r>
      <w:rPr>
        <w:noProof/>
        <w:lang w:val="en-US" w:eastAsia="en-US"/>
      </w:rPr>
      <mc:AlternateContent>
        <mc:Choice Requires="wps">
          <w:drawing>
            <wp:anchor distT="0" distB="0" distL="114300" distR="114300" simplePos="0" relativeHeight="251819520" behindDoc="0" locked="0" layoutInCell="1" allowOverlap="1">
              <wp:simplePos x="0" y="0"/>
              <wp:positionH relativeFrom="column">
                <wp:posOffset>1639570</wp:posOffset>
              </wp:positionH>
              <wp:positionV relativeFrom="paragraph">
                <wp:posOffset>57150</wp:posOffset>
              </wp:positionV>
              <wp:extent cx="4395470" cy="419100"/>
              <wp:effectExtent l="0" t="0" r="5080" b="0"/>
              <wp:wrapNone/>
              <wp:docPr id="70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547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41" type="#_x0000_t202" style="position:absolute;left:0;text-align:left;margin-left:129.1pt;margin-top:4.5pt;width:346.1pt;height:33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" filled="f" stroked="f">
              <v:textbox inset="0,0,0,0">
                <w:txbxContent>
                  <w:p w:rsidR="00724CCF" w:rsidRPr="00DF6A75" w:rsidRDefault="00724CCF" w:rsidP="00D61978">
                    <w:pPr>
                      <w:rPr>
                        <w:sz w:val="16"/>
                        <w:szCs w:val="16"/>
                        <w:lang w:val="es-ES"/>
                      </w:rPr>
                    </w:pPr>
                    <w:r w:rsidRPr="001E0555">
                      <w:rPr>
                        <w:rFonts w:cs="Arial"/>
                        <w:color w:val="000000"/>
                        <w:sz w:val="16"/>
                        <w:szCs w:val="16"/>
                        <w:lang w:val="es-PE"/>
                      </w:rPr>
                      <w:t>Estudio de Preinversión a Nivel de Factibilidad del Proyecto: “Construcción de la Línea 2  y Ramal Av. Faucett-Gambeta  de la Red Básica del Metro de Lima y Callao”, Provincias de Lima y Callao, Región Lima.</w:t>
                    </w:r>
                  </w:p>
                  <w:p w:rsidR="00724CCF" w:rsidRPr="00163BF1" w:rsidRDefault="00724CCF" w:rsidP="00163BF1">
                    <w:pPr>
                      <w:rPr>
                        <w:szCs w:val="16"/>
                        <w:lang w:val="es-ES"/>
                      </w:rPr>
                    </w:pPr>
                  </w:p>
                </w:txbxContent>
              </v:textbox>
            </v:shape>
          </w:pict>
        </mc:Fallback>
      </mc:AlternateContent>
    </w:r>
    <w:r>
      <w:rPr>
        <w:noProof/>
        <w:lang w:val="en-US" w:eastAsia="en-US"/>
      </w:rPr>
      <mc:AlternateContent>
        <mc:Choice Requires="wps">
          <w:drawing>
            <wp:anchor distT="0" distB="0" distL="114300" distR="114300" simplePos="0" relativeHeight="251817472" behindDoc="0" locked="0" layoutInCell="1" allowOverlap="1">
              <wp:simplePos x="0" y="0"/>
              <wp:positionH relativeFrom="column">
                <wp:posOffset>1449070</wp:posOffset>
              </wp:positionH>
              <wp:positionV relativeFrom="paragraph">
                <wp:posOffset>57150</wp:posOffset>
              </wp:positionV>
              <wp:extent cx="635" cy="269875"/>
              <wp:effectExtent l="19050" t="19050" r="37465" b="15875"/>
              <wp:wrapNone/>
              <wp:docPr id="67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69875"/>
                      </a:xfrm>
                      <a:prstGeom prst="straightConnector1">
                        <a:avLst/>
                      </a:prstGeom>
                      <a:noFill/>
                      <a:ln w="28575">
                        <a:solidFill>
                          <a:srgbClr val="9B9B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0" o:spid="_x0000_s1026" type="#_x0000_t32" style="position:absolute;margin-left:114.1pt;margin-top:4.5pt;width:.05pt;height:21.25pt;flip: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" strokecolor="#9b9b9b" strokeweight="2.25pt"/>
          </w:pict>
        </mc:Fallback>
      </mc:AlternateContent>
    </w:r>
    <w:r w:rsidR="00724CCF">
      <w:rPr>
        <w:noProof/>
        <w:lang w:val="en-US" w:eastAsia="en-US"/>
      </w:rPr>
      <w:drawing>
        <wp:anchor distT="0" distB="0" distL="114300" distR="114300" simplePos="0" relativeHeight="251809280" behindDoc="0" locked="0" layoutInCell="1" allowOverlap="1" wp14:anchorId="35BCF0AD" wp14:editId="2C69F617">
          <wp:simplePos x="0" y="0"/>
          <wp:positionH relativeFrom="column">
            <wp:posOffset>-93980</wp:posOffset>
          </wp:positionH>
          <wp:positionV relativeFrom="paragraph">
            <wp:posOffset>38100</wp:posOffset>
          </wp:positionV>
          <wp:extent cx="1244600" cy="285750"/>
          <wp:effectExtent l="0" t="0" r="0" b="0"/>
          <wp:wrapNone/>
          <wp:docPr id="761" name="Imagen 728" descr="Descripción: P:\30xx\3065\JOB-AREA\INFRA\ETR\Proi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P:\30xx\3065\JOB-AREA\INFRA\ETR\Proin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285750"/>
                  </a:xfrm>
                  <a:prstGeom prst="rect">
                    <a:avLst/>
                  </a:prstGeom>
                  <a:noFill/>
                  <a:ln>
                    <a:noFill/>
                  </a:ln>
                </pic:spPr>
              </pic:pic>
            </a:graphicData>
          </a:graphic>
        </wp:anchor>
      </w:drawing>
    </w:r>
  </w:p>
  <w:p w:rsidR="00724CCF" w:rsidRDefault="00724CCF" w:rsidP="00E24DF3">
    <w:pPr>
      <w:rPr>
        <w:rFonts w:cs="Arial"/>
        <w:sz w:val="18"/>
        <w:szCs w:val="18"/>
      </w:rPr>
    </w:pPr>
  </w:p>
  <w:p w:rsidR="00724CCF" w:rsidRPr="00F24A73" w:rsidRDefault="00724CCF" w:rsidP="0014330C">
    <w:pPr>
      <w:pBdr>
        <w:top w:val="single" w:sz="18" w:space="3" w:color="999999"/>
      </w:pBdr>
      <w:ind w:left="-142"/>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A5B4633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89449C"/>
    <w:multiLevelType w:val="hybridMultilevel"/>
    <w:tmpl w:val="D422D8F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3AC0799"/>
    <w:multiLevelType w:val="hybridMultilevel"/>
    <w:tmpl w:val="6666ED66"/>
    <w:lvl w:ilvl="0" w:tplc="59C8B3F0">
      <w:start w:val="20"/>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04555D59"/>
    <w:multiLevelType w:val="hybridMultilevel"/>
    <w:tmpl w:val="36F4917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07464328"/>
    <w:multiLevelType w:val="hybridMultilevel"/>
    <w:tmpl w:val="484AC112"/>
    <w:lvl w:ilvl="0" w:tplc="FFFFFFFF">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09CB6FEA"/>
    <w:multiLevelType w:val="hybridMultilevel"/>
    <w:tmpl w:val="F7E00862"/>
    <w:lvl w:ilvl="0" w:tplc="04100005">
      <w:start w:val="1"/>
      <w:numFmt w:val="bullet"/>
      <w:lvlText w:val=""/>
      <w:lvlJc w:val="left"/>
      <w:pPr>
        <w:tabs>
          <w:tab w:val="num" w:pos="720"/>
        </w:tabs>
        <w:ind w:left="720" w:hanging="360"/>
      </w:pPr>
      <w:rPr>
        <w:rFonts w:ascii="Wingdings" w:hAnsi="Wingdings" w:hint="default"/>
      </w:rPr>
    </w:lvl>
    <w:lvl w:ilvl="1" w:tplc="04100003">
      <w:start w:val="1"/>
      <w:numFmt w:val="lowerLetter"/>
      <w:pStyle w:val="Elenco03"/>
      <w:lvlText w:val="%2)"/>
      <w:lvlJc w:val="left"/>
      <w:pPr>
        <w:tabs>
          <w:tab w:val="num" w:pos="717"/>
        </w:tabs>
        <w:ind w:left="357" w:firstLine="0"/>
      </w:pPr>
      <w:rPr>
        <w:rFonts w:ascii="Arial" w:hAnsi="Arial" w:hint="default"/>
        <w:sz w:val="20"/>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nsid w:val="0A550F28"/>
    <w:multiLevelType w:val="hybridMultilevel"/>
    <w:tmpl w:val="2006DD1A"/>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0BED24F6"/>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100C4AC8"/>
    <w:multiLevelType w:val="hybridMultilevel"/>
    <w:tmpl w:val="2DA68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D603D6"/>
    <w:multiLevelType w:val="hybridMultilevel"/>
    <w:tmpl w:val="A9769ACC"/>
    <w:lvl w:ilvl="0" w:tplc="1542E4AA">
      <w:start w:val="1"/>
      <w:numFmt w:val="bullet"/>
      <w:pStyle w:val="TablaNormalconPunto"/>
      <w:lvlText w:val=""/>
      <w:lvlJc w:val="left"/>
      <w:pPr>
        <w:tabs>
          <w:tab w:val="num" w:pos="360"/>
        </w:tabs>
        <w:ind w:left="36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1">
    <w:nsid w:val="12AB5181"/>
    <w:multiLevelType w:val="hybridMultilevel"/>
    <w:tmpl w:val="DA9AC4DA"/>
    <w:lvl w:ilvl="0" w:tplc="04100001">
      <w:start w:val="1"/>
      <w:numFmt w:val="bullet"/>
      <w:lvlText w:val=""/>
      <w:lvlJc w:val="left"/>
      <w:pPr>
        <w:ind w:left="1080" w:hanging="360"/>
      </w:pPr>
      <w:rPr>
        <w:rFonts w:ascii="Symbol" w:hAnsi="Symbol" w:hint="default"/>
      </w:rPr>
    </w:lvl>
    <w:lvl w:ilvl="1" w:tplc="04100003">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2">
    <w:nsid w:val="1B635618"/>
    <w:multiLevelType w:val="hybridMultilevel"/>
    <w:tmpl w:val="9F80928C"/>
    <w:lvl w:ilvl="0" w:tplc="0C0A0001">
      <w:start w:val="1"/>
      <w:numFmt w:val="bullet"/>
      <w:lvlText w:val=""/>
      <w:lvlJc w:val="left"/>
      <w:pPr>
        <w:ind w:left="720" w:hanging="360"/>
      </w:pPr>
      <w:rPr>
        <w:rFonts w:ascii="Symbol" w:hAnsi="Symbol" w:hint="default"/>
      </w:rPr>
    </w:lvl>
    <w:lvl w:ilvl="1" w:tplc="7C46E566">
      <w:numFmt w:val="bullet"/>
      <w:lvlText w:val="•"/>
      <w:lvlJc w:val="left"/>
      <w:pPr>
        <w:ind w:left="1785" w:hanging="705"/>
      </w:pPr>
      <w:rPr>
        <w:rFonts w:ascii="Arial" w:eastAsia="Times New Roman" w:hAnsi="Arial" w:cs="Aria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1F3F67FB"/>
    <w:multiLevelType w:val="hybridMultilevel"/>
    <w:tmpl w:val="C0F03A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F6C2980"/>
    <w:multiLevelType w:val="multilevel"/>
    <w:tmpl w:val="A0382E2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b/>
      </w:rPr>
    </w:lvl>
    <w:lvl w:ilvl="2">
      <w:start w:val="1"/>
      <w:numFmt w:val="decimal"/>
      <w:pStyle w:val="Heading3"/>
      <w:lvlText w:val="%1.%2.%3"/>
      <w:lvlJc w:val="left"/>
      <w:pPr>
        <w:ind w:left="862" w:hanging="720"/>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ind w:left="864" w:hanging="864"/>
      </w:pPr>
      <w:rPr>
        <w:i w:val="0"/>
      </w:rPr>
    </w:lvl>
    <w:lvl w:ilvl="4">
      <w:start w:val="1"/>
      <w:numFmt w:val="decimal"/>
      <w:pStyle w:val="Heading5"/>
      <w:lvlText w:val="%1.%2.%3.%4.%5"/>
      <w:lvlJc w:val="left"/>
      <w:pPr>
        <w:ind w:left="1859" w:hanging="1008"/>
      </w:pPr>
      <w:rPr>
        <w:b w:val="0"/>
        <w:i w:val="0"/>
      </w:rPr>
    </w:lvl>
    <w:lvl w:ilvl="5">
      <w:start w:val="1"/>
      <w:numFmt w:val="decimal"/>
      <w:pStyle w:val="Heading6"/>
      <w:lvlText w:val="%1.%2.%3.%4.%5.%6"/>
      <w:lvlJc w:val="left"/>
      <w:pPr>
        <w:ind w:left="1152" w:hanging="1152"/>
      </w:pPr>
      <w:rPr>
        <w:rFonts w:cs="Times New Roman"/>
        <w:b w:val="0"/>
        <w:bCs w:val="0"/>
        <w:i w:val="0"/>
        <w:iCs w:val="0"/>
        <w:caps w:val="0"/>
        <w:smallCaps w:val="0"/>
        <w:strike w:val="0"/>
        <w:dstrike w:val="0"/>
        <w:noProof w:val="0"/>
        <w:vanish w:val="0"/>
        <w:spacing w:val="0"/>
        <w:kern w:val="0"/>
        <w:position w:val="0"/>
        <w:u w:val="none"/>
        <w:vertAlign w:val="baseline"/>
        <w:em w:val="none"/>
      </w:r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204949E0"/>
    <w:multiLevelType w:val="hybridMultilevel"/>
    <w:tmpl w:val="8D9E65B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2143452E"/>
    <w:multiLevelType w:val="hybridMultilevel"/>
    <w:tmpl w:val="90E668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2410356F"/>
    <w:multiLevelType w:val="hybridMultilevel"/>
    <w:tmpl w:val="4724B9D4"/>
    <w:lvl w:ilvl="0" w:tplc="0C0A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257F3842"/>
    <w:multiLevelType w:val="hybridMultilevel"/>
    <w:tmpl w:val="FB62A7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27164075"/>
    <w:multiLevelType w:val="hybridMultilevel"/>
    <w:tmpl w:val="97B21C24"/>
    <w:lvl w:ilvl="0" w:tplc="04100001">
      <w:start w:val="1"/>
      <w:numFmt w:val="bullet"/>
      <w:lvlText w:val=""/>
      <w:lvlJc w:val="left"/>
      <w:pPr>
        <w:ind w:left="720" w:hanging="360"/>
      </w:pPr>
      <w:rPr>
        <w:rFonts w:ascii="Symbol" w:hAnsi="Symbol" w:hint="default"/>
      </w:rPr>
    </w:lvl>
    <w:lvl w:ilvl="1" w:tplc="F31E5ED6">
      <w:numFmt w:val="bullet"/>
      <w:lvlText w:val="-"/>
      <w:lvlJc w:val="left"/>
      <w:pPr>
        <w:ind w:left="1440" w:hanging="360"/>
      </w:pPr>
      <w:rPr>
        <w:rFonts w:ascii="Arial" w:eastAsia="Times New Roman" w:hAnsi="Arial" w:cs="Arial"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2A3C028D"/>
    <w:multiLevelType w:val="hybridMultilevel"/>
    <w:tmpl w:val="433A55A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2AD20166"/>
    <w:multiLevelType w:val="hybridMultilevel"/>
    <w:tmpl w:val="F44C9F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2AD45343"/>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nsid w:val="2C7A0B4F"/>
    <w:multiLevelType w:val="hybridMultilevel"/>
    <w:tmpl w:val="EDBA9F3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D">
      <w:start w:val="1"/>
      <w:numFmt w:val="bullet"/>
      <w:lvlText w:val=""/>
      <w:lvlJc w:val="left"/>
      <w:pPr>
        <w:ind w:left="2160" w:hanging="360"/>
      </w:pPr>
      <w:rPr>
        <w:rFonts w:ascii="Wingdings" w:hAnsi="Wingdings" w:hint="default"/>
      </w:rPr>
    </w:lvl>
    <w:lvl w:ilvl="3" w:tplc="59C8B3F0">
      <w:start w:val="20"/>
      <w:numFmt w:val="bullet"/>
      <w:lvlText w:val="-"/>
      <w:lvlJc w:val="left"/>
      <w:pPr>
        <w:ind w:left="2880" w:hanging="360"/>
      </w:pPr>
      <w:rPr>
        <w:rFonts w:ascii="Calibri" w:eastAsia="Times New Roman" w:hAnsi="Calibri" w:cs="Calibri"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nsid w:val="30393045"/>
    <w:multiLevelType w:val="hybridMultilevel"/>
    <w:tmpl w:val="6D12E2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nsid w:val="3265033E"/>
    <w:multiLevelType w:val="hybridMultilevel"/>
    <w:tmpl w:val="19205A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33575CBA"/>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nsid w:val="34420EC3"/>
    <w:multiLevelType w:val="hybridMultilevel"/>
    <w:tmpl w:val="216A4564"/>
    <w:lvl w:ilvl="0" w:tplc="04100005">
      <w:start w:val="1"/>
      <w:numFmt w:val="bullet"/>
      <w:pStyle w:val="Elencointabella2"/>
      <w:lvlText w:val=""/>
      <w:lvlJc w:val="left"/>
      <w:pPr>
        <w:tabs>
          <w:tab w:val="num" w:pos="1429"/>
        </w:tabs>
        <w:ind w:left="1429" w:hanging="360"/>
      </w:pPr>
      <w:rPr>
        <w:rFonts w:ascii="Symbol" w:hAnsi="Symbol" w:hint="default"/>
      </w:rPr>
    </w:lvl>
    <w:lvl w:ilvl="1" w:tplc="04100003" w:tentative="1">
      <w:start w:val="1"/>
      <w:numFmt w:val="bullet"/>
      <w:lvlText w:val="o"/>
      <w:lvlJc w:val="left"/>
      <w:pPr>
        <w:tabs>
          <w:tab w:val="num" w:pos="2149"/>
        </w:tabs>
        <w:ind w:left="2149" w:hanging="360"/>
      </w:pPr>
      <w:rPr>
        <w:rFonts w:ascii="Courier New" w:hAnsi="Courier New" w:cs="Courier New" w:hint="default"/>
      </w:rPr>
    </w:lvl>
    <w:lvl w:ilvl="2" w:tplc="04100005" w:tentative="1">
      <w:start w:val="1"/>
      <w:numFmt w:val="bullet"/>
      <w:lvlText w:val=""/>
      <w:lvlJc w:val="left"/>
      <w:pPr>
        <w:tabs>
          <w:tab w:val="num" w:pos="2869"/>
        </w:tabs>
        <w:ind w:left="2869" w:hanging="360"/>
      </w:pPr>
      <w:rPr>
        <w:rFonts w:ascii="Wingdings" w:hAnsi="Wingdings" w:hint="default"/>
      </w:rPr>
    </w:lvl>
    <w:lvl w:ilvl="3" w:tplc="04100001" w:tentative="1">
      <w:start w:val="1"/>
      <w:numFmt w:val="bullet"/>
      <w:lvlText w:val=""/>
      <w:lvlJc w:val="left"/>
      <w:pPr>
        <w:tabs>
          <w:tab w:val="num" w:pos="3589"/>
        </w:tabs>
        <w:ind w:left="3589" w:hanging="360"/>
      </w:pPr>
      <w:rPr>
        <w:rFonts w:ascii="Symbol" w:hAnsi="Symbol" w:hint="default"/>
      </w:rPr>
    </w:lvl>
    <w:lvl w:ilvl="4" w:tplc="04100003" w:tentative="1">
      <w:start w:val="1"/>
      <w:numFmt w:val="bullet"/>
      <w:lvlText w:val="o"/>
      <w:lvlJc w:val="left"/>
      <w:pPr>
        <w:tabs>
          <w:tab w:val="num" w:pos="4309"/>
        </w:tabs>
        <w:ind w:left="4309" w:hanging="360"/>
      </w:pPr>
      <w:rPr>
        <w:rFonts w:ascii="Courier New" w:hAnsi="Courier New" w:cs="Courier New" w:hint="default"/>
      </w:rPr>
    </w:lvl>
    <w:lvl w:ilvl="5" w:tplc="04100005" w:tentative="1">
      <w:start w:val="1"/>
      <w:numFmt w:val="bullet"/>
      <w:lvlText w:val=""/>
      <w:lvlJc w:val="left"/>
      <w:pPr>
        <w:tabs>
          <w:tab w:val="num" w:pos="5029"/>
        </w:tabs>
        <w:ind w:left="5029" w:hanging="360"/>
      </w:pPr>
      <w:rPr>
        <w:rFonts w:ascii="Wingdings" w:hAnsi="Wingdings" w:hint="default"/>
      </w:rPr>
    </w:lvl>
    <w:lvl w:ilvl="6" w:tplc="04100001" w:tentative="1">
      <w:start w:val="1"/>
      <w:numFmt w:val="bullet"/>
      <w:lvlText w:val=""/>
      <w:lvlJc w:val="left"/>
      <w:pPr>
        <w:tabs>
          <w:tab w:val="num" w:pos="5749"/>
        </w:tabs>
        <w:ind w:left="5749" w:hanging="360"/>
      </w:pPr>
      <w:rPr>
        <w:rFonts w:ascii="Symbol" w:hAnsi="Symbol" w:hint="default"/>
      </w:rPr>
    </w:lvl>
    <w:lvl w:ilvl="7" w:tplc="04100003" w:tentative="1">
      <w:start w:val="1"/>
      <w:numFmt w:val="bullet"/>
      <w:lvlText w:val="o"/>
      <w:lvlJc w:val="left"/>
      <w:pPr>
        <w:tabs>
          <w:tab w:val="num" w:pos="6469"/>
        </w:tabs>
        <w:ind w:left="6469" w:hanging="360"/>
      </w:pPr>
      <w:rPr>
        <w:rFonts w:ascii="Courier New" w:hAnsi="Courier New" w:cs="Courier New" w:hint="default"/>
      </w:rPr>
    </w:lvl>
    <w:lvl w:ilvl="8" w:tplc="04100005" w:tentative="1">
      <w:start w:val="1"/>
      <w:numFmt w:val="bullet"/>
      <w:lvlText w:val=""/>
      <w:lvlJc w:val="left"/>
      <w:pPr>
        <w:tabs>
          <w:tab w:val="num" w:pos="7189"/>
        </w:tabs>
        <w:ind w:left="7189" w:hanging="360"/>
      </w:pPr>
      <w:rPr>
        <w:rFonts w:ascii="Wingdings" w:hAnsi="Wingdings" w:hint="default"/>
      </w:rPr>
    </w:lvl>
  </w:abstractNum>
  <w:abstractNum w:abstractNumId="28">
    <w:nsid w:val="373D659A"/>
    <w:multiLevelType w:val="hybridMultilevel"/>
    <w:tmpl w:val="A1E686FA"/>
    <w:lvl w:ilvl="0" w:tplc="04100019">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37630244"/>
    <w:multiLevelType w:val="hybridMultilevel"/>
    <w:tmpl w:val="57141A60"/>
    <w:lvl w:ilvl="0" w:tplc="080A0001">
      <w:start w:val="1"/>
      <w:numFmt w:val="bullet"/>
      <w:lvlText w:val=""/>
      <w:lvlJc w:val="left"/>
      <w:pPr>
        <w:ind w:left="360" w:hanging="360"/>
      </w:pPr>
      <w:rPr>
        <w:rFonts w:ascii="Symbol" w:hAnsi="Symbol" w:hint="default"/>
        <w:b/>
        <w:snapToGrid/>
        <w:spacing w:val="1"/>
        <w:sz w:val="22"/>
        <w:szCs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384D1725"/>
    <w:multiLevelType w:val="hybridMultilevel"/>
    <w:tmpl w:val="3F4802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38D74DAD"/>
    <w:multiLevelType w:val="hybridMultilevel"/>
    <w:tmpl w:val="61A676C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392206AD"/>
    <w:multiLevelType w:val="hybridMultilevel"/>
    <w:tmpl w:val="8DF09DEE"/>
    <w:lvl w:ilvl="0" w:tplc="FFFFFFFF">
      <w:start w:val="1"/>
      <w:numFmt w:val="bullet"/>
      <w:pStyle w:val="ELENCOPUNTATO1"/>
      <w:lvlText w:val=""/>
      <w:lvlJc w:val="left"/>
      <w:pPr>
        <w:tabs>
          <w:tab w:val="num" w:pos="1276"/>
        </w:tabs>
        <w:ind w:left="1276" w:hanging="567"/>
      </w:pPr>
      <w:rPr>
        <w:rFonts w:ascii="Symbol" w:hAnsi="Symbol" w:hint="default"/>
      </w:rPr>
    </w:lvl>
    <w:lvl w:ilvl="1" w:tplc="FFFFFFFF" w:tentative="1">
      <w:start w:val="1"/>
      <w:numFmt w:val="bullet"/>
      <w:lvlText w:val="o"/>
      <w:lvlJc w:val="left"/>
      <w:pPr>
        <w:tabs>
          <w:tab w:val="num" w:pos="2036"/>
        </w:tabs>
        <w:ind w:left="2036" w:hanging="360"/>
      </w:pPr>
      <w:rPr>
        <w:rFonts w:ascii="Courier New" w:hAnsi="Courier New" w:hint="default"/>
      </w:rPr>
    </w:lvl>
    <w:lvl w:ilvl="2" w:tplc="FFFFFFFF" w:tentative="1">
      <w:start w:val="1"/>
      <w:numFmt w:val="bullet"/>
      <w:lvlText w:val=""/>
      <w:lvlJc w:val="left"/>
      <w:pPr>
        <w:tabs>
          <w:tab w:val="num" w:pos="2756"/>
        </w:tabs>
        <w:ind w:left="2756" w:hanging="360"/>
      </w:pPr>
      <w:rPr>
        <w:rFonts w:ascii="Wingdings" w:hAnsi="Wingdings" w:hint="default"/>
      </w:rPr>
    </w:lvl>
    <w:lvl w:ilvl="3" w:tplc="FFFFFFFF" w:tentative="1">
      <w:start w:val="1"/>
      <w:numFmt w:val="bullet"/>
      <w:lvlText w:val=""/>
      <w:lvlJc w:val="left"/>
      <w:pPr>
        <w:tabs>
          <w:tab w:val="num" w:pos="3476"/>
        </w:tabs>
        <w:ind w:left="3476" w:hanging="360"/>
      </w:pPr>
      <w:rPr>
        <w:rFonts w:ascii="Symbol" w:hAnsi="Symbol" w:hint="default"/>
      </w:rPr>
    </w:lvl>
    <w:lvl w:ilvl="4" w:tplc="FFFFFFFF" w:tentative="1">
      <w:start w:val="1"/>
      <w:numFmt w:val="bullet"/>
      <w:lvlText w:val="o"/>
      <w:lvlJc w:val="left"/>
      <w:pPr>
        <w:tabs>
          <w:tab w:val="num" w:pos="4196"/>
        </w:tabs>
        <w:ind w:left="4196" w:hanging="360"/>
      </w:pPr>
      <w:rPr>
        <w:rFonts w:ascii="Courier New" w:hAnsi="Courier New" w:hint="default"/>
      </w:rPr>
    </w:lvl>
    <w:lvl w:ilvl="5" w:tplc="FFFFFFFF" w:tentative="1">
      <w:start w:val="1"/>
      <w:numFmt w:val="bullet"/>
      <w:lvlText w:val=""/>
      <w:lvlJc w:val="left"/>
      <w:pPr>
        <w:tabs>
          <w:tab w:val="num" w:pos="4916"/>
        </w:tabs>
        <w:ind w:left="4916" w:hanging="360"/>
      </w:pPr>
      <w:rPr>
        <w:rFonts w:ascii="Wingdings" w:hAnsi="Wingdings" w:hint="default"/>
      </w:rPr>
    </w:lvl>
    <w:lvl w:ilvl="6" w:tplc="FFFFFFFF" w:tentative="1">
      <w:start w:val="1"/>
      <w:numFmt w:val="bullet"/>
      <w:lvlText w:val=""/>
      <w:lvlJc w:val="left"/>
      <w:pPr>
        <w:tabs>
          <w:tab w:val="num" w:pos="5636"/>
        </w:tabs>
        <w:ind w:left="5636" w:hanging="360"/>
      </w:pPr>
      <w:rPr>
        <w:rFonts w:ascii="Symbol" w:hAnsi="Symbol" w:hint="default"/>
      </w:rPr>
    </w:lvl>
    <w:lvl w:ilvl="7" w:tplc="FFFFFFFF" w:tentative="1">
      <w:start w:val="1"/>
      <w:numFmt w:val="bullet"/>
      <w:lvlText w:val="o"/>
      <w:lvlJc w:val="left"/>
      <w:pPr>
        <w:tabs>
          <w:tab w:val="num" w:pos="6356"/>
        </w:tabs>
        <w:ind w:left="6356" w:hanging="360"/>
      </w:pPr>
      <w:rPr>
        <w:rFonts w:ascii="Courier New" w:hAnsi="Courier New" w:hint="default"/>
      </w:rPr>
    </w:lvl>
    <w:lvl w:ilvl="8" w:tplc="FFFFFFFF" w:tentative="1">
      <w:start w:val="1"/>
      <w:numFmt w:val="bullet"/>
      <w:lvlText w:val=""/>
      <w:lvlJc w:val="left"/>
      <w:pPr>
        <w:tabs>
          <w:tab w:val="num" w:pos="7076"/>
        </w:tabs>
        <w:ind w:left="7076" w:hanging="360"/>
      </w:pPr>
      <w:rPr>
        <w:rFonts w:ascii="Wingdings" w:hAnsi="Wingdings" w:hint="default"/>
      </w:rPr>
    </w:lvl>
  </w:abstractNum>
  <w:abstractNum w:abstractNumId="33">
    <w:nsid w:val="39967235"/>
    <w:multiLevelType w:val="hybridMultilevel"/>
    <w:tmpl w:val="4F0012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39AC2945"/>
    <w:multiLevelType w:val="hybridMultilevel"/>
    <w:tmpl w:val="D31677F0"/>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3C984CF1"/>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nsid w:val="3CDD1D7A"/>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7">
    <w:nsid w:val="3CEB31DE"/>
    <w:multiLevelType w:val="hybridMultilevel"/>
    <w:tmpl w:val="824AC5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nsid w:val="3ECA1079"/>
    <w:multiLevelType w:val="hybridMultilevel"/>
    <w:tmpl w:val="AB427D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3FE4605A"/>
    <w:multiLevelType w:val="hybridMultilevel"/>
    <w:tmpl w:val="69CC286E"/>
    <w:lvl w:ilvl="0" w:tplc="FFFFFFFF">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nsid w:val="408B4BD0"/>
    <w:multiLevelType w:val="hybridMultilevel"/>
    <w:tmpl w:val="4D587F4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D">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41441269"/>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nsid w:val="41580891"/>
    <w:multiLevelType w:val="hybridMultilevel"/>
    <w:tmpl w:val="5114FA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nsid w:val="4288237C"/>
    <w:multiLevelType w:val="hybridMultilevel"/>
    <w:tmpl w:val="C258547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nsid w:val="453950FD"/>
    <w:multiLevelType w:val="hybridMultilevel"/>
    <w:tmpl w:val="1ED64D3A"/>
    <w:lvl w:ilvl="0" w:tplc="C17E7B26">
      <w:start w:val="1"/>
      <w:numFmt w:val="bullet"/>
      <w:pStyle w:val="Normal1"/>
      <w:lvlText w:val=""/>
      <w:lvlJc w:val="left"/>
      <w:pPr>
        <w:tabs>
          <w:tab w:val="num" w:pos="643"/>
        </w:tabs>
        <w:ind w:left="643" w:hanging="360"/>
      </w:pPr>
      <w:rPr>
        <w:rFonts w:ascii="Symbol" w:hAnsi="Symbol" w:hint="default"/>
      </w:rPr>
    </w:lvl>
    <w:lvl w:ilvl="1" w:tplc="CDAE2FD8">
      <w:start w:val="1"/>
      <w:numFmt w:val="decimal"/>
      <w:lvlText w:val="%2."/>
      <w:lvlJc w:val="left"/>
      <w:pPr>
        <w:tabs>
          <w:tab w:val="num" w:pos="1363"/>
        </w:tabs>
        <w:ind w:left="1363" w:hanging="360"/>
      </w:pPr>
    </w:lvl>
    <w:lvl w:ilvl="2" w:tplc="DCF06C5E" w:tentative="1">
      <w:start w:val="1"/>
      <w:numFmt w:val="bullet"/>
      <w:lvlText w:val=""/>
      <w:lvlJc w:val="left"/>
      <w:pPr>
        <w:tabs>
          <w:tab w:val="num" w:pos="2083"/>
        </w:tabs>
        <w:ind w:left="2083" w:hanging="360"/>
      </w:pPr>
      <w:rPr>
        <w:rFonts w:ascii="Wingdings" w:hAnsi="Wingdings" w:hint="default"/>
      </w:rPr>
    </w:lvl>
    <w:lvl w:ilvl="3" w:tplc="BF7A2F00" w:tentative="1">
      <w:start w:val="1"/>
      <w:numFmt w:val="bullet"/>
      <w:lvlText w:val=""/>
      <w:lvlJc w:val="left"/>
      <w:pPr>
        <w:tabs>
          <w:tab w:val="num" w:pos="2803"/>
        </w:tabs>
        <w:ind w:left="2803" w:hanging="360"/>
      </w:pPr>
      <w:rPr>
        <w:rFonts w:ascii="Symbol" w:hAnsi="Symbol" w:hint="default"/>
      </w:rPr>
    </w:lvl>
    <w:lvl w:ilvl="4" w:tplc="86FE2B00" w:tentative="1">
      <w:start w:val="1"/>
      <w:numFmt w:val="bullet"/>
      <w:lvlText w:val="o"/>
      <w:lvlJc w:val="left"/>
      <w:pPr>
        <w:tabs>
          <w:tab w:val="num" w:pos="3523"/>
        </w:tabs>
        <w:ind w:left="3523" w:hanging="360"/>
      </w:pPr>
      <w:rPr>
        <w:rFonts w:ascii="Courier New" w:hAnsi="Courier New" w:hint="default"/>
      </w:rPr>
    </w:lvl>
    <w:lvl w:ilvl="5" w:tplc="1268785C" w:tentative="1">
      <w:start w:val="1"/>
      <w:numFmt w:val="bullet"/>
      <w:lvlText w:val=""/>
      <w:lvlJc w:val="left"/>
      <w:pPr>
        <w:tabs>
          <w:tab w:val="num" w:pos="4243"/>
        </w:tabs>
        <w:ind w:left="4243" w:hanging="360"/>
      </w:pPr>
      <w:rPr>
        <w:rFonts w:ascii="Wingdings" w:hAnsi="Wingdings" w:hint="default"/>
      </w:rPr>
    </w:lvl>
    <w:lvl w:ilvl="6" w:tplc="06EA94EC" w:tentative="1">
      <w:start w:val="1"/>
      <w:numFmt w:val="bullet"/>
      <w:lvlText w:val=""/>
      <w:lvlJc w:val="left"/>
      <w:pPr>
        <w:tabs>
          <w:tab w:val="num" w:pos="4963"/>
        </w:tabs>
        <w:ind w:left="4963" w:hanging="360"/>
      </w:pPr>
      <w:rPr>
        <w:rFonts w:ascii="Symbol" w:hAnsi="Symbol" w:hint="default"/>
      </w:rPr>
    </w:lvl>
    <w:lvl w:ilvl="7" w:tplc="9D5655DA" w:tentative="1">
      <w:start w:val="1"/>
      <w:numFmt w:val="bullet"/>
      <w:lvlText w:val="o"/>
      <w:lvlJc w:val="left"/>
      <w:pPr>
        <w:tabs>
          <w:tab w:val="num" w:pos="5683"/>
        </w:tabs>
        <w:ind w:left="5683" w:hanging="360"/>
      </w:pPr>
      <w:rPr>
        <w:rFonts w:ascii="Courier New" w:hAnsi="Courier New" w:hint="default"/>
      </w:rPr>
    </w:lvl>
    <w:lvl w:ilvl="8" w:tplc="0EFEAB08" w:tentative="1">
      <w:start w:val="1"/>
      <w:numFmt w:val="bullet"/>
      <w:lvlText w:val=""/>
      <w:lvlJc w:val="left"/>
      <w:pPr>
        <w:tabs>
          <w:tab w:val="num" w:pos="6403"/>
        </w:tabs>
        <w:ind w:left="6403" w:hanging="360"/>
      </w:pPr>
      <w:rPr>
        <w:rFonts w:ascii="Wingdings" w:hAnsi="Wingdings" w:hint="default"/>
      </w:rPr>
    </w:lvl>
  </w:abstractNum>
  <w:abstractNum w:abstractNumId="45">
    <w:nsid w:val="4659799F"/>
    <w:multiLevelType w:val="hybridMultilevel"/>
    <w:tmpl w:val="291C7644"/>
    <w:lvl w:ilvl="0" w:tplc="8166A082">
      <w:start w:val="1"/>
      <w:numFmt w:val="bullet"/>
      <w:lvlText w:val=""/>
      <w:lvlJc w:val="left"/>
      <w:pPr>
        <w:ind w:left="720" w:hanging="360"/>
      </w:pPr>
      <w:rPr>
        <w:rFonts w:ascii="Symbol" w:hAnsi="Symbol" w:hint="default"/>
      </w:rPr>
    </w:lvl>
    <w:lvl w:ilvl="1" w:tplc="2AAA0E42">
      <w:start w:val="1"/>
      <w:numFmt w:val="bullet"/>
      <w:lvlText w:val="o"/>
      <w:lvlJc w:val="left"/>
      <w:pPr>
        <w:ind w:left="1440" w:hanging="360"/>
      </w:pPr>
      <w:rPr>
        <w:rFonts w:ascii="Courier New" w:hAnsi="Courier New" w:cs="Courier New" w:hint="default"/>
      </w:rPr>
    </w:lvl>
    <w:lvl w:ilvl="2" w:tplc="4A5AF6E4" w:tentative="1">
      <w:start w:val="1"/>
      <w:numFmt w:val="bullet"/>
      <w:lvlText w:val=""/>
      <w:lvlJc w:val="left"/>
      <w:pPr>
        <w:ind w:left="2160" w:hanging="360"/>
      </w:pPr>
      <w:rPr>
        <w:rFonts w:ascii="Wingdings" w:hAnsi="Wingdings" w:hint="default"/>
      </w:rPr>
    </w:lvl>
    <w:lvl w:ilvl="3" w:tplc="45DC8A3A" w:tentative="1">
      <w:start w:val="1"/>
      <w:numFmt w:val="bullet"/>
      <w:lvlText w:val=""/>
      <w:lvlJc w:val="left"/>
      <w:pPr>
        <w:ind w:left="2880" w:hanging="360"/>
      </w:pPr>
      <w:rPr>
        <w:rFonts w:ascii="Symbol" w:hAnsi="Symbol" w:hint="default"/>
      </w:rPr>
    </w:lvl>
    <w:lvl w:ilvl="4" w:tplc="4CCCBD3E" w:tentative="1">
      <w:start w:val="1"/>
      <w:numFmt w:val="bullet"/>
      <w:lvlText w:val="o"/>
      <w:lvlJc w:val="left"/>
      <w:pPr>
        <w:ind w:left="3600" w:hanging="360"/>
      </w:pPr>
      <w:rPr>
        <w:rFonts w:ascii="Courier New" w:hAnsi="Courier New" w:cs="Courier New" w:hint="default"/>
      </w:rPr>
    </w:lvl>
    <w:lvl w:ilvl="5" w:tplc="9E32577A" w:tentative="1">
      <w:start w:val="1"/>
      <w:numFmt w:val="bullet"/>
      <w:lvlText w:val=""/>
      <w:lvlJc w:val="left"/>
      <w:pPr>
        <w:ind w:left="4320" w:hanging="360"/>
      </w:pPr>
      <w:rPr>
        <w:rFonts w:ascii="Wingdings" w:hAnsi="Wingdings" w:hint="default"/>
      </w:rPr>
    </w:lvl>
    <w:lvl w:ilvl="6" w:tplc="42726D26" w:tentative="1">
      <w:start w:val="1"/>
      <w:numFmt w:val="bullet"/>
      <w:lvlText w:val=""/>
      <w:lvlJc w:val="left"/>
      <w:pPr>
        <w:ind w:left="5040" w:hanging="360"/>
      </w:pPr>
      <w:rPr>
        <w:rFonts w:ascii="Symbol" w:hAnsi="Symbol" w:hint="default"/>
      </w:rPr>
    </w:lvl>
    <w:lvl w:ilvl="7" w:tplc="D8BAFA10" w:tentative="1">
      <w:start w:val="1"/>
      <w:numFmt w:val="bullet"/>
      <w:lvlText w:val="o"/>
      <w:lvlJc w:val="left"/>
      <w:pPr>
        <w:ind w:left="5760" w:hanging="360"/>
      </w:pPr>
      <w:rPr>
        <w:rFonts w:ascii="Courier New" w:hAnsi="Courier New" w:cs="Courier New" w:hint="default"/>
      </w:rPr>
    </w:lvl>
    <w:lvl w:ilvl="8" w:tplc="EB6C50C8" w:tentative="1">
      <w:start w:val="1"/>
      <w:numFmt w:val="bullet"/>
      <w:lvlText w:val=""/>
      <w:lvlJc w:val="left"/>
      <w:pPr>
        <w:ind w:left="6480" w:hanging="360"/>
      </w:pPr>
      <w:rPr>
        <w:rFonts w:ascii="Wingdings" w:hAnsi="Wingdings" w:hint="default"/>
      </w:rPr>
    </w:lvl>
  </w:abstractNum>
  <w:abstractNum w:abstractNumId="46">
    <w:nsid w:val="46B00D13"/>
    <w:multiLevelType w:val="singleLevel"/>
    <w:tmpl w:val="85A6BB86"/>
    <w:lvl w:ilvl="0">
      <w:start w:val="1"/>
      <w:numFmt w:val="decimal"/>
      <w:pStyle w:val="Tablanumeracion"/>
      <w:lvlText w:val="Tabla nº %1."/>
      <w:lvlJc w:val="left"/>
      <w:pPr>
        <w:tabs>
          <w:tab w:val="num" w:pos="2433"/>
        </w:tabs>
        <w:ind w:left="2127" w:hanging="1134"/>
      </w:pPr>
      <w:rPr>
        <w:rFonts w:ascii="Arial" w:hAnsi="Arial" w:cs="Arial" w:hint="default"/>
        <w:b/>
        <w:bCs/>
        <w:i w:val="0"/>
        <w:iCs w:val="0"/>
        <w:sz w:val="20"/>
        <w:szCs w:val="20"/>
      </w:rPr>
    </w:lvl>
  </w:abstractNum>
  <w:abstractNum w:abstractNumId="47">
    <w:nsid w:val="48942798"/>
    <w:multiLevelType w:val="hybridMultilevel"/>
    <w:tmpl w:val="38940CC8"/>
    <w:lvl w:ilvl="0" w:tplc="9050FA3E">
      <w:start w:val="1"/>
      <w:numFmt w:val="bullet"/>
      <w:lvlText w:val=""/>
      <w:lvlJc w:val="left"/>
      <w:pPr>
        <w:ind w:left="720" w:hanging="360"/>
      </w:pPr>
      <w:rPr>
        <w:rFonts w:ascii="Symbol" w:hAnsi="Symbol" w:hint="default"/>
      </w:rPr>
    </w:lvl>
    <w:lvl w:ilvl="1" w:tplc="A1BC4602">
      <w:start w:val="1"/>
      <w:numFmt w:val="bullet"/>
      <w:lvlText w:val="o"/>
      <w:lvlJc w:val="left"/>
      <w:pPr>
        <w:ind w:left="1440" w:hanging="360"/>
      </w:pPr>
      <w:rPr>
        <w:rFonts w:ascii="Courier New" w:hAnsi="Courier New" w:cs="Courier New" w:hint="default"/>
      </w:rPr>
    </w:lvl>
    <w:lvl w:ilvl="2" w:tplc="473A0DFC" w:tentative="1">
      <w:start w:val="1"/>
      <w:numFmt w:val="bullet"/>
      <w:lvlText w:val=""/>
      <w:lvlJc w:val="left"/>
      <w:pPr>
        <w:ind w:left="2160" w:hanging="360"/>
      </w:pPr>
      <w:rPr>
        <w:rFonts w:ascii="Wingdings" w:hAnsi="Wingdings" w:hint="default"/>
      </w:rPr>
    </w:lvl>
    <w:lvl w:ilvl="3" w:tplc="BD68BF96" w:tentative="1">
      <w:start w:val="1"/>
      <w:numFmt w:val="bullet"/>
      <w:lvlText w:val=""/>
      <w:lvlJc w:val="left"/>
      <w:pPr>
        <w:ind w:left="2880" w:hanging="360"/>
      </w:pPr>
      <w:rPr>
        <w:rFonts w:ascii="Symbol" w:hAnsi="Symbol" w:hint="default"/>
      </w:rPr>
    </w:lvl>
    <w:lvl w:ilvl="4" w:tplc="7C10D1C2" w:tentative="1">
      <w:start w:val="1"/>
      <w:numFmt w:val="bullet"/>
      <w:lvlText w:val="o"/>
      <w:lvlJc w:val="left"/>
      <w:pPr>
        <w:ind w:left="3600" w:hanging="360"/>
      </w:pPr>
      <w:rPr>
        <w:rFonts w:ascii="Courier New" w:hAnsi="Courier New" w:cs="Courier New" w:hint="default"/>
      </w:rPr>
    </w:lvl>
    <w:lvl w:ilvl="5" w:tplc="AB7EAC32" w:tentative="1">
      <w:start w:val="1"/>
      <w:numFmt w:val="bullet"/>
      <w:lvlText w:val=""/>
      <w:lvlJc w:val="left"/>
      <w:pPr>
        <w:ind w:left="4320" w:hanging="360"/>
      </w:pPr>
      <w:rPr>
        <w:rFonts w:ascii="Wingdings" w:hAnsi="Wingdings" w:hint="default"/>
      </w:rPr>
    </w:lvl>
    <w:lvl w:ilvl="6" w:tplc="88966D50" w:tentative="1">
      <w:start w:val="1"/>
      <w:numFmt w:val="bullet"/>
      <w:lvlText w:val=""/>
      <w:lvlJc w:val="left"/>
      <w:pPr>
        <w:ind w:left="5040" w:hanging="360"/>
      </w:pPr>
      <w:rPr>
        <w:rFonts w:ascii="Symbol" w:hAnsi="Symbol" w:hint="default"/>
      </w:rPr>
    </w:lvl>
    <w:lvl w:ilvl="7" w:tplc="024096EA" w:tentative="1">
      <w:start w:val="1"/>
      <w:numFmt w:val="bullet"/>
      <w:lvlText w:val="o"/>
      <w:lvlJc w:val="left"/>
      <w:pPr>
        <w:ind w:left="5760" w:hanging="360"/>
      </w:pPr>
      <w:rPr>
        <w:rFonts w:ascii="Courier New" w:hAnsi="Courier New" w:cs="Courier New" w:hint="default"/>
      </w:rPr>
    </w:lvl>
    <w:lvl w:ilvl="8" w:tplc="2A8A44CC" w:tentative="1">
      <w:start w:val="1"/>
      <w:numFmt w:val="bullet"/>
      <w:lvlText w:val=""/>
      <w:lvlJc w:val="left"/>
      <w:pPr>
        <w:ind w:left="6480" w:hanging="360"/>
      </w:pPr>
      <w:rPr>
        <w:rFonts w:ascii="Wingdings" w:hAnsi="Wingdings" w:hint="default"/>
      </w:rPr>
    </w:lvl>
  </w:abstractNum>
  <w:abstractNum w:abstractNumId="48">
    <w:nsid w:val="4A5F6E4A"/>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9">
    <w:nsid w:val="4D381446"/>
    <w:multiLevelType w:val="hybridMultilevel"/>
    <w:tmpl w:val="5E545B5A"/>
    <w:lvl w:ilvl="0" w:tplc="D70EF694">
      <w:start w:val="1"/>
      <w:numFmt w:val="bullet"/>
      <w:lvlText w:val=""/>
      <w:lvlJc w:val="left"/>
      <w:pPr>
        <w:ind w:left="720" w:hanging="360"/>
      </w:pPr>
      <w:rPr>
        <w:rFonts w:ascii="Symbol" w:hAnsi="Symbol" w:hint="default"/>
      </w:rPr>
    </w:lvl>
    <w:lvl w:ilvl="1" w:tplc="308A8CD2">
      <w:start w:val="1"/>
      <w:numFmt w:val="bullet"/>
      <w:lvlText w:val="o"/>
      <w:lvlJc w:val="left"/>
      <w:pPr>
        <w:ind w:left="1440" w:hanging="360"/>
      </w:pPr>
      <w:rPr>
        <w:rFonts w:ascii="Courier New" w:hAnsi="Courier New" w:cs="Courier New" w:hint="default"/>
      </w:rPr>
    </w:lvl>
    <w:lvl w:ilvl="2" w:tplc="E1E21EBA">
      <w:start w:val="15"/>
      <w:numFmt w:val="bullet"/>
      <w:lvlText w:val=""/>
      <w:lvlJc w:val="left"/>
      <w:pPr>
        <w:ind w:left="2160" w:hanging="360"/>
      </w:pPr>
      <w:rPr>
        <w:rFonts w:ascii="Wingdings" w:eastAsia="Times New Roman" w:hAnsi="Wingdings" w:cs="Times New Roman" w:hint="default"/>
      </w:rPr>
    </w:lvl>
    <w:lvl w:ilvl="3" w:tplc="3AC28BDC" w:tentative="1">
      <w:start w:val="1"/>
      <w:numFmt w:val="bullet"/>
      <w:lvlText w:val=""/>
      <w:lvlJc w:val="left"/>
      <w:pPr>
        <w:ind w:left="2880" w:hanging="360"/>
      </w:pPr>
      <w:rPr>
        <w:rFonts w:ascii="Symbol" w:hAnsi="Symbol" w:hint="default"/>
      </w:rPr>
    </w:lvl>
    <w:lvl w:ilvl="4" w:tplc="00CC03A8" w:tentative="1">
      <w:start w:val="1"/>
      <w:numFmt w:val="bullet"/>
      <w:lvlText w:val="o"/>
      <w:lvlJc w:val="left"/>
      <w:pPr>
        <w:ind w:left="3600" w:hanging="360"/>
      </w:pPr>
      <w:rPr>
        <w:rFonts w:ascii="Courier New" w:hAnsi="Courier New" w:cs="Courier New" w:hint="default"/>
      </w:rPr>
    </w:lvl>
    <w:lvl w:ilvl="5" w:tplc="87C619BA" w:tentative="1">
      <w:start w:val="1"/>
      <w:numFmt w:val="bullet"/>
      <w:lvlText w:val=""/>
      <w:lvlJc w:val="left"/>
      <w:pPr>
        <w:ind w:left="4320" w:hanging="360"/>
      </w:pPr>
      <w:rPr>
        <w:rFonts w:ascii="Wingdings" w:hAnsi="Wingdings" w:hint="default"/>
      </w:rPr>
    </w:lvl>
    <w:lvl w:ilvl="6" w:tplc="56D6C906" w:tentative="1">
      <w:start w:val="1"/>
      <w:numFmt w:val="bullet"/>
      <w:lvlText w:val=""/>
      <w:lvlJc w:val="left"/>
      <w:pPr>
        <w:ind w:left="5040" w:hanging="360"/>
      </w:pPr>
      <w:rPr>
        <w:rFonts w:ascii="Symbol" w:hAnsi="Symbol" w:hint="default"/>
      </w:rPr>
    </w:lvl>
    <w:lvl w:ilvl="7" w:tplc="7B6C6126" w:tentative="1">
      <w:start w:val="1"/>
      <w:numFmt w:val="bullet"/>
      <w:lvlText w:val="o"/>
      <w:lvlJc w:val="left"/>
      <w:pPr>
        <w:ind w:left="5760" w:hanging="360"/>
      </w:pPr>
      <w:rPr>
        <w:rFonts w:ascii="Courier New" w:hAnsi="Courier New" w:cs="Courier New" w:hint="default"/>
      </w:rPr>
    </w:lvl>
    <w:lvl w:ilvl="8" w:tplc="82F227F6" w:tentative="1">
      <w:start w:val="1"/>
      <w:numFmt w:val="bullet"/>
      <w:lvlText w:val=""/>
      <w:lvlJc w:val="left"/>
      <w:pPr>
        <w:ind w:left="6480" w:hanging="360"/>
      </w:pPr>
      <w:rPr>
        <w:rFonts w:ascii="Wingdings" w:hAnsi="Wingdings" w:hint="default"/>
      </w:rPr>
    </w:lvl>
  </w:abstractNum>
  <w:abstractNum w:abstractNumId="50">
    <w:nsid w:val="4D4F0A03"/>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1">
    <w:nsid w:val="4D6906AC"/>
    <w:multiLevelType w:val="multilevel"/>
    <w:tmpl w:val="8CB0B550"/>
    <w:lvl w:ilvl="0">
      <w:start w:val="1"/>
      <w:numFmt w:val="decimal"/>
      <w:pStyle w:val="TitAnejo1"/>
      <w:lvlText w:val="ANEXO %1."/>
      <w:lvlJc w:val="left"/>
      <w:pPr>
        <w:ind w:left="360" w:hanging="360"/>
      </w:pPr>
      <w:rPr>
        <w:rFonts w:hint="default"/>
        <w:b/>
        <w:i w:val="0"/>
        <w:sz w:val="28"/>
      </w:rPr>
    </w:lvl>
    <w:lvl w:ilvl="1">
      <w:start w:val="1"/>
      <w:numFmt w:val="decimal"/>
      <w:pStyle w:val="TitAnejo2"/>
      <w:lvlText w:val="A. %1.%2."/>
      <w:lvlJc w:val="left"/>
      <w:pPr>
        <w:tabs>
          <w:tab w:val="num" w:pos="1304"/>
        </w:tabs>
        <w:ind w:left="1304" w:hanging="1304"/>
      </w:pPr>
      <w:rPr>
        <w:rFonts w:ascii="Arial" w:hAnsi="Arial" w:hint="default"/>
        <w:b/>
        <w:i w:val="0"/>
        <w:sz w:val="24"/>
      </w:rPr>
    </w:lvl>
    <w:lvl w:ilvl="2">
      <w:start w:val="1"/>
      <w:numFmt w:val="decimal"/>
      <w:pStyle w:val="TitAnejo3"/>
      <w:lvlText w:val="A.%1.%2.%3."/>
      <w:lvlJc w:val="left"/>
      <w:pPr>
        <w:tabs>
          <w:tab w:val="num" w:pos="1440"/>
        </w:tabs>
        <w:ind w:left="1304" w:hanging="1304"/>
      </w:pPr>
      <w:rPr>
        <w:rFonts w:ascii="Arial" w:hAnsi="Arial" w:hint="default"/>
        <w:sz w:val="22"/>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2">
    <w:nsid w:val="4E0147C6"/>
    <w:multiLevelType w:val="hybridMultilevel"/>
    <w:tmpl w:val="1C8ECB14"/>
    <w:lvl w:ilvl="0" w:tplc="B360F8F2">
      <w:start w:val="1"/>
      <w:numFmt w:val="decimal"/>
      <w:pStyle w:val="Elenconumerato"/>
      <w:lvlText w:val="%1)"/>
      <w:lvlJc w:val="left"/>
      <w:pPr>
        <w:tabs>
          <w:tab w:val="num" w:pos="720"/>
        </w:tabs>
        <w:ind w:left="720" w:hanging="360"/>
      </w:pPr>
    </w:lvl>
    <w:lvl w:ilvl="1" w:tplc="28220E2A">
      <w:start w:val="1"/>
      <w:numFmt w:val="lowerLetter"/>
      <w:lvlText w:val="%2."/>
      <w:lvlJc w:val="left"/>
      <w:pPr>
        <w:tabs>
          <w:tab w:val="num" w:pos="1440"/>
        </w:tabs>
        <w:ind w:left="1440" w:hanging="360"/>
      </w:pPr>
    </w:lvl>
    <w:lvl w:ilvl="2" w:tplc="C624E822" w:tentative="1">
      <w:start w:val="1"/>
      <w:numFmt w:val="lowerRoman"/>
      <w:lvlText w:val="%3."/>
      <w:lvlJc w:val="right"/>
      <w:pPr>
        <w:tabs>
          <w:tab w:val="num" w:pos="2160"/>
        </w:tabs>
        <w:ind w:left="2160" w:hanging="180"/>
      </w:pPr>
    </w:lvl>
    <w:lvl w:ilvl="3" w:tplc="1092169A" w:tentative="1">
      <w:start w:val="1"/>
      <w:numFmt w:val="decimal"/>
      <w:lvlText w:val="%4."/>
      <w:lvlJc w:val="left"/>
      <w:pPr>
        <w:tabs>
          <w:tab w:val="num" w:pos="2880"/>
        </w:tabs>
        <w:ind w:left="2880" w:hanging="360"/>
      </w:pPr>
    </w:lvl>
    <w:lvl w:ilvl="4" w:tplc="78FCE54A" w:tentative="1">
      <w:start w:val="1"/>
      <w:numFmt w:val="lowerLetter"/>
      <w:lvlText w:val="%5."/>
      <w:lvlJc w:val="left"/>
      <w:pPr>
        <w:tabs>
          <w:tab w:val="num" w:pos="3600"/>
        </w:tabs>
        <w:ind w:left="3600" w:hanging="360"/>
      </w:pPr>
    </w:lvl>
    <w:lvl w:ilvl="5" w:tplc="020E4D28" w:tentative="1">
      <w:start w:val="1"/>
      <w:numFmt w:val="lowerRoman"/>
      <w:lvlText w:val="%6."/>
      <w:lvlJc w:val="right"/>
      <w:pPr>
        <w:tabs>
          <w:tab w:val="num" w:pos="4320"/>
        </w:tabs>
        <w:ind w:left="4320" w:hanging="180"/>
      </w:pPr>
    </w:lvl>
    <w:lvl w:ilvl="6" w:tplc="549A20AA" w:tentative="1">
      <w:start w:val="1"/>
      <w:numFmt w:val="decimal"/>
      <w:lvlText w:val="%7."/>
      <w:lvlJc w:val="left"/>
      <w:pPr>
        <w:tabs>
          <w:tab w:val="num" w:pos="5040"/>
        </w:tabs>
        <w:ind w:left="5040" w:hanging="360"/>
      </w:pPr>
    </w:lvl>
    <w:lvl w:ilvl="7" w:tplc="82764FCC" w:tentative="1">
      <w:start w:val="1"/>
      <w:numFmt w:val="lowerLetter"/>
      <w:lvlText w:val="%8."/>
      <w:lvlJc w:val="left"/>
      <w:pPr>
        <w:tabs>
          <w:tab w:val="num" w:pos="5760"/>
        </w:tabs>
        <w:ind w:left="5760" w:hanging="360"/>
      </w:pPr>
    </w:lvl>
    <w:lvl w:ilvl="8" w:tplc="D5C0A346" w:tentative="1">
      <w:start w:val="1"/>
      <w:numFmt w:val="lowerRoman"/>
      <w:lvlText w:val="%9."/>
      <w:lvlJc w:val="right"/>
      <w:pPr>
        <w:tabs>
          <w:tab w:val="num" w:pos="6480"/>
        </w:tabs>
        <w:ind w:left="6480" w:hanging="180"/>
      </w:pPr>
    </w:lvl>
  </w:abstractNum>
  <w:abstractNum w:abstractNumId="53">
    <w:nsid w:val="4EFF4A5C"/>
    <w:multiLevelType w:val="hybridMultilevel"/>
    <w:tmpl w:val="D4266D06"/>
    <w:lvl w:ilvl="0" w:tplc="E3666980">
      <w:start w:val="1"/>
      <w:numFmt w:val="bullet"/>
      <w:lvlText w:val=""/>
      <w:lvlJc w:val="left"/>
      <w:pPr>
        <w:ind w:left="720" w:hanging="360"/>
      </w:pPr>
      <w:rPr>
        <w:rFonts w:ascii="Symbol" w:hAnsi="Symbol" w:hint="default"/>
      </w:rPr>
    </w:lvl>
    <w:lvl w:ilvl="1" w:tplc="D9DA4352">
      <w:start w:val="1"/>
      <w:numFmt w:val="bullet"/>
      <w:lvlText w:val="o"/>
      <w:lvlJc w:val="left"/>
      <w:pPr>
        <w:ind w:left="1440" w:hanging="360"/>
      </w:pPr>
      <w:rPr>
        <w:rFonts w:ascii="Courier New" w:hAnsi="Courier New" w:cs="Courier New" w:hint="default"/>
      </w:rPr>
    </w:lvl>
    <w:lvl w:ilvl="2" w:tplc="FE828986" w:tentative="1">
      <w:start w:val="1"/>
      <w:numFmt w:val="bullet"/>
      <w:lvlText w:val=""/>
      <w:lvlJc w:val="left"/>
      <w:pPr>
        <w:ind w:left="2160" w:hanging="360"/>
      </w:pPr>
      <w:rPr>
        <w:rFonts w:ascii="Wingdings" w:hAnsi="Wingdings" w:hint="default"/>
      </w:rPr>
    </w:lvl>
    <w:lvl w:ilvl="3" w:tplc="4D4CAA0C" w:tentative="1">
      <w:start w:val="1"/>
      <w:numFmt w:val="bullet"/>
      <w:lvlText w:val=""/>
      <w:lvlJc w:val="left"/>
      <w:pPr>
        <w:ind w:left="2880" w:hanging="360"/>
      </w:pPr>
      <w:rPr>
        <w:rFonts w:ascii="Symbol" w:hAnsi="Symbol" w:hint="default"/>
      </w:rPr>
    </w:lvl>
    <w:lvl w:ilvl="4" w:tplc="18E8C8A4" w:tentative="1">
      <w:start w:val="1"/>
      <w:numFmt w:val="bullet"/>
      <w:lvlText w:val="o"/>
      <w:lvlJc w:val="left"/>
      <w:pPr>
        <w:ind w:left="3600" w:hanging="360"/>
      </w:pPr>
      <w:rPr>
        <w:rFonts w:ascii="Courier New" w:hAnsi="Courier New" w:cs="Courier New" w:hint="default"/>
      </w:rPr>
    </w:lvl>
    <w:lvl w:ilvl="5" w:tplc="C46E4728" w:tentative="1">
      <w:start w:val="1"/>
      <w:numFmt w:val="bullet"/>
      <w:lvlText w:val=""/>
      <w:lvlJc w:val="left"/>
      <w:pPr>
        <w:ind w:left="4320" w:hanging="360"/>
      </w:pPr>
      <w:rPr>
        <w:rFonts w:ascii="Wingdings" w:hAnsi="Wingdings" w:hint="default"/>
      </w:rPr>
    </w:lvl>
    <w:lvl w:ilvl="6" w:tplc="344801B2" w:tentative="1">
      <w:start w:val="1"/>
      <w:numFmt w:val="bullet"/>
      <w:lvlText w:val=""/>
      <w:lvlJc w:val="left"/>
      <w:pPr>
        <w:ind w:left="5040" w:hanging="360"/>
      </w:pPr>
      <w:rPr>
        <w:rFonts w:ascii="Symbol" w:hAnsi="Symbol" w:hint="default"/>
      </w:rPr>
    </w:lvl>
    <w:lvl w:ilvl="7" w:tplc="5080C5FE" w:tentative="1">
      <w:start w:val="1"/>
      <w:numFmt w:val="bullet"/>
      <w:lvlText w:val="o"/>
      <w:lvlJc w:val="left"/>
      <w:pPr>
        <w:ind w:left="5760" w:hanging="360"/>
      </w:pPr>
      <w:rPr>
        <w:rFonts w:ascii="Courier New" w:hAnsi="Courier New" w:cs="Courier New" w:hint="default"/>
      </w:rPr>
    </w:lvl>
    <w:lvl w:ilvl="8" w:tplc="336E4F84" w:tentative="1">
      <w:start w:val="1"/>
      <w:numFmt w:val="bullet"/>
      <w:lvlText w:val=""/>
      <w:lvlJc w:val="left"/>
      <w:pPr>
        <w:ind w:left="6480" w:hanging="360"/>
      </w:pPr>
      <w:rPr>
        <w:rFonts w:ascii="Wingdings" w:hAnsi="Wingdings" w:hint="default"/>
      </w:rPr>
    </w:lvl>
  </w:abstractNum>
  <w:abstractNum w:abstractNumId="54">
    <w:nsid w:val="4F7A5192"/>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5">
    <w:nsid w:val="52CB797B"/>
    <w:multiLevelType w:val="singleLevel"/>
    <w:tmpl w:val="6A7ED6CA"/>
    <w:lvl w:ilvl="0">
      <w:start w:val="1"/>
      <w:numFmt w:val="bullet"/>
      <w:pStyle w:val="Rientro-2elenco"/>
      <w:lvlText w:val=""/>
      <w:lvlJc w:val="left"/>
      <w:pPr>
        <w:tabs>
          <w:tab w:val="num" w:pos="510"/>
        </w:tabs>
        <w:ind w:left="510" w:hanging="397"/>
      </w:pPr>
      <w:rPr>
        <w:rFonts w:ascii="Symbol" w:hAnsi="Symbol" w:hint="default"/>
        <w:sz w:val="12"/>
      </w:rPr>
    </w:lvl>
  </w:abstractNum>
  <w:abstractNum w:abstractNumId="56">
    <w:nsid w:val="542839F6"/>
    <w:multiLevelType w:val="hybridMultilevel"/>
    <w:tmpl w:val="42508A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nsid w:val="544B7E47"/>
    <w:multiLevelType w:val="multilevel"/>
    <w:tmpl w:val="28BCFBF4"/>
    <w:lvl w:ilvl="0">
      <w:start w:val="1"/>
      <w:numFmt w:val="decimal"/>
      <w:pStyle w:val="T1"/>
      <w:lvlText w:val="%1."/>
      <w:lvlJc w:val="left"/>
      <w:pPr>
        <w:tabs>
          <w:tab w:val="num" w:pos="0"/>
        </w:tabs>
        <w:ind w:left="0" w:firstLine="0"/>
      </w:pPr>
      <w:rPr>
        <w:rFonts w:hint="default"/>
        <w:b/>
      </w:rPr>
    </w:lvl>
    <w:lvl w:ilvl="1">
      <w:start w:val="1"/>
      <w:numFmt w:val="decimal"/>
      <w:suff w:val="space"/>
      <w:lvlText w:val="%1.%2"/>
      <w:lvlJc w:val="left"/>
      <w:pPr>
        <w:ind w:left="0" w:firstLine="0"/>
      </w:pPr>
      <w:rPr>
        <w:rFonts w:hint="default"/>
      </w:rPr>
    </w:lvl>
    <w:lvl w:ilvl="2">
      <w:start w:val="1"/>
      <w:numFmt w:val="decimal"/>
      <w:pStyle w:val="T3"/>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58">
    <w:nsid w:val="544F120E"/>
    <w:multiLevelType w:val="hybridMultilevel"/>
    <w:tmpl w:val="BD725A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9">
    <w:nsid w:val="55684904"/>
    <w:multiLevelType w:val="hybridMultilevel"/>
    <w:tmpl w:val="A072A1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nsid w:val="56A94B02"/>
    <w:multiLevelType w:val="hybridMultilevel"/>
    <w:tmpl w:val="B4023336"/>
    <w:lvl w:ilvl="0" w:tplc="A47A80B2">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1">
    <w:nsid w:val="58F16AAC"/>
    <w:multiLevelType w:val="hybridMultilevel"/>
    <w:tmpl w:val="15B62C5C"/>
    <w:lvl w:ilvl="0" w:tplc="04100001">
      <w:start w:val="1"/>
      <w:numFmt w:val="bullet"/>
      <w:lvlText w:val=""/>
      <w:lvlJc w:val="left"/>
      <w:pPr>
        <w:ind w:left="720" w:hanging="360"/>
      </w:pPr>
      <w:rPr>
        <w:rFonts w:ascii="Symbol" w:hAnsi="Symbol" w:hint="default"/>
      </w:rPr>
    </w:lvl>
    <w:lvl w:ilvl="1" w:tplc="4E324022"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nsid w:val="59197008"/>
    <w:multiLevelType w:val="hybridMultilevel"/>
    <w:tmpl w:val="3F340A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EF5094E4"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nsid w:val="5B5F0550"/>
    <w:multiLevelType w:val="hybridMultilevel"/>
    <w:tmpl w:val="F4865C92"/>
    <w:lvl w:ilvl="0" w:tplc="662AD826">
      <w:start w:val="1"/>
      <w:numFmt w:val="bullet"/>
      <w:lvlText w:val="-"/>
      <w:lvlJc w:val="left"/>
      <w:pPr>
        <w:ind w:left="360" w:hanging="360"/>
      </w:pPr>
      <w:rPr>
        <w:rFonts w:ascii="SimSun" w:eastAsia="SimSun" w:hAnsi="SimSun" w:hint="eastAsia"/>
      </w:rPr>
    </w:lvl>
    <w:lvl w:ilvl="1" w:tplc="A75053C6" w:tentative="1">
      <w:start w:val="1"/>
      <w:numFmt w:val="bullet"/>
      <w:lvlText w:val="o"/>
      <w:lvlJc w:val="left"/>
      <w:pPr>
        <w:ind w:left="1080" w:hanging="360"/>
      </w:pPr>
      <w:rPr>
        <w:rFonts w:ascii="Courier New" w:hAnsi="Courier New" w:cs="Courier New" w:hint="default"/>
      </w:rPr>
    </w:lvl>
    <w:lvl w:ilvl="2" w:tplc="5EF8C344" w:tentative="1">
      <w:start w:val="1"/>
      <w:numFmt w:val="bullet"/>
      <w:lvlText w:val=""/>
      <w:lvlJc w:val="left"/>
      <w:pPr>
        <w:ind w:left="1800" w:hanging="360"/>
      </w:pPr>
      <w:rPr>
        <w:rFonts w:ascii="Wingdings" w:hAnsi="Wingdings" w:hint="default"/>
      </w:rPr>
    </w:lvl>
    <w:lvl w:ilvl="3" w:tplc="97369B7E" w:tentative="1">
      <w:start w:val="1"/>
      <w:numFmt w:val="bullet"/>
      <w:lvlText w:val=""/>
      <w:lvlJc w:val="left"/>
      <w:pPr>
        <w:ind w:left="2520" w:hanging="360"/>
      </w:pPr>
      <w:rPr>
        <w:rFonts w:ascii="Symbol" w:hAnsi="Symbol" w:hint="default"/>
      </w:rPr>
    </w:lvl>
    <w:lvl w:ilvl="4" w:tplc="CFA0CF54" w:tentative="1">
      <w:start w:val="1"/>
      <w:numFmt w:val="bullet"/>
      <w:lvlText w:val="o"/>
      <w:lvlJc w:val="left"/>
      <w:pPr>
        <w:ind w:left="3240" w:hanging="360"/>
      </w:pPr>
      <w:rPr>
        <w:rFonts w:ascii="Courier New" w:hAnsi="Courier New" w:cs="Courier New" w:hint="default"/>
      </w:rPr>
    </w:lvl>
    <w:lvl w:ilvl="5" w:tplc="6BD8C67E" w:tentative="1">
      <w:start w:val="1"/>
      <w:numFmt w:val="bullet"/>
      <w:lvlText w:val=""/>
      <w:lvlJc w:val="left"/>
      <w:pPr>
        <w:ind w:left="3960" w:hanging="360"/>
      </w:pPr>
      <w:rPr>
        <w:rFonts w:ascii="Wingdings" w:hAnsi="Wingdings" w:hint="default"/>
      </w:rPr>
    </w:lvl>
    <w:lvl w:ilvl="6" w:tplc="852A34F2" w:tentative="1">
      <w:start w:val="1"/>
      <w:numFmt w:val="bullet"/>
      <w:lvlText w:val=""/>
      <w:lvlJc w:val="left"/>
      <w:pPr>
        <w:ind w:left="4680" w:hanging="360"/>
      </w:pPr>
      <w:rPr>
        <w:rFonts w:ascii="Symbol" w:hAnsi="Symbol" w:hint="default"/>
      </w:rPr>
    </w:lvl>
    <w:lvl w:ilvl="7" w:tplc="8E388C02" w:tentative="1">
      <w:start w:val="1"/>
      <w:numFmt w:val="bullet"/>
      <w:lvlText w:val="o"/>
      <w:lvlJc w:val="left"/>
      <w:pPr>
        <w:ind w:left="5400" w:hanging="360"/>
      </w:pPr>
      <w:rPr>
        <w:rFonts w:ascii="Courier New" w:hAnsi="Courier New" w:cs="Courier New" w:hint="default"/>
      </w:rPr>
    </w:lvl>
    <w:lvl w:ilvl="8" w:tplc="9B326A0A" w:tentative="1">
      <w:start w:val="1"/>
      <w:numFmt w:val="bullet"/>
      <w:lvlText w:val=""/>
      <w:lvlJc w:val="left"/>
      <w:pPr>
        <w:ind w:left="6120" w:hanging="360"/>
      </w:pPr>
      <w:rPr>
        <w:rFonts w:ascii="Wingdings" w:hAnsi="Wingdings" w:hint="default"/>
      </w:rPr>
    </w:lvl>
  </w:abstractNum>
  <w:abstractNum w:abstractNumId="64">
    <w:nsid w:val="61D166C5"/>
    <w:multiLevelType w:val="multilevel"/>
    <w:tmpl w:val="35E605D0"/>
    <w:lvl w:ilvl="0">
      <w:start w:val="1"/>
      <w:numFmt w:val="bullet"/>
      <w:lvlText w:val=""/>
      <w:lvlJc w:val="left"/>
      <w:pPr>
        <w:ind w:left="720" w:hanging="360"/>
      </w:pPr>
      <w:rPr>
        <w:rFonts w:ascii="Symbol" w:hAnsi="Symbol" w:cs="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5">
    <w:nsid w:val="64492134"/>
    <w:multiLevelType w:val="hybridMultilevel"/>
    <w:tmpl w:val="15A475D4"/>
    <w:lvl w:ilvl="0" w:tplc="59C8B3F0">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6">
    <w:nsid w:val="654F6070"/>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7">
    <w:nsid w:val="66343527"/>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nsid w:val="66481917"/>
    <w:multiLevelType w:val="hybridMultilevel"/>
    <w:tmpl w:val="76AE63F6"/>
    <w:lvl w:ilvl="0" w:tplc="85020DD8">
      <w:start w:val="1"/>
      <w:numFmt w:val="bullet"/>
      <w:lvlText w:val=""/>
      <w:lvlJc w:val="left"/>
      <w:pPr>
        <w:ind w:left="720" w:hanging="360"/>
      </w:pPr>
      <w:rPr>
        <w:rFonts w:ascii="Symbol" w:hAnsi="Symbol" w:hint="default"/>
      </w:rPr>
    </w:lvl>
    <w:lvl w:ilvl="1" w:tplc="8140D726" w:tentative="1">
      <w:start w:val="1"/>
      <w:numFmt w:val="bullet"/>
      <w:lvlText w:val="o"/>
      <w:lvlJc w:val="left"/>
      <w:pPr>
        <w:ind w:left="1440" w:hanging="360"/>
      </w:pPr>
      <w:rPr>
        <w:rFonts w:ascii="Courier New" w:hAnsi="Courier New" w:cs="Courier New" w:hint="default"/>
      </w:rPr>
    </w:lvl>
    <w:lvl w:ilvl="2" w:tplc="812E479A" w:tentative="1">
      <w:start w:val="1"/>
      <w:numFmt w:val="bullet"/>
      <w:lvlText w:val=""/>
      <w:lvlJc w:val="left"/>
      <w:pPr>
        <w:ind w:left="2160" w:hanging="360"/>
      </w:pPr>
      <w:rPr>
        <w:rFonts w:ascii="Wingdings" w:hAnsi="Wingdings" w:hint="default"/>
      </w:rPr>
    </w:lvl>
    <w:lvl w:ilvl="3" w:tplc="52E0AEC4" w:tentative="1">
      <w:start w:val="1"/>
      <w:numFmt w:val="bullet"/>
      <w:lvlText w:val=""/>
      <w:lvlJc w:val="left"/>
      <w:pPr>
        <w:ind w:left="2880" w:hanging="360"/>
      </w:pPr>
      <w:rPr>
        <w:rFonts w:ascii="Symbol" w:hAnsi="Symbol" w:hint="default"/>
      </w:rPr>
    </w:lvl>
    <w:lvl w:ilvl="4" w:tplc="08D42DB6" w:tentative="1">
      <w:start w:val="1"/>
      <w:numFmt w:val="bullet"/>
      <w:lvlText w:val="o"/>
      <w:lvlJc w:val="left"/>
      <w:pPr>
        <w:ind w:left="3600" w:hanging="360"/>
      </w:pPr>
      <w:rPr>
        <w:rFonts w:ascii="Courier New" w:hAnsi="Courier New" w:cs="Courier New" w:hint="default"/>
      </w:rPr>
    </w:lvl>
    <w:lvl w:ilvl="5" w:tplc="162CF9FC" w:tentative="1">
      <w:start w:val="1"/>
      <w:numFmt w:val="bullet"/>
      <w:lvlText w:val=""/>
      <w:lvlJc w:val="left"/>
      <w:pPr>
        <w:ind w:left="4320" w:hanging="360"/>
      </w:pPr>
      <w:rPr>
        <w:rFonts w:ascii="Wingdings" w:hAnsi="Wingdings" w:hint="default"/>
      </w:rPr>
    </w:lvl>
    <w:lvl w:ilvl="6" w:tplc="E408C33C" w:tentative="1">
      <w:start w:val="1"/>
      <w:numFmt w:val="bullet"/>
      <w:lvlText w:val=""/>
      <w:lvlJc w:val="left"/>
      <w:pPr>
        <w:ind w:left="5040" w:hanging="360"/>
      </w:pPr>
      <w:rPr>
        <w:rFonts w:ascii="Symbol" w:hAnsi="Symbol" w:hint="default"/>
      </w:rPr>
    </w:lvl>
    <w:lvl w:ilvl="7" w:tplc="624C72BC" w:tentative="1">
      <w:start w:val="1"/>
      <w:numFmt w:val="bullet"/>
      <w:lvlText w:val="o"/>
      <w:lvlJc w:val="left"/>
      <w:pPr>
        <w:ind w:left="5760" w:hanging="360"/>
      </w:pPr>
      <w:rPr>
        <w:rFonts w:ascii="Courier New" w:hAnsi="Courier New" w:cs="Courier New" w:hint="default"/>
      </w:rPr>
    </w:lvl>
    <w:lvl w:ilvl="8" w:tplc="F1A293BA" w:tentative="1">
      <w:start w:val="1"/>
      <w:numFmt w:val="bullet"/>
      <w:lvlText w:val=""/>
      <w:lvlJc w:val="left"/>
      <w:pPr>
        <w:ind w:left="6480" w:hanging="360"/>
      </w:pPr>
      <w:rPr>
        <w:rFonts w:ascii="Wingdings" w:hAnsi="Wingdings" w:hint="default"/>
      </w:rPr>
    </w:lvl>
  </w:abstractNum>
  <w:abstractNum w:abstractNumId="69">
    <w:nsid w:val="697D29CE"/>
    <w:multiLevelType w:val="hybridMultilevel"/>
    <w:tmpl w:val="E80CA3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0">
    <w:nsid w:val="6B3E69BC"/>
    <w:multiLevelType w:val="hybridMultilevel"/>
    <w:tmpl w:val="1F04437C"/>
    <w:lvl w:ilvl="0" w:tplc="BF722C42">
      <w:start w:val="1"/>
      <w:numFmt w:val="bullet"/>
      <w:lvlText w:val=""/>
      <w:lvlJc w:val="left"/>
      <w:pPr>
        <w:ind w:left="720" w:hanging="360"/>
      </w:pPr>
      <w:rPr>
        <w:rFonts w:ascii="Symbol" w:hAnsi="Symbol" w:hint="default"/>
      </w:rPr>
    </w:lvl>
    <w:lvl w:ilvl="1" w:tplc="4628C9E2" w:tentative="1">
      <w:start w:val="1"/>
      <w:numFmt w:val="bullet"/>
      <w:lvlText w:val="o"/>
      <w:lvlJc w:val="left"/>
      <w:pPr>
        <w:ind w:left="1440" w:hanging="360"/>
      </w:pPr>
      <w:rPr>
        <w:rFonts w:ascii="Courier New" w:hAnsi="Courier New" w:cs="Courier New" w:hint="default"/>
      </w:rPr>
    </w:lvl>
    <w:lvl w:ilvl="2" w:tplc="6270F410" w:tentative="1">
      <w:start w:val="1"/>
      <w:numFmt w:val="bullet"/>
      <w:lvlText w:val=""/>
      <w:lvlJc w:val="left"/>
      <w:pPr>
        <w:ind w:left="2160" w:hanging="360"/>
      </w:pPr>
      <w:rPr>
        <w:rFonts w:ascii="Wingdings" w:hAnsi="Wingdings" w:hint="default"/>
      </w:rPr>
    </w:lvl>
    <w:lvl w:ilvl="3" w:tplc="CC4284E6" w:tentative="1">
      <w:start w:val="1"/>
      <w:numFmt w:val="bullet"/>
      <w:lvlText w:val=""/>
      <w:lvlJc w:val="left"/>
      <w:pPr>
        <w:ind w:left="2880" w:hanging="360"/>
      </w:pPr>
      <w:rPr>
        <w:rFonts w:ascii="Symbol" w:hAnsi="Symbol" w:hint="default"/>
      </w:rPr>
    </w:lvl>
    <w:lvl w:ilvl="4" w:tplc="CCA09F08" w:tentative="1">
      <w:start w:val="1"/>
      <w:numFmt w:val="bullet"/>
      <w:lvlText w:val="o"/>
      <w:lvlJc w:val="left"/>
      <w:pPr>
        <w:ind w:left="3600" w:hanging="360"/>
      </w:pPr>
      <w:rPr>
        <w:rFonts w:ascii="Courier New" w:hAnsi="Courier New" w:cs="Courier New" w:hint="default"/>
      </w:rPr>
    </w:lvl>
    <w:lvl w:ilvl="5" w:tplc="977862B2" w:tentative="1">
      <w:start w:val="1"/>
      <w:numFmt w:val="bullet"/>
      <w:lvlText w:val=""/>
      <w:lvlJc w:val="left"/>
      <w:pPr>
        <w:ind w:left="4320" w:hanging="360"/>
      </w:pPr>
      <w:rPr>
        <w:rFonts w:ascii="Wingdings" w:hAnsi="Wingdings" w:hint="default"/>
      </w:rPr>
    </w:lvl>
    <w:lvl w:ilvl="6" w:tplc="C8867186" w:tentative="1">
      <w:start w:val="1"/>
      <w:numFmt w:val="bullet"/>
      <w:lvlText w:val=""/>
      <w:lvlJc w:val="left"/>
      <w:pPr>
        <w:ind w:left="5040" w:hanging="360"/>
      </w:pPr>
      <w:rPr>
        <w:rFonts w:ascii="Symbol" w:hAnsi="Symbol" w:hint="default"/>
      </w:rPr>
    </w:lvl>
    <w:lvl w:ilvl="7" w:tplc="9D98771C" w:tentative="1">
      <w:start w:val="1"/>
      <w:numFmt w:val="bullet"/>
      <w:lvlText w:val="o"/>
      <w:lvlJc w:val="left"/>
      <w:pPr>
        <w:ind w:left="5760" w:hanging="360"/>
      </w:pPr>
      <w:rPr>
        <w:rFonts w:ascii="Courier New" w:hAnsi="Courier New" w:cs="Courier New" w:hint="default"/>
      </w:rPr>
    </w:lvl>
    <w:lvl w:ilvl="8" w:tplc="13006288" w:tentative="1">
      <w:start w:val="1"/>
      <w:numFmt w:val="bullet"/>
      <w:lvlText w:val=""/>
      <w:lvlJc w:val="left"/>
      <w:pPr>
        <w:ind w:left="6480" w:hanging="360"/>
      </w:pPr>
      <w:rPr>
        <w:rFonts w:ascii="Wingdings" w:hAnsi="Wingdings" w:hint="default"/>
      </w:rPr>
    </w:lvl>
  </w:abstractNum>
  <w:abstractNum w:abstractNumId="71">
    <w:nsid w:val="6F4C0084"/>
    <w:multiLevelType w:val="singleLevel"/>
    <w:tmpl w:val="969EBA8A"/>
    <w:lvl w:ilvl="0">
      <w:start w:val="1"/>
      <w:numFmt w:val="bullet"/>
      <w:pStyle w:val="Bullet"/>
      <w:lvlText w:val=""/>
      <w:lvlJc w:val="left"/>
      <w:pPr>
        <w:tabs>
          <w:tab w:val="num" w:pos="360"/>
        </w:tabs>
        <w:ind w:left="360" w:hanging="360"/>
      </w:pPr>
      <w:rPr>
        <w:rFonts w:ascii="Symbol" w:hAnsi="Symbol" w:hint="default"/>
      </w:rPr>
    </w:lvl>
  </w:abstractNum>
  <w:abstractNum w:abstractNumId="72">
    <w:nsid w:val="70D14669"/>
    <w:multiLevelType w:val="hybridMultilevel"/>
    <w:tmpl w:val="792C1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5285F9E"/>
    <w:multiLevelType w:val="hybridMultilevel"/>
    <w:tmpl w:val="F9E465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4">
    <w:nsid w:val="783A1620"/>
    <w:multiLevelType w:val="multilevel"/>
    <w:tmpl w:val="BFFE2C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5">
    <w:nsid w:val="7B4256A8"/>
    <w:multiLevelType w:val="hybridMultilevel"/>
    <w:tmpl w:val="7C00A386"/>
    <w:lvl w:ilvl="0" w:tplc="61D49054">
      <w:start w:val="1"/>
      <w:numFmt w:val="bullet"/>
      <w:lvlText w:val=""/>
      <w:lvlJc w:val="left"/>
      <w:pPr>
        <w:ind w:left="720" w:hanging="360"/>
      </w:pPr>
      <w:rPr>
        <w:rFonts w:ascii="Symbol" w:hAnsi="Symbol" w:hint="default"/>
      </w:rPr>
    </w:lvl>
    <w:lvl w:ilvl="1" w:tplc="68A27046" w:tentative="1">
      <w:start w:val="1"/>
      <w:numFmt w:val="bullet"/>
      <w:lvlText w:val="o"/>
      <w:lvlJc w:val="left"/>
      <w:pPr>
        <w:ind w:left="1440" w:hanging="360"/>
      </w:pPr>
      <w:rPr>
        <w:rFonts w:ascii="Courier New" w:hAnsi="Courier New" w:cs="Courier New" w:hint="default"/>
      </w:rPr>
    </w:lvl>
    <w:lvl w:ilvl="2" w:tplc="99864996" w:tentative="1">
      <w:start w:val="1"/>
      <w:numFmt w:val="bullet"/>
      <w:lvlText w:val=""/>
      <w:lvlJc w:val="left"/>
      <w:pPr>
        <w:ind w:left="2160" w:hanging="360"/>
      </w:pPr>
      <w:rPr>
        <w:rFonts w:ascii="Wingdings" w:hAnsi="Wingdings" w:hint="default"/>
      </w:rPr>
    </w:lvl>
    <w:lvl w:ilvl="3" w:tplc="65DACBA6" w:tentative="1">
      <w:start w:val="1"/>
      <w:numFmt w:val="bullet"/>
      <w:lvlText w:val=""/>
      <w:lvlJc w:val="left"/>
      <w:pPr>
        <w:ind w:left="2880" w:hanging="360"/>
      </w:pPr>
      <w:rPr>
        <w:rFonts w:ascii="Symbol" w:hAnsi="Symbol" w:hint="default"/>
      </w:rPr>
    </w:lvl>
    <w:lvl w:ilvl="4" w:tplc="3CF03C96" w:tentative="1">
      <w:start w:val="1"/>
      <w:numFmt w:val="bullet"/>
      <w:lvlText w:val="o"/>
      <w:lvlJc w:val="left"/>
      <w:pPr>
        <w:ind w:left="3600" w:hanging="360"/>
      </w:pPr>
      <w:rPr>
        <w:rFonts w:ascii="Courier New" w:hAnsi="Courier New" w:cs="Courier New" w:hint="default"/>
      </w:rPr>
    </w:lvl>
    <w:lvl w:ilvl="5" w:tplc="9FCE2282" w:tentative="1">
      <w:start w:val="1"/>
      <w:numFmt w:val="bullet"/>
      <w:lvlText w:val=""/>
      <w:lvlJc w:val="left"/>
      <w:pPr>
        <w:ind w:left="4320" w:hanging="360"/>
      </w:pPr>
      <w:rPr>
        <w:rFonts w:ascii="Wingdings" w:hAnsi="Wingdings" w:hint="default"/>
      </w:rPr>
    </w:lvl>
    <w:lvl w:ilvl="6" w:tplc="4E68768A" w:tentative="1">
      <w:start w:val="1"/>
      <w:numFmt w:val="bullet"/>
      <w:lvlText w:val=""/>
      <w:lvlJc w:val="left"/>
      <w:pPr>
        <w:ind w:left="5040" w:hanging="360"/>
      </w:pPr>
      <w:rPr>
        <w:rFonts w:ascii="Symbol" w:hAnsi="Symbol" w:hint="default"/>
      </w:rPr>
    </w:lvl>
    <w:lvl w:ilvl="7" w:tplc="13C24430" w:tentative="1">
      <w:start w:val="1"/>
      <w:numFmt w:val="bullet"/>
      <w:lvlText w:val="o"/>
      <w:lvlJc w:val="left"/>
      <w:pPr>
        <w:ind w:left="5760" w:hanging="360"/>
      </w:pPr>
      <w:rPr>
        <w:rFonts w:ascii="Courier New" w:hAnsi="Courier New" w:cs="Courier New" w:hint="default"/>
      </w:rPr>
    </w:lvl>
    <w:lvl w:ilvl="8" w:tplc="5FAA81D8" w:tentative="1">
      <w:start w:val="1"/>
      <w:numFmt w:val="bullet"/>
      <w:lvlText w:val=""/>
      <w:lvlJc w:val="left"/>
      <w:pPr>
        <w:ind w:left="6480" w:hanging="360"/>
      </w:pPr>
      <w:rPr>
        <w:rFonts w:ascii="Wingdings" w:hAnsi="Wingdings" w:hint="default"/>
      </w:rPr>
    </w:lvl>
  </w:abstractNum>
  <w:num w:numId="1">
    <w:abstractNumId w:val="57"/>
  </w:num>
  <w:num w:numId="2">
    <w:abstractNumId w:val="14"/>
  </w:num>
  <w:num w:numId="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2"/>
  </w:num>
  <w:num w:numId="5">
    <w:abstractNumId w:val="71"/>
  </w:num>
  <w:num w:numId="6">
    <w:abstractNumId w:val="0"/>
  </w:num>
  <w:num w:numId="7">
    <w:abstractNumId w:val="52"/>
  </w:num>
  <w:num w:numId="8">
    <w:abstractNumId w:val="27"/>
  </w:num>
  <w:num w:numId="9">
    <w:abstractNumId w:val="44"/>
  </w:num>
  <w:num w:numId="10">
    <w:abstractNumId w:val="6"/>
  </w:num>
  <w:num w:numId="11">
    <w:abstractNumId w:val="55"/>
  </w:num>
  <w:num w:numId="12">
    <w:abstractNumId w:val="51"/>
  </w:num>
  <w:num w:numId="13">
    <w:abstractNumId w:val="38"/>
  </w:num>
  <w:num w:numId="14">
    <w:abstractNumId w:val="4"/>
  </w:num>
  <w:num w:numId="15">
    <w:abstractNumId w:val="3"/>
  </w:num>
  <w:num w:numId="16">
    <w:abstractNumId w:val="63"/>
  </w:num>
  <w:num w:numId="17">
    <w:abstractNumId w:val="40"/>
  </w:num>
  <w:num w:numId="18">
    <w:abstractNumId w:val="23"/>
  </w:num>
  <w:num w:numId="19">
    <w:abstractNumId w:val="43"/>
  </w:num>
  <w:num w:numId="20">
    <w:abstractNumId w:val="19"/>
  </w:num>
  <w:num w:numId="21">
    <w:abstractNumId w:val="28"/>
  </w:num>
  <w:num w:numId="22">
    <w:abstractNumId w:val="20"/>
  </w:num>
  <w:num w:numId="23">
    <w:abstractNumId w:val="9"/>
  </w:num>
  <w:num w:numId="24">
    <w:abstractNumId w:val="72"/>
  </w:num>
  <w:num w:numId="25">
    <w:abstractNumId w:val="37"/>
  </w:num>
  <w:num w:numId="26">
    <w:abstractNumId w:val="65"/>
  </w:num>
  <w:num w:numId="27">
    <w:abstractNumId w:val="18"/>
  </w:num>
  <w:num w:numId="28">
    <w:abstractNumId w:val="49"/>
  </w:num>
  <w:num w:numId="29">
    <w:abstractNumId w:val="17"/>
  </w:num>
  <w:num w:numId="30">
    <w:abstractNumId w:val="12"/>
  </w:num>
  <w:num w:numId="31">
    <w:abstractNumId w:val="53"/>
  </w:num>
  <w:num w:numId="32">
    <w:abstractNumId w:val="70"/>
  </w:num>
  <w:num w:numId="33">
    <w:abstractNumId w:val="13"/>
  </w:num>
  <w:num w:numId="34">
    <w:abstractNumId w:val="33"/>
  </w:num>
  <w:num w:numId="35">
    <w:abstractNumId w:val="75"/>
  </w:num>
  <w:num w:numId="36">
    <w:abstractNumId w:val="69"/>
  </w:num>
  <w:num w:numId="37">
    <w:abstractNumId w:val="31"/>
  </w:num>
  <w:num w:numId="38">
    <w:abstractNumId w:val="24"/>
  </w:num>
  <w:num w:numId="39">
    <w:abstractNumId w:val="68"/>
  </w:num>
  <w:num w:numId="40">
    <w:abstractNumId w:val="11"/>
  </w:num>
  <w:num w:numId="41">
    <w:abstractNumId w:val="45"/>
  </w:num>
  <w:num w:numId="42">
    <w:abstractNumId w:val="15"/>
  </w:num>
  <w:num w:numId="43">
    <w:abstractNumId w:val="29"/>
  </w:num>
  <w:num w:numId="44">
    <w:abstractNumId w:val="59"/>
  </w:num>
  <w:num w:numId="45">
    <w:abstractNumId w:val="7"/>
  </w:num>
  <w:num w:numId="46">
    <w:abstractNumId w:val="30"/>
  </w:num>
  <w:num w:numId="47">
    <w:abstractNumId w:val="61"/>
  </w:num>
  <w:num w:numId="48">
    <w:abstractNumId w:val="47"/>
  </w:num>
  <w:num w:numId="49">
    <w:abstractNumId w:val="16"/>
  </w:num>
  <w:num w:numId="50">
    <w:abstractNumId w:val="62"/>
  </w:num>
  <w:num w:numId="51">
    <w:abstractNumId w:val="34"/>
  </w:num>
  <w:num w:numId="52">
    <w:abstractNumId w:val="39"/>
  </w:num>
  <w:num w:numId="53">
    <w:abstractNumId w:val="5"/>
  </w:num>
  <w:num w:numId="54">
    <w:abstractNumId w:val="60"/>
  </w:num>
  <w:num w:numId="55">
    <w:abstractNumId w:val="50"/>
  </w:num>
  <w:num w:numId="56">
    <w:abstractNumId w:val="36"/>
  </w:num>
  <w:num w:numId="57">
    <w:abstractNumId w:val="48"/>
  </w:num>
  <w:num w:numId="58">
    <w:abstractNumId w:val="66"/>
  </w:num>
  <w:num w:numId="59">
    <w:abstractNumId w:val="35"/>
  </w:num>
  <w:num w:numId="60">
    <w:abstractNumId w:val="8"/>
  </w:num>
  <w:num w:numId="61">
    <w:abstractNumId w:val="22"/>
  </w:num>
  <w:num w:numId="62">
    <w:abstractNumId w:val="46"/>
  </w:num>
  <w:num w:numId="63">
    <w:abstractNumId w:val="67"/>
  </w:num>
  <w:num w:numId="64">
    <w:abstractNumId w:val="26"/>
  </w:num>
  <w:num w:numId="65">
    <w:abstractNumId w:val="64"/>
  </w:num>
  <w:num w:numId="66">
    <w:abstractNumId w:val="41"/>
  </w:num>
  <w:num w:numId="67">
    <w:abstractNumId w:val="54"/>
  </w:num>
  <w:num w:numId="68">
    <w:abstractNumId w:val="74"/>
  </w:num>
  <w:num w:numId="69">
    <w:abstractNumId w:val="2"/>
  </w:num>
  <w:num w:numId="70">
    <w:abstractNumId w:val="42"/>
  </w:num>
  <w:num w:numId="71">
    <w:abstractNumId w:val="56"/>
  </w:num>
  <w:num w:numId="72">
    <w:abstractNumId w:val="58"/>
  </w:num>
  <w:num w:numId="73">
    <w:abstractNumId w:val="21"/>
  </w:num>
  <w:num w:numId="74">
    <w:abstractNumId w:val="25"/>
  </w:num>
  <w:num w:numId="75">
    <w:abstractNumId w:val="14"/>
  </w:num>
  <w:num w:numId="76">
    <w:abstractNumId w:val="14"/>
  </w:num>
  <w:num w:numId="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intFractionalCharacterWidth/>
  <w:hideSpellingErrors/>
  <w:hideGrammaticalErrors/>
  <w:activeWritingStyle w:appName="MSWord" w:lang="it-IT" w:vendorID="3" w:dllVersion="517" w:checkStyle="1"/>
  <w:activeWritingStyle w:appName="MSWord" w:lang="pt-BR" w:vendorID="1" w:dllVersion="513" w:checkStyle="1"/>
  <w:proofState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10"/>
  <w:displayHorizontalDrawingGridEvery w:val="0"/>
  <w:displayVerticalDrawingGridEvery w:val="0"/>
  <w:doNotShadeFormData/>
  <w:noPunctuationKerning/>
  <w:characterSpacingControl w:val="doNotCompress"/>
  <w:hdrShapeDefaults>
    <o:shapedefaults v:ext="edit" spidmax="6145" fillcolor="white">
      <v:fill color="white"/>
      <o:colormru v:ext="edit" colors="#9f9f9f,#9b9b9b"/>
      <o:colormenu v:ext="edit"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1705"/>
    <w:rsid w:val="000038A6"/>
    <w:rsid w:val="00004433"/>
    <w:rsid w:val="00004DB9"/>
    <w:rsid w:val="000051F5"/>
    <w:rsid w:val="00005C7F"/>
    <w:rsid w:val="00005CF4"/>
    <w:rsid w:val="00005FAC"/>
    <w:rsid w:val="000061A7"/>
    <w:rsid w:val="000061F0"/>
    <w:rsid w:val="000065E7"/>
    <w:rsid w:val="0001029B"/>
    <w:rsid w:val="0001115E"/>
    <w:rsid w:val="00011183"/>
    <w:rsid w:val="000117B2"/>
    <w:rsid w:val="00011AFD"/>
    <w:rsid w:val="000133A6"/>
    <w:rsid w:val="00013FCF"/>
    <w:rsid w:val="00013FDD"/>
    <w:rsid w:val="00014059"/>
    <w:rsid w:val="00015F92"/>
    <w:rsid w:val="000165A4"/>
    <w:rsid w:val="00017357"/>
    <w:rsid w:val="000178C0"/>
    <w:rsid w:val="0002062D"/>
    <w:rsid w:val="00020978"/>
    <w:rsid w:val="00020AC2"/>
    <w:rsid w:val="00020F64"/>
    <w:rsid w:val="0002126C"/>
    <w:rsid w:val="000213A6"/>
    <w:rsid w:val="0002153A"/>
    <w:rsid w:val="00021E29"/>
    <w:rsid w:val="00022A37"/>
    <w:rsid w:val="0002300D"/>
    <w:rsid w:val="00025168"/>
    <w:rsid w:val="000269CD"/>
    <w:rsid w:val="00027016"/>
    <w:rsid w:val="00030541"/>
    <w:rsid w:val="00030BC8"/>
    <w:rsid w:val="000332C9"/>
    <w:rsid w:val="000335DE"/>
    <w:rsid w:val="000337E0"/>
    <w:rsid w:val="000344EC"/>
    <w:rsid w:val="000349D7"/>
    <w:rsid w:val="00034FD7"/>
    <w:rsid w:val="00034FEF"/>
    <w:rsid w:val="00035089"/>
    <w:rsid w:val="00035611"/>
    <w:rsid w:val="0003742F"/>
    <w:rsid w:val="00037C3A"/>
    <w:rsid w:val="000406A1"/>
    <w:rsid w:val="00040AE1"/>
    <w:rsid w:val="00040C7A"/>
    <w:rsid w:val="00040F6F"/>
    <w:rsid w:val="00041AFD"/>
    <w:rsid w:val="00042560"/>
    <w:rsid w:val="00043F8D"/>
    <w:rsid w:val="0004701C"/>
    <w:rsid w:val="000473E0"/>
    <w:rsid w:val="0004746E"/>
    <w:rsid w:val="0004764F"/>
    <w:rsid w:val="000505D1"/>
    <w:rsid w:val="0005072C"/>
    <w:rsid w:val="000513B8"/>
    <w:rsid w:val="00051FE0"/>
    <w:rsid w:val="00052795"/>
    <w:rsid w:val="000533DA"/>
    <w:rsid w:val="00054FB2"/>
    <w:rsid w:val="000553D3"/>
    <w:rsid w:val="00057806"/>
    <w:rsid w:val="00060FF5"/>
    <w:rsid w:val="00064DA2"/>
    <w:rsid w:val="000655CC"/>
    <w:rsid w:val="0006592B"/>
    <w:rsid w:val="0007039E"/>
    <w:rsid w:val="000712C6"/>
    <w:rsid w:val="000712DB"/>
    <w:rsid w:val="00071824"/>
    <w:rsid w:val="000733AE"/>
    <w:rsid w:val="00073DD5"/>
    <w:rsid w:val="00074201"/>
    <w:rsid w:val="0007421E"/>
    <w:rsid w:val="00074A6D"/>
    <w:rsid w:val="00076606"/>
    <w:rsid w:val="0007707E"/>
    <w:rsid w:val="00081AE5"/>
    <w:rsid w:val="00082B39"/>
    <w:rsid w:val="00084364"/>
    <w:rsid w:val="00084971"/>
    <w:rsid w:val="00086825"/>
    <w:rsid w:val="00086A9C"/>
    <w:rsid w:val="0009059E"/>
    <w:rsid w:val="000907C9"/>
    <w:rsid w:val="000936EB"/>
    <w:rsid w:val="000944C0"/>
    <w:rsid w:val="00094503"/>
    <w:rsid w:val="00094E06"/>
    <w:rsid w:val="00095956"/>
    <w:rsid w:val="00095A17"/>
    <w:rsid w:val="00097CC9"/>
    <w:rsid w:val="000A0425"/>
    <w:rsid w:val="000A0615"/>
    <w:rsid w:val="000A07A6"/>
    <w:rsid w:val="000A1B21"/>
    <w:rsid w:val="000A1ED9"/>
    <w:rsid w:val="000A3281"/>
    <w:rsid w:val="000A3873"/>
    <w:rsid w:val="000A5C83"/>
    <w:rsid w:val="000A68E3"/>
    <w:rsid w:val="000A6FE7"/>
    <w:rsid w:val="000B0215"/>
    <w:rsid w:val="000B06DF"/>
    <w:rsid w:val="000B1570"/>
    <w:rsid w:val="000B2336"/>
    <w:rsid w:val="000B3FC9"/>
    <w:rsid w:val="000B5D28"/>
    <w:rsid w:val="000B72D4"/>
    <w:rsid w:val="000B784F"/>
    <w:rsid w:val="000C0AEE"/>
    <w:rsid w:val="000C10E3"/>
    <w:rsid w:val="000C1147"/>
    <w:rsid w:val="000C1409"/>
    <w:rsid w:val="000C3A5F"/>
    <w:rsid w:val="000C40FD"/>
    <w:rsid w:val="000C451F"/>
    <w:rsid w:val="000C4C31"/>
    <w:rsid w:val="000D1B45"/>
    <w:rsid w:val="000D261A"/>
    <w:rsid w:val="000D366E"/>
    <w:rsid w:val="000D4E91"/>
    <w:rsid w:val="000D7BB5"/>
    <w:rsid w:val="000E0B74"/>
    <w:rsid w:val="000E234F"/>
    <w:rsid w:val="000E29D7"/>
    <w:rsid w:val="000E3EF3"/>
    <w:rsid w:val="000E5C6A"/>
    <w:rsid w:val="000E6510"/>
    <w:rsid w:val="000E7923"/>
    <w:rsid w:val="000F0644"/>
    <w:rsid w:val="000F0762"/>
    <w:rsid w:val="000F284C"/>
    <w:rsid w:val="000F3A6A"/>
    <w:rsid w:val="000F4E10"/>
    <w:rsid w:val="000F569B"/>
    <w:rsid w:val="000F6700"/>
    <w:rsid w:val="000F7088"/>
    <w:rsid w:val="00100FC0"/>
    <w:rsid w:val="00101481"/>
    <w:rsid w:val="00101FDF"/>
    <w:rsid w:val="00102311"/>
    <w:rsid w:val="001027B8"/>
    <w:rsid w:val="00103F29"/>
    <w:rsid w:val="00104194"/>
    <w:rsid w:val="001045FE"/>
    <w:rsid w:val="00105856"/>
    <w:rsid w:val="00105FC1"/>
    <w:rsid w:val="00106499"/>
    <w:rsid w:val="001102F8"/>
    <w:rsid w:val="001125FA"/>
    <w:rsid w:val="00112FAB"/>
    <w:rsid w:val="00114846"/>
    <w:rsid w:val="001166DA"/>
    <w:rsid w:val="00116D59"/>
    <w:rsid w:val="001177B6"/>
    <w:rsid w:val="0012058E"/>
    <w:rsid w:val="001212B5"/>
    <w:rsid w:val="00121CEF"/>
    <w:rsid w:val="00122309"/>
    <w:rsid w:val="00123817"/>
    <w:rsid w:val="00124C96"/>
    <w:rsid w:val="00126160"/>
    <w:rsid w:val="0013053F"/>
    <w:rsid w:val="001310BC"/>
    <w:rsid w:val="00131E14"/>
    <w:rsid w:val="00131FDB"/>
    <w:rsid w:val="00132F8A"/>
    <w:rsid w:val="0013314C"/>
    <w:rsid w:val="001333AF"/>
    <w:rsid w:val="00134E6E"/>
    <w:rsid w:val="00135C8B"/>
    <w:rsid w:val="00135F0E"/>
    <w:rsid w:val="00136777"/>
    <w:rsid w:val="00137CB6"/>
    <w:rsid w:val="001401E4"/>
    <w:rsid w:val="0014036F"/>
    <w:rsid w:val="00141DD4"/>
    <w:rsid w:val="00141F42"/>
    <w:rsid w:val="00141FF2"/>
    <w:rsid w:val="001430B5"/>
    <w:rsid w:val="0014330C"/>
    <w:rsid w:val="00144006"/>
    <w:rsid w:val="00144016"/>
    <w:rsid w:val="001440F6"/>
    <w:rsid w:val="00145DE1"/>
    <w:rsid w:val="00146AE8"/>
    <w:rsid w:val="00150013"/>
    <w:rsid w:val="0015046E"/>
    <w:rsid w:val="00151B8D"/>
    <w:rsid w:val="001526BB"/>
    <w:rsid w:val="00153D47"/>
    <w:rsid w:val="00155BEA"/>
    <w:rsid w:val="001562D8"/>
    <w:rsid w:val="00156495"/>
    <w:rsid w:val="00156805"/>
    <w:rsid w:val="00157001"/>
    <w:rsid w:val="00160935"/>
    <w:rsid w:val="00160D52"/>
    <w:rsid w:val="00162F3C"/>
    <w:rsid w:val="0016317E"/>
    <w:rsid w:val="001631FA"/>
    <w:rsid w:val="00163842"/>
    <w:rsid w:val="00163BF1"/>
    <w:rsid w:val="00163C14"/>
    <w:rsid w:val="001641E2"/>
    <w:rsid w:val="00164CAB"/>
    <w:rsid w:val="00165F11"/>
    <w:rsid w:val="00166669"/>
    <w:rsid w:val="00170AD3"/>
    <w:rsid w:val="00172430"/>
    <w:rsid w:val="00172B5E"/>
    <w:rsid w:val="00175299"/>
    <w:rsid w:val="001767A0"/>
    <w:rsid w:val="00177323"/>
    <w:rsid w:val="0017761D"/>
    <w:rsid w:val="001802F1"/>
    <w:rsid w:val="00181463"/>
    <w:rsid w:val="00181BC9"/>
    <w:rsid w:val="00181CBC"/>
    <w:rsid w:val="00181E28"/>
    <w:rsid w:val="00184031"/>
    <w:rsid w:val="001840DB"/>
    <w:rsid w:val="00184E87"/>
    <w:rsid w:val="00185794"/>
    <w:rsid w:val="00186004"/>
    <w:rsid w:val="00186C2C"/>
    <w:rsid w:val="00186DB7"/>
    <w:rsid w:val="001877A4"/>
    <w:rsid w:val="00187B1A"/>
    <w:rsid w:val="00187F13"/>
    <w:rsid w:val="00187FE5"/>
    <w:rsid w:val="00190168"/>
    <w:rsid w:val="0019273D"/>
    <w:rsid w:val="00192D2C"/>
    <w:rsid w:val="00193300"/>
    <w:rsid w:val="00194AA5"/>
    <w:rsid w:val="001952AF"/>
    <w:rsid w:val="00196BBD"/>
    <w:rsid w:val="001971C1"/>
    <w:rsid w:val="001A1274"/>
    <w:rsid w:val="001A316D"/>
    <w:rsid w:val="001A3927"/>
    <w:rsid w:val="001A3BE3"/>
    <w:rsid w:val="001A3F25"/>
    <w:rsid w:val="001A5383"/>
    <w:rsid w:val="001A647E"/>
    <w:rsid w:val="001A7766"/>
    <w:rsid w:val="001B09E9"/>
    <w:rsid w:val="001B1118"/>
    <w:rsid w:val="001B29E6"/>
    <w:rsid w:val="001B34BA"/>
    <w:rsid w:val="001B42AE"/>
    <w:rsid w:val="001B73E8"/>
    <w:rsid w:val="001C0810"/>
    <w:rsid w:val="001C18B8"/>
    <w:rsid w:val="001C1933"/>
    <w:rsid w:val="001C2A45"/>
    <w:rsid w:val="001C3C68"/>
    <w:rsid w:val="001C5417"/>
    <w:rsid w:val="001C5910"/>
    <w:rsid w:val="001C6948"/>
    <w:rsid w:val="001C6C0C"/>
    <w:rsid w:val="001C715D"/>
    <w:rsid w:val="001C766B"/>
    <w:rsid w:val="001D01A7"/>
    <w:rsid w:val="001D09B6"/>
    <w:rsid w:val="001D1D99"/>
    <w:rsid w:val="001D2608"/>
    <w:rsid w:val="001D2790"/>
    <w:rsid w:val="001D2FBE"/>
    <w:rsid w:val="001D4B43"/>
    <w:rsid w:val="001D4F2E"/>
    <w:rsid w:val="001D5C44"/>
    <w:rsid w:val="001D7652"/>
    <w:rsid w:val="001D786E"/>
    <w:rsid w:val="001D7CE2"/>
    <w:rsid w:val="001D7D51"/>
    <w:rsid w:val="001E00AE"/>
    <w:rsid w:val="001E1B79"/>
    <w:rsid w:val="001E1BFE"/>
    <w:rsid w:val="001E1C52"/>
    <w:rsid w:val="001E263E"/>
    <w:rsid w:val="001E2FAC"/>
    <w:rsid w:val="001E3896"/>
    <w:rsid w:val="001E39E6"/>
    <w:rsid w:val="001E4691"/>
    <w:rsid w:val="001E46BE"/>
    <w:rsid w:val="001E547E"/>
    <w:rsid w:val="001E5D17"/>
    <w:rsid w:val="001E67E7"/>
    <w:rsid w:val="001E761E"/>
    <w:rsid w:val="001F11AE"/>
    <w:rsid w:val="001F2115"/>
    <w:rsid w:val="001F34C9"/>
    <w:rsid w:val="001F420A"/>
    <w:rsid w:val="001F5AAF"/>
    <w:rsid w:val="001F644B"/>
    <w:rsid w:val="001F73B3"/>
    <w:rsid w:val="001F760E"/>
    <w:rsid w:val="001F7B2E"/>
    <w:rsid w:val="001F7E82"/>
    <w:rsid w:val="00200C3A"/>
    <w:rsid w:val="00201506"/>
    <w:rsid w:val="00201A85"/>
    <w:rsid w:val="00201FF5"/>
    <w:rsid w:val="0020209B"/>
    <w:rsid w:val="00202643"/>
    <w:rsid w:val="00202687"/>
    <w:rsid w:val="0020281D"/>
    <w:rsid w:val="0020302F"/>
    <w:rsid w:val="00203260"/>
    <w:rsid w:val="00204CEE"/>
    <w:rsid w:val="00207256"/>
    <w:rsid w:val="002075F8"/>
    <w:rsid w:val="002102AF"/>
    <w:rsid w:val="00210612"/>
    <w:rsid w:val="00210DB7"/>
    <w:rsid w:val="00210DEA"/>
    <w:rsid w:val="00211517"/>
    <w:rsid w:val="002121BF"/>
    <w:rsid w:val="00213188"/>
    <w:rsid w:val="002132CC"/>
    <w:rsid w:val="002138DC"/>
    <w:rsid w:val="002142A8"/>
    <w:rsid w:val="00214B2A"/>
    <w:rsid w:val="00215C0D"/>
    <w:rsid w:val="00215D8E"/>
    <w:rsid w:val="00216CB1"/>
    <w:rsid w:val="002175DC"/>
    <w:rsid w:val="00217CF4"/>
    <w:rsid w:val="00221102"/>
    <w:rsid w:val="00222044"/>
    <w:rsid w:val="00223B5E"/>
    <w:rsid w:val="002244F9"/>
    <w:rsid w:val="002245CE"/>
    <w:rsid w:val="00225324"/>
    <w:rsid w:val="0022572C"/>
    <w:rsid w:val="002276AC"/>
    <w:rsid w:val="00230825"/>
    <w:rsid w:val="00231CE3"/>
    <w:rsid w:val="0023304D"/>
    <w:rsid w:val="00234CC0"/>
    <w:rsid w:val="002350A2"/>
    <w:rsid w:val="00235CD6"/>
    <w:rsid w:val="00236375"/>
    <w:rsid w:val="00236F41"/>
    <w:rsid w:val="00240954"/>
    <w:rsid w:val="00241968"/>
    <w:rsid w:val="00242FBF"/>
    <w:rsid w:val="00242FF3"/>
    <w:rsid w:val="002438EA"/>
    <w:rsid w:val="00244984"/>
    <w:rsid w:val="00245D1C"/>
    <w:rsid w:val="00247AD1"/>
    <w:rsid w:val="00247F27"/>
    <w:rsid w:val="00250FD8"/>
    <w:rsid w:val="002517FA"/>
    <w:rsid w:val="00251DC3"/>
    <w:rsid w:val="00251FF6"/>
    <w:rsid w:val="0025207C"/>
    <w:rsid w:val="002528B6"/>
    <w:rsid w:val="00253741"/>
    <w:rsid w:val="0025378F"/>
    <w:rsid w:val="0025419A"/>
    <w:rsid w:val="00255ADA"/>
    <w:rsid w:val="0025632F"/>
    <w:rsid w:val="002572A4"/>
    <w:rsid w:val="00257B9B"/>
    <w:rsid w:val="00260507"/>
    <w:rsid w:val="00260D89"/>
    <w:rsid w:val="00261BAB"/>
    <w:rsid w:val="00262825"/>
    <w:rsid w:val="00262DA3"/>
    <w:rsid w:val="002632F8"/>
    <w:rsid w:val="00266464"/>
    <w:rsid w:val="002670D8"/>
    <w:rsid w:val="00267274"/>
    <w:rsid w:val="0026746E"/>
    <w:rsid w:val="002677B2"/>
    <w:rsid w:val="00267C86"/>
    <w:rsid w:val="00267E56"/>
    <w:rsid w:val="00270A56"/>
    <w:rsid w:val="00270C24"/>
    <w:rsid w:val="00271CC5"/>
    <w:rsid w:val="00272955"/>
    <w:rsid w:val="00273209"/>
    <w:rsid w:val="002732C5"/>
    <w:rsid w:val="002733CF"/>
    <w:rsid w:val="00275F08"/>
    <w:rsid w:val="00276EC4"/>
    <w:rsid w:val="0027771F"/>
    <w:rsid w:val="002825B8"/>
    <w:rsid w:val="00282853"/>
    <w:rsid w:val="00282B27"/>
    <w:rsid w:val="00282D7E"/>
    <w:rsid w:val="002833C0"/>
    <w:rsid w:val="00284966"/>
    <w:rsid w:val="00284C88"/>
    <w:rsid w:val="00285699"/>
    <w:rsid w:val="00285D2F"/>
    <w:rsid w:val="002868EA"/>
    <w:rsid w:val="00286A22"/>
    <w:rsid w:val="00286B7D"/>
    <w:rsid w:val="002941DD"/>
    <w:rsid w:val="00294CD8"/>
    <w:rsid w:val="0029726B"/>
    <w:rsid w:val="00297C53"/>
    <w:rsid w:val="002A0ED9"/>
    <w:rsid w:val="002A4069"/>
    <w:rsid w:val="002A4464"/>
    <w:rsid w:val="002A6325"/>
    <w:rsid w:val="002A761D"/>
    <w:rsid w:val="002B0C1F"/>
    <w:rsid w:val="002B0CA1"/>
    <w:rsid w:val="002B259A"/>
    <w:rsid w:val="002B4321"/>
    <w:rsid w:val="002B450A"/>
    <w:rsid w:val="002B5069"/>
    <w:rsid w:val="002B570A"/>
    <w:rsid w:val="002B5943"/>
    <w:rsid w:val="002B717E"/>
    <w:rsid w:val="002C104D"/>
    <w:rsid w:val="002C12D5"/>
    <w:rsid w:val="002C226A"/>
    <w:rsid w:val="002C40DD"/>
    <w:rsid w:val="002C483D"/>
    <w:rsid w:val="002C570D"/>
    <w:rsid w:val="002C5B19"/>
    <w:rsid w:val="002C7150"/>
    <w:rsid w:val="002D0200"/>
    <w:rsid w:val="002D10F2"/>
    <w:rsid w:val="002D174F"/>
    <w:rsid w:val="002D3222"/>
    <w:rsid w:val="002D6294"/>
    <w:rsid w:val="002E2B77"/>
    <w:rsid w:val="002E3213"/>
    <w:rsid w:val="002E393F"/>
    <w:rsid w:val="002E3F3E"/>
    <w:rsid w:val="002E4064"/>
    <w:rsid w:val="002E583E"/>
    <w:rsid w:val="002E6055"/>
    <w:rsid w:val="002E636C"/>
    <w:rsid w:val="002E6740"/>
    <w:rsid w:val="002E6A57"/>
    <w:rsid w:val="002E7BA3"/>
    <w:rsid w:val="002E7D3F"/>
    <w:rsid w:val="002F0A5E"/>
    <w:rsid w:val="002F3A9C"/>
    <w:rsid w:val="002F3C54"/>
    <w:rsid w:val="002F3FBD"/>
    <w:rsid w:val="002F4236"/>
    <w:rsid w:val="002F44E6"/>
    <w:rsid w:val="002F47EE"/>
    <w:rsid w:val="002F6732"/>
    <w:rsid w:val="002F7710"/>
    <w:rsid w:val="002F77B0"/>
    <w:rsid w:val="00300951"/>
    <w:rsid w:val="00302354"/>
    <w:rsid w:val="003024CF"/>
    <w:rsid w:val="00303317"/>
    <w:rsid w:val="00304A3E"/>
    <w:rsid w:val="00304ED6"/>
    <w:rsid w:val="00305DCD"/>
    <w:rsid w:val="00306ACC"/>
    <w:rsid w:val="00306EC0"/>
    <w:rsid w:val="00307656"/>
    <w:rsid w:val="0031045E"/>
    <w:rsid w:val="00310DC6"/>
    <w:rsid w:val="00311C83"/>
    <w:rsid w:val="00312830"/>
    <w:rsid w:val="0031328C"/>
    <w:rsid w:val="003136AC"/>
    <w:rsid w:val="003140C1"/>
    <w:rsid w:val="00314146"/>
    <w:rsid w:val="00314150"/>
    <w:rsid w:val="003142BB"/>
    <w:rsid w:val="00317DD5"/>
    <w:rsid w:val="00320058"/>
    <w:rsid w:val="003210CC"/>
    <w:rsid w:val="00321F06"/>
    <w:rsid w:val="0032201D"/>
    <w:rsid w:val="00323528"/>
    <w:rsid w:val="003241C8"/>
    <w:rsid w:val="003242C1"/>
    <w:rsid w:val="00325C66"/>
    <w:rsid w:val="00326AE5"/>
    <w:rsid w:val="003272AE"/>
    <w:rsid w:val="00330E59"/>
    <w:rsid w:val="00331799"/>
    <w:rsid w:val="00331985"/>
    <w:rsid w:val="00331CED"/>
    <w:rsid w:val="00331DC6"/>
    <w:rsid w:val="00332CB3"/>
    <w:rsid w:val="00332DEB"/>
    <w:rsid w:val="0033467E"/>
    <w:rsid w:val="0033525B"/>
    <w:rsid w:val="00335A03"/>
    <w:rsid w:val="00335B3C"/>
    <w:rsid w:val="00336059"/>
    <w:rsid w:val="003366B5"/>
    <w:rsid w:val="00336E1D"/>
    <w:rsid w:val="00337EAA"/>
    <w:rsid w:val="003408D4"/>
    <w:rsid w:val="00341C8E"/>
    <w:rsid w:val="00343355"/>
    <w:rsid w:val="003440EE"/>
    <w:rsid w:val="003441E8"/>
    <w:rsid w:val="0034427F"/>
    <w:rsid w:val="00345072"/>
    <w:rsid w:val="00346591"/>
    <w:rsid w:val="00346E20"/>
    <w:rsid w:val="0034701B"/>
    <w:rsid w:val="003515DF"/>
    <w:rsid w:val="003532E9"/>
    <w:rsid w:val="00355A5B"/>
    <w:rsid w:val="00360019"/>
    <w:rsid w:val="003601F1"/>
    <w:rsid w:val="0036086D"/>
    <w:rsid w:val="0036313F"/>
    <w:rsid w:val="00363210"/>
    <w:rsid w:val="00363698"/>
    <w:rsid w:val="00364A7D"/>
    <w:rsid w:val="003659ED"/>
    <w:rsid w:val="00365FB5"/>
    <w:rsid w:val="00366A1C"/>
    <w:rsid w:val="00367794"/>
    <w:rsid w:val="0036796D"/>
    <w:rsid w:val="003707F0"/>
    <w:rsid w:val="0037187D"/>
    <w:rsid w:val="003718FF"/>
    <w:rsid w:val="00373472"/>
    <w:rsid w:val="00375A27"/>
    <w:rsid w:val="00376E84"/>
    <w:rsid w:val="00380049"/>
    <w:rsid w:val="003805A4"/>
    <w:rsid w:val="00380FBF"/>
    <w:rsid w:val="00381076"/>
    <w:rsid w:val="0038175F"/>
    <w:rsid w:val="00382DA4"/>
    <w:rsid w:val="00384BE0"/>
    <w:rsid w:val="003859EE"/>
    <w:rsid w:val="00386BC0"/>
    <w:rsid w:val="0038757A"/>
    <w:rsid w:val="00390B5C"/>
    <w:rsid w:val="0039369C"/>
    <w:rsid w:val="003947BA"/>
    <w:rsid w:val="0039663D"/>
    <w:rsid w:val="00396F16"/>
    <w:rsid w:val="003971F6"/>
    <w:rsid w:val="003A0F94"/>
    <w:rsid w:val="003A3255"/>
    <w:rsid w:val="003A3385"/>
    <w:rsid w:val="003A3491"/>
    <w:rsid w:val="003A4B05"/>
    <w:rsid w:val="003A5086"/>
    <w:rsid w:val="003A5529"/>
    <w:rsid w:val="003A73C7"/>
    <w:rsid w:val="003A75A3"/>
    <w:rsid w:val="003A7C83"/>
    <w:rsid w:val="003B04B6"/>
    <w:rsid w:val="003B04F2"/>
    <w:rsid w:val="003B1164"/>
    <w:rsid w:val="003B2714"/>
    <w:rsid w:val="003B283B"/>
    <w:rsid w:val="003B307D"/>
    <w:rsid w:val="003B42F7"/>
    <w:rsid w:val="003B4AE1"/>
    <w:rsid w:val="003B5628"/>
    <w:rsid w:val="003B681C"/>
    <w:rsid w:val="003B7312"/>
    <w:rsid w:val="003C04E9"/>
    <w:rsid w:val="003C06AF"/>
    <w:rsid w:val="003C0960"/>
    <w:rsid w:val="003C2570"/>
    <w:rsid w:val="003C41E5"/>
    <w:rsid w:val="003C4B3E"/>
    <w:rsid w:val="003C655D"/>
    <w:rsid w:val="003C713D"/>
    <w:rsid w:val="003D247C"/>
    <w:rsid w:val="003D2AD2"/>
    <w:rsid w:val="003D36EC"/>
    <w:rsid w:val="003D3C2C"/>
    <w:rsid w:val="003D4691"/>
    <w:rsid w:val="003D5C88"/>
    <w:rsid w:val="003D6430"/>
    <w:rsid w:val="003D66A0"/>
    <w:rsid w:val="003D6D4B"/>
    <w:rsid w:val="003E044B"/>
    <w:rsid w:val="003E0516"/>
    <w:rsid w:val="003E0884"/>
    <w:rsid w:val="003E25C1"/>
    <w:rsid w:val="003E30A5"/>
    <w:rsid w:val="003E4349"/>
    <w:rsid w:val="003E637F"/>
    <w:rsid w:val="003E6F4A"/>
    <w:rsid w:val="003F0EC4"/>
    <w:rsid w:val="003F1EEA"/>
    <w:rsid w:val="003F3239"/>
    <w:rsid w:val="003F360E"/>
    <w:rsid w:val="003F4AF2"/>
    <w:rsid w:val="003F5997"/>
    <w:rsid w:val="003F7922"/>
    <w:rsid w:val="003F7F59"/>
    <w:rsid w:val="00401AD5"/>
    <w:rsid w:val="00403C9B"/>
    <w:rsid w:val="00405299"/>
    <w:rsid w:val="004072D0"/>
    <w:rsid w:val="00407545"/>
    <w:rsid w:val="00407C49"/>
    <w:rsid w:val="004103FA"/>
    <w:rsid w:val="00412C3D"/>
    <w:rsid w:val="004134B9"/>
    <w:rsid w:val="00413A5B"/>
    <w:rsid w:val="004149E1"/>
    <w:rsid w:val="0041514B"/>
    <w:rsid w:val="00415A4D"/>
    <w:rsid w:val="0041671A"/>
    <w:rsid w:val="00421B69"/>
    <w:rsid w:val="00421EA1"/>
    <w:rsid w:val="00422974"/>
    <w:rsid w:val="00422F53"/>
    <w:rsid w:val="00423311"/>
    <w:rsid w:val="004240FF"/>
    <w:rsid w:val="00424218"/>
    <w:rsid w:val="00425941"/>
    <w:rsid w:val="00425F38"/>
    <w:rsid w:val="00426F79"/>
    <w:rsid w:val="00430F20"/>
    <w:rsid w:val="004314C7"/>
    <w:rsid w:val="00431A73"/>
    <w:rsid w:val="0043237B"/>
    <w:rsid w:val="004336CD"/>
    <w:rsid w:val="00436ED2"/>
    <w:rsid w:val="004370DC"/>
    <w:rsid w:val="00437561"/>
    <w:rsid w:val="004376EC"/>
    <w:rsid w:val="00442EB5"/>
    <w:rsid w:val="00445CF0"/>
    <w:rsid w:val="00446620"/>
    <w:rsid w:val="00446F93"/>
    <w:rsid w:val="00447245"/>
    <w:rsid w:val="00447B2F"/>
    <w:rsid w:val="0045002D"/>
    <w:rsid w:val="00453261"/>
    <w:rsid w:val="0045640A"/>
    <w:rsid w:val="00457C60"/>
    <w:rsid w:val="00461350"/>
    <w:rsid w:val="00461D5F"/>
    <w:rsid w:val="00461DFF"/>
    <w:rsid w:val="00463ABF"/>
    <w:rsid w:val="00464F25"/>
    <w:rsid w:val="00466780"/>
    <w:rsid w:val="004703F4"/>
    <w:rsid w:val="004710E7"/>
    <w:rsid w:val="00472118"/>
    <w:rsid w:val="00473207"/>
    <w:rsid w:val="00473C4C"/>
    <w:rsid w:val="00474E44"/>
    <w:rsid w:val="00474F7B"/>
    <w:rsid w:val="0047517C"/>
    <w:rsid w:val="0047540E"/>
    <w:rsid w:val="00475E9A"/>
    <w:rsid w:val="00475F56"/>
    <w:rsid w:val="00480077"/>
    <w:rsid w:val="0048010C"/>
    <w:rsid w:val="004827F1"/>
    <w:rsid w:val="004831DA"/>
    <w:rsid w:val="0048469C"/>
    <w:rsid w:val="00484B2E"/>
    <w:rsid w:val="004856DD"/>
    <w:rsid w:val="00486C5B"/>
    <w:rsid w:val="00487257"/>
    <w:rsid w:val="0049154A"/>
    <w:rsid w:val="00491553"/>
    <w:rsid w:val="00491774"/>
    <w:rsid w:val="004917F0"/>
    <w:rsid w:val="004920D8"/>
    <w:rsid w:val="004922EB"/>
    <w:rsid w:val="00492AA6"/>
    <w:rsid w:val="004940DB"/>
    <w:rsid w:val="00494891"/>
    <w:rsid w:val="00495CEB"/>
    <w:rsid w:val="0049639A"/>
    <w:rsid w:val="00496BAC"/>
    <w:rsid w:val="00496F29"/>
    <w:rsid w:val="0049756D"/>
    <w:rsid w:val="004A1883"/>
    <w:rsid w:val="004A5B95"/>
    <w:rsid w:val="004A6834"/>
    <w:rsid w:val="004A6BE6"/>
    <w:rsid w:val="004A7A53"/>
    <w:rsid w:val="004B05B7"/>
    <w:rsid w:val="004B0856"/>
    <w:rsid w:val="004B0E3D"/>
    <w:rsid w:val="004B1464"/>
    <w:rsid w:val="004B15C0"/>
    <w:rsid w:val="004B21F9"/>
    <w:rsid w:val="004B260C"/>
    <w:rsid w:val="004B30A1"/>
    <w:rsid w:val="004B62C5"/>
    <w:rsid w:val="004B71EF"/>
    <w:rsid w:val="004C040D"/>
    <w:rsid w:val="004C1025"/>
    <w:rsid w:val="004C1229"/>
    <w:rsid w:val="004C1E15"/>
    <w:rsid w:val="004C1F1D"/>
    <w:rsid w:val="004C3771"/>
    <w:rsid w:val="004C403A"/>
    <w:rsid w:val="004C4B44"/>
    <w:rsid w:val="004C5DFB"/>
    <w:rsid w:val="004C7341"/>
    <w:rsid w:val="004C7AA7"/>
    <w:rsid w:val="004D2CF3"/>
    <w:rsid w:val="004D481A"/>
    <w:rsid w:val="004D5778"/>
    <w:rsid w:val="004D5C8F"/>
    <w:rsid w:val="004D6B68"/>
    <w:rsid w:val="004D6F60"/>
    <w:rsid w:val="004D71E1"/>
    <w:rsid w:val="004D744E"/>
    <w:rsid w:val="004D747B"/>
    <w:rsid w:val="004E0F37"/>
    <w:rsid w:val="004E1F50"/>
    <w:rsid w:val="004E2786"/>
    <w:rsid w:val="004E4DAF"/>
    <w:rsid w:val="004E6755"/>
    <w:rsid w:val="004E6AC1"/>
    <w:rsid w:val="004E6DFC"/>
    <w:rsid w:val="004E7007"/>
    <w:rsid w:val="004E7139"/>
    <w:rsid w:val="004E7AC9"/>
    <w:rsid w:val="004F094E"/>
    <w:rsid w:val="004F1EFD"/>
    <w:rsid w:val="004F229A"/>
    <w:rsid w:val="004F3250"/>
    <w:rsid w:val="004F34AA"/>
    <w:rsid w:val="004F388D"/>
    <w:rsid w:val="004F3CA0"/>
    <w:rsid w:val="004F3E5E"/>
    <w:rsid w:val="004F41AF"/>
    <w:rsid w:val="004F4289"/>
    <w:rsid w:val="004F670B"/>
    <w:rsid w:val="004F73AF"/>
    <w:rsid w:val="005003FC"/>
    <w:rsid w:val="0050041F"/>
    <w:rsid w:val="00501FFC"/>
    <w:rsid w:val="0050208C"/>
    <w:rsid w:val="005022B3"/>
    <w:rsid w:val="00502993"/>
    <w:rsid w:val="00504A25"/>
    <w:rsid w:val="00504D7F"/>
    <w:rsid w:val="00504F25"/>
    <w:rsid w:val="0050518D"/>
    <w:rsid w:val="00505471"/>
    <w:rsid w:val="00505E7A"/>
    <w:rsid w:val="005065FE"/>
    <w:rsid w:val="00510BE1"/>
    <w:rsid w:val="005136F0"/>
    <w:rsid w:val="005146D0"/>
    <w:rsid w:val="00515063"/>
    <w:rsid w:val="00520D04"/>
    <w:rsid w:val="00521314"/>
    <w:rsid w:val="00522A31"/>
    <w:rsid w:val="00523584"/>
    <w:rsid w:val="00523770"/>
    <w:rsid w:val="005241AC"/>
    <w:rsid w:val="005241C7"/>
    <w:rsid w:val="0052613C"/>
    <w:rsid w:val="005270F8"/>
    <w:rsid w:val="0053127C"/>
    <w:rsid w:val="005312B8"/>
    <w:rsid w:val="00531A53"/>
    <w:rsid w:val="0053202C"/>
    <w:rsid w:val="00534F5A"/>
    <w:rsid w:val="005356EE"/>
    <w:rsid w:val="00535E49"/>
    <w:rsid w:val="00536E62"/>
    <w:rsid w:val="00536F43"/>
    <w:rsid w:val="00537AE6"/>
    <w:rsid w:val="005419AD"/>
    <w:rsid w:val="00542C1F"/>
    <w:rsid w:val="0054325C"/>
    <w:rsid w:val="0054351B"/>
    <w:rsid w:val="00543A2C"/>
    <w:rsid w:val="00543C4A"/>
    <w:rsid w:val="00544097"/>
    <w:rsid w:val="00544127"/>
    <w:rsid w:val="005445BC"/>
    <w:rsid w:val="005453D9"/>
    <w:rsid w:val="00547525"/>
    <w:rsid w:val="00550222"/>
    <w:rsid w:val="00550367"/>
    <w:rsid w:val="00551E4E"/>
    <w:rsid w:val="00552323"/>
    <w:rsid w:val="00552F76"/>
    <w:rsid w:val="005530D4"/>
    <w:rsid w:val="005540AE"/>
    <w:rsid w:val="00554500"/>
    <w:rsid w:val="00554574"/>
    <w:rsid w:val="0055544F"/>
    <w:rsid w:val="00555964"/>
    <w:rsid w:val="00557BB8"/>
    <w:rsid w:val="00560D98"/>
    <w:rsid w:val="0056369A"/>
    <w:rsid w:val="00563737"/>
    <w:rsid w:val="0056509F"/>
    <w:rsid w:val="005650E7"/>
    <w:rsid w:val="0056566D"/>
    <w:rsid w:val="00565DCA"/>
    <w:rsid w:val="00567062"/>
    <w:rsid w:val="00570283"/>
    <w:rsid w:val="00570C47"/>
    <w:rsid w:val="0057336F"/>
    <w:rsid w:val="005767D1"/>
    <w:rsid w:val="00576E08"/>
    <w:rsid w:val="00577677"/>
    <w:rsid w:val="00580A6B"/>
    <w:rsid w:val="0058152E"/>
    <w:rsid w:val="00581F02"/>
    <w:rsid w:val="00584A36"/>
    <w:rsid w:val="00585BD5"/>
    <w:rsid w:val="005864D2"/>
    <w:rsid w:val="005866CC"/>
    <w:rsid w:val="00586C65"/>
    <w:rsid w:val="005875AA"/>
    <w:rsid w:val="0059044B"/>
    <w:rsid w:val="0059110F"/>
    <w:rsid w:val="005920F3"/>
    <w:rsid w:val="005921F2"/>
    <w:rsid w:val="00592536"/>
    <w:rsid w:val="005933CB"/>
    <w:rsid w:val="005937D7"/>
    <w:rsid w:val="00593FE9"/>
    <w:rsid w:val="00594D53"/>
    <w:rsid w:val="00595365"/>
    <w:rsid w:val="005969DA"/>
    <w:rsid w:val="00596A0E"/>
    <w:rsid w:val="00596F60"/>
    <w:rsid w:val="00597491"/>
    <w:rsid w:val="005976A2"/>
    <w:rsid w:val="005A0E2D"/>
    <w:rsid w:val="005A0F85"/>
    <w:rsid w:val="005A16EE"/>
    <w:rsid w:val="005A21BE"/>
    <w:rsid w:val="005A21C1"/>
    <w:rsid w:val="005A3002"/>
    <w:rsid w:val="005A30DA"/>
    <w:rsid w:val="005A358E"/>
    <w:rsid w:val="005A5607"/>
    <w:rsid w:val="005A5CCD"/>
    <w:rsid w:val="005A6D8B"/>
    <w:rsid w:val="005B0E7A"/>
    <w:rsid w:val="005B158E"/>
    <w:rsid w:val="005B2296"/>
    <w:rsid w:val="005B42D6"/>
    <w:rsid w:val="005B5804"/>
    <w:rsid w:val="005B5B22"/>
    <w:rsid w:val="005B5FEF"/>
    <w:rsid w:val="005B6824"/>
    <w:rsid w:val="005B7BB9"/>
    <w:rsid w:val="005B7C63"/>
    <w:rsid w:val="005B7DDA"/>
    <w:rsid w:val="005C23D2"/>
    <w:rsid w:val="005C32CB"/>
    <w:rsid w:val="005C4C48"/>
    <w:rsid w:val="005C68E1"/>
    <w:rsid w:val="005C6FBC"/>
    <w:rsid w:val="005C71C7"/>
    <w:rsid w:val="005C7677"/>
    <w:rsid w:val="005C76E4"/>
    <w:rsid w:val="005C78CB"/>
    <w:rsid w:val="005C79E6"/>
    <w:rsid w:val="005D0497"/>
    <w:rsid w:val="005D2558"/>
    <w:rsid w:val="005D46A6"/>
    <w:rsid w:val="005D48D4"/>
    <w:rsid w:val="005D5989"/>
    <w:rsid w:val="005D5A41"/>
    <w:rsid w:val="005D6F04"/>
    <w:rsid w:val="005D7259"/>
    <w:rsid w:val="005D7707"/>
    <w:rsid w:val="005E0987"/>
    <w:rsid w:val="005E1436"/>
    <w:rsid w:val="005E1770"/>
    <w:rsid w:val="005E218B"/>
    <w:rsid w:val="005E2321"/>
    <w:rsid w:val="005E244E"/>
    <w:rsid w:val="005E29C6"/>
    <w:rsid w:val="005E3683"/>
    <w:rsid w:val="005E453F"/>
    <w:rsid w:val="005E495A"/>
    <w:rsid w:val="005E52D2"/>
    <w:rsid w:val="005E6F48"/>
    <w:rsid w:val="005F3697"/>
    <w:rsid w:val="005F37F6"/>
    <w:rsid w:val="005F3FAC"/>
    <w:rsid w:val="005F4762"/>
    <w:rsid w:val="005F4820"/>
    <w:rsid w:val="005F537A"/>
    <w:rsid w:val="005F6A02"/>
    <w:rsid w:val="00601742"/>
    <w:rsid w:val="00601911"/>
    <w:rsid w:val="00601EA2"/>
    <w:rsid w:val="006027B0"/>
    <w:rsid w:val="00602FD0"/>
    <w:rsid w:val="00603160"/>
    <w:rsid w:val="00603DA3"/>
    <w:rsid w:val="00604486"/>
    <w:rsid w:val="006045FF"/>
    <w:rsid w:val="006057A6"/>
    <w:rsid w:val="006057F7"/>
    <w:rsid w:val="006070A2"/>
    <w:rsid w:val="00611019"/>
    <w:rsid w:val="0061252A"/>
    <w:rsid w:val="006127F8"/>
    <w:rsid w:val="006140B0"/>
    <w:rsid w:val="00615523"/>
    <w:rsid w:val="00615767"/>
    <w:rsid w:val="0061588B"/>
    <w:rsid w:val="00615FA7"/>
    <w:rsid w:val="00616C7B"/>
    <w:rsid w:val="00617128"/>
    <w:rsid w:val="00617241"/>
    <w:rsid w:val="00617EE9"/>
    <w:rsid w:val="0062256E"/>
    <w:rsid w:val="00623A8B"/>
    <w:rsid w:val="00624205"/>
    <w:rsid w:val="00624356"/>
    <w:rsid w:val="00625711"/>
    <w:rsid w:val="0062574E"/>
    <w:rsid w:val="00627014"/>
    <w:rsid w:val="00627BC2"/>
    <w:rsid w:val="00632C38"/>
    <w:rsid w:val="0063428F"/>
    <w:rsid w:val="006344C7"/>
    <w:rsid w:val="006344E5"/>
    <w:rsid w:val="0063518F"/>
    <w:rsid w:val="006353E3"/>
    <w:rsid w:val="00635514"/>
    <w:rsid w:val="00637C4F"/>
    <w:rsid w:val="00640511"/>
    <w:rsid w:val="0064194A"/>
    <w:rsid w:val="00642C83"/>
    <w:rsid w:val="0064335B"/>
    <w:rsid w:val="006440FB"/>
    <w:rsid w:val="0064736F"/>
    <w:rsid w:val="00647F1D"/>
    <w:rsid w:val="00651BD1"/>
    <w:rsid w:val="006541CB"/>
    <w:rsid w:val="00654A71"/>
    <w:rsid w:val="006570EA"/>
    <w:rsid w:val="00657B7A"/>
    <w:rsid w:val="00661CED"/>
    <w:rsid w:val="00661DB4"/>
    <w:rsid w:val="0066374C"/>
    <w:rsid w:val="00664B47"/>
    <w:rsid w:val="00664BCE"/>
    <w:rsid w:val="00666167"/>
    <w:rsid w:val="00670EC2"/>
    <w:rsid w:val="0067254A"/>
    <w:rsid w:val="0067303D"/>
    <w:rsid w:val="0067348B"/>
    <w:rsid w:val="00674240"/>
    <w:rsid w:val="006744D4"/>
    <w:rsid w:val="0067529C"/>
    <w:rsid w:val="0067553C"/>
    <w:rsid w:val="006765C9"/>
    <w:rsid w:val="006778AD"/>
    <w:rsid w:val="0067798E"/>
    <w:rsid w:val="006808C4"/>
    <w:rsid w:val="00680BAD"/>
    <w:rsid w:val="006817AB"/>
    <w:rsid w:val="00681E64"/>
    <w:rsid w:val="00682653"/>
    <w:rsid w:val="006838D0"/>
    <w:rsid w:val="00684FA4"/>
    <w:rsid w:val="006850B2"/>
    <w:rsid w:val="00685A04"/>
    <w:rsid w:val="00687AE7"/>
    <w:rsid w:val="00690127"/>
    <w:rsid w:val="0069395B"/>
    <w:rsid w:val="00695AD3"/>
    <w:rsid w:val="006976CA"/>
    <w:rsid w:val="006A0DBF"/>
    <w:rsid w:val="006A0E5C"/>
    <w:rsid w:val="006A2C29"/>
    <w:rsid w:val="006A3244"/>
    <w:rsid w:val="006A4DA8"/>
    <w:rsid w:val="006A63A6"/>
    <w:rsid w:val="006A75F8"/>
    <w:rsid w:val="006A7B6C"/>
    <w:rsid w:val="006A7EFE"/>
    <w:rsid w:val="006A7F5A"/>
    <w:rsid w:val="006B04D8"/>
    <w:rsid w:val="006B053E"/>
    <w:rsid w:val="006B0FAE"/>
    <w:rsid w:val="006B1221"/>
    <w:rsid w:val="006B229B"/>
    <w:rsid w:val="006B2769"/>
    <w:rsid w:val="006B3553"/>
    <w:rsid w:val="006B363E"/>
    <w:rsid w:val="006B5B25"/>
    <w:rsid w:val="006B6FD8"/>
    <w:rsid w:val="006B75BD"/>
    <w:rsid w:val="006B7862"/>
    <w:rsid w:val="006B7F33"/>
    <w:rsid w:val="006C02A8"/>
    <w:rsid w:val="006C0395"/>
    <w:rsid w:val="006C1025"/>
    <w:rsid w:val="006C214F"/>
    <w:rsid w:val="006C2A5A"/>
    <w:rsid w:val="006C2BB9"/>
    <w:rsid w:val="006C30CB"/>
    <w:rsid w:val="006C3EA1"/>
    <w:rsid w:val="006C4D75"/>
    <w:rsid w:val="006C6CB2"/>
    <w:rsid w:val="006C7AC2"/>
    <w:rsid w:val="006D00B8"/>
    <w:rsid w:val="006D1DFF"/>
    <w:rsid w:val="006D342E"/>
    <w:rsid w:val="006D62E0"/>
    <w:rsid w:val="006D76EB"/>
    <w:rsid w:val="006E004E"/>
    <w:rsid w:val="006E0599"/>
    <w:rsid w:val="006E1332"/>
    <w:rsid w:val="006E1596"/>
    <w:rsid w:val="006E1A50"/>
    <w:rsid w:val="006E1E16"/>
    <w:rsid w:val="006E2E57"/>
    <w:rsid w:val="006E32A5"/>
    <w:rsid w:val="006E3927"/>
    <w:rsid w:val="006E5153"/>
    <w:rsid w:val="006E533D"/>
    <w:rsid w:val="006E67D5"/>
    <w:rsid w:val="006E6A64"/>
    <w:rsid w:val="006F0072"/>
    <w:rsid w:val="006F049C"/>
    <w:rsid w:val="006F0E2E"/>
    <w:rsid w:val="006F0EF3"/>
    <w:rsid w:val="006F13D2"/>
    <w:rsid w:val="006F1479"/>
    <w:rsid w:val="006F1D5A"/>
    <w:rsid w:val="006F1E21"/>
    <w:rsid w:val="006F27A7"/>
    <w:rsid w:val="006F2CB0"/>
    <w:rsid w:val="006F35D2"/>
    <w:rsid w:val="006F427D"/>
    <w:rsid w:val="006F4DFC"/>
    <w:rsid w:val="006F4F50"/>
    <w:rsid w:val="006F5AE9"/>
    <w:rsid w:val="006F65FE"/>
    <w:rsid w:val="00701BC5"/>
    <w:rsid w:val="007026F6"/>
    <w:rsid w:val="007032D0"/>
    <w:rsid w:val="007044C8"/>
    <w:rsid w:val="0070465A"/>
    <w:rsid w:val="00704733"/>
    <w:rsid w:val="00706A22"/>
    <w:rsid w:val="00710015"/>
    <w:rsid w:val="007100E1"/>
    <w:rsid w:val="00712438"/>
    <w:rsid w:val="00712F1F"/>
    <w:rsid w:val="007135BF"/>
    <w:rsid w:val="00714723"/>
    <w:rsid w:val="00717C9F"/>
    <w:rsid w:val="00717DD3"/>
    <w:rsid w:val="007206DA"/>
    <w:rsid w:val="00720C03"/>
    <w:rsid w:val="007226D7"/>
    <w:rsid w:val="007246E6"/>
    <w:rsid w:val="00724CCF"/>
    <w:rsid w:val="00724DC5"/>
    <w:rsid w:val="00730473"/>
    <w:rsid w:val="00730511"/>
    <w:rsid w:val="00731025"/>
    <w:rsid w:val="00731A27"/>
    <w:rsid w:val="00731C9F"/>
    <w:rsid w:val="0073234E"/>
    <w:rsid w:val="0073278D"/>
    <w:rsid w:val="0073326C"/>
    <w:rsid w:val="00733367"/>
    <w:rsid w:val="00734FC6"/>
    <w:rsid w:val="007360EC"/>
    <w:rsid w:val="00736D35"/>
    <w:rsid w:val="00737E6E"/>
    <w:rsid w:val="00740028"/>
    <w:rsid w:val="00741915"/>
    <w:rsid w:val="00741A96"/>
    <w:rsid w:val="00743621"/>
    <w:rsid w:val="007439BB"/>
    <w:rsid w:val="00744AB8"/>
    <w:rsid w:val="00744B1D"/>
    <w:rsid w:val="007451A1"/>
    <w:rsid w:val="00745667"/>
    <w:rsid w:val="00745D87"/>
    <w:rsid w:val="00746A44"/>
    <w:rsid w:val="00746DAF"/>
    <w:rsid w:val="00747D9E"/>
    <w:rsid w:val="0075076D"/>
    <w:rsid w:val="00750C4D"/>
    <w:rsid w:val="007518F0"/>
    <w:rsid w:val="0075389B"/>
    <w:rsid w:val="00755404"/>
    <w:rsid w:val="00755BCE"/>
    <w:rsid w:val="00755F96"/>
    <w:rsid w:val="007572D7"/>
    <w:rsid w:val="007572F8"/>
    <w:rsid w:val="007574EA"/>
    <w:rsid w:val="007601EB"/>
    <w:rsid w:val="00761789"/>
    <w:rsid w:val="00761957"/>
    <w:rsid w:val="00761F3C"/>
    <w:rsid w:val="0076343A"/>
    <w:rsid w:val="00765DCB"/>
    <w:rsid w:val="00767171"/>
    <w:rsid w:val="00767F54"/>
    <w:rsid w:val="00770A6D"/>
    <w:rsid w:val="00771491"/>
    <w:rsid w:val="00771C45"/>
    <w:rsid w:val="00771E87"/>
    <w:rsid w:val="00772DF7"/>
    <w:rsid w:val="00774044"/>
    <w:rsid w:val="007743DF"/>
    <w:rsid w:val="00774DA0"/>
    <w:rsid w:val="0077657A"/>
    <w:rsid w:val="00777077"/>
    <w:rsid w:val="0078093E"/>
    <w:rsid w:val="00781E1A"/>
    <w:rsid w:val="007832EE"/>
    <w:rsid w:val="007867F4"/>
    <w:rsid w:val="00786A0E"/>
    <w:rsid w:val="00786F90"/>
    <w:rsid w:val="00787702"/>
    <w:rsid w:val="00790B5C"/>
    <w:rsid w:val="007915C6"/>
    <w:rsid w:val="007921D6"/>
    <w:rsid w:val="00792367"/>
    <w:rsid w:val="0079299E"/>
    <w:rsid w:val="00794195"/>
    <w:rsid w:val="0079435B"/>
    <w:rsid w:val="00794480"/>
    <w:rsid w:val="0079462D"/>
    <w:rsid w:val="007947E9"/>
    <w:rsid w:val="0079506B"/>
    <w:rsid w:val="00795AEA"/>
    <w:rsid w:val="00796C47"/>
    <w:rsid w:val="007A17EC"/>
    <w:rsid w:val="007A2274"/>
    <w:rsid w:val="007A28EF"/>
    <w:rsid w:val="007A3E75"/>
    <w:rsid w:val="007A50BC"/>
    <w:rsid w:val="007A5DEA"/>
    <w:rsid w:val="007A5FB5"/>
    <w:rsid w:val="007A7862"/>
    <w:rsid w:val="007A7EE4"/>
    <w:rsid w:val="007B0548"/>
    <w:rsid w:val="007B0CB2"/>
    <w:rsid w:val="007B10C5"/>
    <w:rsid w:val="007B149D"/>
    <w:rsid w:val="007B17F8"/>
    <w:rsid w:val="007B3D10"/>
    <w:rsid w:val="007B4455"/>
    <w:rsid w:val="007B4CD3"/>
    <w:rsid w:val="007B4F69"/>
    <w:rsid w:val="007B5A4B"/>
    <w:rsid w:val="007B6530"/>
    <w:rsid w:val="007B71E9"/>
    <w:rsid w:val="007C0589"/>
    <w:rsid w:val="007C08A0"/>
    <w:rsid w:val="007C0B22"/>
    <w:rsid w:val="007C0BF5"/>
    <w:rsid w:val="007C0E7B"/>
    <w:rsid w:val="007C1292"/>
    <w:rsid w:val="007C2200"/>
    <w:rsid w:val="007C2E52"/>
    <w:rsid w:val="007C34D3"/>
    <w:rsid w:val="007C3BE8"/>
    <w:rsid w:val="007C4640"/>
    <w:rsid w:val="007C507D"/>
    <w:rsid w:val="007C578B"/>
    <w:rsid w:val="007C57FB"/>
    <w:rsid w:val="007C5F1E"/>
    <w:rsid w:val="007C5F74"/>
    <w:rsid w:val="007C6E9D"/>
    <w:rsid w:val="007C782B"/>
    <w:rsid w:val="007D1455"/>
    <w:rsid w:val="007D153F"/>
    <w:rsid w:val="007D1BA5"/>
    <w:rsid w:val="007D1D60"/>
    <w:rsid w:val="007D1DBD"/>
    <w:rsid w:val="007D3DA2"/>
    <w:rsid w:val="007D4865"/>
    <w:rsid w:val="007D4BEE"/>
    <w:rsid w:val="007D5960"/>
    <w:rsid w:val="007D5A2A"/>
    <w:rsid w:val="007D614B"/>
    <w:rsid w:val="007D6A81"/>
    <w:rsid w:val="007D7D5D"/>
    <w:rsid w:val="007E0032"/>
    <w:rsid w:val="007E024C"/>
    <w:rsid w:val="007E0837"/>
    <w:rsid w:val="007E0C08"/>
    <w:rsid w:val="007E3E1E"/>
    <w:rsid w:val="007E4020"/>
    <w:rsid w:val="007E6842"/>
    <w:rsid w:val="007E7005"/>
    <w:rsid w:val="007F15E3"/>
    <w:rsid w:val="007F172B"/>
    <w:rsid w:val="007F423C"/>
    <w:rsid w:val="007F4BB0"/>
    <w:rsid w:val="007F712F"/>
    <w:rsid w:val="007F7C46"/>
    <w:rsid w:val="007F7DAE"/>
    <w:rsid w:val="007F7FF0"/>
    <w:rsid w:val="00801C01"/>
    <w:rsid w:val="00803393"/>
    <w:rsid w:val="00803D43"/>
    <w:rsid w:val="00804739"/>
    <w:rsid w:val="00804AFB"/>
    <w:rsid w:val="008051F8"/>
    <w:rsid w:val="00807661"/>
    <w:rsid w:val="008108BA"/>
    <w:rsid w:val="00810BB1"/>
    <w:rsid w:val="0081184F"/>
    <w:rsid w:val="00811C20"/>
    <w:rsid w:val="00812830"/>
    <w:rsid w:val="0081494F"/>
    <w:rsid w:val="0081620E"/>
    <w:rsid w:val="00816655"/>
    <w:rsid w:val="00816E7F"/>
    <w:rsid w:val="00820151"/>
    <w:rsid w:val="008205BB"/>
    <w:rsid w:val="00821B0F"/>
    <w:rsid w:val="00821E2A"/>
    <w:rsid w:val="0082650B"/>
    <w:rsid w:val="00826CD0"/>
    <w:rsid w:val="00827639"/>
    <w:rsid w:val="00827BFF"/>
    <w:rsid w:val="00830750"/>
    <w:rsid w:val="00830EBB"/>
    <w:rsid w:val="00831594"/>
    <w:rsid w:val="00831B16"/>
    <w:rsid w:val="00831CAF"/>
    <w:rsid w:val="0083268B"/>
    <w:rsid w:val="0083296E"/>
    <w:rsid w:val="008329FC"/>
    <w:rsid w:val="00835565"/>
    <w:rsid w:val="008375AB"/>
    <w:rsid w:val="008378E5"/>
    <w:rsid w:val="008401FE"/>
    <w:rsid w:val="00840269"/>
    <w:rsid w:val="0084155F"/>
    <w:rsid w:val="00842A1C"/>
    <w:rsid w:val="00844AF5"/>
    <w:rsid w:val="00845BAE"/>
    <w:rsid w:val="00845F42"/>
    <w:rsid w:val="00846F8B"/>
    <w:rsid w:val="0085069E"/>
    <w:rsid w:val="00853DA5"/>
    <w:rsid w:val="008545EE"/>
    <w:rsid w:val="008546EA"/>
    <w:rsid w:val="00855089"/>
    <w:rsid w:val="00855D00"/>
    <w:rsid w:val="00856494"/>
    <w:rsid w:val="0085791E"/>
    <w:rsid w:val="00860D6B"/>
    <w:rsid w:val="0086104F"/>
    <w:rsid w:val="008616D2"/>
    <w:rsid w:val="00862FC9"/>
    <w:rsid w:val="00864A87"/>
    <w:rsid w:val="00865535"/>
    <w:rsid w:val="00870A85"/>
    <w:rsid w:val="008724CD"/>
    <w:rsid w:val="0087321E"/>
    <w:rsid w:val="00873692"/>
    <w:rsid w:val="0087492C"/>
    <w:rsid w:val="00874968"/>
    <w:rsid w:val="00874BD3"/>
    <w:rsid w:val="00874D68"/>
    <w:rsid w:val="00875B88"/>
    <w:rsid w:val="008777D4"/>
    <w:rsid w:val="00877FF4"/>
    <w:rsid w:val="00882994"/>
    <w:rsid w:val="00883299"/>
    <w:rsid w:val="008851C9"/>
    <w:rsid w:val="00887363"/>
    <w:rsid w:val="00890B4C"/>
    <w:rsid w:val="00890FDB"/>
    <w:rsid w:val="0089136E"/>
    <w:rsid w:val="00891B73"/>
    <w:rsid w:val="00892386"/>
    <w:rsid w:val="008927C1"/>
    <w:rsid w:val="008932AB"/>
    <w:rsid w:val="0089497F"/>
    <w:rsid w:val="00895D5A"/>
    <w:rsid w:val="00896806"/>
    <w:rsid w:val="00897B92"/>
    <w:rsid w:val="008A0021"/>
    <w:rsid w:val="008A2550"/>
    <w:rsid w:val="008A2F73"/>
    <w:rsid w:val="008A32CD"/>
    <w:rsid w:val="008A33DA"/>
    <w:rsid w:val="008A37E4"/>
    <w:rsid w:val="008A4330"/>
    <w:rsid w:val="008A4CF2"/>
    <w:rsid w:val="008A537B"/>
    <w:rsid w:val="008A5AE1"/>
    <w:rsid w:val="008A637D"/>
    <w:rsid w:val="008A68CA"/>
    <w:rsid w:val="008A6C74"/>
    <w:rsid w:val="008A7A0D"/>
    <w:rsid w:val="008B1294"/>
    <w:rsid w:val="008B28D6"/>
    <w:rsid w:val="008B46BA"/>
    <w:rsid w:val="008B499A"/>
    <w:rsid w:val="008B4AD4"/>
    <w:rsid w:val="008C0020"/>
    <w:rsid w:val="008C21B2"/>
    <w:rsid w:val="008C2C61"/>
    <w:rsid w:val="008C2F94"/>
    <w:rsid w:val="008C32DD"/>
    <w:rsid w:val="008C3680"/>
    <w:rsid w:val="008C3C45"/>
    <w:rsid w:val="008C40DF"/>
    <w:rsid w:val="008C4998"/>
    <w:rsid w:val="008C508C"/>
    <w:rsid w:val="008C61F3"/>
    <w:rsid w:val="008C707F"/>
    <w:rsid w:val="008C7E8E"/>
    <w:rsid w:val="008D0104"/>
    <w:rsid w:val="008D0788"/>
    <w:rsid w:val="008D2883"/>
    <w:rsid w:val="008D2ACD"/>
    <w:rsid w:val="008D47D2"/>
    <w:rsid w:val="008D4DCF"/>
    <w:rsid w:val="008D58CA"/>
    <w:rsid w:val="008D7E52"/>
    <w:rsid w:val="008E07AB"/>
    <w:rsid w:val="008E1434"/>
    <w:rsid w:val="008E184D"/>
    <w:rsid w:val="008E2A4C"/>
    <w:rsid w:val="008E3303"/>
    <w:rsid w:val="008E3C63"/>
    <w:rsid w:val="008E4B6C"/>
    <w:rsid w:val="008E4F99"/>
    <w:rsid w:val="008E5502"/>
    <w:rsid w:val="008E57A0"/>
    <w:rsid w:val="008E60C7"/>
    <w:rsid w:val="008E623E"/>
    <w:rsid w:val="008E69FD"/>
    <w:rsid w:val="008E6C2B"/>
    <w:rsid w:val="008E6CDF"/>
    <w:rsid w:val="008E72BF"/>
    <w:rsid w:val="008E7DA0"/>
    <w:rsid w:val="008F0B33"/>
    <w:rsid w:val="008F1C4D"/>
    <w:rsid w:val="008F313C"/>
    <w:rsid w:val="008F37DC"/>
    <w:rsid w:val="008F3EDF"/>
    <w:rsid w:val="008F41B6"/>
    <w:rsid w:val="008F6E4B"/>
    <w:rsid w:val="008F70A5"/>
    <w:rsid w:val="0090006B"/>
    <w:rsid w:val="009016F4"/>
    <w:rsid w:val="00902196"/>
    <w:rsid w:val="009021A6"/>
    <w:rsid w:val="0090396F"/>
    <w:rsid w:val="009047BB"/>
    <w:rsid w:val="00904D95"/>
    <w:rsid w:val="00904FE2"/>
    <w:rsid w:val="009052C0"/>
    <w:rsid w:val="0090614E"/>
    <w:rsid w:val="009070B1"/>
    <w:rsid w:val="009100A5"/>
    <w:rsid w:val="0091041E"/>
    <w:rsid w:val="00910A38"/>
    <w:rsid w:val="0091111F"/>
    <w:rsid w:val="009125E4"/>
    <w:rsid w:val="009128A7"/>
    <w:rsid w:val="00914994"/>
    <w:rsid w:val="00915645"/>
    <w:rsid w:val="00916F36"/>
    <w:rsid w:val="00920772"/>
    <w:rsid w:val="00921149"/>
    <w:rsid w:val="009218AD"/>
    <w:rsid w:val="009220A2"/>
    <w:rsid w:val="00923D93"/>
    <w:rsid w:val="00924815"/>
    <w:rsid w:val="00924D76"/>
    <w:rsid w:val="0092507D"/>
    <w:rsid w:val="00925E9B"/>
    <w:rsid w:val="009261B0"/>
    <w:rsid w:val="00927050"/>
    <w:rsid w:val="009279FE"/>
    <w:rsid w:val="00927FC5"/>
    <w:rsid w:val="0093103B"/>
    <w:rsid w:val="009311A3"/>
    <w:rsid w:val="009322BC"/>
    <w:rsid w:val="009323F9"/>
    <w:rsid w:val="0093299E"/>
    <w:rsid w:val="009339A0"/>
    <w:rsid w:val="00935AA9"/>
    <w:rsid w:val="009371E4"/>
    <w:rsid w:val="009400E7"/>
    <w:rsid w:val="00940233"/>
    <w:rsid w:val="00943856"/>
    <w:rsid w:val="00944B03"/>
    <w:rsid w:val="0094659A"/>
    <w:rsid w:val="0094733F"/>
    <w:rsid w:val="00947A5E"/>
    <w:rsid w:val="00947E88"/>
    <w:rsid w:val="009509E4"/>
    <w:rsid w:val="0095144A"/>
    <w:rsid w:val="009522FF"/>
    <w:rsid w:val="009529B9"/>
    <w:rsid w:val="00952D53"/>
    <w:rsid w:val="00954ECB"/>
    <w:rsid w:val="0095530E"/>
    <w:rsid w:val="009559F0"/>
    <w:rsid w:val="00956335"/>
    <w:rsid w:val="009563C7"/>
    <w:rsid w:val="00956EA8"/>
    <w:rsid w:val="009571D8"/>
    <w:rsid w:val="00957311"/>
    <w:rsid w:val="00957A05"/>
    <w:rsid w:val="00957E2B"/>
    <w:rsid w:val="00962669"/>
    <w:rsid w:val="0096314F"/>
    <w:rsid w:val="00963155"/>
    <w:rsid w:val="00965290"/>
    <w:rsid w:val="009659AA"/>
    <w:rsid w:val="00966CC1"/>
    <w:rsid w:val="009679C0"/>
    <w:rsid w:val="00967EF1"/>
    <w:rsid w:val="009709A3"/>
    <w:rsid w:val="00970DFF"/>
    <w:rsid w:val="009723A8"/>
    <w:rsid w:val="00972ED3"/>
    <w:rsid w:val="00973294"/>
    <w:rsid w:val="00974990"/>
    <w:rsid w:val="00976376"/>
    <w:rsid w:val="0097785C"/>
    <w:rsid w:val="00981DFF"/>
    <w:rsid w:val="00981F51"/>
    <w:rsid w:val="00982050"/>
    <w:rsid w:val="0098328E"/>
    <w:rsid w:val="00984E72"/>
    <w:rsid w:val="009855D3"/>
    <w:rsid w:val="00986356"/>
    <w:rsid w:val="00986E9F"/>
    <w:rsid w:val="00987F98"/>
    <w:rsid w:val="00990C2C"/>
    <w:rsid w:val="009915E7"/>
    <w:rsid w:val="009948CE"/>
    <w:rsid w:val="00994B59"/>
    <w:rsid w:val="00994EAC"/>
    <w:rsid w:val="00995986"/>
    <w:rsid w:val="00996BA0"/>
    <w:rsid w:val="0099716B"/>
    <w:rsid w:val="009979B4"/>
    <w:rsid w:val="009A0196"/>
    <w:rsid w:val="009A0F7C"/>
    <w:rsid w:val="009A1643"/>
    <w:rsid w:val="009A2D2B"/>
    <w:rsid w:val="009A3529"/>
    <w:rsid w:val="009A5B7F"/>
    <w:rsid w:val="009A5F74"/>
    <w:rsid w:val="009A657D"/>
    <w:rsid w:val="009A66E1"/>
    <w:rsid w:val="009B0184"/>
    <w:rsid w:val="009B3F42"/>
    <w:rsid w:val="009B414F"/>
    <w:rsid w:val="009B4C5C"/>
    <w:rsid w:val="009B50CB"/>
    <w:rsid w:val="009B55A0"/>
    <w:rsid w:val="009B610F"/>
    <w:rsid w:val="009B6650"/>
    <w:rsid w:val="009B6E90"/>
    <w:rsid w:val="009C0594"/>
    <w:rsid w:val="009C1B45"/>
    <w:rsid w:val="009C2668"/>
    <w:rsid w:val="009C2EAA"/>
    <w:rsid w:val="009C38DF"/>
    <w:rsid w:val="009C4D22"/>
    <w:rsid w:val="009C554F"/>
    <w:rsid w:val="009C594F"/>
    <w:rsid w:val="009C5E72"/>
    <w:rsid w:val="009C6919"/>
    <w:rsid w:val="009C7666"/>
    <w:rsid w:val="009D032C"/>
    <w:rsid w:val="009D0600"/>
    <w:rsid w:val="009D07CA"/>
    <w:rsid w:val="009D0E06"/>
    <w:rsid w:val="009D231E"/>
    <w:rsid w:val="009D28D1"/>
    <w:rsid w:val="009D293E"/>
    <w:rsid w:val="009D3DFD"/>
    <w:rsid w:val="009D4B9E"/>
    <w:rsid w:val="009D5705"/>
    <w:rsid w:val="009D61EC"/>
    <w:rsid w:val="009E0ED5"/>
    <w:rsid w:val="009E0F72"/>
    <w:rsid w:val="009E2F70"/>
    <w:rsid w:val="009E3204"/>
    <w:rsid w:val="009E4233"/>
    <w:rsid w:val="009E495F"/>
    <w:rsid w:val="009E5A35"/>
    <w:rsid w:val="009E674C"/>
    <w:rsid w:val="009F0266"/>
    <w:rsid w:val="009F0460"/>
    <w:rsid w:val="009F189B"/>
    <w:rsid w:val="009F2DC8"/>
    <w:rsid w:val="009F2E92"/>
    <w:rsid w:val="009F2F18"/>
    <w:rsid w:val="009F326B"/>
    <w:rsid w:val="009F586D"/>
    <w:rsid w:val="009F64F2"/>
    <w:rsid w:val="009F67E5"/>
    <w:rsid w:val="009F7FCC"/>
    <w:rsid w:val="00A00576"/>
    <w:rsid w:val="00A00B73"/>
    <w:rsid w:val="00A0107C"/>
    <w:rsid w:val="00A01243"/>
    <w:rsid w:val="00A023CE"/>
    <w:rsid w:val="00A02876"/>
    <w:rsid w:val="00A02A00"/>
    <w:rsid w:val="00A02C32"/>
    <w:rsid w:val="00A03F36"/>
    <w:rsid w:val="00A04C09"/>
    <w:rsid w:val="00A04FB6"/>
    <w:rsid w:val="00A06164"/>
    <w:rsid w:val="00A06F04"/>
    <w:rsid w:val="00A07B93"/>
    <w:rsid w:val="00A115A5"/>
    <w:rsid w:val="00A1203E"/>
    <w:rsid w:val="00A130E1"/>
    <w:rsid w:val="00A131C0"/>
    <w:rsid w:val="00A14C7B"/>
    <w:rsid w:val="00A15B69"/>
    <w:rsid w:val="00A214AC"/>
    <w:rsid w:val="00A219E9"/>
    <w:rsid w:val="00A21ABF"/>
    <w:rsid w:val="00A21B6E"/>
    <w:rsid w:val="00A22BDC"/>
    <w:rsid w:val="00A24BB3"/>
    <w:rsid w:val="00A252D9"/>
    <w:rsid w:val="00A2626F"/>
    <w:rsid w:val="00A26B4B"/>
    <w:rsid w:val="00A277F9"/>
    <w:rsid w:val="00A27C51"/>
    <w:rsid w:val="00A30808"/>
    <w:rsid w:val="00A309E8"/>
    <w:rsid w:val="00A32445"/>
    <w:rsid w:val="00A33EC3"/>
    <w:rsid w:val="00A341AF"/>
    <w:rsid w:val="00A353C7"/>
    <w:rsid w:val="00A3570C"/>
    <w:rsid w:val="00A35761"/>
    <w:rsid w:val="00A35824"/>
    <w:rsid w:val="00A406BF"/>
    <w:rsid w:val="00A407BF"/>
    <w:rsid w:val="00A41C8F"/>
    <w:rsid w:val="00A41F86"/>
    <w:rsid w:val="00A42F83"/>
    <w:rsid w:val="00A448D1"/>
    <w:rsid w:val="00A467E3"/>
    <w:rsid w:val="00A50992"/>
    <w:rsid w:val="00A50F9A"/>
    <w:rsid w:val="00A51201"/>
    <w:rsid w:val="00A517B4"/>
    <w:rsid w:val="00A51B5B"/>
    <w:rsid w:val="00A5253F"/>
    <w:rsid w:val="00A54131"/>
    <w:rsid w:val="00A6075E"/>
    <w:rsid w:val="00A60AC0"/>
    <w:rsid w:val="00A61376"/>
    <w:rsid w:val="00A6151B"/>
    <w:rsid w:val="00A64033"/>
    <w:rsid w:val="00A64650"/>
    <w:rsid w:val="00A666DB"/>
    <w:rsid w:val="00A70063"/>
    <w:rsid w:val="00A704B6"/>
    <w:rsid w:val="00A70D4C"/>
    <w:rsid w:val="00A71631"/>
    <w:rsid w:val="00A71683"/>
    <w:rsid w:val="00A7241B"/>
    <w:rsid w:val="00A7249B"/>
    <w:rsid w:val="00A726AD"/>
    <w:rsid w:val="00A73383"/>
    <w:rsid w:val="00A73528"/>
    <w:rsid w:val="00A7461F"/>
    <w:rsid w:val="00A75D1D"/>
    <w:rsid w:val="00A76898"/>
    <w:rsid w:val="00A76F2E"/>
    <w:rsid w:val="00A77595"/>
    <w:rsid w:val="00A77804"/>
    <w:rsid w:val="00A80C9C"/>
    <w:rsid w:val="00A821EE"/>
    <w:rsid w:val="00A8277B"/>
    <w:rsid w:val="00A82A3F"/>
    <w:rsid w:val="00A834A6"/>
    <w:rsid w:val="00A8368A"/>
    <w:rsid w:val="00A8405A"/>
    <w:rsid w:val="00A84E1D"/>
    <w:rsid w:val="00A853A0"/>
    <w:rsid w:val="00A87581"/>
    <w:rsid w:val="00A875F6"/>
    <w:rsid w:val="00A90283"/>
    <w:rsid w:val="00A9092F"/>
    <w:rsid w:val="00A9159F"/>
    <w:rsid w:val="00A9231B"/>
    <w:rsid w:val="00A933BE"/>
    <w:rsid w:val="00A93E73"/>
    <w:rsid w:val="00A94C96"/>
    <w:rsid w:val="00A95918"/>
    <w:rsid w:val="00A96E90"/>
    <w:rsid w:val="00A972DE"/>
    <w:rsid w:val="00A97A8D"/>
    <w:rsid w:val="00A97CCD"/>
    <w:rsid w:val="00A97D29"/>
    <w:rsid w:val="00AA0EBA"/>
    <w:rsid w:val="00AA19C5"/>
    <w:rsid w:val="00AA2EF0"/>
    <w:rsid w:val="00AA4BBC"/>
    <w:rsid w:val="00AA50D1"/>
    <w:rsid w:val="00AA670D"/>
    <w:rsid w:val="00AA71E1"/>
    <w:rsid w:val="00AA7527"/>
    <w:rsid w:val="00AB0B9C"/>
    <w:rsid w:val="00AB12D6"/>
    <w:rsid w:val="00AB1BF7"/>
    <w:rsid w:val="00AB371D"/>
    <w:rsid w:val="00AB5568"/>
    <w:rsid w:val="00AB5F9B"/>
    <w:rsid w:val="00AB6042"/>
    <w:rsid w:val="00AC0625"/>
    <w:rsid w:val="00AC0842"/>
    <w:rsid w:val="00AC196E"/>
    <w:rsid w:val="00AC3793"/>
    <w:rsid w:val="00AC5087"/>
    <w:rsid w:val="00AC5E99"/>
    <w:rsid w:val="00AC6880"/>
    <w:rsid w:val="00AC73A8"/>
    <w:rsid w:val="00AC73BB"/>
    <w:rsid w:val="00AD0071"/>
    <w:rsid w:val="00AD03B4"/>
    <w:rsid w:val="00AD05B3"/>
    <w:rsid w:val="00AD0694"/>
    <w:rsid w:val="00AD0BB4"/>
    <w:rsid w:val="00AD1C22"/>
    <w:rsid w:val="00AD1E5F"/>
    <w:rsid w:val="00AD3395"/>
    <w:rsid w:val="00AD3F28"/>
    <w:rsid w:val="00AD5771"/>
    <w:rsid w:val="00AD6065"/>
    <w:rsid w:val="00AD7B98"/>
    <w:rsid w:val="00AE109B"/>
    <w:rsid w:val="00AE21D7"/>
    <w:rsid w:val="00AE258A"/>
    <w:rsid w:val="00AE28E4"/>
    <w:rsid w:val="00AE35C9"/>
    <w:rsid w:val="00AE3B0F"/>
    <w:rsid w:val="00AE4655"/>
    <w:rsid w:val="00AE4C82"/>
    <w:rsid w:val="00AE680B"/>
    <w:rsid w:val="00AE6812"/>
    <w:rsid w:val="00AE6A4A"/>
    <w:rsid w:val="00AF006D"/>
    <w:rsid w:val="00AF02F7"/>
    <w:rsid w:val="00AF0C8D"/>
    <w:rsid w:val="00AF0D29"/>
    <w:rsid w:val="00AF13F7"/>
    <w:rsid w:val="00AF1490"/>
    <w:rsid w:val="00AF2A12"/>
    <w:rsid w:val="00AF426B"/>
    <w:rsid w:val="00AF44EC"/>
    <w:rsid w:val="00AF5A00"/>
    <w:rsid w:val="00AF6807"/>
    <w:rsid w:val="00AF7D44"/>
    <w:rsid w:val="00B00984"/>
    <w:rsid w:val="00B0114F"/>
    <w:rsid w:val="00B01A94"/>
    <w:rsid w:val="00B02AFB"/>
    <w:rsid w:val="00B03438"/>
    <w:rsid w:val="00B036CF"/>
    <w:rsid w:val="00B0385F"/>
    <w:rsid w:val="00B0490E"/>
    <w:rsid w:val="00B04D60"/>
    <w:rsid w:val="00B0588F"/>
    <w:rsid w:val="00B061B6"/>
    <w:rsid w:val="00B064A8"/>
    <w:rsid w:val="00B07049"/>
    <w:rsid w:val="00B109C1"/>
    <w:rsid w:val="00B10CA1"/>
    <w:rsid w:val="00B119DB"/>
    <w:rsid w:val="00B12D55"/>
    <w:rsid w:val="00B13BEC"/>
    <w:rsid w:val="00B14286"/>
    <w:rsid w:val="00B14A1E"/>
    <w:rsid w:val="00B156D2"/>
    <w:rsid w:val="00B15F2C"/>
    <w:rsid w:val="00B16923"/>
    <w:rsid w:val="00B21E33"/>
    <w:rsid w:val="00B222AA"/>
    <w:rsid w:val="00B226FA"/>
    <w:rsid w:val="00B23226"/>
    <w:rsid w:val="00B238D6"/>
    <w:rsid w:val="00B23BD9"/>
    <w:rsid w:val="00B24480"/>
    <w:rsid w:val="00B24C53"/>
    <w:rsid w:val="00B262DF"/>
    <w:rsid w:val="00B27619"/>
    <w:rsid w:val="00B315D9"/>
    <w:rsid w:val="00B31970"/>
    <w:rsid w:val="00B32659"/>
    <w:rsid w:val="00B3265A"/>
    <w:rsid w:val="00B32CDC"/>
    <w:rsid w:val="00B33D73"/>
    <w:rsid w:val="00B33DB8"/>
    <w:rsid w:val="00B34778"/>
    <w:rsid w:val="00B3524C"/>
    <w:rsid w:val="00B35355"/>
    <w:rsid w:val="00B358AB"/>
    <w:rsid w:val="00B411F9"/>
    <w:rsid w:val="00B44D23"/>
    <w:rsid w:val="00B45290"/>
    <w:rsid w:val="00B45CF6"/>
    <w:rsid w:val="00B45D5E"/>
    <w:rsid w:val="00B46834"/>
    <w:rsid w:val="00B46BC3"/>
    <w:rsid w:val="00B472DD"/>
    <w:rsid w:val="00B47B5C"/>
    <w:rsid w:val="00B47F9B"/>
    <w:rsid w:val="00B5052A"/>
    <w:rsid w:val="00B50D62"/>
    <w:rsid w:val="00B518B0"/>
    <w:rsid w:val="00B51BE0"/>
    <w:rsid w:val="00B546FE"/>
    <w:rsid w:val="00B54FBA"/>
    <w:rsid w:val="00B55B9E"/>
    <w:rsid w:val="00B560A5"/>
    <w:rsid w:val="00B56E45"/>
    <w:rsid w:val="00B60127"/>
    <w:rsid w:val="00B6167B"/>
    <w:rsid w:val="00B63404"/>
    <w:rsid w:val="00B63616"/>
    <w:rsid w:val="00B64131"/>
    <w:rsid w:val="00B65099"/>
    <w:rsid w:val="00B65A73"/>
    <w:rsid w:val="00B6674C"/>
    <w:rsid w:val="00B671AD"/>
    <w:rsid w:val="00B67938"/>
    <w:rsid w:val="00B67F67"/>
    <w:rsid w:val="00B71760"/>
    <w:rsid w:val="00B71B82"/>
    <w:rsid w:val="00B737A5"/>
    <w:rsid w:val="00B75335"/>
    <w:rsid w:val="00B760E6"/>
    <w:rsid w:val="00B768A8"/>
    <w:rsid w:val="00B76BE0"/>
    <w:rsid w:val="00B77237"/>
    <w:rsid w:val="00B7798A"/>
    <w:rsid w:val="00B8077F"/>
    <w:rsid w:val="00B81698"/>
    <w:rsid w:val="00B81C3B"/>
    <w:rsid w:val="00B82BCE"/>
    <w:rsid w:val="00B83297"/>
    <w:rsid w:val="00B83A5B"/>
    <w:rsid w:val="00B84413"/>
    <w:rsid w:val="00B861E0"/>
    <w:rsid w:val="00B9044B"/>
    <w:rsid w:val="00B90E74"/>
    <w:rsid w:val="00B955B5"/>
    <w:rsid w:val="00B96593"/>
    <w:rsid w:val="00B97B28"/>
    <w:rsid w:val="00B97FCD"/>
    <w:rsid w:val="00BA3E69"/>
    <w:rsid w:val="00BA58A5"/>
    <w:rsid w:val="00BA5BB2"/>
    <w:rsid w:val="00BA5D21"/>
    <w:rsid w:val="00BB081C"/>
    <w:rsid w:val="00BB16B6"/>
    <w:rsid w:val="00BB21C7"/>
    <w:rsid w:val="00BB3326"/>
    <w:rsid w:val="00BB48C8"/>
    <w:rsid w:val="00BB4934"/>
    <w:rsid w:val="00BB4A47"/>
    <w:rsid w:val="00BB4D78"/>
    <w:rsid w:val="00BB515E"/>
    <w:rsid w:val="00BB5928"/>
    <w:rsid w:val="00BB5C1D"/>
    <w:rsid w:val="00BB7EB0"/>
    <w:rsid w:val="00BC05C3"/>
    <w:rsid w:val="00BC1358"/>
    <w:rsid w:val="00BC148F"/>
    <w:rsid w:val="00BC4AC5"/>
    <w:rsid w:val="00BC4AEE"/>
    <w:rsid w:val="00BC50CD"/>
    <w:rsid w:val="00BC638C"/>
    <w:rsid w:val="00BD141E"/>
    <w:rsid w:val="00BD184D"/>
    <w:rsid w:val="00BD4D1A"/>
    <w:rsid w:val="00BD5166"/>
    <w:rsid w:val="00BD57B6"/>
    <w:rsid w:val="00BD7185"/>
    <w:rsid w:val="00BD7495"/>
    <w:rsid w:val="00BD75B8"/>
    <w:rsid w:val="00BD785C"/>
    <w:rsid w:val="00BD7E3D"/>
    <w:rsid w:val="00BE0435"/>
    <w:rsid w:val="00BE114D"/>
    <w:rsid w:val="00BE20A3"/>
    <w:rsid w:val="00BE22E7"/>
    <w:rsid w:val="00BE2416"/>
    <w:rsid w:val="00BE26A7"/>
    <w:rsid w:val="00BE2AF4"/>
    <w:rsid w:val="00BE33B1"/>
    <w:rsid w:val="00BE3D13"/>
    <w:rsid w:val="00BE3FD0"/>
    <w:rsid w:val="00BE414C"/>
    <w:rsid w:val="00BE5432"/>
    <w:rsid w:val="00BE5B0F"/>
    <w:rsid w:val="00BE67C9"/>
    <w:rsid w:val="00BE6F6E"/>
    <w:rsid w:val="00BE7745"/>
    <w:rsid w:val="00BF123E"/>
    <w:rsid w:val="00BF28FB"/>
    <w:rsid w:val="00BF2966"/>
    <w:rsid w:val="00BF35D2"/>
    <w:rsid w:val="00BF3722"/>
    <w:rsid w:val="00BF3D6D"/>
    <w:rsid w:val="00BF48D5"/>
    <w:rsid w:val="00BF54A8"/>
    <w:rsid w:val="00BF6048"/>
    <w:rsid w:val="00BF60C0"/>
    <w:rsid w:val="00BF77A8"/>
    <w:rsid w:val="00BF7F2E"/>
    <w:rsid w:val="00C048BE"/>
    <w:rsid w:val="00C06479"/>
    <w:rsid w:val="00C07E88"/>
    <w:rsid w:val="00C10A84"/>
    <w:rsid w:val="00C13631"/>
    <w:rsid w:val="00C1374C"/>
    <w:rsid w:val="00C13857"/>
    <w:rsid w:val="00C14303"/>
    <w:rsid w:val="00C15C72"/>
    <w:rsid w:val="00C162B1"/>
    <w:rsid w:val="00C1655A"/>
    <w:rsid w:val="00C168F8"/>
    <w:rsid w:val="00C213B1"/>
    <w:rsid w:val="00C271E8"/>
    <w:rsid w:val="00C31C9D"/>
    <w:rsid w:val="00C323F3"/>
    <w:rsid w:val="00C325B1"/>
    <w:rsid w:val="00C348B8"/>
    <w:rsid w:val="00C3528F"/>
    <w:rsid w:val="00C36CB9"/>
    <w:rsid w:val="00C37D87"/>
    <w:rsid w:val="00C405C1"/>
    <w:rsid w:val="00C40FAD"/>
    <w:rsid w:val="00C41CF2"/>
    <w:rsid w:val="00C4399A"/>
    <w:rsid w:val="00C43B3D"/>
    <w:rsid w:val="00C451CF"/>
    <w:rsid w:val="00C45218"/>
    <w:rsid w:val="00C45914"/>
    <w:rsid w:val="00C45CB4"/>
    <w:rsid w:val="00C50025"/>
    <w:rsid w:val="00C5022D"/>
    <w:rsid w:val="00C502C4"/>
    <w:rsid w:val="00C50C8A"/>
    <w:rsid w:val="00C53434"/>
    <w:rsid w:val="00C53F11"/>
    <w:rsid w:val="00C5410B"/>
    <w:rsid w:val="00C56910"/>
    <w:rsid w:val="00C56A2D"/>
    <w:rsid w:val="00C56D38"/>
    <w:rsid w:val="00C579D2"/>
    <w:rsid w:val="00C57F4D"/>
    <w:rsid w:val="00C61A1E"/>
    <w:rsid w:val="00C61AF5"/>
    <w:rsid w:val="00C63C3E"/>
    <w:rsid w:val="00C657DA"/>
    <w:rsid w:val="00C65CF3"/>
    <w:rsid w:val="00C66FC2"/>
    <w:rsid w:val="00C67BFA"/>
    <w:rsid w:val="00C70988"/>
    <w:rsid w:val="00C709BD"/>
    <w:rsid w:val="00C72627"/>
    <w:rsid w:val="00C7365E"/>
    <w:rsid w:val="00C737A4"/>
    <w:rsid w:val="00C7389D"/>
    <w:rsid w:val="00C738D5"/>
    <w:rsid w:val="00C73C70"/>
    <w:rsid w:val="00C74254"/>
    <w:rsid w:val="00C7445F"/>
    <w:rsid w:val="00C7620D"/>
    <w:rsid w:val="00C76AA5"/>
    <w:rsid w:val="00C77A7A"/>
    <w:rsid w:val="00C77FB9"/>
    <w:rsid w:val="00C809E1"/>
    <w:rsid w:val="00C80CA7"/>
    <w:rsid w:val="00C81FA4"/>
    <w:rsid w:val="00C82A6F"/>
    <w:rsid w:val="00C82CDB"/>
    <w:rsid w:val="00C83AC3"/>
    <w:rsid w:val="00C84B6D"/>
    <w:rsid w:val="00C85446"/>
    <w:rsid w:val="00C85D64"/>
    <w:rsid w:val="00C86403"/>
    <w:rsid w:val="00C87858"/>
    <w:rsid w:val="00C91159"/>
    <w:rsid w:val="00C914C5"/>
    <w:rsid w:val="00C918AE"/>
    <w:rsid w:val="00C91DF8"/>
    <w:rsid w:val="00C92507"/>
    <w:rsid w:val="00C9279C"/>
    <w:rsid w:val="00C9327F"/>
    <w:rsid w:val="00C957C4"/>
    <w:rsid w:val="00C96E6E"/>
    <w:rsid w:val="00C97B84"/>
    <w:rsid w:val="00C97C05"/>
    <w:rsid w:val="00CA1B70"/>
    <w:rsid w:val="00CA1BE0"/>
    <w:rsid w:val="00CA2AD9"/>
    <w:rsid w:val="00CA6E5E"/>
    <w:rsid w:val="00CA706A"/>
    <w:rsid w:val="00CA7543"/>
    <w:rsid w:val="00CB2190"/>
    <w:rsid w:val="00CB23D7"/>
    <w:rsid w:val="00CB2711"/>
    <w:rsid w:val="00CB3E25"/>
    <w:rsid w:val="00CB5854"/>
    <w:rsid w:val="00CB687E"/>
    <w:rsid w:val="00CB6DBE"/>
    <w:rsid w:val="00CB714A"/>
    <w:rsid w:val="00CB734F"/>
    <w:rsid w:val="00CB78AF"/>
    <w:rsid w:val="00CC0EA3"/>
    <w:rsid w:val="00CC2524"/>
    <w:rsid w:val="00CC2BAF"/>
    <w:rsid w:val="00CC2DF9"/>
    <w:rsid w:val="00CC3B70"/>
    <w:rsid w:val="00CC4653"/>
    <w:rsid w:val="00CC4DB1"/>
    <w:rsid w:val="00CC4E35"/>
    <w:rsid w:val="00CC5893"/>
    <w:rsid w:val="00CC5A0D"/>
    <w:rsid w:val="00CC5A30"/>
    <w:rsid w:val="00CC6DD1"/>
    <w:rsid w:val="00CD368A"/>
    <w:rsid w:val="00CD3C18"/>
    <w:rsid w:val="00CD54AF"/>
    <w:rsid w:val="00CD5A00"/>
    <w:rsid w:val="00CD6ED2"/>
    <w:rsid w:val="00CD773B"/>
    <w:rsid w:val="00CD7F0C"/>
    <w:rsid w:val="00CE1551"/>
    <w:rsid w:val="00CE27B0"/>
    <w:rsid w:val="00CE2ECC"/>
    <w:rsid w:val="00CE392A"/>
    <w:rsid w:val="00CE456E"/>
    <w:rsid w:val="00CE4877"/>
    <w:rsid w:val="00CE4DD3"/>
    <w:rsid w:val="00CE542B"/>
    <w:rsid w:val="00CE5C45"/>
    <w:rsid w:val="00CE5CE6"/>
    <w:rsid w:val="00CE62B8"/>
    <w:rsid w:val="00CE6B67"/>
    <w:rsid w:val="00CE76F4"/>
    <w:rsid w:val="00CE78E1"/>
    <w:rsid w:val="00CF05C4"/>
    <w:rsid w:val="00CF0FDE"/>
    <w:rsid w:val="00CF1087"/>
    <w:rsid w:val="00CF15F5"/>
    <w:rsid w:val="00CF2A0B"/>
    <w:rsid w:val="00CF3FB4"/>
    <w:rsid w:val="00CF4FF6"/>
    <w:rsid w:val="00CF5CF9"/>
    <w:rsid w:val="00CF5D9B"/>
    <w:rsid w:val="00CF6AE1"/>
    <w:rsid w:val="00CF6B2B"/>
    <w:rsid w:val="00CF77AA"/>
    <w:rsid w:val="00D00E1E"/>
    <w:rsid w:val="00D01505"/>
    <w:rsid w:val="00D01FA9"/>
    <w:rsid w:val="00D02563"/>
    <w:rsid w:val="00D0492E"/>
    <w:rsid w:val="00D04D03"/>
    <w:rsid w:val="00D066B9"/>
    <w:rsid w:val="00D14807"/>
    <w:rsid w:val="00D14DD8"/>
    <w:rsid w:val="00D15BEF"/>
    <w:rsid w:val="00D15E7B"/>
    <w:rsid w:val="00D17629"/>
    <w:rsid w:val="00D17859"/>
    <w:rsid w:val="00D17AD5"/>
    <w:rsid w:val="00D17C73"/>
    <w:rsid w:val="00D17FEB"/>
    <w:rsid w:val="00D208D8"/>
    <w:rsid w:val="00D20F1B"/>
    <w:rsid w:val="00D23FD2"/>
    <w:rsid w:val="00D25C69"/>
    <w:rsid w:val="00D26CD4"/>
    <w:rsid w:val="00D31805"/>
    <w:rsid w:val="00D32326"/>
    <w:rsid w:val="00D323D7"/>
    <w:rsid w:val="00D34EA5"/>
    <w:rsid w:val="00D36341"/>
    <w:rsid w:val="00D36B37"/>
    <w:rsid w:val="00D4322F"/>
    <w:rsid w:val="00D43618"/>
    <w:rsid w:val="00D448F7"/>
    <w:rsid w:val="00D47003"/>
    <w:rsid w:val="00D5005B"/>
    <w:rsid w:val="00D50255"/>
    <w:rsid w:val="00D521BE"/>
    <w:rsid w:val="00D53DD2"/>
    <w:rsid w:val="00D54D48"/>
    <w:rsid w:val="00D551E3"/>
    <w:rsid w:val="00D562F6"/>
    <w:rsid w:val="00D562FD"/>
    <w:rsid w:val="00D57704"/>
    <w:rsid w:val="00D578AD"/>
    <w:rsid w:val="00D57B39"/>
    <w:rsid w:val="00D57BAE"/>
    <w:rsid w:val="00D60FB2"/>
    <w:rsid w:val="00D61978"/>
    <w:rsid w:val="00D626CF"/>
    <w:rsid w:val="00D6419E"/>
    <w:rsid w:val="00D65929"/>
    <w:rsid w:val="00D65E4D"/>
    <w:rsid w:val="00D67BAF"/>
    <w:rsid w:val="00D70DC4"/>
    <w:rsid w:val="00D711E6"/>
    <w:rsid w:val="00D7326E"/>
    <w:rsid w:val="00D733F8"/>
    <w:rsid w:val="00D7378C"/>
    <w:rsid w:val="00D750EF"/>
    <w:rsid w:val="00D7515F"/>
    <w:rsid w:val="00D75CC2"/>
    <w:rsid w:val="00D77139"/>
    <w:rsid w:val="00D80884"/>
    <w:rsid w:val="00D80F74"/>
    <w:rsid w:val="00D81037"/>
    <w:rsid w:val="00D82144"/>
    <w:rsid w:val="00D8217B"/>
    <w:rsid w:val="00D8284E"/>
    <w:rsid w:val="00D8514D"/>
    <w:rsid w:val="00D8617B"/>
    <w:rsid w:val="00D8785E"/>
    <w:rsid w:val="00D90A12"/>
    <w:rsid w:val="00D90CCB"/>
    <w:rsid w:val="00D920DD"/>
    <w:rsid w:val="00D92CAD"/>
    <w:rsid w:val="00D955A6"/>
    <w:rsid w:val="00D957C7"/>
    <w:rsid w:val="00D95F8D"/>
    <w:rsid w:val="00D975CB"/>
    <w:rsid w:val="00D97BBE"/>
    <w:rsid w:val="00D97C63"/>
    <w:rsid w:val="00DA08B1"/>
    <w:rsid w:val="00DA0BE8"/>
    <w:rsid w:val="00DA0F86"/>
    <w:rsid w:val="00DA1C68"/>
    <w:rsid w:val="00DA3EC0"/>
    <w:rsid w:val="00DA424C"/>
    <w:rsid w:val="00DA53FD"/>
    <w:rsid w:val="00DA5750"/>
    <w:rsid w:val="00DA5ADD"/>
    <w:rsid w:val="00DA618C"/>
    <w:rsid w:val="00DA634C"/>
    <w:rsid w:val="00DA6B04"/>
    <w:rsid w:val="00DA7875"/>
    <w:rsid w:val="00DA78E4"/>
    <w:rsid w:val="00DA7D5E"/>
    <w:rsid w:val="00DA7DA2"/>
    <w:rsid w:val="00DA7FCF"/>
    <w:rsid w:val="00DB07E0"/>
    <w:rsid w:val="00DB24B3"/>
    <w:rsid w:val="00DB25E8"/>
    <w:rsid w:val="00DB3652"/>
    <w:rsid w:val="00DB3DBA"/>
    <w:rsid w:val="00DB46DC"/>
    <w:rsid w:val="00DB6472"/>
    <w:rsid w:val="00DB6C3E"/>
    <w:rsid w:val="00DC03FB"/>
    <w:rsid w:val="00DC0730"/>
    <w:rsid w:val="00DC09FD"/>
    <w:rsid w:val="00DC0EB6"/>
    <w:rsid w:val="00DC23B2"/>
    <w:rsid w:val="00DC266F"/>
    <w:rsid w:val="00DC271F"/>
    <w:rsid w:val="00DC449F"/>
    <w:rsid w:val="00DC5B14"/>
    <w:rsid w:val="00DC6FD6"/>
    <w:rsid w:val="00DC7AE3"/>
    <w:rsid w:val="00DD045D"/>
    <w:rsid w:val="00DD0958"/>
    <w:rsid w:val="00DD3CE2"/>
    <w:rsid w:val="00DD3FA7"/>
    <w:rsid w:val="00DD5980"/>
    <w:rsid w:val="00DD7447"/>
    <w:rsid w:val="00DD7920"/>
    <w:rsid w:val="00DD7CC1"/>
    <w:rsid w:val="00DE210D"/>
    <w:rsid w:val="00DE23B7"/>
    <w:rsid w:val="00DE3335"/>
    <w:rsid w:val="00DE3663"/>
    <w:rsid w:val="00DE3719"/>
    <w:rsid w:val="00DE3960"/>
    <w:rsid w:val="00DE4093"/>
    <w:rsid w:val="00DE4B53"/>
    <w:rsid w:val="00DE5B95"/>
    <w:rsid w:val="00DE6B01"/>
    <w:rsid w:val="00DE6CDF"/>
    <w:rsid w:val="00DE6D59"/>
    <w:rsid w:val="00DE6E21"/>
    <w:rsid w:val="00DF101C"/>
    <w:rsid w:val="00DF13A9"/>
    <w:rsid w:val="00DF18D4"/>
    <w:rsid w:val="00DF1FCA"/>
    <w:rsid w:val="00DF2423"/>
    <w:rsid w:val="00DF30AC"/>
    <w:rsid w:val="00DF3AF9"/>
    <w:rsid w:val="00DF493E"/>
    <w:rsid w:val="00DF52D2"/>
    <w:rsid w:val="00DF5770"/>
    <w:rsid w:val="00DF5F3D"/>
    <w:rsid w:val="00DF6A75"/>
    <w:rsid w:val="00DF6C9A"/>
    <w:rsid w:val="00DF735D"/>
    <w:rsid w:val="00E001C6"/>
    <w:rsid w:val="00E00BA5"/>
    <w:rsid w:val="00E00F4B"/>
    <w:rsid w:val="00E02917"/>
    <w:rsid w:val="00E04E08"/>
    <w:rsid w:val="00E05BAC"/>
    <w:rsid w:val="00E10B3E"/>
    <w:rsid w:val="00E10E22"/>
    <w:rsid w:val="00E1362B"/>
    <w:rsid w:val="00E14277"/>
    <w:rsid w:val="00E15AD0"/>
    <w:rsid w:val="00E17B72"/>
    <w:rsid w:val="00E2074B"/>
    <w:rsid w:val="00E20A2A"/>
    <w:rsid w:val="00E222AE"/>
    <w:rsid w:val="00E22E74"/>
    <w:rsid w:val="00E239FE"/>
    <w:rsid w:val="00E23EF6"/>
    <w:rsid w:val="00E24DF3"/>
    <w:rsid w:val="00E24F15"/>
    <w:rsid w:val="00E25A10"/>
    <w:rsid w:val="00E26577"/>
    <w:rsid w:val="00E26FC5"/>
    <w:rsid w:val="00E27731"/>
    <w:rsid w:val="00E278BF"/>
    <w:rsid w:val="00E32B9D"/>
    <w:rsid w:val="00E3327C"/>
    <w:rsid w:val="00E33444"/>
    <w:rsid w:val="00E354A0"/>
    <w:rsid w:val="00E36591"/>
    <w:rsid w:val="00E36F59"/>
    <w:rsid w:val="00E3749D"/>
    <w:rsid w:val="00E37EE4"/>
    <w:rsid w:val="00E4010D"/>
    <w:rsid w:val="00E40489"/>
    <w:rsid w:val="00E41450"/>
    <w:rsid w:val="00E42055"/>
    <w:rsid w:val="00E43217"/>
    <w:rsid w:val="00E435C7"/>
    <w:rsid w:val="00E45D1A"/>
    <w:rsid w:val="00E47064"/>
    <w:rsid w:val="00E47E6C"/>
    <w:rsid w:val="00E5017C"/>
    <w:rsid w:val="00E505B6"/>
    <w:rsid w:val="00E52A2C"/>
    <w:rsid w:val="00E52A51"/>
    <w:rsid w:val="00E531F3"/>
    <w:rsid w:val="00E548D2"/>
    <w:rsid w:val="00E548E3"/>
    <w:rsid w:val="00E54901"/>
    <w:rsid w:val="00E5555B"/>
    <w:rsid w:val="00E5657C"/>
    <w:rsid w:val="00E568CF"/>
    <w:rsid w:val="00E57036"/>
    <w:rsid w:val="00E57425"/>
    <w:rsid w:val="00E609E7"/>
    <w:rsid w:val="00E61334"/>
    <w:rsid w:val="00E62CFB"/>
    <w:rsid w:val="00E633E2"/>
    <w:rsid w:val="00E63AA1"/>
    <w:rsid w:val="00E64998"/>
    <w:rsid w:val="00E65217"/>
    <w:rsid w:val="00E66C64"/>
    <w:rsid w:val="00E6740F"/>
    <w:rsid w:val="00E70D6B"/>
    <w:rsid w:val="00E71753"/>
    <w:rsid w:val="00E719F3"/>
    <w:rsid w:val="00E71C59"/>
    <w:rsid w:val="00E732D8"/>
    <w:rsid w:val="00E7414B"/>
    <w:rsid w:val="00E768A6"/>
    <w:rsid w:val="00E807BF"/>
    <w:rsid w:val="00E80E80"/>
    <w:rsid w:val="00E814F8"/>
    <w:rsid w:val="00E8338A"/>
    <w:rsid w:val="00E83405"/>
    <w:rsid w:val="00E83430"/>
    <w:rsid w:val="00E84622"/>
    <w:rsid w:val="00E84905"/>
    <w:rsid w:val="00E853A0"/>
    <w:rsid w:val="00E8629D"/>
    <w:rsid w:val="00E86ADC"/>
    <w:rsid w:val="00E91449"/>
    <w:rsid w:val="00E92401"/>
    <w:rsid w:val="00E92EBE"/>
    <w:rsid w:val="00E941FB"/>
    <w:rsid w:val="00E9461D"/>
    <w:rsid w:val="00E94F24"/>
    <w:rsid w:val="00E959E1"/>
    <w:rsid w:val="00EA06FF"/>
    <w:rsid w:val="00EA0CEE"/>
    <w:rsid w:val="00EA17B4"/>
    <w:rsid w:val="00EA21D8"/>
    <w:rsid w:val="00EA307F"/>
    <w:rsid w:val="00EA37A1"/>
    <w:rsid w:val="00EA402B"/>
    <w:rsid w:val="00EA4C80"/>
    <w:rsid w:val="00EA5892"/>
    <w:rsid w:val="00EA591A"/>
    <w:rsid w:val="00EB4F0C"/>
    <w:rsid w:val="00EB6B4D"/>
    <w:rsid w:val="00EB76B1"/>
    <w:rsid w:val="00EC0604"/>
    <w:rsid w:val="00EC1543"/>
    <w:rsid w:val="00EC2A41"/>
    <w:rsid w:val="00EC2B99"/>
    <w:rsid w:val="00EC3635"/>
    <w:rsid w:val="00EC3F94"/>
    <w:rsid w:val="00EC481B"/>
    <w:rsid w:val="00EC653A"/>
    <w:rsid w:val="00EC78D9"/>
    <w:rsid w:val="00EC7AFD"/>
    <w:rsid w:val="00ED1F70"/>
    <w:rsid w:val="00ED24EE"/>
    <w:rsid w:val="00ED316A"/>
    <w:rsid w:val="00ED3644"/>
    <w:rsid w:val="00ED4572"/>
    <w:rsid w:val="00ED4E0B"/>
    <w:rsid w:val="00ED4E89"/>
    <w:rsid w:val="00ED54E5"/>
    <w:rsid w:val="00ED6E1A"/>
    <w:rsid w:val="00ED72DF"/>
    <w:rsid w:val="00ED7F4A"/>
    <w:rsid w:val="00EE0EB3"/>
    <w:rsid w:val="00EE1F4C"/>
    <w:rsid w:val="00EE2000"/>
    <w:rsid w:val="00EE29D6"/>
    <w:rsid w:val="00EE36B3"/>
    <w:rsid w:val="00EE39C0"/>
    <w:rsid w:val="00EE448A"/>
    <w:rsid w:val="00EE670D"/>
    <w:rsid w:val="00EE693B"/>
    <w:rsid w:val="00EF09CA"/>
    <w:rsid w:val="00EF0EA7"/>
    <w:rsid w:val="00EF11BF"/>
    <w:rsid w:val="00EF139A"/>
    <w:rsid w:val="00EF145B"/>
    <w:rsid w:val="00EF1B25"/>
    <w:rsid w:val="00EF25B8"/>
    <w:rsid w:val="00EF5ACD"/>
    <w:rsid w:val="00EF5F9C"/>
    <w:rsid w:val="00EF6041"/>
    <w:rsid w:val="00EF68F8"/>
    <w:rsid w:val="00F00329"/>
    <w:rsid w:val="00F022AC"/>
    <w:rsid w:val="00F04176"/>
    <w:rsid w:val="00F04293"/>
    <w:rsid w:val="00F044B0"/>
    <w:rsid w:val="00F046AC"/>
    <w:rsid w:val="00F04A4E"/>
    <w:rsid w:val="00F04F43"/>
    <w:rsid w:val="00F057A4"/>
    <w:rsid w:val="00F06364"/>
    <w:rsid w:val="00F071AE"/>
    <w:rsid w:val="00F07833"/>
    <w:rsid w:val="00F07CFD"/>
    <w:rsid w:val="00F07F50"/>
    <w:rsid w:val="00F07F74"/>
    <w:rsid w:val="00F10D3A"/>
    <w:rsid w:val="00F11627"/>
    <w:rsid w:val="00F13506"/>
    <w:rsid w:val="00F149A0"/>
    <w:rsid w:val="00F15CFA"/>
    <w:rsid w:val="00F165F9"/>
    <w:rsid w:val="00F16FEA"/>
    <w:rsid w:val="00F17CCB"/>
    <w:rsid w:val="00F17F9F"/>
    <w:rsid w:val="00F2075F"/>
    <w:rsid w:val="00F20D09"/>
    <w:rsid w:val="00F22DD1"/>
    <w:rsid w:val="00F23892"/>
    <w:rsid w:val="00F24A73"/>
    <w:rsid w:val="00F26B04"/>
    <w:rsid w:val="00F3283B"/>
    <w:rsid w:val="00F33B83"/>
    <w:rsid w:val="00F33CBC"/>
    <w:rsid w:val="00F34ADE"/>
    <w:rsid w:val="00F36156"/>
    <w:rsid w:val="00F37507"/>
    <w:rsid w:val="00F4016A"/>
    <w:rsid w:val="00F41705"/>
    <w:rsid w:val="00F434B1"/>
    <w:rsid w:val="00F43F5C"/>
    <w:rsid w:val="00F446FF"/>
    <w:rsid w:val="00F4491C"/>
    <w:rsid w:val="00F4584D"/>
    <w:rsid w:val="00F465E7"/>
    <w:rsid w:val="00F46ADD"/>
    <w:rsid w:val="00F46BAF"/>
    <w:rsid w:val="00F4716C"/>
    <w:rsid w:val="00F474DA"/>
    <w:rsid w:val="00F502FF"/>
    <w:rsid w:val="00F50A34"/>
    <w:rsid w:val="00F519D0"/>
    <w:rsid w:val="00F51BA2"/>
    <w:rsid w:val="00F52085"/>
    <w:rsid w:val="00F52CD0"/>
    <w:rsid w:val="00F52E20"/>
    <w:rsid w:val="00F5314E"/>
    <w:rsid w:val="00F54DB8"/>
    <w:rsid w:val="00F55F2B"/>
    <w:rsid w:val="00F56872"/>
    <w:rsid w:val="00F56AFB"/>
    <w:rsid w:val="00F56BC2"/>
    <w:rsid w:val="00F57661"/>
    <w:rsid w:val="00F57887"/>
    <w:rsid w:val="00F57A34"/>
    <w:rsid w:val="00F57AE6"/>
    <w:rsid w:val="00F60852"/>
    <w:rsid w:val="00F60B1C"/>
    <w:rsid w:val="00F63963"/>
    <w:rsid w:val="00F6468C"/>
    <w:rsid w:val="00F6510D"/>
    <w:rsid w:val="00F65577"/>
    <w:rsid w:val="00F70C27"/>
    <w:rsid w:val="00F70CCC"/>
    <w:rsid w:val="00F70F95"/>
    <w:rsid w:val="00F71BB2"/>
    <w:rsid w:val="00F7283D"/>
    <w:rsid w:val="00F72E57"/>
    <w:rsid w:val="00F73426"/>
    <w:rsid w:val="00F73B20"/>
    <w:rsid w:val="00F7414E"/>
    <w:rsid w:val="00F7445A"/>
    <w:rsid w:val="00F75CB3"/>
    <w:rsid w:val="00F75EE1"/>
    <w:rsid w:val="00F761F1"/>
    <w:rsid w:val="00F76631"/>
    <w:rsid w:val="00F77529"/>
    <w:rsid w:val="00F77C61"/>
    <w:rsid w:val="00F800BA"/>
    <w:rsid w:val="00F8120D"/>
    <w:rsid w:val="00F81630"/>
    <w:rsid w:val="00F8169F"/>
    <w:rsid w:val="00F81F6B"/>
    <w:rsid w:val="00F823EA"/>
    <w:rsid w:val="00F8334A"/>
    <w:rsid w:val="00F87FD6"/>
    <w:rsid w:val="00F914A5"/>
    <w:rsid w:val="00F91E3D"/>
    <w:rsid w:val="00F92664"/>
    <w:rsid w:val="00F932DF"/>
    <w:rsid w:val="00F93C2E"/>
    <w:rsid w:val="00F950A3"/>
    <w:rsid w:val="00F95580"/>
    <w:rsid w:val="00F969D8"/>
    <w:rsid w:val="00F97726"/>
    <w:rsid w:val="00F97D17"/>
    <w:rsid w:val="00FA292E"/>
    <w:rsid w:val="00FA42B2"/>
    <w:rsid w:val="00FA44FE"/>
    <w:rsid w:val="00FA57A3"/>
    <w:rsid w:val="00FA7144"/>
    <w:rsid w:val="00FB02F6"/>
    <w:rsid w:val="00FB0D95"/>
    <w:rsid w:val="00FB1772"/>
    <w:rsid w:val="00FB23DE"/>
    <w:rsid w:val="00FB340E"/>
    <w:rsid w:val="00FB34E9"/>
    <w:rsid w:val="00FB4F8E"/>
    <w:rsid w:val="00FB60C2"/>
    <w:rsid w:val="00FB622F"/>
    <w:rsid w:val="00FB74CB"/>
    <w:rsid w:val="00FC103B"/>
    <w:rsid w:val="00FC2B71"/>
    <w:rsid w:val="00FC2CD5"/>
    <w:rsid w:val="00FC5587"/>
    <w:rsid w:val="00FC5AEE"/>
    <w:rsid w:val="00FC7389"/>
    <w:rsid w:val="00FD086F"/>
    <w:rsid w:val="00FD1971"/>
    <w:rsid w:val="00FD2642"/>
    <w:rsid w:val="00FD2643"/>
    <w:rsid w:val="00FD29CE"/>
    <w:rsid w:val="00FD32FB"/>
    <w:rsid w:val="00FD384F"/>
    <w:rsid w:val="00FD5B6D"/>
    <w:rsid w:val="00FD6605"/>
    <w:rsid w:val="00FD692F"/>
    <w:rsid w:val="00FD717E"/>
    <w:rsid w:val="00FE0403"/>
    <w:rsid w:val="00FE21CF"/>
    <w:rsid w:val="00FE22E3"/>
    <w:rsid w:val="00FE46A5"/>
    <w:rsid w:val="00FE4B08"/>
    <w:rsid w:val="00FE4CF5"/>
    <w:rsid w:val="00FE7ACC"/>
    <w:rsid w:val="00FF0FC8"/>
    <w:rsid w:val="00FF2CCF"/>
    <w:rsid w:val="00FF4FB2"/>
    <w:rsid w:val="00FF53F0"/>
    <w:rsid w:val="00FF5878"/>
    <w:rsid w:val="00FF59C8"/>
    <w:rsid w:val="00FF59FA"/>
    <w:rsid w:val="00FF672C"/>
    <w:rsid w:val="00FF75F5"/>
    <w:rsid w:val="00FF76D9"/>
    <w:rsid w:val="00FF7729"/>
    <w:rsid w:val="00FF7F7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6145" fillcolor="white">
      <v:fill color="white"/>
      <o:colormru v:ext="edit" colors="#9f9f9f,#9b9b9b"/>
      <o:colormenu v:ext="edit"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index heading" w:uiPriority="99"/>
    <w:lsdException w:name="caption" w:uiPriority="99" w:qFormat="1"/>
    <w:lsdException w:name="table of figures" w:uiPriority="99"/>
    <w:lsdException w:name="footnote reference" w:uiPriority="99"/>
    <w:lsdException w:name="annotation reference" w:uiPriority="99"/>
    <w:lsdException w:name="endnote reference" w:uiPriority="99"/>
    <w:lsdException w:name="Title" w:qFormat="1"/>
    <w:lsdException w:name="Subtitle" w:uiPriority="11" w:qFormat="1"/>
    <w:lsdException w:name="Hyperlink" w:uiPriority="99"/>
    <w:lsdException w:name="Strong" w:uiPriority="22" w:qFormat="1"/>
    <w:lsdException w:name="Emphasis" w:qFormat="1"/>
    <w:lsdException w:name="Normal (Web)" w:uiPriority="99"/>
    <w:lsdException w:name="HTML Preformatted"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6369A"/>
    <w:pPr>
      <w:spacing w:after="120" w:line="276" w:lineRule="auto"/>
      <w:jc w:val="both"/>
    </w:pPr>
    <w:rPr>
      <w:rFonts w:ascii="Arial" w:hAnsi="Arial"/>
      <w:sz w:val="22"/>
    </w:rPr>
  </w:style>
  <w:style w:type="paragraph" w:styleId="Heading1">
    <w:name w:val="heading 1"/>
    <w:basedOn w:val="Normal"/>
    <w:next w:val="Normal"/>
    <w:link w:val="Heading1Char"/>
    <w:qFormat/>
    <w:rsid w:val="00086A9C"/>
    <w:pPr>
      <w:keepNext/>
      <w:numPr>
        <w:numId w:val="2"/>
      </w:numPr>
      <w:spacing w:before="360" w:after="240"/>
      <w:jc w:val="left"/>
      <w:outlineLvl w:val="0"/>
    </w:pPr>
    <w:rPr>
      <w:b/>
      <w:caps/>
    </w:rPr>
  </w:style>
  <w:style w:type="paragraph" w:styleId="Heading2">
    <w:name w:val="heading 2"/>
    <w:basedOn w:val="Heading1"/>
    <w:next w:val="Normal"/>
    <w:link w:val="Heading2Char"/>
    <w:uiPriority w:val="9"/>
    <w:qFormat/>
    <w:rsid w:val="00105856"/>
    <w:pPr>
      <w:numPr>
        <w:ilvl w:val="1"/>
      </w:numPr>
      <w:spacing w:before="240"/>
      <w:outlineLvl w:val="1"/>
    </w:pPr>
    <w:rPr>
      <w:caps w:val="0"/>
    </w:rPr>
  </w:style>
  <w:style w:type="paragraph" w:styleId="Heading3">
    <w:name w:val="heading 3"/>
    <w:basedOn w:val="Heading2"/>
    <w:next w:val="Normal"/>
    <w:link w:val="Heading3Char"/>
    <w:qFormat/>
    <w:rsid w:val="00104194"/>
    <w:pPr>
      <w:numPr>
        <w:ilvl w:val="2"/>
      </w:numPr>
      <w:outlineLvl w:val="2"/>
    </w:pPr>
    <w:rPr>
      <w:b w:val="0"/>
    </w:rPr>
  </w:style>
  <w:style w:type="paragraph" w:styleId="Heading4">
    <w:name w:val="heading 4"/>
    <w:basedOn w:val="Normal"/>
    <w:next w:val="Normal"/>
    <w:link w:val="Heading4Char"/>
    <w:qFormat/>
    <w:rsid w:val="00086A9C"/>
    <w:pPr>
      <w:numPr>
        <w:ilvl w:val="3"/>
        <w:numId w:val="2"/>
      </w:numPr>
      <w:spacing w:before="240"/>
      <w:outlineLvl w:val="3"/>
    </w:pPr>
  </w:style>
  <w:style w:type="paragraph" w:styleId="Heading5">
    <w:name w:val="heading 5"/>
    <w:basedOn w:val="Normal"/>
    <w:next w:val="Normal"/>
    <w:link w:val="Heading5Char"/>
    <w:uiPriority w:val="9"/>
    <w:qFormat/>
    <w:rsid w:val="00104194"/>
    <w:pPr>
      <w:numPr>
        <w:ilvl w:val="4"/>
        <w:numId w:val="2"/>
      </w:numPr>
      <w:spacing w:before="240" w:after="60"/>
      <w:ind w:left="1009" w:hanging="1009"/>
      <w:outlineLvl w:val="4"/>
    </w:pPr>
  </w:style>
  <w:style w:type="paragraph" w:styleId="Heading6">
    <w:name w:val="heading 6"/>
    <w:basedOn w:val="Normal"/>
    <w:next w:val="Normal"/>
    <w:link w:val="Heading6Char"/>
    <w:uiPriority w:val="9"/>
    <w:qFormat/>
    <w:rsid w:val="00687AE7"/>
    <w:pPr>
      <w:numPr>
        <w:ilvl w:val="5"/>
        <w:numId w:val="2"/>
      </w:numPr>
      <w:spacing w:before="240" w:after="60"/>
      <w:outlineLvl w:val="5"/>
    </w:pPr>
    <w:rPr>
      <w:i/>
    </w:rPr>
  </w:style>
  <w:style w:type="paragraph" w:styleId="Heading7">
    <w:name w:val="heading 7"/>
    <w:basedOn w:val="Normal"/>
    <w:next w:val="Normal"/>
    <w:link w:val="Heading7Char"/>
    <w:uiPriority w:val="9"/>
    <w:qFormat/>
    <w:rsid w:val="00687AE7"/>
    <w:pPr>
      <w:numPr>
        <w:ilvl w:val="6"/>
        <w:numId w:val="2"/>
      </w:numPr>
      <w:spacing w:before="240" w:after="60"/>
      <w:outlineLvl w:val="6"/>
    </w:pPr>
    <w:rPr>
      <w:sz w:val="20"/>
    </w:rPr>
  </w:style>
  <w:style w:type="paragraph" w:styleId="Heading8">
    <w:name w:val="heading 8"/>
    <w:basedOn w:val="Normal"/>
    <w:next w:val="Normal"/>
    <w:link w:val="Heading8Char"/>
    <w:uiPriority w:val="9"/>
    <w:qFormat/>
    <w:rsid w:val="00687AE7"/>
    <w:pPr>
      <w:numPr>
        <w:ilvl w:val="7"/>
        <w:numId w:val="2"/>
      </w:numPr>
      <w:spacing w:before="240" w:after="60"/>
      <w:outlineLvl w:val="7"/>
    </w:pPr>
    <w:rPr>
      <w:i/>
      <w:sz w:val="20"/>
    </w:rPr>
  </w:style>
  <w:style w:type="paragraph" w:styleId="Heading9">
    <w:name w:val="heading 9"/>
    <w:basedOn w:val="Normal"/>
    <w:next w:val="Normal"/>
    <w:link w:val="Heading9Char"/>
    <w:uiPriority w:val="9"/>
    <w:qFormat/>
    <w:rsid w:val="00687AE7"/>
    <w:pPr>
      <w:numPr>
        <w:ilvl w:val="8"/>
        <w:numId w:val="2"/>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F123E"/>
    <w:rPr>
      <w:rFonts w:ascii="Arial" w:hAnsi="Arial"/>
      <w:b/>
      <w:caps/>
      <w:sz w:val="22"/>
    </w:rPr>
  </w:style>
  <w:style w:type="character" w:customStyle="1" w:styleId="Heading2Char">
    <w:name w:val="Heading 2 Char"/>
    <w:basedOn w:val="DefaultParagraphFont"/>
    <w:link w:val="Heading2"/>
    <w:uiPriority w:val="9"/>
    <w:locked/>
    <w:rsid w:val="00105856"/>
    <w:rPr>
      <w:rFonts w:ascii="Arial" w:hAnsi="Arial"/>
      <w:b/>
      <w:sz w:val="22"/>
    </w:rPr>
  </w:style>
  <w:style w:type="character" w:customStyle="1" w:styleId="Heading3Char">
    <w:name w:val="Heading 3 Char"/>
    <w:basedOn w:val="DefaultParagraphFont"/>
    <w:link w:val="Heading3"/>
    <w:locked/>
    <w:rsid w:val="00104194"/>
    <w:rPr>
      <w:rFonts w:ascii="Arial" w:hAnsi="Arial"/>
      <w:sz w:val="22"/>
    </w:rPr>
  </w:style>
  <w:style w:type="character" w:customStyle="1" w:styleId="Heading4Char">
    <w:name w:val="Heading 4 Char"/>
    <w:link w:val="Heading4"/>
    <w:rsid w:val="00BF123E"/>
    <w:rPr>
      <w:rFonts w:ascii="Arial" w:hAnsi="Arial"/>
      <w:sz w:val="22"/>
    </w:rPr>
  </w:style>
  <w:style w:type="character" w:customStyle="1" w:styleId="Heading5Char">
    <w:name w:val="Heading 5 Char"/>
    <w:link w:val="Heading5"/>
    <w:uiPriority w:val="9"/>
    <w:rsid w:val="00104194"/>
    <w:rPr>
      <w:rFonts w:ascii="Arial" w:hAnsi="Arial"/>
      <w:sz w:val="22"/>
    </w:rPr>
  </w:style>
  <w:style w:type="character" w:customStyle="1" w:styleId="Heading6Char">
    <w:name w:val="Heading 6 Char"/>
    <w:link w:val="Heading6"/>
    <w:uiPriority w:val="9"/>
    <w:rsid w:val="00BF123E"/>
    <w:rPr>
      <w:rFonts w:ascii="Arial" w:hAnsi="Arial"/>
      <w:i/>
      <w:sz w:val="22"/>
    </w:rPr>
  </w:style>
  <w:style w:type="character" w:customStyle="1" w:styleId="Heading7Char">
    <w:name w:val="Heading 7 Char"/>
    <w:link w:val="Heading7"/>
    <w:uiPriority w:val="9"/>
    <w:rsid w:val="00BF123E"/>
    <w:rPr>
      <w:rFonts w:ascii="Arial" w:hAnsi="Arial"/>
    </w:rPr>
  </w:style>
  <w:style w:type="character" w:customStyle="1" w:styleId="Heading8Char">
    <w:name w:val="Heading 8 Char"/>
    <w:link w:val="Heading8"/>
    <w:uiPriority w:val="9"/>
    <w:rsid w:val="00BF123E"/>
    <w:rPr>
      <w:rFonts w:ascii="Arial" w:hAnsi="Arial"/>
      <w:i/>
    </w:rPr>
  </w:style>
  <w:style w:type="character" w:customStyle="1" w:styleId="Heading9Char">
    <w:name w:val="Heading 9 Char"/>
    <w:link w:val="Heading9"/>
    <w:uiPriority w:val="9"/>
    <w:rsid w:val="00BF123E"/>
    <w:rPr>
      <w:rFonts w:ascii="Arial" w:hAnsi="Arial"/>
      <w:i/>
      <w:sz w:val="18"/>
    </w:rPr>
  </w:style>
  <w:style w:type="paragraph" w:styleId="TOC3">
    <w:name w:val="toc 3"/>
    <w:basedOn w:val="Normal"/>
    <w:next w:val="Normal"/>
    <w:uiPriority w:val="39"/>
    <w:rsid w:val="000712C6"/>
    <w:pPr>
      <w:spacing w:after="0"/>
      <w:ind w:left="238"/>
      <w:jc w:val="left"/>
    </w:pPr>
    <w:rPr>
      <w:sz w:val="20"/>
      <w:szCs w:val="24"/>
    </w:rPr>
  </w:style>
  <w:style w:type="paragraph" w:styleId="TOC2">
    <w:name w:val="toc 2"/>
    <w:basedOn w:val="Normal"/>
    <w:next w:val="Normal"/>
    <w:uiPriority w:val="39"/>
    <w:rsid w:val="000712C6"/>
    <w:pPr>
      <w:spacing w:before="120" w:after="0"/>
      <w:ind w:left="170"/>
      <w:jc w:val="left"/>
    </w:pPr>
    <w:rPr>
      <w:b/>
      <w:bCs/>
      <w:sz w:val="20"/>
      <w:szCs w:val="24"/>
    </w:rPr>
  </w:style>
  <w:style w:type="paragraph" w:styleId="TOC1">
    <w:name w:val="toc 1"/>
    <w:basedOn w:val="Normal"/>
    <w:next w:val="Normal"/>
    <w:uiPriority w:val="39"/>
    <w:rsid w:val="000712C6"/>
    <w:pPr>
      <w:spacing w:before="120" w:after="0"/>
      <w:jc w:val="left"/>
    </w:pPr>
    <w:rPr>
      <w:b/>
      <w:bCs/>
      <w:caps/>
      <w:sz w:val="20"/>
      <w:szCs w:val="28"/>
    </w:rPr>
  </w:style>
  <w:style w:type="paragraph" w:styleId="TOC4">
    <w:name w:val="toc 4"/>
    <w:basedOn w:val="Normal"/>
    <w:next w:val="Normal"/>
    <w:uiPriority w:val="39"/>
    <w:rsid w:val="000712C6"/>
    <w:pPr>
      <w:spacing w:after="0"/>
      <w:ind w:left="480"/>
      <w:jc w:val="left"/>
    </w:pPr>
    <w:rPr>
      <w:rFonts w:ascii="Times New Roman" w:hAnsi="Times New Roman"/>
      <w:szCs w:val="24"/>
    </w:rPr>
  </w:style>
  <w:style w:type="paragraph" w:styleId="TOC5">
    <w:name w:val="toc 5"/>
    <w:basedOn w:val="Normal"/>
    <w:next w:val="Normal"/>
    <w:uiPriority w:val="39"/>
    <w:rsid w:val="000712C6"/>
    <w:pPr>
      <w:spacing w:after="0"/>
      <w:ind w:left="720"/>
      <w:jc w:val="left"/>
    </w:pPr>
    <w:rPr>
      <w:rFonts w:ascii="Times New Roman" w:hAnsi="Times New Roman"/>
      <w:szCs w:val="24"/>
    </w:rPr>
  </w:style>
  <w:style w:type="paragraph" w:styleId="TOC6">
    <w:name w:val="toc 6"/>
    <w:basedOn w:val="Normal"/>
    <w:next w:val="Normal"/>
    <w:uiPriority w:val="39"/>
    <w:rsid w:val="000712C6"/>
    <w:pPr>
      <w:spacing w:after="0"/>
      <w:ind w:left="960"/>
      <w:jc w:val="left"/>
    </w:pPr>
    <w:rPr>
      <w:rFonts w:ascii="Times New Roman" w:hAnsi="Times New Roman"/>
      <w:szCs w:val="24"/>
    </w:rPr>
  </w:style>
  <w:style w:type="paragraph" w:styleId="TOC7">
    <w:name w:val="toc 7"/>
    <w:basedOn w:val="Normal"/>
    <w:next w:val="Normal"/>
    <w:uiPriority w:val="39"/>
    <w:rsid w:val="000712C6"/>
    <w:pPr>
      <w:spacing w:after="0"/>
      <w:ind w:left="1200"/>
      <w:jc w:val="left"/>
    </w:pPr>
    <w:rPr>
      <w:rFonts w:ascii="Times New Roman" w:hAnsi="Times New Roman"/>
      <w:szCs w:val="24"/>
    </w:rPr>
  </w:style>
  <w:style w:type="paragraph" w:styleId="TOC8">
    <w:name w:val="toc 8"/>
    <w:basedOn w:val="Normal"/>
    <w:next w:val="Normal"/>
    <w:uiPriority w:val="39"/>
    <w:rsid w:val="000712C6"/>
    <w:pPr>
      <w:spacing w:after="0"/>
      <w:ind w:left="1440"/>
      <w:jc w:val="left"/>
    </w:pPr>
    <w:rPr>
      <w:rFonts w:ascii="Times New Roman" w:hAnsi="Times New Roman"/>
      <w:szCs w:val="24"/>
    </w:rPr>
  </w:style>
  <w:style w:type="paragraph" w:styleId="TOC9">
    <w:name w:val="toc 9"/>
    <w:basedOn w:val="Normal"/>
    <w:next w:val="Normal"/>
    <w:uiPriority w:val="39"/>
    <w:rsid w:val="000712C6"/>
    <w:pPr>
      <w:spacing w:after="0"/>
      <w:ind w:left="1680"/>
      <w:jc w:val="left"/>
    </w:pPr>
    <w:rPr>
      <w:rFonts w:ascii="Times New Roman" w:hAnsi="Times New Roman"/>
      <w:szCs w:val="24"/>
    </w:rPr>
  </w:style>
  <w:style w:type="character" w:styleId="Hyperlink">
    <w:name w:val="Hyperlink"/>
    <w:basedOn w:val="DefaultParagraphFont"/>
    <w:uiPriority w:val="99"/>
    <w:rsid w:val="000712C6"/>
    <w:rPr>
      <w:color w:val="0000FF"/>
      <w:u w:val="single"/>
    </w:rPr>
  </w:style>
  <w:style w:type="paragraph" w:customStyle="1" w:styleId="Figure">
    <w:name w:val="Figure"/>
    <w:basedOn w:val="Normal"/>
    <w:link w:val="FigureChar"/>
    <w:autoRedefine/>
    <w:uiPriority w:val="99"/>
    <w:rsid w:val="00635514"/>
    <w:pPr>
      <w:spacing w:after="0"/>
      <w:jc w:val="left"/>
    </w:pPr>
    <w:rPr>
      <w:rFonts w:cs="Arial"/>
      <w:i/>
      <w:sz w:val="16"/>
      <w:szCs w:val="16"/>
    </w:rPr>
  </w:style>
  <w:style w:type="character" w:customStyle="1" w:styleId="FigureChar">
    <w:name w:val="Figure Char"/>
    <w:basedOn w:val="DefaultParagraphFont"/>
    <w:link w:val="Figure"/>
    <w:uiPriority w:val="99"/>
    <w:rsid w:val="00635514"/>
    <w:rPr>
      <w:rFonts w:ascii="Arial Narrow" w:hAnsi="Arial Narrow" w:cs="Arial"/>
      <w:i/>
      <w:sz w:val="16"/>
      <w:szCs w:val="16"/>
      <w:lang w:val="it-IT" w:eastAsia="it-IT" w:bidi="ar-SA"/>
    </w:rPr>
  </w:style>
  <w:style w:type="paragraph" w:styleId="FootnoteText">
    <w:name w:val="footnote text"/>
    <w:aliases w:val="Car"/>
    <w:basedOn w:val="Normal"/>
    <w:link w:val="FootnoteTextChar"/>
    <w:uiPriority w:val="99"/>
    <w:rsid w:val="000712C6"/>
    <w:pPr>
      <w:ind w:left="181" w:hanging="181"/>
    </w:pPr>
    <w:rPr>
      <w:rFonts w:ascii="Times New Roman" w:hAnsi="Times New Roman"/>
      <w:sz w:val="18"/>
      <w:szCs w:val="24"/>
    </w:rPr>
  </w:style>
  <w:style w:type="character" w:customStyle="1" w:styleId="FootnoteTextChar">
    <w:name w:val="Footnote Text Char"/>
    <w:aliases w:val="Car Char"/>
    <w:link w:val="FootnoteText"/>
    <w:uiPriority w:val="99"/>
    <w:rsid w:val="006765C9"/>
    <w:rPr>
      <w:sz w:val="18"/>
      <w:szCs w:val="24"/>
    </w:rPr>
  </w:style>
  <w:style w:type="paragraph" w:styleId="Index1">
    <w:name w:val="index 1"/>
    <w:basedOn w:val="Normal"/>
    <w:next w:val="Normal"/>
    <w:autoRedefine/>
    <w:uiPriority w:val="99"/>
    <w:semiHidden/>
    <w:rsid w:val="000712C6"/>
    <w:pPr>
      <w:ind w:left="240" w:hanging="240"/>
    </w:pPr>
  </w:style>
  <w:style w:type="paragraph" w:styleId="IndexHeading">
    <w:name w:val="index heading"/>
    <w:basedOn w:val="Normal"/>
    <w:next w:val="Index1"/>
    <w:uiPriority w:val="99"/>
    <w:semiHidden/>
    <w:rsid w:val="000712C6"/>
    <w:pPr>
      <w:spacing w:after="0"/>
      <w:jc w:val="left"/>
    </w:pPr>
    <w:rPr>
      <w:rFonts w:ascii="Times New Roman" w:hAnsi="Times New Roman"/>
      <w:szCs w:val="24"/>
    </w:rPr>
  </w:style>
  <w:style w:type="paragraph" w:styleId="Caption">
    <w:name w:val="caption"/>
    <w:aliases w:val="Epígrafe Car,Epígrafe2, Car4"/>
    <w:basedOn w:val="Normal"/>
    <w:next w:val="Normal"/>
    <w:link w:val="CaptionChar"/>
    <w:uiPriority w:val="99"/>
    <w:qFormat/>
    <w:rsid w:val="00094E06"/>
    <w:pPr>
      <w:jc w:val="center"/>
    </w:pPr>
    <w:rPr>
      <w:rFonts w:cs="Arial"/>
      <w:b/>
      <w:bCs/>
      <w:sz w:val="20"/>
    </w:rPr>
  </w:style>
  <w:style w:type="paragraph" w:customStyle="1" w:styleId="T2">
    <w:name w:val="T2"/>
    <w:basedOn w:val="Heading2"/>
    <w:next w:val="Normal"/>
    <w:autoRedefine/>
    <w:uiPriority w:val="99"/>
    <w:rsid w:val="00770A6D"/>
    <w:pPr>
      <w:numPr>
        <w:ilvl w:val="0"/>
        <w:numId w:val="0"/>
      </w:numPr>
      <w:spacing w:before="60" w:after="0"/>
    </w:pPr>
    <w:rPr>
      <w:rFonts w:cs="Arial"/>
      <w:szCs w:val="22"/>
    </w:rPr>
  </w:style>
  <w:style w:type="paragraph" w:customStyle="1" w:styleId="T3">
    <w:name w:val="T3"/>
    <w:basedOn w:val="Heading3"/>
    <w:next w:val="Normal"/>
    <w:uiPriority w:val="99"/>
    <w:rsid w:val="00770A6D"/>
    <w:pPr>
      <w:numPr>
        <w:numId w:val="1"/>
      </w:numPr>
      <w:spacing w:before="60" w:after="40"/>
    </w:pPr>
    <w:rPr>
      <w:rFonts w:cs="Arial"/>
      <w:i/>
    </w:rPr>
  </w:style>
  <w:style w:type="paragraph" w:customStyle="1" w:styleId="T1">
    <w:name w:val="T1"/>
    <w:basedOn w:val="Heading1"/>
    <w:next w:val="Normal"/>
    <w:uiPriority w:val="99"/>
    <w:rsid w:val="000051F5"/>
    <w:pPr>
      <w:numPr>
        <w:numId w:val="1"/>
      </w:numPr>
      <w:spacing w:after="60"/>
    </w:pPr>
    <w:rPr>
      <w:rFonts w:cs="Arial"/>
    </w:rPr>
  </w:style>
  <w:style w:type="paragraph" w:styleId="BalloonText">
    <w:name w:val="Balloon Text"/>
    <w:basedOn w:val="Normal"/>
    <w:link w:val="BalloonTextChar"/>
    <w:uiPriority w:val="99"/>
    <w:semiHidden/>
    <w:rsid w:val="000712C6"/>
    <w:rPr>
      <w:rFonts w:ascii="Tahoma" w:hAnsi="Tahoma" w:cs="Tahoma"/>
      <w:sz w:val="16"/>
      <w:szCs w:val="16"/>
    </w:rPr>
  </w:style>
  <w:style w:type="character" w:customStyle="1" w:styleId="BalloonTextChar">
    <w:name w:val="Balloon Text Char"/>
    <w:link w:val="BalloonText"/>
    <w:uiPriority w:val="99"/>
    <w:semiHidden/>
    <w:rsid w:val="00BF123E"/>
    <w:rPr>
      <w:rFonts w:ascii="Tahoma" w:hAnsi="Tahoma" w:cs="Tahoma"/>
      <w:sz w:val="16"/>
      <w:szCs w:val="16"/>
    </w:rPr>
  </w:style>
  <w:style w:type="paragraph" w:customStyle="1" w:styleId="T0">
    <w:name w:val="T0"/>
    <w:basedOn w:val="T1"/>
    <w:next w:val="Normal"/>
    <w:uiPriority w:val="99"/>
    <w:rsid w:val="00C76AA5"/>
    <w:pPr>
      <w:numPr>
        <w:numId w:val="0"/>
      </w:numPr>
    </w:pPr>
  </w:style>
  <w:style w:type="character" w:styleId="FootnoteReference">
    <w:name w:val="footnote reference"/>
    <w:basedOn w:val="DefaultParagraphFont"/>
    <w:uiPriority w:val="99"/>
    <w:rsid w:val="000712C6"/>
    <w:rPr>
      <w:vertAlign w:val="superscript"/>
    </w:rPr>
  </w:style>
  <w:style w:type="paragraph" w:customStyle="1" w:styleId="T4">
    <w:name w:val="T4"/>
    <w:basedOn w:val="Heading4"/>
    <w:next w:val="Normal"/>
    <w:uiPriority w:val="99"/>
    <w:rsid w:val="00687AE7"/>
    <w:pPr>
      <w:tabs>
        <w:tab w:val="num" w:pos="0"/>
      </w:tabs>
    </w:pPr>
  </w:style>
  <w:style w:type="character" w:styleId="CommentReference">
    <w:name w:val="annotation reference"/>
    <w:basedOn w:val="DefaultParagraphFont"/>
    <w:uiPriority w:val="99"/>
    <w:semiHidden/>
    <w:rsid w:val="00ED4E89"/>
    <w:rPr>
      <w:sz w:val="16"/>
      <w:szCs w:val="16"/>
    </w:rPr>
  </w:style>
  <w:style w:type="paragraph" w:styleId="CommentText">
    <w:name w:val="annotation text"/>
    <w:basedOn w:val="Normal"/>
    <w:link w:val="CommentTextChar"/>
    <w:uiPriority w:val="99"/>
    <w:rsid w:val="00ED4E89"/>
    <w:rPr>
      <w:sz w:val="20"/>
    </w:rPr>
  </w:style>
  <w:style w:type="character" w:customStyle="1" w:styleId="CommentTextChar">
    <w:name w:val="Comment Text Char"/>
    <w:link w:val="CommentText"/>
    <w:uiPriority w:val="99"/>
    <w:rsid w:val="00BF123E"/>
    <w:rPr>
      <w:rFonts w:ascii="Arial" w:hAnsi="Arial"/>
    </w:rPr>
  </w:style>
  <w:style w:type="paragraph" w:styleId="Header">
    <w:name w:val="header"/>
    <w:basedOn w:val="Normal"/>
    <w:link w:val="HeaderChar"/>
    <w:rsid w:val="002F3C54"/>
    <w:pPr>
      <w:tabs>
        <w:tab w:val="center" w:pos="4819"/>
        <w:tab w:val="right" w:pos="9638"/>
      </w:tabs>
    </w:pPr>
  </w:style>
  <w:style w:type="character" w:customStyle="1" w:styleId="HeaderChar">
    <w:name w:val="Header Char"/>
    <w:link w:val="Header"/>
    <w:rsid w:val="00BF123E"/>
    <w:rPr>
      <w:rFonts w:ascii="Arial" w:hAnsi="Arial"/>
      <w:sz w:val="22"/>
    </w:rPr>
  </w:style>
  <w:style w:type="paragraph" w:styleId="Footer">
    <w:name w:val="footer"/>
    <w:basedOn w:val="Normal"/>
    <w:link w:val="FooterChar"/>
    <w:rsid w:val="002F3C54"/>
    <w:pPr>
      <w:tabs>
        <w:tab w:val="center" w:pos="4819"/>
        <w:tab w:val="right" w:pos="9638"/>
      </w:tabs>
    </w:pPr>
  </w:style>
  <w:style w:type="character" w:customStyle="1" w:styleId="FooterChar">
    <w:name w:val="Footer Char"/>
    <w:link w:val="Footer"/>
    <w:rsid w:val="00BF123E"/>
    <w:rPr>
      <w:rFonts w:ascii="Arial" w:hAnsi="Arial"/>
      <w:sz w:val="22"/>
    </w:rPr>
  </w:style>
  <w:style w:type="character" w:customStyle="1" w:styleId="FigureCarattere">
    <w:name w:val="Figure Carattere"/>
    <w:basedOn w:val="DefaultParagraphFont"/>
    <w:uiPriority w:val="99"/>
    <w:rsid w:val="009659AA"/>
    <w:rPr>
      <w:rFonts w:ascii="Arial" w:eastAsia="HG Mincho Light J" w:hAnsi="Arial"/>
      <w:i/>
      <w:color w:val="000080"/>
      <w:sz w:val="16"/>
      <w:szCs w:val="16"/>
      <w:lang w:val="it-IT" w:bidi="ar-SA"/>
    </w:rPr>
  </w:style>
  <w:style w:type="table" w:styleId="TableGrid">
    <w:name w:val="Table Grid"/>
    <w:basedOn w:val="TableNormal"/>
    <w:uiPriority w:val="59"/>
    <w:rsid w:val="008F41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A17B4"/>
  </w:style>
  <w:style w:type="character" w:customStyle="1" w:styleId="ListParagraphChar">
    <w:name w:val="List Paragraph Char"/>
    <w:basedOn w:val="DefaultParagraphFont"/>
    <w:link w:val="ListParagraph"/>
    <w:uiPriority w:val="34"/>
    <w:locked/>
    <w:rsid w:val="00EA17B4"/>
    <w:rPr>
      <w:rFonts w:ascii="Arial" w:hAnsi="Arial"/>
      <w:sz w:val="22"/>
    </w:rPr>
  </w:style>
  <w:style w:type="character" w:customStyle="1" w:styleId="shorttext">
    <w:name w:val="short_text"/>
    <w:basedOn w:val="DefaultParagraphFont"/>
    <w:uiPriority w:val="99"/>
    <w:rsid w:val="00AD5771"/>
  </w:style>
  <w:style w:type="character" w:customStyle="1" w:styleId="hps">
    <w:name w:val="hps"/>
    <w:basedOn w:val="DefaultParagraphFont"/>
    <w:rsid w:val="00AD5771"/>
  </w:style>
  <w:style w:type="paragraph" w:styleId="NoSpacing">
    <w:name w:val="No Spacing"/>
    <w:link w:val="NoSpacingChar"/>
    <w:uiPriority w:val="1"/>
    <w:qFormat/>
    <w:rsid w:val="005B5B22"/>
    <w:rPr>
      <w:rFonts w:ascii="Calibri" w:hAnsi="Calibri"/>
      <w:sz w:val="22"/>
      <w:szCs w:val="22"/>
      <w:lang w:val="es-ES" w:eastAsia="en-US"/>
    </w:rPr>
  </w:style>
  <w:style w:type="character" w:customStyle="1" w:styleId="NoSpacingChar">
    <w:name w:val="No Spacing Char"/>
    <w:link w:val="NoSpacing"/>
    <w:uiPriority w:val="1"/>
    <w:rsid w:val="005B5B22"/>
    <w:rPr>
      <w:rFonts w:ascii="Calibri" w:hAnsi="Calibri"/>
      <w:sz w:val="22"/>
      <w:szCs w:val="22"/>
      <w:lang w:val="es-ES" w:eastAsia="en-US"/>
    </w:rPr>
  </w:style>
  <w:style w:type="paragraph" w:customStyle="1" w:styleId="Default">
    <w:name w:val="Default"/>
    <w:rsid w:val="00BE2AF4"/>
    <w:pPr>
      <w:autoSpaceDE w:val="0"/>
      <w:autoSpaceDN w:val="0"/>
      <w:adjustRightInd w:val="0"/>
    </w:pPr>
    <w:rPr>
      <w:color w:val="000000"/>
      <w:sz w:val="24"/>
      <w:szCs w:val="24"/>
    </w:rPr>
  </w:style>
  <w:style w:type="paragraph" w:styleId="BodyTextIndent">
    <w:name w:val="Body Text Indent"/>
    <w:basedOn w:val="Normal"/>
    <w:link w:val="BodyTextIndentChar"/>
    <w:rsid w:val="00EF5F9C"/>
    <w:pPr>
      <w:spacing w:before="120"/>
      <w:ind w:left="283"/>
    </w:pPr>
    <w:rPr>
      <w:rFonts w:cs="Arial"/>
      <w:sz w:val="24"/>
      <w:szCs w:val="24"/>
    </w:rPr>
  </w:style>
  <w:style w:type="character" w:customStyle="1" w:styleId="BodyTextIndentChar">
    <w:name w:val="Body Text Indent Char"/>
    <w:basedOn w:val="DefaultParagraphFont"/>
    <w:link w:val="BodyTextIndent"/>
    <w:rsid w:val="00EF5F9C"/>
    <w:rPr>
      <w:rFonts w:ascii="Arial" w:hAnsi="Arial" w:cs="Arial"/>
      <w:sz w:val="24"/>
      <w:szCs w:val="24"/>
    </w:rPr>
  </w:style>
  <w:style w:type="paragraph" w:customStyle="1" w:styleId="TablaNormalconPunto">
    <w:name w:val="Tabla Normal con Punto"/>
    <w:basedOn w:val="Normal"/>
    <w:uiPriority w:val="99"/>
    <w:rsid w:val="00030BC8"/>
    <w:pPr>
      <w:numPr>
        <w:numId w:val="3"/>
      </w:numPr>
      <w:tabs>
        <w:tab w:val="left" w:pos="425"/>
      </w:tabs>
      <w:spacing w:before="120" w:after="60" w:line="360" w:lineRule="auto"/>
      <w:ind w:right="57"/>
    </w:pPr>
    <w:rPr>
      <w:rFonts w:ascii="Verdana" w:hAnsi="Verdana"/>
      <w:sz w:val="18"/>
      <w:szCs w:val="23"/>
      <w:lang w:val="es-ES_tradnl" w:eastAsia="es-MX"/>
    </w:rPr>
  </w:style>
  <w:style w:type="paragraph" w:styleId="Subtitle">
    <w:name w:val="Subtitle"/>
    <w:basedOn w:val="Normal"/>
    <w:next w:val="Normal"/>
    <w:link w:val="SubtitleChar"/>
    <w:uiPriority w:val="11"/>
    <w:qFormat/>
    <w:rsid w:val="00B3265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3265A"/>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0A68E3"/>
    <w:pPr>
      <w:keepLines/>
      <w:numPr>
        <w:numId w:val="0"/>
      </w:numPr>
      <w:spacing w:before="480" w:after="0"/>
      <w:outlineLvl w:val="9"/>
    </w:pPr>
    <w:rPr>
      <w:rFonts w:asciiTheme="majorHAnsi" w:eastAsiaTheme="majorEastAsia" w:hAnsiTheme="majorHAnsi" w:cstheme="majorBidi"/>
      <w:bCs/>
      <w:caps w:val="0"/>
      <w:color w:val="365F91" w:themeColor="accent1" w:themeShade="BF"/>
      <w:sz w:val="28"/>
      <w:szCs w:val="28"/>
      <w:lang w:val="en-US" w:eastAsia="en-US"/>
    </w:rPr>
  </w:style>
  <w:style w:type="paragraph" w:customStyle="1" w:styleId="Primapagina">
    <w:name w:val="Prima pagina"/>
    <w:basedOn w:val="Normal"/>
    <w:rsid w:val="000907C9"/>
    <w:rPr>
      <w:sz w:val="24"/>
    </w:rPr>
  </w:style>
  <w:style w:type="paragraph" w:styleId="NormalWeb">
    <w:name w:val="Normal (Web)"/>
    <w:basedOn w:val="Normal"/>
    <w:uiPriority w:val="99"/>
    <w:unhideWhenUsed/>
    <w:rsid w:val="008545EE"/>
    <w:pPr>
      <w:spacing w:before="100" w:beforeAutospacing="1" w:after="100" w:afterAutospacing="1"/>
      <w:jc w:val="left"/>
    </w:pPr>
    <w:rPr>
      <w:rFonts w:ascii="Times New Roman" w:eastAsiaTheme="minorEastAsia" w:hAnsi="Times New Roman"/>
      <w:sz w:val="24"/>
      <w:szCs w:val="24"/>
      <w:lang w:val="es-CO" w:eastAsia="es-CO"/>
    </w:rPr>
  </w:style>
  <w:style w:type="character" w:styleId="FollowedHyperlink">
    <w:name w:val="FollowedHyperlink"/>
    <w:basedOn w:val="DefaultParagraphFont"/>
    <w:unhideWhenUsed/>
    <w:rsid w:val="00EE1F4C"/>
    <w:rPr>
      <w:color w:val="800080"/>
      <w:u w:val="single"/>
    </w:rPr>
  </w:style>
  <w:style w:type="paragraph" w:customStyle="1" w:styleId="xl65">
    <w:name w:val="xl65"/>
    <w:basedOn w:val="Normal"/>
    <w:uiPriority w:val="99"/>
    <w:rsid w:val="00EE1F4C"/>
    <w:pP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66">
    <w:name w:val="xl66"/>
    <w:basedOn w:val="Normal"/>
    <w:uiPriority w:val="99"/>
    <w:rsid w:val="00EE1F4C"/>
    <w:pPr>
      <w:spacing w:before="100" w:beforeAutospacing="1" w:after="100" w:afterAutospacing="1"/>
      <w:jc w:val="left"/>
      <w:textAlignment w:val="center"/>
    </w:pPr>
    <w:rPr>
      <w:rFonts w:ascii="Arial Narrow" w:hAnsi="Arial Narrow"/>
      <w:sz w:val="24"/>
      <w:szCs w:val="24"/>
      <w:lang w:val="es-CO" w:eastAsia="es-CO"/>
    </w:rPr>
  </w:style>
  <w:style w:type="paragraph" w:customStyle="1" w:styleId="xl67">
    <w:name w:val="xl67"/>
    <w:basedOn w:val="Normal"/>
    <w:uiPriority w:val="99"/>
    <w:rsid w:val="00EE1F4C"/>
    <w:pP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68">
    <w:name w:val="xl68"/>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69">
    <w:name w:val="xl69"/>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70">
    <w:name w:val="xl70"/>
    <w:basedOn w:val="Normal"/>
    <w:uiPriority w:val="99"/>
    <w:rsid w:val="00EE1F4C"/>
    <w:pPr>
      <w:spacing w:before="100" w:beforeAutospacing="1" w:after="100" w:afterAutospacing="1"/>
      <w:jc w:val="center"/>
      <w:textAlignment w:val="center"/>
    </w:pPr>
    <w:rPr>
      <w:rFonts w:ascii="Arial Narrow" w:hAnsi="Arial Narrow"/>
      <w:sz w:val="24"/>
      <w:szCs w:val="24"/>
      <w:lang w:val="es-CO" w:eastAsia="es-CO"/>
    </w:rPr>
  </w:style>
  <w:style w:type="paragraph" w:customStyle="1" w:styleId="xl71">
    <w:name w:val="xl71"/>
    <w:basedOn w:val="Normal"/>
    <w:uiPriority w:val="99"/>
    <w:rsid w:val="00EE1F4C"/>
    <w:pP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72">
    <w:name w:val="xl72"/>
    <w:basedOn w:val="Normal"/>
    <w:uiPriority w:val="99"/>
    <w:rsid w:val="00EE1F4C"/>
    <w:pPr>
      <w:spacing w:before="100" w:beforeAutospacing="1" w:after="100" w:afterAutospacing="1"/>
      <w:jc w:val="left"/>
      <w:textAlignment w:val="center"/>
    </w:pPr>
    <w:rPr>
      <w:rFonts w:ascii="Arial Narrow" w:hAnsi="Arial Narrow"/>
      <w:sz w:val="18"/>
      <w:szCs w:val="18"/>
      <w:lang w:val="es-CO" w:eastAsia="es-CO"/>
    </w:rPr>
  </w:style>
  <w:style w:type="paragraph" w:customStyle="1" w:styleId="xl73">
    <w:name w:val="xl73"/>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74">
    <w:name w:val="xl7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75">
    <w:name w:val="xl75"/>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76">
    <w:name w:val="xl76"/>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24"/>
      <w:szCs w:val="24"/>
      <w:lang w:val="es-CO" w:eastAsia="es-CO"/>
    </w:rPr>
  </w:style>
  <w:style w:type="paragraph" w:customStyle="1" w:styleId="xl77">
    <w:name w:val="xl7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78">
    <w:name w:val="xl7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79">
    <w:name w:val="xl79"/>
    <w:basedOn w:val="Normal"/>
    <w:uiPriority w:val="99"/>
    <w:rsid w:val="00EE1F4C"/>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80">
    <w:name w:val="xl8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18"/>
      <w:szCs w:val="18"/>
      <w:lang w:val="es-CO" w:eastAsia="es-CO"/>
    </w:rPr>
  </w:style>
  <w:style w:type="paragraph" w:customStyle="1" w:styleId="xl81">
    <w:name w:val="xl81"/>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82">
    <w:name w:val="xl82"/>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18"/>
      <w:szCs w:val="18"/>
      <w:lang w:val="es-CO" w:eastAsia="es-CO"/>
    </w:rPr>
  </w:style>
  <w:style w:type="paragraph" w:customStyle="1" w:styleId="xl83">
    <w:name w:val="xl83"/>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84">
    <w:name w:val="xl84"/>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85">
    <w:name w:val="xl85"/>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86">
    <w:name w:val="xl86"/>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87">
    <w:name w:val="xl87"/>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i/>
      <w:iCs/>
      <w:sz w:val="24"/>
      <w:szCs w:val="24"/>
      <w:lang w:val="es-CO" w:eastAsia="es-CO"/>
    </w:rPr>
  </w:style>
  <w:style w:type="paragraph" w:customStyle="1" w:styleId="xl88">
    <w:name w:val="xl8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89">
    <w:name w:val="xl8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0">
    <w:name w:val="xl9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91">
    <w:name w:val="xl91"/>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2">
    <w:name w:val="xl92"/>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3">
    <w:name w:val="xl93"/>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4">
    <w:name w:val="xl94"/>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95">
    <w:name w:val="xl95"/>
    <w:basedOn w:val="Normal"/>
    <w:uiPriority w:val="99"/>
    <w:rsid w:val="00EE1F4C"/>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18"/>
      <w:szCs w:val="18"/>
      <w:lang w:val="es-CO" w:eastAsia="es-CO"/>
    </w:rPr>
  </w:style>
  <w:style w:type="paragraph" w:customStyle="1" w:styleId="xl96">
    <w:name w:val="xl96"/>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97">
    <w:name w:val="xl97"/>
    <w:basedOn w:val="Normal"/>
    <w:uiPriority w:val="99"/>
    <w:rsid w:val="00EE1F4C"/>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8">
    <w:name w:val="xl98"/>
    <w:basedOn w:val="Normal"/>
    <w:uiPriority w:val="99"/>
    <w:rsid w:val="00EE1F4C"/>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24"/>
      <w:szCs w:val="24"/>
      <w:lang w:val="es-CO" w:eastAsia="es-CO"/>
    </w:rPr>
  </w:style>
  <w:style w:type="paragraph" w:customStyle="1" w:styleId="xl99">
    <w:name w:val="xl99"/>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24"/>
      <w:szCs w:val="24"/>
      <w:lang w:val="es-CO" w:eastAsia="es-CO"/>
    </w:rPr>
  </w:style>
  <w:style w:type="paragraph" w:customStyle="1" w:styleId="xl100">
    <w:name w:val="xl100"/>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01">
    <w:name w:val="xl101"/>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18"/>
      <w:szCs w:val="18"/>
      <w:lang w:val="es-CO" w:eastAsia="es-CO"/>
    </w:rPr>
  </w:style>
  <w:style w:type="paragraph" w:customStyle="1" w:styleId="xl102">
    <w:name w:val="xl102"/>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3">
    <w:name w:val="xl103"/>
    <w:basedOn w:val="Normal"/>
    <w:uiPriority w:val="99"/>
    <w:rsid w:val="00EE1F4C"/>
    <w:pPr>
      <w:pBdr>
        <w:top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4">
    <w:name w:val="xl104"/>
    <w:basedOn w:val="Normal"/>
    <w:uiPriority w:val="99"/>
    <w:rsid w:val="00EE1F4C"/>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5">
    <w:name w:val="xl105"/>
    <w:basedOn w:val="Normal"/>
    <w:uiPriority w:val="99"/>
    <w:rsid w:val="00EE1F4C"/>
    <w:pPr>
      <w:pBdr>
        <w:top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6">
    <w:name w:val="xl106"/>
    <w:basedOn w:val="Normal"/>
    <w:uiPriority w:val="99"/>
    <w:rsid w:val="00EE1F4C"/>
    <w:pPr>
      <w:pBdr>
        <w:top w:val="single" w:sz="4" w:space="0" w:color="auto"/>
        <w:left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7">
    <w:name w:val="xl107"/>
    <w:basedOn w:val="Normal"/>
    <w:uiPriority w:val="99"/>
    <w:rsid w:val="00EE1F4C"/>
    <w:pPr>
      <w:pBdr>
        <w:top w:val="single" w:sz="8"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215967"/>
      <w:sz w:val="24"/>
      <w:szCs w:val="24"/>
      <w:lang w:val="es-CO" w:eastAsia="es-CO"/>
    </w:rPr>
  </w:style>
  <w:style w:type="paragraph" w:customStyle="1" w:styleId="xl108">
    <w:name w:val="xl10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b/>
      <w:bCs/>
      <w:color w:val="0000FF"/>
      <w:sz w:val="24"/>
      <w:szCs w:val="24"/>
      <w:lang w:val="es-CO" w:eastAsia="es-CO"/>
    </w:rPr>
  </w:style>
  <w:style w:type="paragraph" w:customStyle="1" w:styleId="xl109">
    <w:name w:val="xl10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FF"/>
      <w:sz w:val="24"/>
      <w:szCs w:val="24"/>
      <w:lang w:val="es-CO" w:eastAsia="es-CO"/>
    </w:rPr>
  </w:style>
  <w:style w:type="paragraph" w:customStyle="1" w:styleId="xl110">
    <w:name w:val="xl11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1">
    <w:name w:val="xl111"/>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FF0000"/>
      <w:sz w:val="24"/>
      <w:szCs w:val="24"/>
      <w:lang w:val="es-CO" w:eastAsia="es-CO"/>
    </w:rPr>
  </w:style>
  <w:style w:type="paragraph" w:customStyle="1" w:styleId="xl112">
    <w:name w:val="xl112"/>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color w:val="FF0000"/>
      <w:sz w:val="18"/>
      <w:szCs w:val="18"/>
      <w:lang w:val="es-CO" w:eastAsia="es-CO"/>
    </w:rPr>
  </w:style>
  <w:style w:type="paragraph" w:customStyle="1" w:styleId="xl113">
    <w:name w:val="xl113"/>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Arial Narrow" w:hAnsi="Arial Narrow"/>
      <w:i/>
      <w:iCs/>
      <w:color w:val="FF0000"/>
      <w:sz w:val="18"/>
      <w:szCs w:val="18"/>
      <w:lang w:val="es-CO" w:eastAsia="es-CO"/>
    </w:rPr>
  </w:style>
  <w:style w:type="paragraph" w:customStyle="1" w:styleId="xl114">
    <w:name w:val="xl114"/>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Arial Narrow" w:hAnsi="Arial Narrow"/>
      <w:b/>
      <w:bCs/>
      <w:color w:val="FF0000"/>
      <w:sz w:val="24"/>
      <w:szCs w:val="24"/>
      <w:lang w:val="es-CO" w:eastAsia="es-CO"/>
    </w:rPr>
  </w:style>
  <w:style w:type="paragraph" w:customStyle="1" w:styleId="xl115">
    <w:name w:val="xl115"/>
    <w:basedOn w:val="Normal"/>
    <w:uiPriority w:val="99"/>
    <w:rsid w:val="00EE1F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left"/>
      <w:textAlignment w:val="center"/>
    </w:pPr>
    <w:rPr>
      <w:rFonts w:ascii="Arial Narrow" w:hAnsi="Arial Narrow"/>
      <w:i/>
      <w:iCs/>
      <w:color w:val="FF0000"/>
      <w:sz w:val="18"/>
      <w:szCs w:val="18"/>
      <w:lang w:val="es-CO" w:eastAsia="es-CO"/>
    </w:rPr>
  </w:style>
  <w:style w:type="paragraph" w:customStyle="1" w:styleId="xl116">
    <w:name w:val="xl116"/>
    <w:basedOn w:val="Normal"/>
    <w:uiPriority w:val="99"/>
    <w:rsid w:val="00EE1F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left"/>
      <w:textAlignment w:val="center"/>
    </w:pPr>
    <w:rPr>
      <w:rFonts w:ascii="Arial Narrow" w:hAnsi="Arial Narrow"/>
      <w:i/>
      <w:iCs/>
      <w:color w:val="FF0000"/>
      <w:sz w:val="24"/>
      <w:szCs w:val="24"/>
      <w:lang w:val="es-CO" w:eastAsia="es-CO"/>
    </w:rPr>
  </w:style>
  <w:style w:type="paragraph" w:customStyle="1" w:styleId="xl117">
    <w:name w:val="xl117"/>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8">
    <w:name w:val="xl11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9">
    <w:name w:val="xl11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color w:val="0000FF"/>
      <w:sz w:val="24"/>
      <w:szCs w:val="24"/>
      <w:lang w:val="es-CO" w:eastAsia="es-CO"/>
    </w:rPr>
  </w:style>
  <w:style w:type="paragraph" w:customStyle="1" w:styleId="xl120">
    <w:name w:val="xl120"/>
    <w:basedOn w:val="Normal"/>
    <w:uiPriority w:val="99"/>
    <w:rsid w:val="00EE1F4C"/>
    <w:pPr>
      <w:pBdr>
        <w:bottom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21">
    <w:name w:val="xl121"/>
    <w:basedOn w:val="Normal"/>
    <w:uiPriority w:val="99"/>
    <w:rsid w:val="00EE1F4C"/>
    <w:pP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2">
    <w:name w:val="xl122"/>
    <w:basedOn w:val="Normal"/>
    <w:uiPriority w:val="99"/>
    <w:rsid w:val="00EE1F4C"/>
    <w:pPr>
      <w:pBdr>
        <w:top w:val="single" w:sz="4" w:space="0" w:color="auto"/>
        <w:left w:val="single" w:sz="8" w:space="0" w:color="auto"/>
        <w:bottom w:val="single" w:sz="4"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3">
    <w:name w:val="xl123"/>
    <w:basedOn w:val="Normal"/>
    <w:uiPriority w:val="99"/>
    <w:rsid w:val="00EE1F4C"/>
    <w:pPr>
      <w:pBdr>
        <w:top w:val="single" w:sz="4" w:space="0" w:color="auto"/>
        <w:left w:val="single" w:sz="8" w:space="0" w:color="auto"/>
        <w:bottom w:val="single" w:sz="8"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4">
    <w:name w:val="xl124"/>
    <w:basedOn w:val="Normal"/>
    <w:uiPriority w:val="99"/>
    <w:rsid w:val="00EE1F4C"/>
    <w:pPr>
      <w:pBdr>
        <w:top w:val="single" w:sz="4" w:space="0" w:color="auto"/>
        <w:lef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5">
    <w:name w:val="xl125"/>
    <w:basedOn w:val="Normal"/>
    <w:uiPriority w:val="99"/>
    <w:rsid w:val="00EE1F4C"/>
    <w:pPr>
      <w:pBdr>
        <w:top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6">
    <w:name w:val="xl126"/>
    <w:basedOn w:val="Normal"/>
    <w:uiPriority w:val="99"/>
    <w:rsid w:val="00EE1F4C"/>
    <w:pPr>
      <w:pBdr>
        <w:top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7">
    <w:name w:val="xl127"/>
    <w:basedOn w:val="Normal"/>
    <w:uiPriority w:val="99"/>
    <w:rsid w:val="00EE1F4C"/>
    <w:pPr>
      <w:pBdr>
        <w:top w:val="single" w:sz="4" w:space="0" w:color="auto"/>
        <w:left w:val="single" w:sz="8" w:space="0" w:color="auto"/>
        <w:bottom w:val="single" w:sz="4"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8">
    <w:name w:val="xl128"/>
    <w:basedOn w:val="Normal"/>
    <w:uiPriority w:val="99"/>
    <w:rsid w:val="00EE1F4C"/>
    <w:pPr>
      <w:pBdr>
        <w:lef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9">
    <w:name w:val="xl129"/>
    <w:basedOn w:val="Normal"/>
    <w:uiPriority w:val="99"/>
    <w:rsid w:val="00EE1F4C"/>
    <w:pPr>
      <w:pBdr>
        <w:lef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30">
    <w:name w:val="xl130"/>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1">
    <w:name w:val="xl131"/>
    <w:basedOn w:val="Normal"/>
    <w:uiPriority w:val="99"/>
    <w:rsid w:val="00EE1F4C"/>
    <w:pPr>
      <w:pBdr>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2">
    <w:name w:val="xl132"/>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33">
    <w:name w:val="xl133"/>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4">
    <w:name w:val="xl13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35">
    <w:name w:val="xl135"/>
    <w:basedOn w:val="Normal"/>
    <w:uiPriority w:val="99"/>
    <w:rsid w:val="00EE1F4C"/>
    <w:pPr>
      <w:spacing w:before="100" w:beforeAutospacing="1" w:after="100" w:afterAutospacing="1"/>
    </w:pPr>
    <w:rPr>
      <w:rFonts w:ascii="Arial Narrow" w:hAnsi="Arial Narrow"/>
      <w:b/>
      <w:bCs/>
      <w:sz w:val="24"/>
      <w:szCs w:val="24"/>
      <w:lang w:val="es-CO" w:eastAsia="es-CO"/>
    </w:rPr>
  </w:style>
  <w:style w:type="paragraph" w:customStyle="1" w:styleId="xl136">
    <w:name w:val="xl136"/>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7">
    <w:name w:val="xl13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8">
    <w:name w:val="xl13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139">
    <w:name w:val="xl139"/>
    <w:basedOn w:val="Normal"/>
    <w:uiPriority w:val="99"/>
    <w:rsid w:val="00EE1F4C"/>
    <w:pPr>
      <w:spacing w:before="100" w:beforeAutospacing="1" w:after="100" w:afterAutospacing="1"/>
    </w:pPr>
    <w:rPr>
      <w:rFonts w:ascii="Arial Narrow" w:hAnsi="Arial Narrow"/>
      <w:i/>
      <w:iCs/>
      <w:sz w:val="24"/>
      <w:szCs w:val="24"/>
      <w:lang w:val="es-CO" w:eastAsia="es-CO"/>
    </w:rPr>
  </w:style>
  <w:style w:type="paragraph" w:customStyle="1" w:styleId="xl140">
    <w:name w:val="xl14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41">
    <w:name w:val="xl141"/>
    <w:basedOn w:val="Normal"/>
    <w:uiPriority w:val="99"/>
    <w:rsid w:val="00EE1F4C"/>
    <w:pP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142">
    <w:name w:val="xl142"/>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143">
    <w:name w:val="xl143"/>
    <w:basedOn w:val="Normal"/>
    <w:uiPriority w:val="99"/>
    <w:rsid w:val="00EE1F4C"/>
    <w:pPr>
      <w:spacing w:before="100" w:beforeAutospacing="1" w:after="100" w:afterAutospacing="1"/>
      <w:jc w:val="left"/>
    </w:pPr>
    <w:rPr>
      <w:rFonts w:ascii="Arial Narrow" w:hAnsi="Arial Narrow"/>
      <w:i/>
      <w:iCs/>
      <w:sz w:val="18"/>
      <w:szCs w:val="18"/>
      <w:lang w:val="es-CO" w:eastAsia="es-CO"/>
    </w:rPr>
  </w:style>
  <w:style w:type="paragraph" w:customStyle="1" w:styleId="xl144">
    <w:name w:val="xl14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45">
    <w:name w:val="xl145"/>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18"/>
      <w:szCs w:val="18"/>
      <w:lang w:val="es-CO" w:eastAsia="es-CO"/>
    </w:rPr>
  </w:style>
  <w:style w:type="paragraph" w:customStyle="1" w:styleId="xl146">
    <w:name w:val="xl146"/>
    <w:basedOn w:val="Normal"/>
    <w:uiPriority w:val="99"/>
    <w:rsid w:val="00EE1F4C"/>
    <w:pP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47">
    <w:name w:val="xl14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48">
    <w:name w:val="xl14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149">
    <w:name w:val="xl14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50">
    <w:name w:val="xl150"/>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51">
    <w:name w:val="xl151"/>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52">
    <w:name w:val="xl152"/>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3">
    <w:name w:val="xl153"/>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4">
    <w:name w:val="xl15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5">
    <w:name w:val="xl155"/>
    <w:basedOn w:val="Normal"/>
    <w:uiPriority w:val="99"/>
    <w:rsid w:val="00EE1F4C"/>
    <w:pPr>
      <w:pBdr>
        <w:top w:val="single" w:sz="4" w:space="0" w:color="auto"/>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6">
    <w:name w:val="xl156"/>
    <w:basedOn w:val="Normal"/>
    <w:uiPriority w:val="99"/>
    <w:rsid w:val="00EE1F4C"/>
    <w:pPr>
      <w:pBdr>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7">
    <w:name w:val="xl157"/>
    <w:basedOn w:val="Normal"/>
    <w:uiPriority w:val="99"/>
    <w:rsid w:val="00EE1F4C"/>
    <w:pPr>
      <w:pBdr>
        <w:left w:val="single" w:sz="4" w:space="0" w:color="auto"/>
        <w:bottom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8">
    <w:name w:val="xl158"/>
    <w:basedOn w:val="Normal"/>
    <w:uiPriority w:val="99"/>
    <w:rsid w:val="00EE1F4C"/>
    <w:pPr>
      <w:pBdr>
        <w:bottom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9">
    <w:name w:val="xl159"/>
    <w:basedOn w:val="Normal"/>
    <w:uiPriority w:val="99"/>
    <w:rsid w:val="00EE1F4C"/>
    <w:pPr>
      <w:pBdr>
        <w:bottom w:val="single" w:sz="4" w:space="0" w:color="auto"/>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styleId="BodyText2">
    <w:name w:val="Body Text 2"/>
    <w:basedOn w:val="Normal"/>
    <w:link w:val="BodyText2Char"/>
    <w:rsid w:val="008205BB"/>
    <w:pPr>
      <w:spacing w:line="480" w:lineRule="auto"/>
    </w:pPr>
  </w:style>
  <w:style w:type="character" w:customStyle="1" w:styleId="BodyText2Char">
    <w:name w:val="Body Text 2 Char"/>
    <w:basedOn w:val="DefaultParagraphFont"/>
    <w:link w:val="BodyText2"/>
    <w:rsid w:val="008205BB"/>
    <w:rPr>
      <w:rFonts w:ascii="Arial" w:hAnsi="Arial"/>
      <w:sz w:val="22"/>
    </w:rPr>
  </w:style>
  <w:style w:type="paragraph" w:customStyle="1" w:styleId="ELENCOPUNTATO1">
    <w:name w:val="ELENCO PUNTATO 1"/>
    <w:basedOn w:val="Normal"/>
    <w:uiPriority w:val="99"/>
    <w:rsid w:val="008205BB"/>
    <w:pPr>
      <w:numPr>
        <w:numId w:val="4"/>
      </w:numPr>
      <w:tabs>
        <w:tab w:val="left" w:pos="5050"/>
      </w:tabs>
      <w:spacing w:before="120" w:after="0"/>
    </w:pPr>
    <w:rPr>
      <w:rFonts w:ascii="Times New Roman" w:hAnsi="Times New Roman"/>
      <w:snapToGrid w:val="0"/>
      <w:sz w:val="24"/>
    </w:rPr>
  </w:style>
  <w:style w:type="paragraph" w:customStyle="1" w:styleId="PRIMAPAG01">
    <w:name w:val="PRIMA PAG 01"/>
    <w:basedOn w:val="Normal"/>
    <w:uiPriority w:val="99"/>
    <w:rsid w:val="008205BB"/>
    <w:pPr>
      <w:tabs>
        <w:tab w:val="left" w:pos="567"/>
        <w:tab w:val="left" w:pos="1346"/>
        <w:tab w:val="left" w:pos="1984"/>
        <w:tab w:val="left" w:pos="2693"/>
        <w:tab w:val="left" w:pos="4110"/>
        <w:tab w:val="left" w:pos="5103"/>
        <w:tab w:val="left" w:pos="5386"/>
        <w:tab w:val="left" w:pos="6307"/>
        <w:tab w:val="left" w:pos="6591"/>
        <w:tab w:val="left" w:pos="6874"/>
        <w:tab w:val="left" w:pos="7229"/>
        <w:tab w:val="left" w:pos="7441"/>
      </w:tabs>
      <w:spacing w:before="120" w:after="0"/>
    </w:pPr>
    <w:rPr>
      <w:rFonts w:ascii="Times New Roman" w:hAnsi="Times New Roman"/>
      <w:sz w:val="24"/>
    </w:rPr>
  </w:style>
  <w:style w:type="paragraph" w:customStyle="1" w:styleId="Prrafodelista1">
    <w:name w:val="Párrafo de lista1"/>
    <w:basedOn w:val="Normal"/>
    <w:uiPriority w:val="34"/>
    <w:rsid w:val="008205BB"/>
    <w:pPr>
      <w:spacing w:after="200"/>
      <w:ind w:left="720"/>
      <w:contextualSpacing/>
      <w:jc w:val="left"/>
    </w:pPr>
    <w:rPr>
      <w:rFonts w:ascii="Calibri" w:hAnsi="Calibri"/>
      <w:szCs w:val="22"/>
      <w:lang w:val="es-ES" w:eastAsia="en-US"/>
    </w:rPr>
  </w:style>
  <w:style w:type="character" w:customStyle="1" w:styleId="apple-converted-space">
    <w:name w:val="apple-converted-space"/>
    <w:basedOn w:val="DefaultParagraphFont"/>
    <w:rsid w:val="00CF3FB4"/>
  </w:style>
  <w:style w:type="paragraph" w:customStyle="1" w:styleId="Normal10">
    <w:name w:val="Normal1"/>
    <w:basedOn w:val="Normal"/>
    <w:uiPriority w:val="99"/>
    <w:rsid w:val="00CF3FB4"/>
    <w:pPr>
      <w:spacing w:before="100" w:beforeAutospacing="1" w:after="100" w:afterAutospacing="1"/>
      <w:jc w:val="left"/>
    </w:pPr>
    <w:rPr>
      <w:rFonts w:ascii="Times New Roman" w:hAnsi="Times New Roman"/>
      <w:sz w:val="24"/>
      <w:szCs w:val="24"/>
      <w:lang w:val="es-CO" w:eastAsia="es-CO"/>
    </w:rPr>
  </w:style>
  <w:style w:type="character" w:customStyle="1" w:styleId="normalchar">
    <w:name w:val="normal__char"/>
    <w:basedOn w:val="DefaultParagraphFont"/>
    <w:uiPriority w:val="99"/>
    <w:rsid w:val="00CF3FB4"/>
  </w:style>
  <w:style w:type="character" w:customStyle="1" w:styleId="list0020paragraphchar">
    <w:name w:val="list_0020paragraph__char"/>
    <w:basedOn w:val="DefaultParagraphFont"/>
    <w:uiPriority w:val="99"/>
    <w:rsid w:val="00CF3FB4"/>
  </w:style>
  <w:style w:type="paragraph" w:customStyle="1" w:styleId="Bullet">
    <w:name w:val="Bullet"/>
    <w:basedOn w:val="Normal"/>
    <w:uiPriority w:val="99"/>
    <w:rsid w:val="008F3EDF"/>
    <w:pPr>
      <w:numPr>
        <w:numId w:val="5"/>
      </w:numPr>
      <w:spacing w:after="0"/>
    </w:pPr>
    <w:rPr>
      <w:rFonts w:ascii="Times New Roman" w:hAnsi="Times New Roman"/>
      <w:sz w:val="24"/>
      <w:szCs w:val="24"/>
      <w:lang w:val="en-GB"/>
    </w:rPr>
  </w:style>
  <w:style w:type="paragraph" w:styleId="BodyText3">
    <w:name w:val="Body Text 3"/>
    <w:basedOn w:val="Normal"/>
    <w:link w:val="BodyText3Char"/>
    <w:rsid w:val="00E80E80"/>
    <w:rPr>
      <w:sz w:val="16"/>
      <w:szCs w:val="16"/>
    </w:rPr>
  </w:style>
  <w:style w:type="character" w:customStyle="1" w:styleId="BodyText3Char">
    <w:name w:val="Body Text 3 Char"/>
    <w:basedOn w:val="DefaultParagraphFont"/>
    <w:link w:val="BodyText3"/>
    <w:rsid w:val="00E80E80"/>
    <w:rPr>
      <w:rFonts w:ascii="Arial" w:hAnsi="Arial"/>
      <w:sz w:val="16"/>
      <w:szCs w:val="16"/>
    </w:rPr>
  </w:style>
  <w:style w:type="paragraph" w:styleId="Title">
    <w:name w:val="Title"/>
    <w:basedOn w:val="Normal"/>
    <w:next w:val="Normal"/>
    <w:link w:val="TitleChar"/>
    <w:qFormat/>
    <w:rsid w:val="00E80E80"/>
    <w:pPr>
      <w:pBdr>
        <w:bottom w:val="single" w:sz="4" w:space="1" w:color="auto"/>
      </w:pBdr>
      <w:spacing w:after="0" w:line="360" w:lineRule="auto"/>
      <w:contextualSpacing/>
      <w:jc w:val="center"/>
    </w:pPr>
    <w:rPr>
      <w:b/>
      <w:caps/>
      <w:spacing w:val="5"/>
      <w:sz w:val="32"/>
      <w:szCs w:val="52"/>
      <w:lang w:val="es-PE" w:eastAsia="en-US" w:bidi="en-US"/>
    </w:rPr>
  </w:style>
  <w:style w:type="character" w:customStyle="1" w:styleId="TitleChar">
    <w:name w:val="Title Char"/>
    <w:basedOn w:val="DefaultParagraphFont"/>
    <w:link w:val="Title"/>
    <w:rsid w:val="00E80E80"/>
    <w:rPr>
      <w:rFonts w:ascii="Arial" w:hAnsi="Arial"/>
      <w:b/>
      <w:caps/>
      <w:spacing w:val="5"/>
      <w:sz w:val="32"/>
      <w:szCs w:val="52"/>
      <w:lang w:val="es-PE" w:eastAsia="en-US" w:bidi="en-US"/>
    </w:rPr>
  </w:style>
  <w:style w:type="character" w:styleId="Strong">
    <w:name w:val="Strong"/>
    <w:uiPriority w:val="22"/>
    <w:qFormat/>
    <w:rsid w:val="00E80E80"/>
    <w:rPr>
      <w:b/>
      <w:bCs/>
    </w:rPr>
  </w:style>
  <w:style w:type="character" w:styleId="Emphasis">
    <w:name w:val="Emphasis"/>
    <w:qFormat/>
    <w:rsid w:val="00E80E80"/>
    <w:rPr>
      <w:b/>
      <w:bCs/>
      <w:i/>
      <w:iCs/>
      <w:spacing w:val="10"/>
      <w:bdr w:val="none" w:sz="0" w:space="0" w:color="auto"/>
      <w:shd w:val="clear" w:color="auto" w:fill="auto"/>
    </w:rPr>
  </w:style>
  <w:style w:type="paragraph" w:styleId="Quote">
    <w:name w:val="Quote"/>
    <w:basedOn w:val="Normal"/>
    <w:next w:val="Normal"/>
    <w:link w:val="QuoteChar"/>
    <w:uiPriority w:val="29"/>
    <w:qFormat/>
    <w:rsid w:val="00E80E80"/>
    <w:pPr>
      <w:spacing w:before="200" w:after="0" w:line="360" w:lineRule="auto"/>
      <w:ind w:left="360" w:right="360"/>
    </w:pPr>
    <w:rPr>
      <w:rFonts w:cs="Arial"/>
      <w:i/>
      <w:iCs/>
      <w:sz w:val="24"/>
      <w:szCs w:val="24"/>
      <w:lang w:val="es-PE" w:eastAsia="en-US" w:bidi="en-US"/>
    </w:rPr>
  </w:style>
  <w:style w:type="character" w:customStyle="1" w:styleId="QuoteChar">
    <w:name w:val="Quote Char"/>
    <w:basedOn w:val="DefaultParagraphFont"/>
    <w:link w:val="Quote"/>
    <w:uiPriority w:val="29"/>
    <w:rsid w:val="00E80E80"/>
    <w:rPr>
      <w:rFonts w:ascii="Arial" w:hAnsi="Arial" w:cs="Arial"/>
      <w:i/>
      <w:iCs/>
      <w:sz w:val="24"/>
      <w:szCs w:val="24"/>
      <w:lang w:val="es-PE" w:eastAsia="en-US" w:bidi="en-US"/>
    </w:rPr>
  </w:style>
  <w:style w:type="paragraph" w:styleId="IntenseQuote">
    <w:name w:val="Intense Quote"/>
    <w:basedOn w:val="Normal"/>
    <w:next w:val="Normal"/>
    <w:link w:val="IntenseQuoteChar"/>
    <w:uiPriority w:val="30"/>
    <w:qFormat/>
    <w:rsid w:val="00E80E80"/>
    <w:pPr>
      <w:pBdr>
        <w:bottom w:val="single" w:sz="4" w:space="1" w:color="auto"/>
      </w:pBdr>
      <w:spacing w:before="200" w:after="280" w:line="360" w:lineRule="auto"/>
      <w:ind w:left="1008" w:right="1152"/>
    </w:pPr>
    <w:rPr>
      <w:rFonts w:cs="Arial"/>
      <w:b/>
      <w:bCs/>
      <w:i/>
      <w:iCs/>
      <w:sz w:val="24"/>
      <w:szCs w:val="24"/>
      <w:lang w:val="es-PE" w:eastAsia="en-US" w:bidi="en-US"/>
    </w:rPr>
  </w:style>
  <w:style w:type="character" w:customStyle="1" w:styleId="IntenseQuoteChar">
    <w:name w:val="Intense Quote Char"/>
    <w:basedOn w:val="DefaultParagraphFont"/>
    <w:link w:val="IntenseQuote"/>
    <w:uiPriority w:val="30"/>
    <w:rsid w:val="00E80E80"/>
    <w:rPr>
      <w:rFonts w:ascii="Arial" w:hAnsi="Arial" w:cs="Arial"/>
      <w:b/>
      <w:bCs/>
      <w:i/>
      <w:iCs/>
      <w:sz w:val="24"/>
      <w:szCs w:val="24"/>
      <w:lang w:val="es-PE" w:eastAsia="en-US" w:bidi="en-US"/>
    </w:rPr>
  </w:style>
  <w:style w:type="character" w:styleId="SubtleEmphasis">
    <w:name w:val="Subtle Emphasis"/>
    <w:uiPriority w:val="19"/>
    <w:qFormat/>
    <w:rsid w:val="00E80E80"/>
    <w:rPr>
      <w:i/>
      <w:iCs/>
    </w:rPr>
  </w:style>
  <w:style w:type="character" w:styleId="IntenseEmphasis">
    <w:name w:val="Intense Emphasis"/>
    <w:uiPriority w:val="21"/>
    <w:qFormat/>
    <w:rsid w:val="00E80E80"/>
    <w:rPr>
      <w:b/>
      <w:bCs/>
    </w:rPr>
  </w:style>
  <w:style w:type="character" w:styleId="SubtleReference">
    <w:name w:val="Subtle Reference"/>
    <w:uiPriority w:val="31"/>
    <w:qFormat/>
    <w:rsid w:val="00E80E80"/>
    <w:rPr>
      <w:smallCaps/>
    </w:rPr>
  </w:style>
  <w:style w:type="character" w:styleId="IntenseReference">
    <w:name w:val="Intense Reference"/>
    <w:uiPriority w:val="32"/>
    <w:qFormat/>
    <w:rsid w:val="00E80E80"/>
    <w:rPr>
      <w:smallCaps/>
      <w:spacing w:val="5"/>
      <w:u w:val="single"/>
    </w:rPr>
  </w:style>
  <w:style w:type="character" w:styleId="BookTitle">
    <w:name w:val="Book Title"/>
    <w:uiPriority w:val="33"/>
    <w:qFormat/>
    <w:rsid w:val="00E80E80"/>
    <w:rPr>
      <w:i/>
      <w:iCs/>
      <w:smallCaps/>
      <w:spacing w:val="5"/>
    </w:rPr>
  </w:style>
  <w:style w:type="paragraph" w:styleId="BodyText">
    <w:name w:val="Body Text"/>
    <w:aliases w:val="descriptionbullets,bt,body text,BODY TEXT,Block text,Testo.t2"/>
    <w:basedOn w:val="Normal"/>
    <w:link w:val="BodyTextChar"/>
    <w:unhideWhenUsed/>
    <w:rsid w:val="00E80E80"/>
    <w:pPr>
      <w:spacing w:line="360" w:lineRule="auto"/>
    </w:pPr>
    <w:rPr>
      <w:rFonts w:cs="Arial"/>
      <w:sz w:val="24"/>
      <w:szCs w:val="24"/>
      <w:lang w:val="es-PE" w:eastAsia="en-US" w:bidi="en-US"/>
    </w:rPr>
  </w:style>
  <w:style w:type="character" w:customStyle="1" w:styleId="BodyTextChar">
    <w:name w:val="Body Text Char"/>
    <w:aliases w:val="descriptionbullets Char,bt Char,body text Char,BODY TEXT Char,Block text Char,Testo.t2 Char"/>
    <w:basedOn w:val="DefaultParagraphFont"/>
    <w:link w:val="BodyText"/>
    <w:rsid w:val="00E80E80"/>
    <w:rPr>
      <w:rFonts w:ascii="Arial" w:hAnsi="Arial" w:cs="Arial"/>
      <w:sz w:val="24"/>
      <w:szCs w:val="24"/>
      <w:lang w:val="es-PE" w:eastAsia="en-US" w:bidi="en-US"/>
    </w:rPr>
  </w:style>
  <w:style w:type="paragraph" w:customStyle="1" w:styleId="BodyText21">
    <w:name w:val="Body Text 21"/>
    <w:basedOn w:val="Normal"/>
    <w:rsid w:val="00E80E80"/>
    <w:pPr>
      <w:widowControl w:val="0"/>
      <w:tabs>
        <w:tab w:val="left" w:pos="851"/>
      </w:tabs>
      <w:suppressAutoHyphens/>
      <w:spacing w:after="0"/>
      <w:ind w:left="851" w:hanging="851"/>
    </w:pPr>
    <w:rPr>
      <w:rFonts w:eastAsia="Batang"/>
      <w:spacing w:val="-3"/>
      <w:sz w:val="24"/>
      <w:lang w:val="es-ES_tradnl" w:eastAsia="es-ES"/>
    </w:rPr>
  </w:style>
  <w:style w:type="paragraph" w:customStyle="1" w:styleId="Sangra3detindependiente1">
    <w:name w:val="Sangría 3 de t. independiente1"/>
    <w:basedOn w:val="Normal"/>
    <w:rsid w:val="00E80E80"/>
    <w:pPr>
      <w:widowControl w:val="0"/>
      <w:tabs>
        <w:tab w:val="left" w:pos="0"/>
      </w:tabs>
      <w:suppressAutoHyphens/>
      <w:spacing w:after="0"/>
      <w:ind w:left="1110"/>
    </w:pPr>
    <w:rPr>
      <w:rFonts w:eastAsia="Batang"/>
      <w:spacing w:val="-3"/>
      <w:sz w:val="24"/>
      <w:lang w:val="es-ES_tradnl" w:eastAsia="es-ES"/>
    </w:rPr>
  </w:style>
  <w:style w:type="paragraph" w:customStyle="1" w:styleId="Textoindependiente21">
    <w:name w:val="Texto independiente 21"/>
    <w:basedOn w:val="Normal"/>
    <w:rsid w:val="00E80E80"/>
    <w:pPr>
      <w:widowControl w:val="0"/>
      <w:tabs>
        <w:tab w:val="left" w:pos="0"/>
      </w:tabs>
      <w:suppressAutoHyphens/>
      <w:spacing w:after="0"/>
    </w:pPr>
    <w:rPr>
      <w:rFonts w:eastAsia="Batang"/>
      <w:sz w:val="24"/>
      <w:lang w:val="es-ES_tradnl" w:eastAsia="es-ES"/>
    </w:rPr>
  </w:style>
  <w:style w:type="paragraph" w:styleId="CommentSubject">
    <w:name w:val="annotation subject"/>
    <w:basedOn w:val="CommentText"/>
    <w:next w:val="CommentText"/>
    <w:link w:val="CommentSubjectChar"/>
    <w:uiPriority w:val="99"/>
    <w:unhideWhenUsed/>
    <w:rsid w:val="00E80E80"/>
    <w:pPr>
      <w:spacing w:after="0"/>
    </w:pPr>
    <w:rPr>
      <w:rFonts w:cs="Arial"/>
      <w:b/>
      <w:bCs/>
      <w:lang w:val="es-PE" w:eastAsia="en-US" w:bidi="en-US"/>
    </w:rPr>
  </w:style>
  <w:style w:type="character" w:customStyle="1" w:styleId="CommentSubjectChar">
    <w:name w:val="Comment Subject Char"/>
    <w:basedOn w:val="CommentTextChar"/>
    <w:link w:val="CommentSubject"/>
    <w:uiPriority w:val="99"/>
    <w:rsid w:val="00E80E80"/>
    <w:rPr>
      <w:rFonts w:ascii="Arial" w:hAnsi="Arial" w:cs="Arial"/>
      <w:b/>
      <w:bCs/>
      <w:lang w:val="es-PE" w:eastAsia="en-US" w:bidi="en-US"/>
    </w:rPr>
  </w:style>
  <w:style w:type="paragraph" w:customStyle="1" w:styleId="Sangra2detindependiente1">
    <w:name w:val="Sangría 2 de t. independiente1"/>
    <w:basedOn w:val="Normal"/>
    <w:rsid w:val="00E80E80"/>
    <w:pPr>
      <w:widowControl w:val="0"/>
      <w:tabs>
        <w:tab w:val="left" w:pos="851"/>
      </w:tabs>
      <w:suppressAutoHyphens/>
      <w:spacing w:after="0"/>
      <w:ind w:left="851"/>
    </w:pPr>
    <w:rPr>
      <w:rFonts w:eastAsia="Batang"/>
      <w:spacing w:val="-3"/>
      <w:lang w:val="es-ES_tradnl" w:eastAsia="es-ES"/>
    </w:rPr>
  </w:style>
  <w:style w:type="paragraph" w:customStyle="1" w:styleId="Sangra3detindependiente2">
    <w:name w:val="Sangría 3 de t. independiente2"/>
    <w:basedOn w:val="Normal"/>
    <w:rsid w:val="00E80E80"/>
    <w:pPr>
      <w:widowControl w:val="0"/>
      <w:tabs>
        <w:tab w:val="left" w:pos="0"/>
      </w:tabs>
      <w:suppressAutoHyphens/>
      <w:spacing w:after="0"/>
      <w:ind w:left="1110"/>
    </w:pPr>
    <w:rPr>
      <w:rFonts w:eastAsia="Batang"/>
      <w:spacing w:val="-3"/>
      <w:lang w:val="es-ES_tradnl" w:eastAsia="es-ES"/>
    </w:rPr>
  </w:style>
  <w:style w:type="paragraph" w:customStyle="1" w:styleId="Textoindependiente22">
    <w:name w:val="Texto independiente 22"/>
    <w:basedOn w:val="Normal"/>
    <w:rsid w:val="00E80E80"/>
    <w:pPr>
      <w:widowControl w:val="0"/>
      <w:tabs>
        <w:tab w:val="left" w:pos="0"/>
      </w:tabs>
      <w:suppressAutoHyphens/>
      <w:spacing w:after="0"/>
    </w:pPr>
    <w:rPr>
      <w:rFonts w:eastAsia="Batang"/>
      <w:lang w:val="es-ES_tradnl" w:eastAsia="es-ES"/>
    </w:rPr>
  </w:style>
  <w:style w:type="paragraph" w:styleId="HTMLPreformatted">
    <w:name w:val="HTML Preformatted"/>
    <w:basedOn w:val="Normal"/>
    <w:link w:val="HTMLPreformattedChar"/>
    <w:uiPriority w:val="99"/>
    <w:rsid w:val="00E80E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6"/>
      <w:jc w:val="left"/>
    </w:pPr>
    <w:rPr>
      <w:rFonts w:ascii="Courier New" w:hAnsi="Courier New" w:cs="Courier New"/>
      <w:sz w:val="24"/>
      <w:szCs w:val="24"/>
      <w:lang w:val="es-ES" w:eastAsia="es-ES"/>
    </w:rPr>
  </w:style>
  <w:style w:type="character" w:customStyle="1" w:styleId="HTMLPreformattedChar">
    <w:name w:val="HTML Preformatted Char"/>
    <w:basedOn w:val="DefaultParagraphFont"/>
    <w:link w:val="HTMLPreformatted"/>
    <w:uiPriority w:val="99"/>
    <w:rsid w:val="00E80E80"/>
    <w:rPr>
      <w:rFonts w:ascii="Courier New" w:hAnsi="Courier New" w:cs="Courier New"/>
      <w:sz w:val="24"/>
      <w:szCs w:val="24"/>
      <w:lang w:val="es-ES" w:eastAsia="es-ES"/>
    </w:rPr>
  </w:style>
  <w:style w:type="paragraph" w:customStyle="1" w:styleId="WW-Textoindependiente2">
    <w:name w:val="WW-Texto independiente 2"/>
    <w:basedOn w:val="Normal"/>
    <w:rsid w:val="00E80E80"/>
    <w:pPr>
      <w:suppressAutoHyphens/>
      <w:spacing w:after="0"/>
      <w:ind w:left="6"/>
    </w:pPr>
    <w:rPr>
      <w:rFonts w:ascii="Garamond" w:hAnsi="Garamond"/>
      <w:sz w:val="24"/>
      <w:lang w:val="es-ES_tradnl" w:eastAsia="es-ES"/>
    </w:rPr>
  </w:style>
  <w:style w:type="paragraph" w:customStyle="1" w:styleId="Normal4">
    <w:name w:val="Normal 4"/>
    <w:basedOn w:val="Normal"/>
    <w:rsid w:val="00E80E80"/>
    <w:pPr>
      <w:spacing w:before="120" w:after="240"/>
    </w:pPr>
    <w:rPr>
      <w:rFonts w:ascii="Verdana" w:hAnsi="Verdana" w:cs="Arial"/>
      <w:color w:val="800000"/>
      <w:szCs w:val="24"/>
      <w:lang w:val="es-PE" w:eastAsia="es-ES"/>
    </w:rPr>
  </w:style>
  <w:style w:type="paragraph" w:customStyle="1" w:styleId="Estilo">
    <w:name w:val="Estilo"/>
    <w:rsid w:val="00175299"/>
    <w:pPr>
      <w:widowControl w:val="0"/>
      <w:autoSpaceDE w:val="0"/>
      <w:autoSpaceDN w:val="0"/>
      <w:adjustRightInd w:val="0"/>
    </w:pPr>
    <w:rPr>
      <w:rFonts w:ascii="Arial" w:hAnsi="Arial" w:cs="Arial"/>
      <w:sz w:val="24"/>
      <w:szCs w:val="24"/>
      <w:lang w:val="es-ES" w:eastAsia="es-ES"/>
    </w:rPr>
  </w:style>
  <w:style w:type="paragraph" w:customStyle="1" w:styleId="Figuras">
    <w:name w:val="Figuras"/>
    <w:basedOn w:val="Normal"/>
    <w:link w:val="FigurasCar"/>
    <w:qFormat/>
    <w:rsid w:val="00E25A10"/>
    <w:pPr>
      <w:spacing w:before="60" w:after="240"/>
      <w:jc w:val="center"/>
    </w:pPr>
    <w:rPr>
      <w:b/>
      <w:sz w:val="16"/>
      <w:szCs w:val="16"/>
      <w:lang w:val="es-ES"/>
    </w:rPr>
  </w:style>
  <w:style w:type="character" w:customStyle="1" w:styleId="FigurasCar">
    <w:name w:val="Figuras Car"/>
    <w:basedOn w:val="DefaultParagraphFont"/>
    <w:link w:val="Figuras"/>
    <w:rsid w:val="00E25A10"/>
    <w:rPr>
      <w:rFonts w:ascii="Arial" w:hAnsi="Arial"/>
      <w:b/>
      <w:sz w:val="16"/>
      <w:szCs w:val="16"/>
      <w:lang w:val="es-ES"/>
    </w:rPr>
  </w:style>
  <w:style w:type="character" w:customStyle="1" w:styleId="Titolo2ChapterTitleCarattere">
    <w:name w:val="Titolo 2;Chapter Title Carattere"/>
    <w:basedOn w:val="DefaultParagraphFont"/>
    <w:rsid w:val="00E24DF3"/>
    <w:rPr>
      <w:rFonts w:ascii="Arial" w:hAnsi="Arial"/>
      <w:b/>
      <w:caps/>
      <w:sz w:val="22"/>
      <w:lang w:val="it-IT" w:eastAsia="it-IT" w:bidi="ar-SA"/>
    </w:rPr>
  </w:style>
  <w:style w:type="paragraph" w:styleId="NormalIndent">
    <w:name w:val="Normal Indent"/>
    <w:basedOn w:val="Normal"/>
    <w:rsid w:val="00E24DF3"/>
    <w:pPr>
      <w:widowControl w:val="0"/>
      <w:spacing w:before="60" w:after="0" w:line="240" w:lineRule="auto"/>
      <w:ind w:left="708"/>
    </w:pPr>
    <w:rPr>
      <w:rFonts w:cs="Arial"/>
      <w:snapToGrid w:val="0"/>
      <w:szCs w:val="22"/>
    </w:rPr>
  </w:style>
  <w:style w:type="paragraph" w:styleId="BodyTextIndent2">
    <w:name w:val="Body Text Indent 2"/>
    <w:basedOn w:val="Normal"/>
    <w:link w:val="BodyTextIndent2Char"/>
    <w:rsid w:val="00E24DF3"/>
    <w:pPr>
      <w:widowControl w:val="0"/>
      <w:spacing w:before="60" w:after="0" w:line="240" w:lineRule="auto"/>
      <w:ind w:firstLine="284"/>
    </w:pPr>
    <w:rPr>
      <w:rFonts w:cs="Arial"/>
      <w:snapToGrid w:val="0"/>
      <w:sz w:val="20"/>
      <w:szCs w:val="22"/>
    </w:rPr>
  </w:style>
  <w:style w:type="character" w:customStyle="1" w:styleId="BodyTextIndent2Char">
    <w:name w:val="Body Text Indent 2 Char"/>
    <w:basedOn w:val="DefaultParagraphFont"/>
    <w:link w:val="BodyTextIndent2"/>
    <w:rsid w:val="00E24DF3"/>
    <w:rPr>
      <w:rFonts w:ascii="Arial" w:hAnsi="Arial" w:cs="Arial"/>
      <w:snapToGrid w:val="0"/>
      <w:szCs w:val="22"/>
    </w:rPr>
  </w:style>
  <w:style w:type="paragraph" w:styleId="BodyTextIndent3">
    <w:name w:val="Body Text Indent 3"/>
    <w:basedOn w:val="Normal"/>
    <w:link w:val="BodyTextIndent3Char"/>
    <w:rsid w:val="00E24DF3"/>
    <w:pPr>
      <w:widowControl w:val="0"/>
      <w:spacing w:before="60" w:after="0" w:line="240" w:lineRule="auto"/>
      <w:ind w:left="1134"/>
    </w:pPr>
    <w:rPr>
      <w:rFonts w:cs="Arial"/>
      <w:snapToGrid w:val="0"/>
      <w:sz w:val="24"/>
      <w:szCs w:val="22"/>
    </w:rPr>
  </w:style>
  <w:style w:type="character" w:customStyle="1" w:styleId="BodyTextIndent3Char">
    <w:name w:val="Body Text Indent 3 Char"/>
    <w:basedOn w:val="DefaultParagraphFont"/>
    <w:link w:val="BodyTextIndent3"/>
    <w:rsid w:val="00E24DF3"/>
    <w:rPr>
      <w:rFonts w:ascii="Arial" w:hAnsi="Arial" w:cs="Arial"/>
      <w:snapToGrid w:val="0"/>
      <w:sz w:val="24"/>
      <w:szCs w:val="22"/>
    </w:rPr>
  </w:style>
  <w:style w:type="paragraph" w:customStyle="1" w:styleId="rientro5">
    <w:name w:val="rientro 5"/>
    <w:basedOn w:val="Normal"/>
    <w:rsid w:val="00E24DF3"/>
    <w:pPr>
      <w:widowControl w:val="0"/>
      <w:tabs>
        <w:tab w:val="left" w:pos="283"/>
      </w:tabs>
      <w:spacing w:before="60" w:after="0" w:line="240" w:lineRule="auto"/>
      <w:ind w:left="283" w:hanging="283"/>
    </w:pPr>
    <w:rPr>
      <w:rFonts w:ascii="Helvetica" w:hAnsi="Helvetica" w:cs="Arial"/>
      <w:snapToGrid w:val="0"/>
      <w:szCs w:val="22"/>
    </w:rPr>
  </w:style>
  <w:style w:type="paragraph" w:customStyle="1" w:styleId="rientro10">
    <w:name w:val="rientro 10"/>
    <w:basedOn w:val="Normal"/>
    <w:rsid w:val="00E24DF3"/>
    <w:pPr>
      <w:widowControl w:val="0"/>
      <w:tabs>
        <w:tab w:val="left" w:pos="283"/>
        <w:tab w:val="left" w:pos="794"/>
      </w:tabs>
      <w:spacing w:before="60" w:after="0" w:line="240" w:lineRule="auto"/>
      <w:ind w:left="793" w:hanging="793"/>
    </w:pPr>
    <w:rPr>
      <w:rFonts w:ascii="Helvetica" w:hAnsi="Helvetica" w:cs="Arial"/>
      <w:snapToGrid w:val="0"/>
      <w:szCs w:val="22"/>
    </w:rPr>
  </w:style>
  <w:style w:type="paragraph" w:customStyle="1" w:styleId="Commentaire">
    <w:name w:val="Commentaire"/>
    <w:basedOn w:val="Normal"/>
    <w:rsid w:val="00E24DF3"/>
    <w:pPr>
      <w:widowControl w:val="0"/>
      <w:spacing w:before="60" w:after="0" w:line="240" w:lineRule="auto"/>
    </w:pPr>
    <w:rPr>
      <w:rFonts w:cs="Arial"/>
      <w:snapToGrid w:val="0"/>
      <w:szCs w:val="22"/>
      <w:lang w:val="fr-FR"/>
    </w:rPr>
  </w:style>
  <w:style w:type="paragraph" w:customStyle="1" w:styleId="Lettera">
    <w:name w:val="Lettera"/>
    <w:basedOn w:val="Normal"/>
    <w:rsid w:val="00E24DF3"/>
    <w:pPr>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60" w:after="0" w:line="240" w:lineRule="auto"/>
    </w:pPr>
    <w:rPr>
      <w:rFonts w:cs="Arial"/>
      <w:snapToGrid w:val="0"/>
      <w:szCs w:val="22"/>
    </w:rPr>
  </w:style>
  <w:style w:type="paragraph" w:customStyle="1" w:styleId="testo">
    <w:name w:val="testo"/>
    <w:rsid w:val="00E24DF3"/>
    <w:pPr>
      <w:jc w:val="both"/>
    </w:pPr>
    <w:rPr>
      <w:rFonts w:ascii="Helvetica" w:hAnsi="Helvetica"/>
      <w:color w:val="000000"/>
      <w:sz w:val="22"/>
    </w:rPr>
  </w:style>
  <w:style w:type="paragraph" w:styleId="BlockText">
    <w:name w:val="Block Text"/>
    <w:basedOn w:val="Normal"/>
    <w:rsid w:val="00E24DF3"/>
    <w:pPr>
      <w:widowControl w:val="0"/>
      <w:tabs>
        <w:tab w:val="left" w:pos="1134"/>
      </w:tabs>
      <w:spacing w:before="60" w:after="0" w:line="240" w:lineRule="auto"/>
      <w:ind w:right="333"/>
    </w:pPr>
    <w:rPr>
      <w:rFonts w:cs="Arial"/>
      <w:snapToGrid w:val="0"/>
      <w:szCs w:val="22"/>
    </w:rPr>
  </w:style>
  <w:style w:type="character" w:styleId="PageNumber">
    <w:name w:val="page number"/>
    <w:basedOn w:val="DefaultParagraphFont"/>
    <w:rsid w:val="00E24DF3"/>
  </w:style>
  <w:style w:type="paragraph" w:customStyle="1" w:styleId="figure0">
    <w:name w:val="figure"/>
    <w:basedOn w:val="Normal"/>
    <w:next w:val="Normal"/>
    <w:rsid w:val="00E24DF3"/>
    <w:pPr>
      <w:widowControl w:val="0"/>
      <w:tabs>
        <w:tab w:val="num" w:pos="360"/>
      </w:tabs>
      <w:spacing w:before="60" w:after="0" w:line="240" w:lineRule="auto"/>
      <w:jc w:val="center"/>
    </w:pPr>
    <w:rPr>
      <w:rFonts w:cs="Arial"/>
      <w:i/>
      <w:snapToGrid w:val="0"/>
      <w:sz w:val="20"/>
      <w:szCs w:val="22"/>
    </w:rPr>
  </w:style>
  <w:style w:type="paragraph" w:customStyle="1" w:styleId="capoverso">
    <w:name w:val="capoverso"/>
    <w:basedOn w:val="Normal"/>
    <w:rsid w:val="00E24DF3"/>
    <w:pPr>
      <w:widowControl w:val="0"/>
      <w:tabs>
        <w:tab w:val="left" w:pos="720"/>
      </w:tabs>
      <w:spacing w:before="60" w:after="0" w:line="240" w:lineRule="auto"/>
      <w:ind w:firstLine="720"/>
    </w:pPr>
    <w:rPr>
      <w:rFonts w:cs="Arial"/>
      <w:snapToGrid w:val="0"/>
      <w:sz w:val="24"/>
      <w:szCs w:val="22"/>
    </w:rPr>
  </w:style>
  <w:style w:type="paragraph" w:customStyle="1" w:styleId="TRATTINO">
    <w:name w:val="TRATTINO"/>
    <w:basedOn w:val="capoverso"/>
    <w:rsid w:val="00E24DF3"/>
    <w:pPr>
      <w:ind w:left="142" w:hanging="142"/>
    </w:pPr>
  </w:style>
  <w:style w:type="paragraph" w:customStyle="1" w:styleId="Normal2">
    <w:name w:val="Normal2"/>
    <w:basedOn w:val="Normal"/>
    <w:rsid w:val="00E24DF3"/>
    <w:pPr>
      <w:widowControl w:val="0"/>
      <w:overflowPunct w:val="0"/>
      <w:autoSpaceDE w:val="0"/>
      <w:autoSpaceDN w:val="0"/>
      <w:adjustRightInd w:val="0"/>
      <w:spacing w:before="60" w:after="0" w:line="240" w:lineRule="auto"/>
      <w:ind w:left="709" w:right="-567"/>
      <w:jc w:val="left"/>
      <w:textAlignment w:val="baseline"/>
    </w:pPr>
    <w:rPr>
      <w:rFonts w:cs="Arial"/>
      <w:snapToGrid w:val="0"/>
      <w:sz w:val="20"/>
      <w:szCs w:val="22"/>
      <w:lang w:val="en-US"/>
    </w:rPr>
  </w:style>
  <w:style w:type="paragraph" w:customStyle="1" w:styleId="xl24">
    <w:name w:val="xl24"/>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ahoma" w:eastAsia="Arial Unicode MS" w:hAnsi="Tahoma" w:cs="Tahoma"/>
      <w:snapToGrid w:val="0"/>
      <w:sz w:val="24"/>
      <w:szCs w:val="24"/>
    </w:rPr>
  </w:style>
  <w:style w:type="paragraph" w:customStyle="1" w:styleId="xl25">
    <w:name w:val="xl25"/>
    <w:basedOn w:val="Normal"/>
    <w:rsid w:val="00E24DF3"/>
    <w:pPr>
      <w:widowControl w:val="0"/>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ahoma" w:eastAsia="Arial Unicode MS" w:hAnsi="Tahoma" w:cs="Tahoma"/>
      <w:snapToGrid w:val="0"/>
      <w:sz w:val="24"/>
      <w:szCs w:val="24"/>
    </w:rPr>
  </w:style>
  <w:style w:type="paragraph" w:customStyle="1" w:styleId="xl26">
    <w:name w:val="xl26"/>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Arial Unicode MS" w:hAnsi="Tahoma" w:cs="Tahoma"/>
      <w:snapToGrid w:val="0"/>
      <w:sz w:val="24"/>
      <w:szCs w:val="24"/>
    </w:rPr>
  </w:style>
  <w:style w:type="paragraph" w:customStyle="1" w:styleId="xl27">
    <w:name w:val="xl27"/>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i/>
      <w:iCs/>
      <w:snapToGrid w:val="0"/>
      <w:sz w:val="24"/>
      <w:szCs w:val="24"/>
    </w:rPr>
  </w:style>
  <w:style w:type="paragraph" w:customStyle="1" w:styleId="xl28">
    <w:name w:val="xl28"/>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s="Arial Unicode MS"/>
      <w:snapToGrid w:val="0"/>
      <w:sz w:val="24"/>
      <w:szCs w:val="24"/>
    </w:rPr>
  </w:style>
  <w:style w:type="paragraph" w:customStyle="1" w:styleId="xl29">
    <w:name w:val="xl29"/>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24"/>
      <w:szCs w:val="24"/>
    </w:rPr>
  </w:style>
  <w:style w:type="paragraph" w:customStyle="1" w:styleId="xl30">
    <w:name w:val="xl30"/>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1">
    <w:name w:val="xl31"/>
    <w:basedOn w:val="Normal"/>
    <w:rsid w:val="00E24DF3"/>
    <w:pPr>
      <w:widowControl w:val="0"/>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2">
    <w:name w:val="xl32"/>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3">
    <w:name w:val="xl33"/>
    <w:basedOn w:val="Normal"/>
    <w:rsid w:val="00E24DF3"/>
    <w:pPr>
      <w:widowControl w:val="0"/>
      <w:pBdr>
        <w:top w:val="single" w:sz="4" w:space="0" w:color="auto"/>
        <w:lef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4">
    <w:name w:val="xl34"/>
    <w:basedOn w:val="Normal"/>
    <w:rsid w:val="00E24DF3"/>
    <w:pPr>
      <w:widowControl w:val="0"/>
      <w:pBdr>
        <w:top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5">
    <w:name w:val="xl35"/>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6">
    <w:name w:val="xl36"/>
    <w:basedOn w:val="Normal"/>
    <w:rsid w:val="00E24DF3"/>
    <w:pPr>
      <w:widowControl w:val="0"/>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7">
    <w:name w:val="xl37"/>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8">
    <w:name w:val="xl38"/>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39">
    <w:name w:val="xl39"/>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0">
    <w:name w:val="xl40"/>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41">
    <w:name w:val="xl41"/>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2">
    <w:name w:val="xl42"/>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3">
    <w:name w:val="xl43"/>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Elencopuntato">
    <w:name w:val="Elenco puntato"/>
    <w:basedOn w:val="Normal"/>
    <w:rsid w:val="00E24DF3"/>
    <w:pPr>
      <w:widowControl w:val="0"/>
      <w:tabs>
        <w:tab w:val="num" w:pos="870"/>
      </w:tabs>
      <w:spacing w:before="60" w:after="0" w:line="240" w:lineRule="auto"/>
      <w:ind w:firstLine="510"/>
    </w:pPr>
    <w:rPr>
      <w:rFonts w:cs="Arial"/>
      <w:snapToGrid w:val="0"/>
      <w:szCs w:val="22"/>
    </w:rPr>
  </w:style>
  <w:style w:type="paragraph" w:customStyle="1" w:styleId="n">
    <w:name w:val="n"/>
    <w:basedOn w:val="Heading2"/>
    <w:rsid w:val="00E24DF3"/>
    <w:pPr>
      <w:keepNext w:val="0"/>
      <w:widowControl w:val="0"/>
      <w:numPr>
        <w:ilvl w:val="0"/>
        <w:numId w:val="0"/>
      </w:numPr>
      <w:spacing w:before="120" w:after="0" w:line="240" w:lineRule="auto"/>
      <w:jc w:val="both"/>
    </w:pPr>
    <w:rPr>
      <w:rFonts w:cs="Arial"/>
      <w:caps/>
      <w:snapToGrid w:val="0"/>
      <w:szCs w:val="22"/>
    </w:rPr>
  </w:style>
  <w:style w:type="paragraph" w:styleId="List">
    <w:name w:val="List"/>
    <w:basedOn w:val="Normal"/>
    <w:rsid w:val="00E24DF3"/>
    <w:pPr>
      <w:widowControl w:val="0"/>
      <w:tabs>
        <w:tab w:val="num" w:pos="397"/>
      </w:tabs>
      <w:spacing w:before="120" w:after="0" w:line="360" w:lineRule="exact"/>
      <w:ind w:left="397" w:hanging="397"/>
    </w:pPr>
    <w:rPr>
      <w:rFonts w:eastAsia="Batang" w:cs="Arial"/>
      <w:snapToGrid w:val="0"/>
      <w:sz w:val="24"/>
      <w:szCs w:val="22"/>
    </w:rPr>
  </w:style>
  <w:style w:type="paragraph" w:customStyle="1" w:styleId="Elencolineetta">
    <w:name w:val="Elenco lineetta"/>
    <w:basedOn w:val="Elencopuntato"/>
    <w:rsid w:val="00E24DF3"/>
  </w:style>
  <w:style w:type="paragraph" w:customStyle="1" w:styleId="Elencolineetta1">
    <w:name w:val="Elenco lineetta 1"/>
    <w:basedOn w:val="Elencolineetta"/>
    <w:rsid w:val="00E24DF3"/>
    <w:pPr>
      <w:tabs>
        <w:tab w:val="clear" w:pos="870"/>
        <w:tab w:val="num" w:pos="1437"/>
      </w:tabs>
      <w:ind w:left="1077" w:firstLine="0"/>
    </w:pPr>
  </w:style>
  <w:style w:type="paragraph" w:customStyle="1" w:styleId="Elencoletterarientro">
    <w:name w:val="Elenco lettera (rientro)"/>
    <w:basedOn w:val="Elencopuntato"/>
    <w:rsid w:val="00E24DF3"/>
    <w:pPr>
      <w:tabs>
        <w:tab w:val="clear" w:pos="870"/>
        <w:tab w:val="num" w:pos="1437"/>
      </w:tabs>
      <w:ind w:left="1077" w:firstLine="0"/>
    </w:pPr>
  </w:style>
  <w:style w:type="paragraph" w:customStyle="1" w:styleId="Tabella">
    <w:name w:val="Tabella"/>
    <w:basedOn w:val="Normal"/>
    <w:rsid w:val="00E24DF3"/>
    <w:pPr>
      <w:widowControl w:val="0"/>
      <w:spacing w:before="60" w:after="0" w:line="240" w:lineRule="auto"/>
      <w:jc w:val="center"/>
    </w:pPr>
    <w:rPr>
      <w:rFonts w:cs="Arial"/>
      <w:snapToGrid w:val="0"/>
      <w:szCs w:val="22"/>
    </w:rPr>
  </w:style>
  <w:style w:type="paragraph" w:customStyle="1" w:styleId="Elencoromano">
    <w:name w:val="Elenco romano"/>
    <w:basedOn w:val="Normal"/>
    <w:rsid w:val="00E24DF3"/>
    <w:pPr>
      <w:widowControl w:val="0"/>
      <w:tabs>
        <w:tab w:val="num" w:pos="1437"/>
      </w:tabs>
      <w:spacing w:before="60" w:after="0" w:line="240" w:lineRule="auto"/>
      <w:ind w:left="851" w:firstLine="226"/>
    </w:pPr>
    <w:rPr>
      <w:rFonts w:cs="Arial"/>
      <w:snapToGrid w:val="0"/>
      <w:szCs w:val="22"/>
    </w:rPr>
  </w:style>
  <w:style w:type="paragraph" w:customStyle="1" w:styleId="Testotabella">
    <w:name w:val="Testo tabella"/>
    <w:rsid w:val="00E24DF3"/>
    <w:pPr>
      <w:jc w:val="center"/>
    </w:pPr>
    <w:rPr>
      <w:rFonts w:ascii="Arial" w:hAnsi="Arial" w:cs="Arial"/>
    </w:rPr>
  </w:style>
  <w:style w:type="paragraph" w:customStyle="1" w:styleId="Testotabella1">
    <w:name w:val="Testo tabella 1"/>
    <w:basedOn w:val="Testotabella"/>
    <w:rsid w:val="00E24DF3"/>
    <w:rPr>
      <w:sz w:val="22"/>
    </w:rPr>
  </w:style>
  <w:style w:type="paragraph" w:customStyle="1" w:styleId="StileTitolo11ptNonGrassettoGiustificatodopo0pt">
    <w:name w:val="Stile Titolo + 11 pt Non Grassetto Giustificato  dopo 0 pt"/>
    <w:basedOn w:val="Title"/>
    <w:rsid w:val="00E24DF3"/>
    <w:pPr>
      <w:widowControl w:val="0"/>
      <w:pBdr>
        <w:bottom w:val="none" w:sz="0" w:space="0" w:color="auto"/>
      </w:pBdr>
      <w:spacing w:before="60" w:after="240"/>
      <w:contextualSpacing w:val="0"/>
      <w:jc w:val="both"/>
    </w:pPr>
    <w:rPr>
      <w:b w:val="0"/>
      <w:caps w:val="0"/>
      <w:snapToGrid w:val="0"/>
      <w:spacing w:val="0"/>
      <w:sz w:val="22"/>
      <w:szCs w:val="20"/>
      <w:lang w:val="it-IT" w:eastAsia="it-IT" w:bidi="ar-SA"/>
    </w:rPr>
  </w:style>
  <w:style w:type="paragraph" w:customStyle="1" w:styleId="Texto">
    <w:name w:val="Texto"/>
    <w:basedOn w:val="Normal"/>
    <w:rsid w:val="00E24DF3"/>
    <w:pPr>
      <w:widowControl w:val="0"/>
      <w:spacing w:before="60" w:after="60" w:line="240" w:lineRule="auto"/>
      <w:jc w:val="left"/>
    </w:pPr>
    <w:rPr>
      <w:rFonts w:cs="Arial"/>
      <w:snapToGrid w:val="0"/>
      <w:szCs w:val="22"/>
      <w:lang w:val="pt-PT" w:bidi="he-IL"/>
    </w:rPr>
  </w:style>
  <w:style w:type="paragraph" w:customStyle="1" w:styleId="Normal1">
    <w:name w:val="Normal 1"/>
    <w:basedOn w:val="Normal"/>
    <w:autoRedefine/>
    <w:rsid w:val="00E24DF3"/>
    <w:pPr>
      <w:widowControl w:val="0"/>
      <w:numPr>
        <w:numId w:val="9"/>
      </w:numPr>
      <w:spacing w:before="60" w:after="0" w:line="240" w:lineRule="auto"/>
      <w:ind w:left="284" w:hanging="284"/>
    </w:pPr>
    <w:rPr>
      <w:rFonts w:cs="Arial"/>
      <w:snapToGrid w:val="0"/>
      <w:szCs w:val="22"/>
      <w:lang w:val="fr-FR"/>
    </w:rPr>
  </w:style>
  <w:style w:type="paragraph" w:customStyle="1" w:styleId="NEWTESTOCarattereCarattereCarattereCarattereCarattere">
    <w:name w:val="NEW TESTO Carattere Carattere Carattere Carattere Carattere"/>
    <w:basedOn w:val="Normal"/>
    <w:rsid w:val="00E24DF3"/>
    <w:pPr>
      <w:widowControl w:val="0"/>
      <w:spacing w:before="60" w:after="0" w:line="360" w:lineRule="auto"/>
    </w:pPr>
    <w:rPr>
      <w:rFonts w:ascii="Times New Roman" w:hAnsi="Times New Roman" w:cs="Arial"/>
      <w:snapToGrid w:val="0"/>
      <w:sz w:val="24"/>
      <w:szCs w:val="24"/>
    </w:rPr>
  </w:style>
  <w:style w:type="paragraph" w:customStyle="1" w:styleId="NormalTesto">
    <w:name w:val="Normal Testo"/>
    <w:basedOn w:val="Normal"/>
    <w:autoRedefine/>
    <w:rsid w:val="00E24DF3"/>
    <w:pPr>
      <w:widowControl w:val="0"/>
      <w:spacing w:before="60" w:after="0" w:line="360" w:lineRule="auto"/>
      <w:jc w:val="center"/>
    </w:pPr>
    <w:rPr>
      <w:rFonts w:cs="Arial"/>
      <w:snapToGrid w:val="0"/>
      <w:color w:val="333300"/>
      <w:szCs w:val="22"/>
    </w:rPr>
  </w:style>
  <w:style w:type="paragraph" w:customStyle="1" w:styleId="Stile1">
    <w:name w:val="Stile1"/>
    <w:basedOn w:val="Normal"/>
    <w:rsid w:val="00E24DF3"/>
    <w:pPr>
      <w:widowControl w:val="0"/>
      <w:spacing w:before="60" w:line="240" w:lineRule="auto"/>
      <w:jc w:val="center"/>
    </w:pPr>
    <w:rPr>
      <w:rFonts w:ascii="Courier New" w:hAnsi="Courier New" w:cs="Arial"/>
      <w:snapToGrid w:val="0"/>
      <w:sz w:val="24"/>
      <w:szCs w:val="22"/>
      <w:lang w:bidi="he-IL"/>
    </w:rPr>
  </w:style>
  <w:style w:type="paragraph" w:styleId="ListBullet">
    <w:name w:val="List Bullet"/>
    <w:aliases w:val="List Bullet 1"/>
    <w:basedOn w:val="Normal"/>
    <w:autoRedefine/>
    <w:rsid w:val="00E24DF3"/>
    <w:pPr>
      <w:widowControl w:val="0"/>
      <w:tabs>
        <w:tab w:val="left" w:pos="851"/>
      </w:tabs>
      <w:spacing w:before="60" w:after="0" w:line="240" w:lineRule="auto"/>
    </w:pPr>
    <w:rPr>
      <w:rFonts w:cs="Arial"/>
      <w:snapToGrid w:val="0"/>
      <w:szCs w:val="24"/>
    </w:rPr>
  </w:style>
  <w:style w:type="paragraph" w:styleId="DocumentMap">
    <w:name w:val="Document Map"/>
    <w:basedOn w:val="Normal"/>
    <w:link w:val="DocumentMapChar"/>
    <w:rsid w:val="00E24DF3"/>
    <w:pPr>
      <w:widowControl w:val="0"/>
      <w:shd w:val="clear" w:color="auto" w:fill="000080"/>
      <w:spacing w:before="60" w:after="0" w:line="240" w:lineRule="auto"/>
    </w:pPr>
    <w:rPr>
      <w:rFonts w:ascii="Tahoma" w:hAnsi="Tahoma" w:cs="Tahoma"/>
      <w:snapToGrid w:val="0"/>
      <w:szCs w:val="22"/>
    </w:rPr>
  </w:style>
  <w:style w:type="character" w:customStyle="1" w:styleId="DocumentMapChar">
    <w:name w:val="Document Map Char"/>
    <w:basedOn w:val="DefaultParagraphFont"/>
    <w:link w:val="DocumentMap"/>
    <w:rsid w:val="00E24DF3"/>
    <w:rPr>
      <w:rFonts w:ascii="Tahoma" w:hAnsi="Tahoma" w:cs="Tahoma"/>
      <w:snapToGrid w:val="0"/>
      <w:sz w:val="22"/>
      <w:szCs w:val="22"/>
      <w:shd w:val="clear" w:color="auto" w:fill="000080"/>
    </w:rPr>
  </w:style>
  <w:style w:type="paragraph" w:customStyle="1" w:styleId="Elenconumerato">
    <w:name w:val="Elenco numerato"/>
    <w:basedOn w:val="Normal"/>
    <w:rsid w:val="00E24DF3"/>
    <w:pPr>
      <w:widowControl w:val="0"/>
      <w:numPr>
        <w:numId w:val="7"/>
      </w:numPr>
      <w:spacing w:before="60" w:after="0" w:line="360" w:lineRule="auto"/>
    </w:pPr>
    <w:rPr>
      <w:rFonts w:cs="Arial"/>
      <w:snapToGrid w:val="0"/>
      <w:szCs w:val="22"/>
    </w:rPr>
  </w:style>
  <w:style w:type="paragraph" w:customStyle="1" w:styleId="Elencointabella2">
    <w:name w:val="Elenco in tabella 2"/>
    <w:basedOn w:val="Normal"/>
    <w:rsid w:val="00E24DF3"/>
    <w:pPr>
      <w:widowControl w:val="0"/>
      <w:numPr>
        <w:numId w:val="8"/>
      </w:numPr>
      <w:spacing w:before="60" w:after="0" w:line="240" w:lineRule="auto"/>
    </w:pPr>
    <w:rPr>
      <w:rFonts w:cs="Arial"/>
      <w:snapToGrid w:val="0"/>
      <w:szCs w:val="22"/>
    </w:rPr>
  </w:style>
  <w:style w:type="character" w:customStyle="1" w:styleId="Titolo1shmanPartCarattere">
    <w:name w:val="Titolo 1;shman;Part Carattere"/>
    <w:basedOn w:val="DefaultParagraphFont"/>
    <w:rsid w:val="00E24DF3"/>
    <w:rPr>
      <w:rFonts w:ascii="Arial" w:hAnsi="Arial"/>
      <w:b/>
      <w:iCs/>
      <w:caps/>
      <w:sz w:val="28"/>
      <w:szCs w:val="28"/>
      <w:lang w:val="it-IT" w:eastAsia="it-IT" w:bidi="ar-SA"/>
    </w:rPr>
  </w:style>
  <w:style w:type="paragraph" w:styleId="ListBullet2">
    <w:name w:val="List Bullet 2"/>
    <w:basedOn w:val="Normal"/>
    <w:autoRedefine/>
    <w:rsid w:val="00E24DF3"/>
    <w:pPr>
      <w:widowControl w:val="0"/>
      <w:numPr>
        <w:numId w:val="6"/>
      </w:numPr>
      <w:spacing w:before="60" w:after="0" w:line="240" w:lineRule="auto"/>
      <w:ind w:left="641" w:hanging="357"/>
    </w:pPr>
    <w:rPr>
      <w:rFonts w:cs="Arial"/>
      <w:snapToGrid w:val="0"/>
      <w:sz w:val="20"/>
      <w:szCs w:val="22"/>
    </w:rPr>
  </w:style>
  <w:style w:type="paragraph" w:customStyle="1" w:styleId="Elenco03">
    <w:name w:val="Elenco 03"/>
    <w:basedOn w:val="Normal"/>
    <w:rsid w:val="00E24DF3"/>
    <w:pPr>
      <w:widowControl w:val="0"/>
      <w:numPr>
        <w:ilvl w:val="1"/>
        <w:numId w:val="10"/>
      </w:numPr>
      <w:spacing w:before="60" w:after="0" w:line="240" w:lineRule="auto"/>
    </w:pPr>
    <w:rPr>
      <w:rFonts w:cs="Arial"/>
      <w:snapToGrid w:val="0"/>
      <w:szCs w:val="22"/>
    </w:rPr>
  </w:style>
  <w:style w:type="paragraph" w:customStyle="1" w:styleId="TESTO0">
    <w:name w:val="TESTO"/>
    <w:basedOn w:val="Normal"/>
    <w:rsid w:val="00E24DF3"/>
    <w:pPr>
      <w:widowControl w:val="0"/>
      <w:spacing w:before="40" w:after="40" w:line="400" w:lineRule="atLeast"/>
    </w:pPr>
    <w:rPr>
      <w:snapToGrid w:val="0"/>
      <w:sz w:val="24"/>
      <w:szCs w:val="22"/>
    </w:rPr>
  </w:style>
  <w:style w:type="paragraph" w:customStyle="1" w:styleId="Rientro-1">
    <w:name w:val="Rientro-1"/>
    <w:basedOn w:val="TESTO0"/>
    <w:rsid w:val="00E24DF3"/>
    <w:pPr>
      <w:ind w:left="284" w:hanging="284"/>
    </w:pPr>
  </w:style>
  <w:style w:type="paragraph" w:customStyle="1" w:styleId="Titoletto">
    <w:name w:val="Titoletto"/>
    <w:basedOn w:val="TESTO0"/>
    <w:rsid w:val="00E24DF3"/>
    <w:pPr>
      <w:keepNext/>
      <w:widowControl/>
      <w:spacing w:before="500" w:after="200" w:line="240" w:lineRule="auto"/>
    </w:pPr>
    <w:rPr>
      <w:b/>
      <w:i/>
    </w:rPr>
  </w:style>
  <w:style w:type="paragraph" w:customStyle="1" w:styleId="Rientronumerato">
    <w:name w:val="Rientro numerato"/>
    <w:basedOn w:val="Rientro-1"/>
    <w:rsid w:val="00E24DF3"/>
    <w:pPr>
      <w:ind w:left="426" w:hanging="426"/>
    </w:pPr>
  </w:style>
  <w:style w:type="paragraph" w:customStyle="1" w:styleId="Rientro-1elenco">
    <w:name w:val="Rientro-1 elenco"/>
    <w:basedOn w:val="Rientro-1"/>
    <w:rsid w:val="00E24DF3"/>
    <w:pPr>
      <w:tabs>
        <w:tab w:val="right" w:pos="9072"/>
      </w:tabs>
      <w:ind w:right="-1"/>
    </w:pPr>
  </w:style>
  <w:style w:type="paragraph" w:customStyle="1" w:styleId="tabellato">
    <w:name w:val="tabellato"/>
    <w:basedOn w:val="Normal"/>
    <w:rsid w:val="00E24DF3"/>
    <w:pPr>
      <w:widowControl w:val="0"/>
      <w:tabs>
        <w:tab w:val="left" w:pos="284"/>
      </w:tabs>
      <w:spacing w:after="0" w:line="240" w:lineRule="auto"/>
    </w:pPr>
    <w:rPr>
      <w:snapToGrid w:val="0"/>
      <w:szCs w:val="22"/>
    </w:rPr>
  </w:style>
  <w:style w:type="paragraph" w:customStyle="1" w:styleId="e10">
    <w:name w:val="e:10"/>
    <w:rsid w:val="00E24DF3"/>
    <w:pPr>
      <w:widowControl w:val="0"/>
      <w:tabs>
        <w:tab w:val="left" w:pos="2722"/>
        <w:tab w:val="left" w:pos="3572"/>
      </w:tabs>
      <w:spacing w:before="66" w:line="230" w:lineRule="auto"/>
      <w:ind w:left="2722"/>
      <w:jc w:val="both"/>
    </w:pPr>
    <w:rPr>
      <w:rFonts w:ascii="Helvetica" w:hAnsi="Helvetica"/>
    </w:rPr>
  </w:style>
  <w:style w:type="paragraph" w:customStyle="1" w:styleId="Rientro-2">
    <w:name w:val="Rientro-2"/>
    <w:basedOn w:val="TESTO0"/>
    <w:rsid w:val="00E24DF3"/>
    <w:pPr>
      <w:ind w:left="568" w:hanging="284"/>
    </w:pPr>
    <w:rPr>
      <w:snapToGrid/>
    </w:rPr>
  </w:style>
  <w:style w:type="paragraph" w:customStyle="1" w:styleId="Rientro-2elenco">
    <w:name w:val="Rientro-2 elenco"/>
    <w:basedOn w:val="Rientro-2"/>
    <w:rsid w:val="00E24DF3"/>
    <w:pPr>
      <w:numPr>
        <w:numId w:val="11"/>
      </w:numPr>
      <w:tabs>
        <w:tab w:val="clear" w:pos="510"/>
        <w:tab w:val="num" w:pos="567"/>
        <w:tab w:val="right" w:pos="8505"/>
      </w:tabs>
      <w:ind w:left="567" w:right="1701" w:hanging="283"/>
    </w:pPr>
  </w:style>
  <w:style w:type="paragraph" w:customStyle="1" w:styleId="etsto">
    <w:name w:val="etsto"/>
    <w:basedOn w:val="testo"/>
    <w:rsid w:val="00E24DF3"/>
    <w:pPr>
      <w:widowControl w:val="0"/>
      <w:spacing w:before="40" w:after="40" w:line="440" w:lineRule="atLeast"/>
    </w:pPr>
    <w:rPr>
      <w:rFonts w:ascii="Arial" w:hAnsi="Arial"/>
      <w:color w:val="auto"/>
      <w:sz w:val="24"/>
    </w:rPr>
  </w:style>
  <w:style w:type="paragraph" w:customStyle="1" w:styleId="2771-corpotesto">
    <w:name w:val="2771-corpo testo"/>
    <w:basedOn w:val="Normal"/>
    <w:link w:val="2771-corpotestoCarattere"/>
    <w:rsid w:val="00E24DF3"/>
    <w:pPr>
      <w:spacing w:before="120" w:after="0" w:line="240" w:lineRule="auto"/>
    </w:pPr>
    <w:rPr>
      <w:rFonts w:cs="Arial"/>
      <w:szCs w:val="22"/>
    </w:rPr>
  </w:style>
  <w:style w:type="paragraph" w:customStyle="1" w:styleId="toesto">
    <w:name w:val="toesto"/>
    <w:basedOn w:val="TESTO0"/>
    <w:rsid w:val="00E24DF3"/>
    <w:rPr>
      <w:snapToGrid/>
    </w:rPr>
  </w:style>
  <w:style w:type="paragraph" w:customStyle="1" w:styleId="Titolettino">
    <w:name w:val="Titolettino"/>
    <w:basedOn w:val="Titoletto"/>
    <w:rsid w:val="00E24DF3"/>
    <w:pPr>
      <w:spacing w:before="300"/>
    </w:pPr>
    <w:rPr>
      <w:b w:val="0"/>
      <w:snapToGrid/>
    </w:rPr>
  </w:style>
  <w:style w:type="paragraph" w:customStyle="1" w:styleId="2771-T2">
    <w:name w:val="2771-T2"/>
    <w:basedOn w:val="Heading2"/>
    <w:next w:val="2771-corpotesto"/>
    <w:link w:val="2771-T2Char"/>
    <w:rsid w:val="00E24DF3"/>
    <w:pPr>
      <w:spacing w:before="120" w:after="120" w:line="240" w:lineRule="auto"/>
      <w:ind w:left="0" w:firstLine="0"/>
    </w:pPr>
    <w:rPr>
      <w:rFonts w:cs="Arial"/>
      <w:sz w:val="24"/>
      <w:szCs w:val="22"/>
    </w:rPr>
  </w:style>
  <w:style w:type="paragraph" w:customStyle="1" w:styleId="2771-T3">
    <w:name w:val="2771-T3"/>
    <w:basedOn w:val="Heading3"/>
    <w:next w:val="2771-corpotesto"/>
    <w:link w:val="2771-T3Char"/>
    <w:rsid w:val="00E24DF3"/>
    <w:pPr>
      <w:spacing w:before="120" w:after="120" w:line="240" w:lineRule="auto"/>
      <w:ind w:left="0" w:firstLine="0"/>
    </w:pPr>
    <w:rPr>
      <w:rFonts w:cs="Arial"/>
      <w:sz w:val="24"/>
      <w:szCs w:val="22"/>
    </w:rPr>
  </w:style>
  <w:style w:type="paragraph" w:customStyle="1" w:styleId="2771-T1">
    <w:name w:val="2771-T1"/>
    <w:basedOn w:val="Heading1"/>
    <w:next w:val="2771-corpotesto"/>
    <w:rsid w:val="00E24DF3"/>
    <w:pPr>
      <w:spacing w:before="120" w:after="120" w:line="240" w:lineRule="auto"/>
      <w:ind w:left="0" w:firstLine="0"/>
    </w:pPr>
    <w:rPr>
      <w:rFonts w:cs="Arial"/>
    </w:rPr>
  </w:style>
  <w:style w:type="character" w:customStyle="1" w:styleId="2771-corpotestoCarattere">
    <w:name w:val="2771-corpo testo Carattere"/>
    <w:basedOn w:val="DefaultParagraphFont"/>
    <w:link w:val="2771-corpotesto"/>
    <w:rsid w:val="00E24DF3"/>
    <w:rPr>
      <w:rFonts w:ascii="Arial" w:hAnsi="Arial" w:cs="Arial"/>
      <w:sz w:val="22"/>
      <w:szCs w:val="22"/>
    </w:rPr>
  </w:style>
  <w:style w:type="character" w:customStyle="1" w:styleId="2771-T3Char">
    <w:name w:val="2771-T3 Char"/>
    <w:basedOn w:val="DefaultParagraphFont"/>
    <w:link w:val="2771-T3"/>
    <w:rsid w:val="00E24DF3"/>
    <w:rPr>
      <w:rFonts w:ascii="Arial" w:hAnsi="Arial" w:cs="Arial"/>
      <w:sz w:val="24"/>
      <w:szCs w:val="22"/>
    </w:rPr>
  </w:style>
  <w:style w:type="character" w:customStyle="1" w:styleId="2771-T2Char">
    <w:name w:val="2771-T2 Char"/>
    <w:basedOn w:val="DefaultParagraphFont"/>
    <w:link w:val="2771-T2"/>
    <w:rsid w:val="00E24DF3"/>
    <w:rPr>
      <w:rFonts w:ascii="Arial" w:hAnsi="Arial" w:cs="Arial"/>
      <w:b/>
      <w:sz w:val="24"/>
      <w:szCs w:val="22"/>
    </w:rPr>
  </w:style>
  <w:style w:type="paragraph" w:customStyle="1" w:styleId="TitAnejo1">
    <w:name w:val="TitAnejo1"/>
    <w:basedOn w:val="Normal"/>
    <w:next w:val="Normal"/>
    <w:rsid w:val="00E24F15"/>
    <w:pPr>
      <w:pageBreakBefore/>
      <w:numPr>
        <w:numId w:val="12"/>
      </w:numPr>
      <w:spacing w:after="0" w:line="300" w:lineRule="auto"/>
      <w:jc w:val="center"/>
    </w:pPr>
    <w:rPr>
      <w:rFonts w:ascii="Verdana" w:hAnsi="Verdana"/>
      <w:b/>
      <w:caps/>
      <w:sz w:val="28"/>
      <w:lang w:val="es-ES" w:eastAsia="es-ES"/>
    </w:rPr>
  </w:style>
  <w:style w:type="paragraph" w:customStyle="1" w:styleId="TitAnejo3">
    <w:name w:val="TitAnejo3"/>
    <w:basedOn w:val="Normal"/>
    <w:next w:val="Normal"/>
    <w:rsid w:val="00E24F15"/>
    <w:pPr>
      <w:keepNext/>
      <w:numPr>
        <w:ilvl w:val="2"/>
        <w:numId w:val="12"/>
      </w:numPr>
      <w:spacing w:after="240" w:line="300" w:lineRule="auto"/>
      <w:jc w:val="left"/>
    </w:pPr>
    <w:rPr>
      <w:rFonts w:ascii="Verdana" w:hAnsi="Verdana"/>
      <w:b/>
      <w:sz w:val="20"/>
      <w:lang w:val="es-ES" w:eastAsia="es-ES"/>
    </w:rPr>
  </w:style>
  <w:style w:type="paragraph" w:customStyle="1" w:styleId="TitAnejo2">
    <w:name w:val="TitAnejo2"/>
    <w:basedOn w:val="Normal"/>
    <w:rsid w:val="00E24F15"/>
    <w:pPr>
      <w:keepNext/>
      <w:numPr>
        <w:ilvl w:val="1"/>
        <w:numId w:val="12"/>
      </w:numPr>
      <w:spacing w:after="240" w:line="300" w:lineRule="auto"/>
      <w:jc w:val="left"/>
    </w:pPr>
    <w:rPr>
      <w:rFonts w:ascii="Verdana" w:hAnsi="Verdana"/>
      <w:b/>
      <w:smallCaps/>
      <w:sz w:val="24"/>
      <w:lang w:val="es-ES" w:eastAsia="es-ES"/>
    </w:rPr>
  </w:style>
  <w:style w:type="table" w:customStyle="1" w:styleId="Grigliachiara-Colore11">
    <w:name w:val="Griglia chiara - Colore 11"/>
    <w:basedOn w:val="TableNormal"/>
    <w:uiPriority w:val="62"/>
    <w:rsid w:val="00AC196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ableofFigures">
    <w:name w:val="table of figures"/>
    <w:basedOn w:val="Normal"/>
    <w:next w:val="Normal"/>
    <w:uiPriority w:val="99"/>
    <w:rsid w:val="00247F27"/>
    <w:pPr>
      <w:spacing w:after="0"/>
    </w:pPr>
  </w:style>
  <w:style w:type="paragraph" w:customStyle="1" w:styleId="Estilo4">
    <w:name w:val="Estilo4"/>
    <w:basedOn w:val="Normal"/>
    <w:link w:val="Estilo4Car"/>
    <w:rsid w:val="002632F8"/>
    <w:pPr>
      <w:spacing w:after="0" w:line="240" w:lineRule="auto"/>
    </w:pPr>
    <w:rPr>
      <w:rFonts w:ascii="Arial Narrow" w:eastAsiaTheme="minorHAnsi" w:hAnsi="Arial Narrow" w:cs="Arial"/>
      <w:szCs w:val="22"/>
      <w:lang w:val="es-ES" w:eastAsia="en-US"/>
    </w:rPr>
  </w:style>
  <w:style w:type="character" w:customStyle="1" w:styleId="Estilo4Car">
    <w:name w:val="Estilo4 Car"/>
    <w:basedOn w:val="DefaultParagraphFont"/>
    <w:link w:val="Estilo4"/>
    <w:rsid w:val="002632F8"/>
    <w:rPr>
      <w:rFonts w:ascii="Arial Narrow" w:eastAsiaTheme="minorHAnsi" w:hAnsi="Arial Narrow" w:cs="Arial"/>
      <w:sz w:val="22"/>
      <w:szCs w:val="22"/>
      <w:lang w:val="es-ES" w:eastAsia="en-US"/>
    </w:rPr>
  </w:style>
  <w:style w:type="paragraph" w:customStyle="1" w:styleId="Sangra3detindependiente10">
    <w:name w:val="Sangría 3 de t.independiente1"/>
    <w:basedOn w:val="Normal"/>
    <w:rsid w:val="008A37E4"/>
    <w:pPr>
      <w:widowControl w:val="0"/>
      <w:tabs>
        <w:tab w:val="left" w:pos="0"/>
      </w:tabs>
      <w:suppressAutoHyphens/>
      <w:spacing w:after="0"/>
      <w:ind w:left="1110"/>
    </w:pPr>
    <w:rPr>
      <w:rFonts w:eastAsia="Batang"/>
      <w:spacing w:val="-3"/>
      <w:sz w:val="24"/>
      <w:lang w:val="es-ES_tradnl" w:eastAsia="es-ES"/>
    </w:rPr>
  </w:style>
  <w:style w:type="paragraph" w:customStyle="1" w:styleId="Sangra2detindependiente10">
    <w:name w:val="Sangría 2 de t.independiente1"/>
    <w:basedOn w:val="Normal"/>
    <w:rsid w:val="008A37E4"/>
    <w:pPr>
      <w:widowControl w:val="0"/>
      <w:tabs>
        <w:tab w:val="left" w:pos="851"/>
      </w:tabs>
      <w:suppressAutoHyphens/>
      <w:spacing w:after="0"/>
      <w:ind w:left="851"/>
    </w:pPr>
    <w:rPr>
      <w:rFonts w:eastAsia="Batang"/>
      <w:spacing w:val="-3"/>
      <w:lang w:val="es-ES_tradnl" w:eastAsia="es-ES"/>
    </w:rPr>
  </w:style>
  <w:style w:type="paragraph" w:customStyle="1" w:styleId="Sangra3detindependiente20">
    <w:name w:val="Sangría 3 de t.independiente2"/>
    <w:basedOn w:val="Normal"/>
    <w:rsid w:val="008A37E4"/>
    <w:pPr>
      <w:widowControl w:val="0"/>
      <w:tabs>
        <w:tab w:val="left" w:pos="0"/>
      </w:tabs>
      <w:suppressAutoHyphens/>
      <w:spacing w:after="0"/>
      <w:ind w:left="1110"/>
    </w:pPr>
    <w:rPr>
      <w:rFonts w:eastAsia="Batang"/>
      <w:spacing w:val="-3"/>
      <w:lang w:val="es-ES_tradnl" w:eastAsia="es-ES"/>
    </w:rPr>
  </w:style>
  <w:style w:type="paragraph" w:customStyle="1" w:styleId="Estilo2">
    <w:name w:val="Estilo2"/>
    <w:basedOn w:val="Normal"/>
    <w:link w:val="Estilo2Car"/>
    <w:rsid w:val="008A37E4"/>
    <w:pPr>
      <w:spacing w:after="0"/>
      <w:ind w:left="425"/>
    </w:pPr>
    <w:rPr>
      <w:rFonts w:eastAsiaTheme="minorHAnsi" w:cs="Arial"/>
      <w:szCs w:val="22"/>
      <w:lang w:val="es-ES" w:eastAsia="en-US"/>
    </w:rPr>
  </w:style>
  <w:style w:type="character" w:customStyle="1" w:styleId="Estilo2Car">
    <w:name w:val="Estilo2 Car"/>
    <w:basedOn w:val="DefaultParagraphFont"/>
    <w:link w:val="Estilo2"/>
    <w:rsid w:val="008A37E4"/>
    <w:rPr>
      <w:rFonts w:ascii="Arial" w:eastAsiaTheme="minorHAnsi" w:hAnsi="Arial" w:cs="Arial"/>
      <w:sz w:val="22"/>
      <w:szCs w:val="22"/>
      <w:lang w:val="es-ES" w:eastAsia="en-US"/>
    </w:rPr>
  </w:style>
  <w:style w:type="paragraph" w:customStyle="1" w:styleId="Estilo3">
    <w:name w:val="Estilo3"/>
    <w:basedOn w:val="Estilo2"/>
    <w:link w:val="Estilo3Car"/>
    <w:rsid w:val="008A37E4"/>
    <w:pPr>
      <w:ind w:left="992"/>
    </w:pPr>
  </w:style>
  <w:style w:type="character" w:customStyle="1" w:styleId="Estilo3Car">
    <w:name w:val="Estilo3 Car"/>
    <w:basedOn w:val="Estilo2Car"/>
    <w:link w:val="Estilo3"/>
    <w:rsid w:val="008A37E4"/>
    <w:rPr>
      <w:rFonts w:ascii="Arial" w:eastAsiaTheme="minorHAnsi" w:hAnsi="Arial" w:cs="Arial"/>
      <w:sz w:val="22"/>
      <w:szCs w:val="22"/>
      <w:lang w:val="es-ES" w:eastAsia="en-US"/>
    </w:rPr>
  </w:style>
  <w:style w:type="paragraph" w:customStyle="1" w:styleId="NormalInforme">
    <w:name w:val="Normal_Informe"/>
    <w:basedOn w:val="Normal"/>
    <w:rsid w:val="008A37E4"/>
    <w:pPr>
      <w:spacing w:after="0" w:line="288" w:lineRule="auto"/>
      <w:ind w:left="879"/>
    </w:pPr>
    <w:rPr>
      <w:rFonts w:ascii="Arial Narrow" w:eastAsiaTheme="minorEastAsia" w:hAnsi="Arial Narrow" w:cstheme="minorBidi"/>
      <w:sz w:val="20"/>
      <w:lang w:val="es-PE" w:eastAsia="es-PE"/>
    </w:rPr>
  </w:style>
  <w:style w:type="paragraph" w:customStyle="1" w:styleId="Estilo1">
    <w:name w:val="Estilo1"/>
    <w:basedOn w:val="Normal"/>
    <w:link w:val="Estilo1Car"/>
    <w:rsid w:val="008A37E4"/>
    <w:pPr>
      <w:spacing w:after="0"/>
    </w:pPr>
    <w:rPr>
      <w:rFonts w:eastAsiaTheme="minorHAnsi" w:cs="Arial"/>
      <w:szCs w:val="22"/>
      <w:lang w:val="es-ES" w:eastAsia="en-US"/>
    </w:rPr>
  </w:style>
  <w:style w:type="character" w:customStyle="1" w:styleId="Estilo1Car">
    <w:name w:val="Estilo1 Car"/>
    <w:basedOn w:val="DefaultParagraphFont"/>
    <w:link w:val="Estilo1"/>
    <w:rsid w:val="008A37E4"/>
    <w:rPr>
      <w:rFonts w:ascii="Arial" w:eastAsiaTheme="minorHAnsi" w:hAnsi="Arial" w:cs="Arial"/>
      <w:sz w:val="22"/>
      <w:szCs w:val="22"/>
      <w:lang w:val="es-ES" w:eastAsia="en-US"/>
    </w:rPr>
  </w:style>
  <w:style w:type="paragraph" w:customStyle="1" w:styleId="xl63">
    <w:name w:val="xl63"/>
    <w:basedOn w:val="Normal"/>
    <w:rsid w:val="008A37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val="es-PE" w:eastAsia="ja-JP"/>
    </w:rPr>
  </w:style>
  <w:style w:type="paragraph" w:customStyle="1" w:styleId="xl64">
    <w:name w:val="xl64"/>
    <w:basedOn w:val="Normal"/>
    <w:rsid w:val="008A37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val="es-PE" w:eastAsia="ja-JP"/>
    </w:rPr>
  </w:style>
  <w:style w:type="character" w:customStyle="1" w:styleId="Titolo2ChapterTitleCarattere0">
    <w:name w:val="Titolo 2.Chapter Title Carattere"/>
    <w:rsid w:val="008A37E4"/>
    <w:rPr>
      <w:rFonts w:ascii="Arial" w:hAnsi="Arial"/>
      <w:b/>
      <w:caps/>
      <w:sz w:val="22"/>
      <w:lang w:val="it-IT" w:eastAsia="it-IT" w:bidi="ar-SA"/>
    </w:rPr>
  </w:style>
  <w:style w:type="character" w:customStyle="1" w:styleId="Titolo1shmanPartCarattere0">
    <w:name w:val="Titolo 1.shman.Part Carattere"/>
    <w:rsid w:val="008A37E4"/>
    <w:rPr>
      <w:rFonts w:ascii="Arial" w:hAnsi="Arial"/>
      <w:b/>
      <w:iCs/>
      <w:caps/>
      <w:sz w:val="28"/>
      <w:szCs w:val="28"/>
      <w:lang w:val="it-IT" w:eastAsia="it-IT" w:bidi="ar-SA"/>
    </w:rPr>
  </w:style>
  <w:style w:type="table" w:customStyle="1" w:styleId="Sfondochiaro-Colore11">
    <w:name w:val="Sfondo chiaro - Colore 11"/>
    <w:basedOn w:val="TableNormal"/>
    <w:uiPriority w:val="60"/>
    <w:rsid w:val="008A37E4"/>
    <w:rPr>
      <w:color w:val="365F91"/>
      <w:lang w:val="es-MX" w:eastAsia="es-MX"/>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gliachiara-Colore12">
    <w:name w:val="Griglia chiara - Colore 12"/>
    <w:basedOn w:val="TableNormal"/>
    <w:uiPriority w:val="62"/>
    <w:rsid w:val="008A37E4"/>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gliachiara-Colore13">
    <w:name w:val="Griglia chiara - Colore 13"/>
    <w:basedOn w:val="TableNormal"/>
    <w:uiPriority w:val="62"/>
    <w:rsid w:val="008A37E4"/>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initial">
    <w:name w:val="initial"/>
    <w:basedOn w:val="DefaultParagraphFont"/>
    <w:rsid w:val="008A37E4"/>
  </w:style>
  <w:style w:type="paragraph" w:styleId="EndnoteText">
    <w:name w:val="endnote text"/>
    <w:basedOn w:val="Normal"/>
    <w:link w:val="EndnoteTextChar"/>
    <w:rsid w:val="008A37E4"/>
    <w:pPr>
      <w:spacing w:after="0" w:line="240" w:lineRule="auto"/>
    </w:pPr>
    <w:rPr>
      <w:sz w:val="20"/>
      <w:lang w:val="es-ES"/>
    </w:rPr>
  </w:style>
  <w:style w:type="character" w:customStyle="1" w:styleId="EndnoteTextChar">
    <w:name w:val="Endnote Text Char"/>
    <w:basedOn w:val="DefaultParagraphFont"/>
    <w:link w:val="EndnoteText"/>
    <w:rsid w:val="008A37E4"/>
    <w:rPr>
      <w:rFonts w:ascii="Arial" w:hAnsi="Arial"/>
      <w:lang w:val="es-ES"/>
    </w:rPr>
  </w:style>
  <w:style w:type="character" w:styleId="EndnoteReference">
    <w:name w:val="endnote reference"/>
    <w:uiPriority w:val="99"/>
    <w:rsid w:val="008A37E4"/>
    <w:rPr>
      <w:vertAlign w:val="superscript"/>
    </w:rPr>
  </w:style>
  <w:style w:type="table" w:customStyle="1" w:styleId="Sombreadoclaro1">
    <w:name w:val="Sombreado claro1"/>
    <w:basedOn w:val="TableNormal"/>
    <w:uiPriority w:val="60"/>
    <w:rsid w:val="008A37E4"/>
    <w:pPr>
      <w:jc w:val="center"/>
    </w:pPr>
    <w:rPr>
      <w:rFonts w:ascii="Calibri" w:eastAsia="Calibri" w:hAnsi="Calibri"/>
      <w:color w:val="000000"/>
      <w:sz w:val="22"/>
      <w:szCs w:val="22"/>
      <w:lang w:val="es-MX"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CaptionChar">
    <w:name w:val="Caption Char"/>
    <w:aliases w:val="Epígrafe Car Char,Epígrafe2 Char, Car4 Char"/>
    <w:basedOn w:val="DefaultParagraphFont"/>
    <w:link w:val="Caption"/>
    <w:uiPriority w:val="99"/>
    <w:rsid w:val="008A37E4"/>
    <w:rPr>
      <w:rFonts w:ascii="Arial" w:hAnsi="Arial" w:cs="Arial"/>
      <w:b/>
      <w:bCs/>
    </w:rPr>
  </w:style>
  <w:style w:type="paragraph" w:customStyle="1" w:styleId="Textbody">
    <w:name w:val="Text body"/>
    <w:basedOn w:val="Normal"/>
    <w:rsid w:val="008A37E4"/>
    <w:pPr>
      <w:widowControl w:val="0"/>
      <w:suppressAutoHyphens/>
      <w:autoSpaceDN w:val="0"/>
      <w:spacing w:after="227" w:line="240" w:lineRule="auto"/>
      <w:textAlignment w:val="baseline"/>
    </w:pPr>
    <w:rPr>
      <w:rFonts w:eastAsia="Arial Unicode MS" w:cs="Tahoma"/>
      <w:kern w:val="3"/>
      <w:szCs w:val="24"/>
      <w:lang w:val="es-ES"/>
    </w:rPr>
  </w:style>
  <w:style w:type="character" w:customStyle="1" w:styleId="2771-corpotestoCharChar">
    <w:name w:val="2771-corpo testo Char Char"/>
    <w:locked/>
    <w:rsid w:val="008A37E4"/>
    <w:rPr>
      <w:rFonts w:ascii="Arial" w:hAnsi="Arial" w:cs="Arial"/>
      <w:sz w:val="20"/>
      <w:szCs w:val="20"/>
      <w:lang w:val="es-AR" w:eastAsia="it-IT"/>
    </w:rPr>
  </w:style>
  <w:style w:type="paragraph" w:styleId="Revision">
    <w:name w:val="Revision"/>
    <w:hidden/>
    <w:uiPriority w:val="99"/>
    <w:semiHidden/>
    <w:rsid w:val="008A37E4"/>
    <w:rPr>
      <w:rFonts w:ascii="Arial" w:hAnsi="Arial"/>
      <w:sz w:val="22"/>
      <w:lang w:val="es-PE"/>
    </w:rPr>
  </w:style>
  <w:style w:type="paragraph" w:customStyle="1" w:styleId="Corpodeltesto1">
    <w:name w:val="Corpo del testo 1"/>
    <w:autoRedefine/>
    <w:rsid w:val="00842A1C"/>
    <w:pPr>
      <w:spacing w:before="60" w:after="60" w:line="360" w:lineRule="auto"/>
      <w:ind w:right="-2"/>
      <w:jc w:val="both"/>
    </w:pPr>
    <w:rPr>
      <w:rFonts w:cs="Arial"/>
      <w:iCs/>
      <w:color w:val="FF0000"/>
      <w:sz w:val="24"/>
      <w:lang w:val="es-ES"/>
    </w:rPr>
  </w:style>
  <w:style w:type="paragraph" w:styleId="ListBullet3">
    <w:name w:val="List Bullet 3"/>
    <w:basedOn w:val="Normal"/>
    <w:autoRedefine/>
    <w:rsid w:val="00EB6B4D"/>
    <w:pPr>
      <w:tabs>
        <w:tab w:val="num" w:pos="907"/>
      </w:tabs>
      <w:spacing w:after="60" w:line="300" w:lineRule="auto"/>
      <w:ind w:left="907" w:hanging="227"/>
    </w:pPr>
    <w:rPr>
      <w:rFonts w:ascii="Verdana" w:hAnsi="Verdana" w:cs="Verdana"/>
      <w:snapToGrid w:val="0"/>
      <w:sz w:val="20"/>
      <w:lang w:val="es-ES" w:eastAsia="es-ES"/>
    </w:rPr>
  </w:style>
  <w:style w:type="paragraph" w:customStyle="1" w:styleId="Tablanumeracion">
    <w:name w:val="Tabla numeracion"/>
    <w:basedOn w:val="Normal"/>
    <w:next w:val="Normal"/>
    <w:rsid w:val="00584A36"/>
    <w:pPr>
      <w:keepNext/>
      <w:widowControl w:val="0"/>
      <w:numPr>
        <w:numId w:val="62"/>
      </w:numPr>
      <w:spacing w:line="240" w:lineRule="auto"/>
      <w:ind w:right="1134"/>
      <w:jc w:val="left"/>
    </w:pPr>
    <w:rPr>
      <w:rFonts w:ascii="Verdana" w:hAnsi="Verdana" w:cs="Verdana"/>
      <w:b/>
      <w:bCs/>
      <w:snapToGrid w:val="0"/>
      <w:sz w:val="20"/>
      <w:lang w:val="es-ES" w:eastAsia="es-ES"/>
    </w:rPr>
  </w:style>
  <w:style w:type="table" w:styleId="TableClassic1">
    <w:name w:val="Table Classic 1"/>
    <w:basedOn w:val="TableNormal"/>
    <w:rsid w:val="00616C7B"/>
    <w:pPr>
      <w:spacing w:after="120" w:line="276"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index heading" w:uiPriority="99"/>
    <w:lsdException w:name="caption" w:uiPriority="99" w:qFormat="1"/>
    <w:lsdException w:name="table of figures" w:uiPriority="99"/>
    <w:lsdException w:name="footnote reference" w:uiPriority="99"/>
    <w:lsdException w:name="annotation reference" w:uiPriority="99"/>
    <w:lsdException w:name="endnote reference" w:uiPriority="99"/>
    <w:lsdException w:name="Title" w:qFormat="1"/>
    <w:lsdException w:name="Subtitle" w:uiPriority="11" w:qFormat="1"/>
    <w:lsdException w:name="Hyperlink" w:uiPriority="99"/>
    <w:lsdException w:name="Strong" w:uiPriority="22" w:qFormat="1"/>
    <w:lsdException w:name="Emphasis" w:qFormat="1"/>
    <w:lsdException w:name="Normal (Web)" w:uiPriority="99"/>
    <w:lsdException w:name="HTML Preformatted"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6369A"/>
    <w:pPr>
      <w:spacing w:after="120" w:line="276" w:lineRule="auto"/>
      <w:jc w:val="both"/>
    </w:pPr>
    <w:rPr>
      <w:rFonts w:ascii="Arial" w:hAnsi="Arial"/>
      <w:sz w:val="22"/>
    </w:rPr>
  </w:style>
  <w:style w:type="paragraph" w:styleId="Heading1">
    <w:name w:val="heading 1"/>
    <w:basedOn w:val="Normal"/>
    <w:next w:val="Normal"/>
    <w:link w:val="Heading1Char"/>
    <w:qFormat/>
    <w:rsid w:val="00086A9C"/>
    <w:pPr>
      <w:keepNext/>
      <w:numPr>
        <w:numId w:val="2"/>
      </w:numPr>
      <w:spacing w:before="360" w:after="240"/>
      <w:jc w:val="left"/>
      <w:outlineLvl w:val="0"/>
    </w:pPr>
    <w:rPr>
      <w:b/>
      <w:caps/>
    </w:rPr>
  </w:style>
  <w:style w:type="paragraph" w:styleId="Heading2">
    <w:name w:val="heading 2"/>
    <w:basedOn w:val="Heading1"/>
    <w:next w:val="Normal"/>
    <w:link w:val="Heading2Char"/>
    <w:uiPriority w:val="9"/>
    <w:qFormat/>
    <w:rsid w:val="00105856"/>
    <w:pPr>
      <w:numPr>
        <w:ilvl w:val="1"/>
      </w:numPr>
      <w:spacing w:before="240"/>
      <w:outlineLvl w:val="1"/>
    </w:pPr>
    <w:rPr>
      <w:caps w:val="0"/>
    </w:rPr>
  </w:style>
  <w:style w:type="paragraph" w:styleId="Heading3">
    <w:name w:val="heading 3"/>
    <w:basedOn w:val="Heading2"/>
    <w:next w:val="Normal"/>
    <w:link w:val="Heading3Char"/>
    <w:qFormat/>
    <w:rsid w:val="00104194"/>
    <w:pPr>
      <w:numPr>
        <w:ilvl w:val="2"/>
      </w:numPr>
      <w:outlineLvl w:val="2"/>
    </w:pPr>
    <w:rPr>
      <w:b w:val="0"/>
    </w:rPr>
  </w:style>
  <w:style w:type="paragraph" w:styleId="Heading4">
    <w:name w:val="heading 4"/>
    <w:basedOn w:val="Normal"/>
    <w:next w:val="Normal"/>
    <w:link w:val="Heading4Char"/>
    <w:qFormat/>
    <w:rsid w:val="00086A9C"/>
    <w:pPr>
      <w:numPr>
        <w:ilvl w:val="3"/>
        <w:numId w:val="2"/>
      </w:numPr>
      <w:spacing w:before="240"/>
      <w:outlineLvl w:val="3"/>
    </w:pPr>
  </w:style>
  <w:style w:type="paragraph" w:styleId="Heading5">
    <w:name w:val="heading 5"/>
    <w:basedOn w:val="Normal"/>
    <w:next w:val="Normal"/>
    <w:link w:val="Heading5Char"/>
    <w:uiPriority w:val="9"/>
    <w:qFormat/>
    <w:rsid w:val="00104194"/>
    <w:pPr>
      <w:numPr>
        <w:ilvl w:val="4"/>
        <w:numId w:val="2"/>
      </w:numPr>
      <w:spacing w:before="240" w:after="60"/>
      <w:ind w:left="1009" w:hanging="1009"/>
      <w:outlineLvl w:val="4"/>
    </w:pPr>
  </w:style>
  <w:style w:type="paragraph" w:styleId="Heading6">
    <w:name w:val="heading 6"/>
    <w:basedOn w:val="Normal"/>
    <w:next w:val="Normal"/>
    <w:link w:val="Heading6Char"/>
    <w:uiPriority w:val="9"/>
    <w:qFormat/>
    <w:rsid w:val="00687AE7"/>
    <w:pPr>
      <w:numPr>
        <w:ilvl w:val="5"/>
        <w:numId w:val="2"/>
      </w:numPr>
      <w:spacing w:before="240" w:after="60"/>
      <w:outlineLvl w:val="5"/>
    </w:pPr>
    <w:rPr>
      <w:i/>
    </w:rPr>
  </w:style>
  <w:style w:type="paragraph" w:styleId="Heading7">
    <w:name w:val="heading 7"/>
    <w:basedOn w:val="Normal"/>
    <w:next w:val="Normal"/>
    <w:link w:val="Heading7Char"/>
    <w:uiPriority w:val="9"/>
    <w:qFormat/>
    <w:rsid w:val="00687AE7"/>
    <w:pPr>
      <w:numPr>
        <w:ilvl w:val="6"/>
        <w:numId w:val="2"/>
      </w:numPr>
      <w:spacing w:before="240" w:after="60"/>
      <w:outlineLvl w:val="6"/>
    </w:pPr>
    <w:rPr>
      <w:sz w:val="20"/>
    </w:rPr>
  </w:style>
  <w:style w:type="paragraph" w:styleId="Heading8">
    <w:name w:val="heading 8"/>
    <w:basedOn w:val="Normal"/>
    <w:next w:val="Normal"/>
    <w:link w:val="Heading8Char"/>
    <w:uiPriority w:val="9"/>
    <w:qFormat/>
    <w:rsid w:val="00687AE7"/>
    <w:pPr>
      <w:numPr>
        <w:ilvl w:val="7"/>
        <w:numId w:val="2"/>
      </w:numPr>
      <w:spacing w:before="240" w:after="60"/>
      <w:outlineLvl w:val="7"/>
    </w:pPr>
    <w:rPr>
      <w:i/>
      <w:sz w:val="20"/>
    </w:rPr>
  </w:style>
  <w:style w:type="paragraph" w:styleId="Heading9">
    <w:name w:val="heading 9"/>
    <w:basedOn w:val="Normal"/>
    <w:next w:val="Normal"/>
    <w:link w:val="Heading9Char"/>
    <w:uiPriority w:val="9"/>
    <w:qFormat/>
    <w:rsid w:val="00687AE7"/>
    <w:pPr>
      <w:numPr>
        <w:ilvl w:val="8"/>
        <w:numId w:val="2"/>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F123E"/>
    <w:rPr>
      <w:rFonts w:ascii="Arial" w:hAnsi="Arial"/>
      <w:b/>
      <w:caps/>
      <w:sz w:val="22"/>
    </w:rPr>
  </w:style>
  <w:style w:type="character" w:customStyle="1" w:styleId="Heading2Char">
    <w:name w:val="Heading 2 Char"/>
    <w:basedOn w:val="DefaultParagraphFont"/>
    <w:link w:val="Heading2"/>
    <w:uiPriority w:val="9"/>
    <w:locked/>
    <w:rsid w:val="00105856"/>
    <w:rPr>
      <w:rFonts w:ascii="Arial" w:hAnsi="Arial"/>
      <w:b/>
      <w:sz w:val="22"/>
    </w:rPr>
  </w:style>
  <w:style w:type="character" w:customStyle="1" w:styleId="Heading3Char">
    <w:name w:val="Heading 3 Char"/>
    <w:basedOn w:val="DefaultParagraphFont"/>
    <w:link w:val="Heading3"/>
    <w:locked/>
    <w:rsid w:val="00104194"/>
    <w:rPr>
      <w:rFonts w:ascii="Arial" w:hAnsi="Arial"/>
      <w:sz w:val="22"/>
    </w:rPr>
  </w:style>
  <w:style w:type="character" w:customStyle="1" w:styleId="Heading4Char">
    <w:name w:val="Heading 4 Char"/>
    <w:link w:val="Heading4"/>
    <w:rsid w:val="00BF123E"/>
    <w:rPr>
      <w:rFonts w:ascii="Arial" w:hAnsi="Arial"/>
      <w:sz w:val="22"/>
    </w:rPr>
  </w:style>
  <w:style w:type="character" w:customStyle="1" w:styleId="Heading5Char">
    <w:name w:val="Heading 5 Char"/>
    <w:link w:val="Heading5"/>
    <w:uiPriority w:val="9"/>
    <w:rsid w:val="00104194"/>
    <w:rPr>
      <w:rFonts w:ascii="Arial" w:hAnsi="Arial"/>
      <w:sz w:val="22"/>
    </w:rPr>
  </w:style>
  <w:style w:type="character" w:customStyle="1" w:styleId="Heading6Char">
    <w:name w:val="Heading 6 Char"/>
    <w:link w:val="Heading6"/>
    <w:uiPriority w:val="9"/>
    <w:rsid w:val="00BF123E"/>
    <w:rPr>
      <w:rFonts w:ascii="Arial" w:hAnsi="Arial"/>
      <w:i/>
      <w:sz w:val="22"/>
    </w:rPr>
  </w:style>
  <w:style w:type="character" w:customStyle="1" w:styleId="Heading7Char">
    <w:name w:val="Heading 7 Char"/>
    <w:link w:val="Heading7"/>
    <w:uiPriority w:val="9"/>
    <w:rsid w:val="00BF123E"/>
    <w:rPr>
      <w:rFonts w:ascii="Arial" w:hAnsi="Arial"/>
    </w:rPr>
  </w:style>
  <w:style w:type="character" w:customStyle="1" w:styleId="Heading8Char">
    <w:name w:val="Heading 8 Char"/>
    <w:link w:val="Heading8"/>
    <w:uiPriority w:val="9"/>
    <w:rsid w:val="00BF123E"/>
    <w:rPr>
      <w:rFonts w:ascii="Arial" w:hAnsi="Arial"/>
      <w:i/>
    </w:rPr>
  </w:style>
  <w:style w:type="character" w:customStyle="1" w:styleId="Heading9Char">
    <w:name w:val="Heading 9 Char"/>
    <w:link w:val="Heading9"/>
    <w:uiPriority w:val="9"/>
    <w:rsid w:val="00BF123E"/>
    <w:rPr>
      <w:rFonts w:ascii="Arial" w:hAnsi="Arial"/>
      <w:i/>
      <w:sz w:val="18"/>
    </w:rPr>
  </w:style>
  <w:style w:type="paragraph" w:styleId="TOC3">
    <w:name w:val="toc 3"/>
    <w:basedOn w:val="Normal"/>
    <w:next w:val="Normal"/>
    <w:uiPriority w:val="39"/>
    <w:rsid w:val="000712C6"/>
    <w:pPr>
      <w:spacing w:after="0"/>
      <w:ind w:left="238"/>
      <w:jc w:val="left"/>
    </w:pPr>
    <w:rPr>
      <w:sz w:val="20"/>
      <w:szCs w:val="24"/>
    </w:rPr>
  </w:style>
  <w:style w:type="paragraph" w:styleId="TOC2">
    <w:name w:val="toc 2"/>
    <w:basedOn w:val="Normal"/>
    <w:next w:val="Normal"/>
    <w:uiPriority w:val="39"/>
    <w:rsid w:val="000712C6"/>
    <w:pPr>
      <w:spacing w:before="120" w:after="0"/>
      <w:ind w:left="170"/>
      <w:jc w:val="left"/>
    </w:pPr>
    <w:rPr>
      <w:b/>
      <w:bCs/>
      <w:sz w:val="20"/>
      <w:szCs w:val="24"/>
    </w:rPr>
  </w:style>
  <w:style w:type="paragraph" w:styleId="TOC1">
    <w:name w:val="toc 1"/>
    <w:basedOn w:val="Normal"/>
    <w:next w:val="Normal"/>
    <w:uiPriority w:val="39"/>
    <w:rsid w:val="000712C6"/>
    <w:pPr>
      <w:spacing w:before="120" w:after="0"/>
      <w:jc w:val="left"/>
    </w:pPr>
    <w:rPr>
      <w:b/>
      <w:bCs/>
      <w:caps/>
      <w:sz w:val="20"/>
      <w:szCs w:val="28"/>
    </w:rPr>
  </w:style>
  <w:style w:type="paragraph" w:styleId="TOC4">
    <w:name w:val="toc 4"/>
    <w:basedOn w:val="Normal"/>
    <w:next w:val="Normal"/>
    <w:uiPriority w:val="39"/>
    <w:rsid w:val="000712C6"/>
    <w:pPr>
      <w:spacing w:after="0"/>
      <w:ind w:left="480"/>
      <w:jc w:val="left"/>
    </w:pPr>
    <w:rPr>
      <w:rFonts w:ascii="Times New Roman" w:hAnsi="Times New Roman"/>
      <w:szCs w:val="24"/>
    </w:rPr>
  </w:style>
  <w:style w:type="paragraph" w:styleId="TOC5">
    <w:name w:val="toc 5"/>
    <w:basedOn w:val="Normal"/>
    <w:next w:val="Normal"/>
    <w:uiPriority w:val="39"/>
    <w:rsid w:val="000712C6"/>
    <w:pPr>
      <w:spacing w:after="0"/>
      <w:ind w:left="720"/>
      <w:jc w:val="left"/>
    </w:pPr>
    <w:rPr>
      <w:rFonts w:ascii="Times New Roman" w:hAnsi="Times New Roman"/>
      <w:szCs w:val="24"/>
    </w:rPr>
  </w:style>
  <w:style w:type="paragraph" w:styleId="TOC6">
    <w:name w:val="toc 6"/>
    <w:basedOn w:val="Normal"/>
    <w:next w:val="Normal"/>
    <w:uiPriority w:val="39"/>
    <w:rsid w:val="000712C6"/>
    <w:pPr>
      <w:spacing w:after="0"/>
      <w:ind w:left="960"/>
      <w:jc w:val="left"/>
    </w:pPr>
    <w:rPr>
      <w:rFonts w:ascii="Times New Roman" w:hAnsi="Times New Roman"/>
      <w:szCs w:val="24"/>
    </w:rPr>
  </w:style>
  <w:style w:type="paragraph" w:styleId="TOC7">
    <w:name w:val="toc 7"/>
    <w:basedOn w:val="Normal"/>
    <w:next w:val="Normal"/>
    <w:uiPriority w:val="39"/>
    <w:rsid w:val="000712C6"/>
    <w:pPr>
      <w:spacing w:after="0"/>
      <w:ind w:left="1200"/>
      <w:jc w:val="left"/>
    </w:pPr>
    <w:rPr>
      <w:rFonts w:ascii="Times New Roman" w:hAnsi="Times New Roman"/>
      <w:szCs w:val="24"/>
    </w:rPr>
  </w:style>
  <w:style w:type="paragraph" w:styleId="TOC8">
    <w:name w:val="toc 8"/>
    <w:basedOn w:val="Normal"/>
    <w:next w:val="Normal"/>
    <w:uiPriority w:val="39"/>
    <w:rsid w:val="000712C6"/>
    <w:pPr>
      <w:spacing w:after="0"/>
      <w:ind w:left="1440"/>
      <w:jc w:val="left"/>
    </w:pPr>
    <w:rPr>
      <w:rFonts w:ascii="Times New Roman" w:hAnsi="Times New Roman"/>
      <w:szCs w:val="24"/>
    </w:rPr>
  </w:style>
  <w:style w:type="paragraph" w:styleId="TOC9">
    <w:name w:val="toc 9"/>
    <w:basedOn w:val="Normal"/>
    <w:next w:val="Normal"/>
    <w:uiPriority w:val="39"/>
    <w:rsid w:val="000712C6"/>
    <w:pPr>
      <w:spacing w:after="0"/>
      <w:ind w:left="1680"/>
      <w:jc w:val="left"/>
    </w:pPr>
    <w:rPr>
      <w:rFonts w:ascii="Times New Roman" w:hAnsi="Times New Roman"/>
      <w:szCs w:val="24"/>
    </w:rPr>
  </w:style>
  <w:style w:type="character" w:styleId="Hyperlink">
    <w:name w:val="Hyperlink"/>
    <w:basedOn w:val="DefaultParagraphFont"/>
    <w:uiPriority w:val="99"/>
    <w:rsid w:val="000712C6"/>
    <w:rPr>
      <w:color w:val="0000FF"/>
      <w:u w:val="single"/>
    </w:rPr>
  </w:style>
  <w:style w:type="paragraph" w:customStyle="1" w:styleId="Figure">
    <w:name w:val="Figure"/>
    <w:basedOn w:val="Normal"/>
    <w:link w:val="FigureChar"/>
    <w:autoRedefine/>
    <w:uiPriority w:val="99"/>
    <w:rsid w:val="00635514"/>
    <w:pPr>
      <w:spacing w:after="0"/>
      <w:jc w:val="left"/>
    </w:pPr>
    <w:rPr>
      <w:rFonts w:cs="Arial"/>
      <w:i/>
      <w:sz w:val="16"/>
      <w:szCs w:val="16"/>
    </w:rPr>
  </w:style>
  <w:style w:type="character" w:customStyle="1" w:styleId="FigureChar">
    <w:name w:val="Figure Char"/>
    <w:basedOn w:val="DefaultParagraphFont"/>
    <w:link w:val="Figure"/>
    <w:uiPriority w:val="99"/>
    <w:rsid w:val="00635514"/>
    <w:rPr>
      <w:rFonts w:ascii="Arial Narrow" w:hAnsi="Arial Narrow" w:cs="Arial"/>
      <w:i/>
      <w:sz w:val="16"/>
      <w:szCs w:val="16"/>
      <w:lang w:val="it-IT" w:eastAsia="it-IT" w:bidi="ar-SA"/>
    </w:rPr>
  </w:style>
  <w:style w:type="paragraph" w:styleId="FootnoteText">
    <w:name w:val="footnote text"/>
    <w:aliases w:val="Car"/>
    <w:basedOn w:val="Normal"/>
    <w:link w:val="FootnoteTextChar"/>
    <w:uiPriority w:val="99"/>
    <w:rsid w:val="000712C6"/>
    <w:pPr>
      <w:ind w:left="181" w:hanging="181"/>
    </w:pPr>
    <w:rPr>
      <w:rFonts w:ascii="Times New Roman" w:hAnsi="Times New Roman"/>
      <w:sz w:val="18"/>
      <w:szCs w:val="24"/>
    </w:rPr>
  </w:style>
  <w:style w:type="character" w:customStyle="1" w:styleId="FootnoteTextChar">
    <w:name w:val="Footnote Text Char"/>
    <w:aliases w:val="Car Char"/>
    <w:link w:val="FootnoteText"/>
    <w:uiPriority w:val="99"/>
    <w:rsid w:val="006765C9"/>
    <w:rPr>
      <w:sz w:val="18"/>
      <w:szCs w:val="24"/>
    </w:rPr>
  </w:style>
  <w:style w:type="paragraph" w:styleId="Index1">
    <w:name w:val="index 1"/>
    <w:basedOn w:val="Normal"/>
    <w:next w:val="Normal"/>
    <w:autoRedefine/>
    <w:uiPriority w:val="99"/>
    <w:semiHidden/>
    <w:rsid w:val="000712C6"/>
    <w:pPr>
      <w:ind w:left="240" w:hanging="240"/>
    </w:pPr>
  </w:style>
  <w:style w:type="paragraph" w:styleId="IndexHeading">
    <w:name w:val="index heading"/>
    <w:basedOn w:val="Normal"/>
    <w:next w:val="Index1"/>
    <w:uiPriority w:val="99"/>
    <w:semiHidden/>
    <w:rsid w:val="000712C6"/>
    <w:pPr>
      <w:spacing w:after="0"/>
      <w:jc w:val="left"/>
    </w:pPr>
    <w:rPr>
      <w:rFonts w:ascii="Times New Roman" w:hAnsi="Times New Roman"/>
      <w:szCs w:val="24"/>
    </w:rPr>
  </w:style>
  <w:style w:type="paragraph" w:styleId="Caption">
    <w:name w:val="caption"/>
    <w:aliases w:val="Epígrafe Car,Epígrafe2, Car4"/>
    <w:basedOn w:val="Normal"/>
    <w:next w:val="Normal"/>
    <w:link w:val="CaptionChar"/>
    <w:uiPriority w:val="99"/>
    <w:qFormat/>
    <w:rsid w:val="00094E06"/>
    <w:pPr>
      <w:jc w:val="center"/>
    </w:pPr>
    <w:rPr>
      <w:rFonts w:cs="Arial"/>
      <w:b/>
      <w:bCs/>
      <w:sz w:val="20"/>
    </w:rPr>
  </w:style>
  <w:style w:type="paragraph" w:customStyle="1" w:styleId="T2">
    <w:name w:val="T2"/>
    <w:basedOn w:val="Heading2"/>
    <w:next w:val="Normal"/>
    <w:autoRedefine/>
    <w:uiPriority w:val="99"/>
    <w:rsid w:val="00770A6D"/>
    <w:pPr>
      <w:numPr>
        <w:ilvl w:val="0"/>
        <w:numId w:val="0"/>
      </w:numPr>
      <w:spacing w:before="60" w:after="0"/>
    </w:pPr>
    <w:rPr>
      <w:rFonts w:cs="Arial"/>
      <w:szCs w:val="22"/>
    </w:rPr>
  </w:style>
  <w:style w:type="paragraph" w:customStyle="1" w:styleId="T3">
    <w:name w:val="T3"/>
    <w:basedOn w:val="Heading3"/>
    <w:next w:val="Normal"/>
    <w:uiPriority w:val="99"/>
    <w:rsid w:val="00770A6D"/>
    <w:pPr>
      <w:numPr>
        <w:numId w:val="1"/>
      </w:numPr>
      <w:spacing w:before="60" w:after="40"/>
    </w:pPr>
    <w:rPr>
      <w:rFonts w:cs="Arial"/>
      <w:i/>
    </w:rPr>
  </w:style>
  <w:style w:type="paragraph" w:customStyle="1" w:styleId="T1">
    <w:name w:val="T1"/>
    <w:basedOn w:val="Heading1"/>
    <w:next w:val="Normal"/>
    <w:uiPriority w:val="99"/>
    <w:rsid w:val="000051F5"/>
    <w:pPr>
      <w:numPr>
        <w:numId w:val="1"/>
      </w:numPr>
      <w:spacing w:after="60"/>
    </w:pPr>
    <w:rPr>
      <w:rFonts w:cs="Arial"/>
    </w:rPr>
  </w:style>
  <w:style w:type="paragraph" w:styleId="BalloonText">
    <w:name w:val="Balloon Text"/>
    <w:basedOn w:val="Normal"/>
    <w:link w:val="BalloonTextChar"/>
    <w:uiPriority w:val="99"/>
    <w:semiHidden/>
    <w:rsid w:val="000712C6"/>
    <w:rPr>
      <w:rFonts w:ascii="Tahoma" w:hAnsi="Tahoma" w:cs="Tahoma"/>
      <w:sz w:val="16"/>
      <w:szCs w:val="16"/>
    </w:rPr>
  </w:style>
  <w:style w:type="character" w:customStyle="1" w:styleId="BalloonTextChar">
    <w:name w:val="Balloon Text Char"/>
    <w:link w:val="BalloonText"/>
    <w:uiPriority w:val="99"/>
    <w:semiHidden/>
    <w:rsid w:val="00BF123E"/>
    <w:rPr>
      <w:rFonts w:ascii="Tahoma" w:hAnsi="Tahoma" w:cs="Tahoma"/>
      <w:sz w:val="16"/>
      <w:szCs w:val="16"/>
    </w:rPr>
  </w:style>
  <w:style w:type="paragraph" w:customStyle="1" w:styleId="T0">
    <w:name w:val="T0"/>
    <w:basedOn w:val="T1"/>
    <w:next w:val="Normal"/>
    <w:uiPriority w:val="99"/>
    <w:rsid w:val="00C76AA5"/>
    <w:pPr>
      <w:numPr>
        <w:numId w:val="0"/>
      </w:numPr>
    </w:pPr>
  </w:style>
  <w:style w:type="character" w:styleId="FootnoteReference">
    <w:name w:val="footnote reference"/>
    <w:basedOn w:val="DefaultParagraphFont"/>
    <w:uiPriority w:val="99"/>
    <w:rsid w:val="000712C6"/>
    <w:rPr>
      <w:vertAlign w:val="superscript"/>
    </w:rPr>
  </w:style>
  <w:style w:type="paragraph" w:customStyle="1" w:styleId="T4">
    <w:name w:val="T4"/>
    <w:basedOn w:val="Heading4"/>
    <w:next w:val="Normal"/>
    <w:uiPriority w:val="99"/>
    <w:rsid w:val="00687AE7"/>
    <w:pPr>
      <w:tabs>
        <w:tab w:val="num" w:pos="0"/>
      </w:tabs>
    </w:pPr>
  </w:style>
  <w:style w:type="character" w:styleId="CommentReference">
    <w:name w:val="annotation reference"/>
    <w:basedOn w:val="DefaultParagraphFont"/>
    <w:uiPriority w:val="99"/>
    <w:semiHidden/>
    <w:rsid w:val="00ED4E89"/>
    <w:rPr>
      <w:sz w:val="16"/>
      <w:szCs w:val="16"/>
    </w:rPr>
  </w:style>
  <w:style w:type="paragraph" w:styleId="CommentText">
    <w:name w:val="annotation text"/>
    <w:basedOn w:val="Normal"/>
    <w:link w:val="CommentTextChar"/>
    <w:uiPriority w:val="99"/>
    <w:rsid w:val="00ED4E89"/>
    <w:rPr>
      <w:sz w:val="20"/>
    </w:rPr>
  </w:style>
  <w:style w:type="character" w:customStyle="1" w:styleId="CommentTextChar">
    <w:name w:val="Comment Text Char"/>
    <w:link w:val="CommentText"/>
    <w:uiPriority w:val="99"/>
    <w:rsid w:val="00BF123E"/>
    <w:rPr>
      <w:rFonts w:ascii="Arial" w:hAnsi="Arial"/>
    </w:rPr>
  </w:style>
  <w:style w:type="paragraph" w:styleId="Header">
    <w:name w:val="header"/>
    <w:basedOn w:val="Normal"/>
    <w:link w:val="HeaderChar"/>
    <w:rsid w:val="002F3C54"/>
    <w:pPr>
      <w:tabs>
        <w:tab w:val="center" w:pos="4819"/>
        <w:tab w:val="right" w:pos="9638"/>
      </w:tabs>
    </w:pPr>
  </w:style>
  <w:style w:type="character" w:customStyle="1" w:styleId="HeaderChar">
    <w:name w:val="Header Char"/>
    <w:link w:val="Header"/>
    <w:rsid w:val="00BF123E"/>
    <w:rPr>
      <w:rFonts w:ascii="Arial" w:hAnsi="Arial"/>
      <w:sz w:val="22"/>
    </w:rPr>
  </w:style>
  <w:style w:type="paragraph" w:styleId="Footer">
    <w:name w:val="footer"/>
    <w:basedOn w:val="Normal"/>
    <w:link w:val="FooterChar"/>
    <w:rsid w:val="002F3C54"/>
    <w:pPr>
      <w:tabs>
        <w:tab w:val="center" w:pos="4819"/>
        <w:tab w:val="right" w:pos="9638"/>
      </w:tabs>
    </w:pPr>
  </w:style>
  <w:style w:type="character" w:customStyle="1" w:styleId="FooterChar">
    <w:name w:val="Footer Char"/>
    <w:link w:val="Footer"/>
    <w:rsid w:val="00BF123E"/>
    <w:rPr>
      <w:rFonts w:ascii="Arial" w:hAnsi="Arial"/>
      <w:sz w:val="22"/>
    </w:rPr>
  </w:style>
  <w:style w:type="character" w:customStyle="1" w:styleId="FigureCarattere">
    <w:name w:val="Figure Carattere"/>
    <w:basedOn w:val="DefaultParagraphFont"/>
    <w:uiPriority w:val="99"/>
    <w:rsid w:val="009659AA"/>
    <w:rPr>
      <w:rFonts w:ascii="Arial" w:eastAsia="HG Mincho Light J" w:hAnsi="Arial"/>
      <w:i/>
      <w:color w:val="000080"/>
      <w:sz w:val="16"/>
      <w:szCs w:val="16"/>
      <w:lang w:val="it-IT" w:bidi="ar-SA"/>
    </w:rPr>
  </w:style>
  <w:style w:type="table" w:styleId="TableGrid">
    <w:name w:val="Table Grid"/>
    <w:basedOn w:val="TableNormal"/>
    <w:uiPriority w:val="59"/>
    <w:rsid w:val="008F41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A17B4"/>
  </w:style>
  <w:style w:type="character" w:customStyle="1" w:styleId="ListParagraphChar">
    <w:name w:val="List Paragraph Char"/>
    <w:basedOn w:val="DefaultParagraphFont"/>
    <w:link w:val="ListParagraph"/>
    <w:uiPriority w:val="34"/>
    <w:locked/>
    <w:rsid w:val="00EA17B4"/>
    <w:rPr>
      <w:rFonts w:ascii="Arial" w:hAnsi="Arial"/>
      <w:sz w:val="22"/>
    </w:rPr>
  </w:style>
  <w:style w:type="character" w:customStyle="1" w:styleId="shorttext">
    <w:name w:val="short_text"/>
    <w:basedOn w:val="DefaultParagraphFont"/>
    <w:uiPriority w:val="99"/>
    <w:rsid w:val="00AD5771"/>
  </w:style>
  <w:style w:type="character" w:customStyle="1" w:styleId="hps">
    <w:name w:val="hps"/>
    <w:basedOn w:val="DefaultParagraphFont"/>
    <w:rsid w:val="00AD5771"/>
  </w:style>
  <w:style w:type="paragraph" w:styleId="NoSpacing">
    <w:name w:val="No Spacing"/>
    <w:link w:val="NoSpacingChar"/>
    <w:uiPriority w:val="1"/>
    <w:qFormat/>
    <w:rsid w:val="005B5B22"/>
    <w:rPr>
      <w:rFonts w:ascii="Calibri" w:hAnsi="Calibri"/>
      <w:sz w:val="22"/>
      <w:szCs w:val="22"/>
      <w:lang w:val="es-ES" w:eastAsia="en-US"/>
    </w:rPr>
  </w:style>
  <w:style w:type="character" w:customStyle="1" w:styleId="NoSpacingChar">
    <w:name w:val="No Spacing Char"/>
    <w:link w:val="NoSpacing"/>
    <w:uiPriority w:val="1"/>
    <w:rsid w:val="005B5B22"/>
    <w:rPr>
      <w:rFonts w:ascii="Calibri" w:hAnsi="Calibri"/>
      <w:sz w:val="22"/>
      <w:szCs w:val="22"/>
      <w:lang w:val="es-ES" w:eastAsia="en-US"/>
    </w:rPr>
  </w:style>
  <w:style w:type="paragraph" w:customStyle="1" w:styleId="Default">
    <w:name w:val="Default"/>
    <w:rsid w:val="00BE2AF4"/>
    <w:pPr>
      <w:autoSpaceDE w:val="0"/>
      <w:autoSpaceDN w:val="0"/>
      <w:adjustRightInd w:val="0"/>
    </w:pPr>
    <w:rPr>
      <w:color w:val="000000"/>
      <w:sz w:val="24"/>
      <w:szCs w:val="24"/>
    </w:rPr>
  </w:style>
  <w:style w:type="paragraph" w:styleId="BodyTextIndent">
    <w:name w:val="Body Text Indent"/>
    <w:basedOn w:val="Normal"/>
    <w:link w:val="BodyTextIndentChar"/>
    <w:rsid w:val="00EF5F9C"/>
    <w:pPr>
      <w:spacing w:before="120"/>
      <w:ind w:left="283"/>
    </w:pPr>
    <w:rPr>
      <w:rFonts w:cs="Arial"/>
      <w:sz w:val="24"/>
      <w:szCs w:val="24"/>
    </w:rPr>
  </w:style>
  <w:style w:type="character" w:customStyle="1" w:styleId="BodyTextIndentChar">
    <w:name w:val="Body Text Indent Char"/>
    <w:basedOn w:val="DefaultParagraphFont"/>
    <w:link w:val="BodyTextIndent"/>
    <w:rsid w:val="00EF5F9C"/>
    <w:rPr>
      <w:rFonts w:ascii="Arial" w:hAnsi="Arial" w:cs="Arial"/>
      <w:sz w:val="24"/>
      <w:szCs w:val="24"/>
    </w:rPr>
  </w:style>
  <w:style w:type="paragraph" w:customStyle="1" w:styleId="TablaNormalconPunto">
    <w:name w:val="Tabla Normal con Punto"/>
    <w:basedOn w:val="Normal"/>
    <w:uiPriority w:val="99"/>
    <w:rsid w:val="00030BC8"/>
    <w:pPr>
      <w:numPr>
        <w:numId w:val="3"/>
      </w:numPr>
      <w:tabs>
        <w:tab w:val="left" w:pos="425"/>
      </w:tabs>
      <w:spacing w:before="120" w:after="60" w:line="360" w:lineRule="auto"/>
      <w:ind w:right="57"/>
    </w:pPr>
    <w:rPr>
      <w:rFonts w:ascii="Verdana" w:hAnsi="Verdana"/>
      <w:sz w:val="18"/>
      <w:szCs w:val="23"/>
      <w:lang w:val="es-ES_tradnl" w:eastAsia="es-MX"/>
    </w:rPr>
  </w:style>
  <w:style w:type="paragraph" w:styleId="Subtitle">
    <w:name w:val="Subtitle"/>
    <w:basedOn w:val="Normal"/>
    <w:next w:val="Normal"/>
    <w:link w:val="SubtitleChar"/>
    <w:uiPriority w:val="11"/>
    <w:qFormat/>
    <w:rsid w:val="00B3265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3265A"/>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0A68E3"/>
    <w:pPr>
      <w:keepLines/>
      <w:numPr>
        <w:numId w:val="0"/>
      </w:numPr>
      <w:spacing w:before="480" w:after="0"/>
      <w:outlineLvl w:val="9"/>
    </w:pPr>
    <w:rPr>
      <w:rFonts w:asciiTheme="majorHAnsi" w:eastAsiaTheme="majorEastAsia" w:hAnsiTheme="majorHAnsi" w:cstheme="majorBidi"/>
      <w:bCs/>
      <w:caps w:val="0"/>
      <w:color w:val="365F91" w:themeColor="accent1" w:themeShade="BF"/>
      <w:sz w:val="28"/>
      <w:szCs w:val="28"/>
      <w:lang w:val="en-US" w:eastAsia="en-US"/>
    </w:rPr>
  </w:style>
  <w:style w:type="paragraph" w:customStyle="1" w:styleId="Primapagina">
    <w:name w:val="Prima pagina"/>
    <w:basedOn w:val="Normal"/>
    <w:rsid w:val="000907C9"/>
    <w:rPr>
      <w:sz w:val="24"/>
    </w:rPr>
  </w:style>
  <w:style w:type="paragraph" w:styleId="NormalWeb">
    <w:name w:val="Normal (Web)"/>
    <w:basedOn w:val="Normal"/>
    <w:uiPriority w:val="99"/>
    <w:unhideWhenUsed/>
    <w:rsid w:val="008545EE"/>
    <w:pPr>
      <w:spacing w:before="100" w:beforeAutospacing="1" w:after="100" w:afterAutospacing="1"/>
      <w:jc w:val="left"/>
    </w:pPr>
    <w:rPr>
      <w:rFonts w:ascii="Times New Roman" w:eastAsiaTheme="minorEastAsia" w:hAnsi="Times New Roman"/>
      <w:sz w:val="24"/>
      <w:szCs w:val="24"/>
      <w:lang w:val="es-CO" w:eastAsia="es-CO"/>
    </w:rPr>
  </w:style>
  <w:style w:type="character" w:styleId="FollowedHyperlink">
    <w:name w:val="FollowedHyperlink"/>
    <w:basedOn w:val="DefaultParagraphFont"/>
    <w:unhideWhenUsed/>
    <w:rsid w:val="00EE1F4C"/>
    <w:rPr>
      <w:color w:val="800080"/>
      <w:u w:val="single"/>
    </w:rPr>
  </w:style>
  <w:style w:type="paragraph" w:customStyle="1" w:styleId="xl65">
    <w:name w:val="xl65"/>
    <w:basedOn w:val="Normal"/>
    <w:uiPriority w:val="99"/>
    <w:rsid w:val="00EE1F4C"/>
    <w:pP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66">
    <w:name w:val="xl66"/>
    <w:basedOn w:val="Normal"/>
    <w:uiPriority w:val="99"/>
    <w:rsid w:val="00EE1F4C"/>
    <w:pPr>
      <w:spacing w:before="100" w:beforeAutospacing="1" w:after="100" w:afterAutospacing="1"/>
      <w:jc w:val="left"/>
      <w:textAlignment w:val="center"/>
    </w:pPr>
    <w:rPr>
      <w:rFonts w:ascii="Arial Narrow" w:hAnsi="Arial Narrow"/>
      <w:sz w:val="24"/>
      <w:szCs w:val="24"/>
      <w:lang w:val="es-CO" w:eastAsia="es-CO"/>
    </w:rPr>
  </w:style>
  <w:style w:type="paragraph" w:customStyle="1" w:styleId="xl67">
    <w:name w:val="xl67"/>
    <w:basedOn w:val="Normal"/>
    <w:uiPriority w:val="99"/>
    <w:rsid w:val="00EE1F4C"/>
    <w:pP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68">
    <w:name w:val="xl68"/>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69">
    <w:name w:val="xl69"/>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70">
    <w:name w:val="xl70"/>
    <w:basedOn w:val="Normal"/>
    <w:uiPriority w:val="99"/>
    <w:rsid w:val="00EE1F4C"/>
    <w:pPr>
      <w:spacing w:before="100" w:beforeAutospacing="1" w:after="100" w:afterAutospacing="1"/>
      <w:jc w:val="center"/>
      <w:textAlignment w:val="center"/>
    </w:pPr>
    <w:rPr>
      <w:rFonts w:ascii="Arial Narrow" w:hAnsi="Arial Narrow"/>
      <w:sz w:val="24"/>
      <w:szCs w:val="24"/>
      <w:lang w:val="es-CO" w:eastAsia="es-CO"/>
    </w:rPr>
  </w:style>
  <w:style w:type="paragraph" w:customStyle="1" w:styleId="xl71">
    <w:name w:val="xl71"/>
    <w:basedOn w:val="Normal"/>
    <w:uiPriority w:val="99"/>
    <w:rsid w:val="00EE1F4C"/>
    <w:pP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72">
    <w:name w:val="xl72"/>
    <w:basedOn w:val="Normal"/>
    <w:uiPriority w:val="99"/>
    <w:rsid w:val="00EE1F4C"/>
    <w:pPr>
      <w:spacing w:before="100" w:beforeAutospacing="1" w:after="100" w:afterAutospacing="1"/>
      <w:jc w:val="left"/>
      <w:textAlignment w:val="center"/>
    </w:pPr>
    <w:rPr>
      <w:rFonts w:ascii="Arial Narrow" w:hAnsi="Arial Narrow"/>
      <w:sz w:val="18"/>
      <w:szCs w:val="18"/>
      <w:lang w:val="es-CO" w:eastAsia="es-CO"/>
    </w:rPr>
  </w:style>
  <w:style w:type="paragraph" w:customStyle="1" w:styleId="xl73">
    <w:name w:val="xl73"/>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74">
    <w:name w:val="xl7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75">
    <w:name w:val="xl75"/>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76">
    <w:name w:val="xl76"/>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24"/>
      <w:szCs w:val="24"/>
      <w:lang w:val="es-CO" w:eastAsia="es-CO"/>
    </w:rPr>
  </w:style>
  <w:style w:type="paragraph" w:customStyle="1" w:styleId="xl77">
    <w:name w:val="xl7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78">
    <w:name w:val="xl7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79">
    <w:name w:val="xl79"/>
    <w:basedOn w:val="Normal"/>
    <w:uiPriority w:val="99"/>
    <w:rsid w:val="00EE1F4C"/>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80">
    <w:name w:val="xl8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18"/>
      <w:szCs w:val="18"/>
      <w:lang w:val="es-CO" w:eastAsia="es-CO"/>
    </w:rPr>
  </w:style>
  <w:style w:type="paragraph" w:customStyle="1" w:styleId="xl81">
    <w:name w:val="xl81"/>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82">
    <w:name w:val="xl82"/>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18"/>
      <w:szCs w:val="18"/>
      <w:lang w:val="es-CO" w:eastAsia="es-CO"/>
    </w:rPr>
  </w:style>
  <w:style w:type="paragraph" w:customStyle="1" w:styleId="xl83">
    <w:name w:val="xl83"/>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84">
    <w:name w:val="xl84"/>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85">
    <w:name w:val="xl85"/>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86">
    <w:name w:val="xl86"/>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87">
    <w:name w:val="xl87"/>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i/>
      <w:iCs/>
      <w:sz w:val="24"/>
      <w:szCs w:val="24"/>
      <w:lang w:val="es-CO" w:eastAsia="es-CO"/>
    </w:rPr>
  </w:style>
  <w:style w:type="paragraph" w:customStyle="1" w:styleId="xl88">
    <w:name w:val="xl8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89">
    <w:name w:val="xl8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0">
    <w:name w:val="xl9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91">
    <w:name w:val="xl91"/>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2">
    <w:name w:val="xl92"/>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3">
    <w:name w:val="xl93"/>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4">
    <w:name w:val="xl94"/>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95">
    <w:name w:val="xl95"/>
    <w:basedOn w:val="Normal"/>
    <w:uiPriority w:val="99"/>
    <w:rsid w:val="00EE1F4C"/>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18"/>
      <w:szCs w:val="18"/>
      <w:lang w:val="es-CO" w:eastAsia="es-CO"/>
    </w:rPr>
  </w:style>
  <w:style w:type="paragraph" w:customStyle="1" w:styleId="xl96">
    <w:name w:val="xl96"/>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97">
    <w:name w:val="xl97"/>
    <w:basedOn w:val="Normal"/>
    <w:uiPriority w:val="99"/>
    <w:rsid w:val="00EE1F4C"/>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98">
    <w:name w:val="xl98"/>
    <w:basedOn w:val="Normal"/>
    <w:uiPriority w:val="99"/>
    <w:rsid w:val="00EE1F4C"/>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24"/>
      <w:szCs w:val="24"/>
      <w:lang w:val="es-CO" w:eastAsia="es-CO"/>
    </w:rPr>
  </w:style>
  <w:style w:type="paragraph" w:customStyle="1" w:styleId="xl99">
    <w:name w:val="xl99"/>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24"/>
      <w:szCs w:val="24"/>
      <w:lang w:val="es-CO" w:eastAsia="es-CO"/>
    </w:rPr>
  </w:style>
  <w:style w:type="paragraph" w:customStyle="1" w:styleId="xl100">
    <w:name w:val="xl100"/>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01">
    <w:name w:val="xl101"/>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Narrow" w:hAnsi="Arial Narrow"/>
      <w:b/>
      <w:bCs/>
      <w:sz w:val="18"/>
      <w:szCs w:val="18"/>
      <w:lang w:val="es-CO" w:eastAsia="es-CO"/>
    </w:rPr>
  </w:style>
  <w:style w:type="paragraph" w:customStyle="1" w:styleId="xl102">
    <w:name w:val="xl102"/>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3">
    <w:name w:val="xl103"/>
    <w:basedOn w:val="Normal"/>
    <w:uiPriority w:val="99"/>
    <w:rsid w:val="00EE1F4C"/>
    <w:pPr>
      <w:pBdr>
        <w:top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4">
    <w:name w:val="xl104"/>
    <w:basedOn w:val="Normal"/>
    <w:uiPriority w:val="99"/>
    <w:rsid w:val="00EE1F4C"/>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5">
    <w:name w:val="xl105"/>
    <w:basedOn w:val="Normal"/>
    <w:uiPriority w:val="99"/>
    <w:rsid w:val="00EE1F4C"/>
    <w:pPr>
      <w:pBdr>
        <w:top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6">
    <w:name w:val="xl106"/>
    <w:basedOn w:val="Normal"/>
    <w:uiPriority w:val="99"/>
    <w:rsid w:val="00EE1F4C"/>
    <w:pPr>
      <w:pBdr>
        <w:top w:val="single" w:sz="4" w:space="0" w:color="auto"/>
        <w:left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07">
    <w:name w:val="xl107"/>
    <w:basedOn w:val="Normal"/>
    <w:uiPriority w:val="99"/>
    <w:rsid w:val="00EE1F4C"/>
    <w:pPr>
      <w:pBdr>
        <w:top w:val="single" w:sz="8"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215967"/>
      <w:sz w:val="24"/>
      <w:szCs w:val="24"/>
      <w:lang w:val="es-CO" w:eastAsia="es-CO"/>
    </w:rPr>
  </w:style>
  <w:style w:type="paragraph" w:customStyle="1" w:styleId="xl108">
    <w:name w:val="xl10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b/>
      <w:bCs/>
      <w:color w:val="0000FF"/>
      <w:sz w:val="24"/>
      <w:szCs w:val="24"/>
      <w:lang w:val="es-CO" w:eastAsia="es-CO"/>
    </w:rPr>
  </w:style>
  <w:style w:type="paragraph" w:customStyle="1" w:styleId="xl109">
    <w:name w:val="xl10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FF"/>
      <w:sz w:val="24"/>
      <w:szCs w:val="24"/>
      <w:lang w:val="es-CO" w:eastAsia="es-CO"/>
    </w:rPr>
  </w:style>
  <w:style w:type="paragraph" w:customStyle="1" w:styleId="xl110">
    <w:name w:val="xl11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1">
    <w:name w:val="xl111"/>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FF0000"/>
      <w:sz w:val="24"/>
      <w:szCs w:val="24"/>
      <w:lang w:val="es-CO" w:eastAsia="es-CO"/>
    </w:rPr>
  </w:style>
  <w:style w:type="paragraph" w:customStyle="1" w:styleId="xl112">
    <w:name w:val="xl112"/>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i/>
      <w:iCs/>
      <w:color w:val="FF0000"/>
      <w:sz w:val="18"/>
      <w:szCs w:val="18"/>
      <w:lang w:val="es-CO" w:eastAsia="es-CO"/>
    </w:rPr>
  </w:style>
  <w:style w:type="paragraph" w:customStyle="1" w:styleId="xl113">
    <w:name w:val="xl113"/>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Arial Narrow" w:hAnsi="Arial Narrow"/>
      <w:i/>
      <w:iCs/>
      <w:color w:val="FF0000"/>
      <w:sz w:val="18"/>
      <w:szCs w:val="18"/>
      <w:lang w:val="es-CO" w:eastAsia="es-CO"/>
    </w:rPr>
  </w:style>
  <w:style w:type="paragraph" w:customStyle="1" w:styleId="xl114">
    <w:name w:val="xl114"/>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Arial Narrow" w:hAnsi="Arial Narrow"/>
      <w:b/>
      <w:bCs/>
      <w:color w:val="FF0000"/>
      <w:sz w:val="24"/>
      <w:szCs w:val="24"/>
      <w:lang w:val="es-CO" w:eastAsia="es-CO"/>
    </w:rPr>
  </w:style>
  <w:style w:type="paragraph" w:customStyle="1" w:styleId="xl115">
    <w:name w:val="xl115"/>
    <w:basedOn w:val="Normal"/>
    <w:uiPriority w:val="99"/>
    <w:rsid w:val="00EE1F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left"/>
      <w:textAlignment w:val="center"/>
    </w:pPr>
    <w:rPr>
      <w:rFonts w:ascii="Arial Narrow" w:hAnsi="Arial Narrow"/>
      <w:i/>
      <w:iCs/>
      <w:color w:val="FF0000"/>
      <w:sz w:val="18"/>
      <w:szCs w:val="18"/>
      <w:lang w:val="es-CO" w:eastAsia="es-CO"/>
    </w:rPr>
  </w:style>
  <w:style w:type="paragraph" w:customStyle="1" w:styleId="xl116">
    <w:name w:val="xl116"/>
    <w:basedOn w:val="Normal"/>
    <w:uiPriority w:val="99"/>
    <w:rsid w:val="00EE1F4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left"/>
      <w:textAlignment w:val="center"/>
    </w:pPr>
    <w:rPr>
      <w:rFonts w:ascii="Arial Narrow" w:hAnsi="Arial Narrow"/>
      <w:i/>
      <w:iCs/>
      <w:color w:val="FF0000"/>
      <w:sz w:val="24"/>
      <w:szCs w:val="24"/>
      <w:lang w:val="es-CO" w:eastAsia="es-CO"/>
    </w:rPr>
  </w:style>
  <w:style w:type="paragraph" w:customStyle="1" w:styleId="xl117">
    <w:name w:val="xl117"/>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8">
    <w:name w:val="xl118"/>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b/>
      <w:bCs/>
      <w:color w:val="0000FF"/>
      <w:sz w:val="24"/>
      <w:szCs w:val="24"/>
      <w:lang w:val="es-CO" w:eastAsia="es-CO"/>
    </w:rPr>
  </w:style>
  <w:style w:type="paragraph" w:customStyle="1" w:styleId="xl119">
    <w:name w:val="xl11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color w:val="0000FF"/>
      <w:sz w:val="24"/>
      <w:szCs w:val="24"/>
      <w:lang w:val="es-CO" w:eastAsia="es-CO"/>
    </w:rPr>
  </w:style>
  <w:style w:type="paragraph" w:customStyle="1" w:styleId="xl120">
    <w:name w:val="xl120"/>
    <w:basedOn w:val="Normal"/>
    <w:uiPriority w:val="99"/>
    <w:rsid w:val="00EE1F4C"/>
    <w:pPr>
      <w:pBdr>
        <w:bottom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21">
    <w:name w:val="xl121"/>
    <w:basedOn w:val="Normal"/>
    <w:uiPriority w:val="99"/>
    <w:rsid w:val="00EE1F4C"/>
    <w:pP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2">
    <w:name w:val="xl122"/>
    <w:basedOn w:val="Normal"/>
    <w:uiPriority w:val="99"/>
    <w:rsid w:val="00EE1F4C"/>
    <w:pPr>
      <w:pBdr>
        <w:top w:val="single" w:sz="4" w:space="0" w:color="auto"/>
        <w:left w:val="single" w:sz="8" w:space="0" w:color="auto"/>
        <w:bottom w:val="single" w:sz="4"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3">
    <w:name w:val="xl123"/>
    <w:basedOn w:val="Normal"/>
    <w:uiPriority w:val="99"/>
    <w:rsid w:val="00EE1F4C"/>
    <w:pPr>
      <w:pBdr>
        <w:top w:val="single" w:sz="4" w:space="0" w:color="auto"/>
        <w:left w:val="single" w:sz="8" w:space="0" w:color="auto"/>
        <w:bottom w:val="single" w:sz="8"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4">
    <w:name w:val="xl124"/>
    <w:basedOn w:val="Normal"/>
    <w:uiPriority w:val="99"/>
    <w:rsid w:val="00EE1F4C"/>
    <w:pPr>
      <w:pBdr>
        <w:top w:val="single" w:sz="4" w:space="0" w:color="auto"/>
        <w:lef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5">
    <w:name w:val="xl125"/>
    <w:basedOn w:val="Normal"/>
    <w:uiPriority w:val="99"/>
    <w:rsid w:val="00EE1F4C"/>
    <w:pPr>
      <w:pBdr>
        <w:top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6">
    <w:name w:val="xl126"/>
    <w:basedOn w:val="Normal"/>
    <w:uiPriority w:val="99"/>
    <w:rsid w:val="00EE1F4C"/>
    <w:pPr>
      <w:pBdr>
        <w:top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7">
    <w:name w:val="xl127"/>
    <w:basedOn w:val="Normal"/>
    <w:uiPriority w:val="99"/>
    <w:rsid w:val="00EE1F4C"/>
    <w:pPr>
      <w:pBdr>
        <w:top w:val="single" w:sz="4" w:space="0" w:color="auto"/>
        <w:left w:val="single" w:sz="8" w:space="0" w:color="auto"/>
        <w:bottom w:val="single" w:sz="4" w:space="0" w:color="auto"/>
        <w:right w:val="single" w:sz="8" w:space="0" w:color="auto"/>
      </w:pBdr>
      <w:shd w:val="clear" w:color="000000" w:fill="99CCFF"/>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28">
    <w:name w:val="xl128"/>
    <w:basedOn w:val="Normal"/>
    <w:uiPriority w:val="99"/>
    <w:rsid w:val="00EE1F4C"/>
    <w:pPr>
      <w:pBdr>
        <w:lef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29">
    <w:name w:val="xl129"/>
    <w:basedOn w:val="Normal"/>
    <w:uiPriority w:val="99"/>
    <w:rsid w:val="00EE1F4C"/>
    <w:pPr>
      <w:pBdr>
        <w:lef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30">
    <w:name w:val="xl130"/>
    <w:basedOn w:val="Normal"/>
    <w:uiPriority w:val="99"/>
    <w:rsid w:val="00EE1F4C"/>
    <w:pP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1">
    <w:name w:val="xl131"/>
    <w:basedOn w:val="Normal"/>
    <w:uiPriority w:val="99"/>
    <w:rsid w:val="00EE1F4C"/>
    <w:pPr>
      <w:pBdr>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2">
    <w:name w:val="xl132"/>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33">
    <w:name w:val="xl133"/>
    <w:basedOn w:val="Normal"/>
    <w:uiPriority w:val="99"/>
    <w:rsid w:val="00EE1F4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4">
    <w:name w:val="xl13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35">
    <w:name w:val="xl135"/>
    <w:basedOn w:val="Normal"/>
    <w:uiPriority w:val="99"/>
    <w:rsid w:val="00EE1F4C"/>
    <w:pPr>
      <w:spacing w:before="100" w:beforeAutospacing="1" w:after="100" w:afterAutospacing="1"/>
    </w:pPr>
    <w:rPr>
      <w:rFonts w:ascii="Arial Narrow" w:hAnsi="Arial Narrow"/>
      <w:b/>
      <w:bCs/>
      <w:sz w:val="24"/>
      <w:szCs w:val="24"/>
      <w:lang w:val="es-CO" w:eastAsia="es-CO"/>
    </w:rPr>
  </w:style>
  <w:style w:type="paragraph" w:customStyle="1" w:styleId="xl136">
    <w:name w:val="xl136"/>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7">
    <w:name w:val="xl13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38">
    <w:name w:val="xl13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139">
    <w:name w:val="xl139"/>
    <w:basedOn w:val="Normal"/>
    <w:uiPriority w:val="99"/>
    <w:rsid w:val="00EE1F4C"/>
    <w:pPr>
      <w:spacing w:before="100" w:beforeAutospacing="1" w:after="100" w:afterAutospacing="1"/>
    </w:pPr>
    <w:rPr>
      <w:rFonts w:ascii="Arial Narrow" w:hAnsi="Arial Narrow"/>
      <w:i/>
      <w:iCs/>
      <w:sz w:val="24"/>
      <w:szCs w:val="24"/>
      <w:lang w:val="es-CO" w:eastAsia="es-CO"/>
    </w:rPr>
  </w:style>
  <w:style w:type="paragraph" w:customStyle="1" w:styleId="xl140">
    <w:name w:val="xl140"/>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41">
    <w:name w:val="xl141"/>
    <w:basedOn w:val="Normal"/>
    <w:uiPriority w:val="99"/>
    <w:rsid w:val="00EE1F4C"/>
    <w:pPr>
      <w:spacing w:before="100" w:beforeAutospacing="1" w:after="100" w:afterAutospacing="1"/>
      <w:jc w:val="left"/>
      <w:textAlignment w:val="center"/>
    </w:pPr>
    <w:rPr>
      <w:rFonts w:ascii="Arial Narrow" w:hAnsi="Arial Narrow"/>
      <w:i/>
      <w:iCs/>
      <w:sz w:val="24"/>
      <w:szCs w:val="24"/>
      <w:lang w:val="es-CO" w:eastAsia="es-CO"/>
    </w:rPr>
  </w:style>
  <w:style w:type="paragraph" w:customStyle="1" w:styleId="xl142">
    <w:name w:val="xl142"/>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i/>
      <w:iCs/>
      <w:sz w:val="18"/>
      <w:szCs w:val="18"/>
      <w:lang w:val="es-CO" w:eastAsia="es-CO"/>
    </w:rPr>
  </w:style>
  <w:style w:type="paragraph" w:customStyle="1" w:styleId="xl143">
    <w:name w:val="xl143"/>
    <w:basedOn w:val="Normal"/>
    <w:uiPriority w:val="99"/>
    <w:rsid w:val="00EE1F4C"/>
    <w:pPr>
      <w:spacing w:before="100" w:beforeAutospacing="1" w:after="100" w:afterAutospacing="1"/>
      <w:jc w:val="left"/>
    </w:pPr>
    <w:rPr>
      <w:rFonts w:ascii="Arial Narrow" w:hAnsi="Arial Narrow"/>
      <w:i/>
      <w:iCs/>
      <w:sz w:val="18"/>
      <w:szCs w:val="18"/>
      <w:lang w:val="es-CO" w:eastAsia="es-CO"/>
    </w:rPr>
  </w:style>
  <w:style w:type="paragraph" w:customStyle="1" w:styleId="xl144">
    <w:name w:val="xl14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45">
    <w:name w:val="xl145"/>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18"/>
      <w:szCs w:val="18"/>
      <w:lang w:val="es-CO" w:eastAsia="es-CO"/>
    </w:rPr>
  </w:style>
  <w:style w:type="paragraph" w:customStyle="1" w:styleId="xl146">
    <w:name w:val="xl146"/>
    <w:basedOn w:val="Normal"/>
    <w:uiPriority w:val="99"/>
    <w:rsid w:val="00EE1F4C"/>
    <w:pPr>
      <w:spacing w:before="100" w:beforeAutospacing="1" w:after="100" w:afterAutospacing="1"/>
      <w:jc w:val="left"/>
      <w:textAlignment w:val="center"/>
    </w:pPr>
    <w:rPr>
      <w:rFonts w:ascii="Arial Narrow" w:hAnsi="Arial Narrow"/>
      <w:b/>
      <w:bCs/>
      <w:sz w:val="24"/>
      <w:szCs w:val="24"/>
      <w:lang w:val="es-CO" w:eastAsia="es-CO"/>
    </w:rPr>
  </w:style>
  <w:style w:type="paragraph" w:customStyle="1" w:styleId="xl147">
    <w:name w:val="xl147"/>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48">
    <w:name w:val="xl148"/>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4"/>
      <w:szCs w:val="24"/>
      <w:lang w:val="es-CO" w:eastAsia="es-CO"/>
    </w:rPr>
  </w:style>
  <w:style w:type="paragraph" w:customStyle="1" w:styleId="xl149">
    <w:name w:val="xl149"/>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50">
    <w:name w:val="xl150"/>
    <w:basedOn w:val="Normal"/>
    <w:uiPriority w:val="99"/>
    <w:rsid w:val="00EE1F4C"/>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Narrow" w:hAnsi="Arial Narrow"/>
      <w:sz w:val="24"/>
      <w:szCs w:val="24"/>
      <w:lang w:val="es-CO" w:eastAsia="es-CO"/>
    </w:rPr>
  </w:style>
  <w:style w:type="paragraph" w:customStyle="1" w:styleId="xl151">
    <w:name w:val="xl151"/>
    <w:basedOn w:val="Normal"/>
    <w:uiPriority w:val="99"/>
    <w:rsid w:val="00EE1F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val="es-CO" w:eastAsia="es-CO"/>
    </w:rPr>
  </w:style>
  <w:style w:type="paragraph" w:customStyle="1" w:styleId="xl152">
    <w:name w:val="xl152"/>
    <w:basedOn w:val="Normal"/>
    <w:uiPriority w:val="99"/>
    <w:rsid w:val="00EE1F4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3">
    <w:name w:val="xl153"/>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4">
    <w:name w:val="xl154"/>
    <w:basedOn w:val="Normal"/>
    <w:uiPriority w:val="99"/>
    <w:rsid w:val="00EE1F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5">
    <w:name w:val="xl155"/>
    <w:basedOn w:val="Normal"/>
    <w:uiPriority w:val="99"/>
    <w:rsid w:val="00EE1F4C"/>
    <w:pPr>
      <w:pBdr>
        <w:top w:val="single" w:sz="4" w:space="0" w:color="auto"/>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6">
    <w:name w:val="xl156"/>
    <w:basedOn w:val="Normal"/>
    <w:uiPriority w:val="99"/>
    <w:rsid w:val="00EE1F4C"/>
    <w:pPr>
      <w:pBdr>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7">
    <w:name w:val="xl157"/>
    <w:basedOn w:val="Normal"/>
    <w:uiPriority w:val="99"/>
    <w:rsid w:val="00EE1F4C"/>
    <w:pPr>
      <w:pBdr>
        <w:left w:val="single" w:sz="4" w:space="0" w:color="auto"/>
        <w:bottom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8">
    <w:name w:val="xl158"/>
    <w:basedOn w:val="Normal"/>
    <w:uiPriority w:val="99"/>
    <w:rsid w:val="00EE1F4C"/>
    <w:pPr>
      <w:pBdr>
        <w:bottom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customStyle="1" w:styleId="xl159">
    <w:name w:val="xl159"/>
    <w:basedOn w:val="Normal"/>
    <w:uiPriority w:val="99"/>
    <w:rsid w:val="00EE1F4C"/>
    <w:pPr>
      <w:pBdr>
        <w:bottom w:val="single" w:sz="4" w:space="0" w:color="auto"/>
        <w:right w:val="single" w:sz="4" w:space="0" w:color="auto"/>
      </w:pBdr>
      <w:shd w:val="clear" w:color="000000" w:fill="FFFF99"/>
      <w:spacing w:before="100" w:beforeAutospacing="1" w:after="100" w:afterAutospacing="1"/>
      <w:jc w:val="center"/>
      <w:textAlignment w:val="center"/>
    </w:pPr>
    <w:rPr>
      <w:rFonts w:ascii="Arial Narrow" w:hAnsi="Arial Narrow"/>
      <w:b/>
      <w:bCs/>
      <w:sz w:val="24"/>
      <w:szCs w:val="24"/>
      <w:lang w:val="es-CO" w:eastAsia="es-CO"/>
    </w:rPr>
  </w:style>
  <w:style w:type="paragraph" w:styleId="BodyText2">
    <w:name w:val="Body Text 2"/>
    <w:basedOn w:val="Normal"/>
    <w:link w:val="BodyText2Char"/>
    <w:rsid w:val="008205BB"/>
    <w:pPr>
      <w:spacing w:line="480" w:lineRule="auto"/>
    </w:pPr>
  </w:style>
  <w:style w:type="character" w:customStyle="1" w:styleId="BodyText2Char">
    <w:name w:val="Body Text 2 Char"/>
    <w:basedOn w:val="DefaultParagraphFont"/>
    <w:link w:val="BodyText2"/>
    <w:rsid w:val="008205BB"/>
    <w:rPr>
      <w:rFonts w:ascii="Arial" w:hAnsi="Arial"/>
      <w:sz w:val="22"/>
    </w:rPr>
  </w:style>
  <w:style w:type="paragraph" w:customStyle="1" w:styleId="ELENCOPUNTATO1">
    <w:name w:val="ELENCO PUNTATO 1"/>
    <w:basedOn w:val="Normal"/>
    <w:uiPriority w:val="99"/>
    <w:rsid w:val="008205BB"/>
    <w:pPr>
      <w:numPr>
        <w:numId w:val="4"/>
      </w:numPr>
      <w:tabs>
        <w:tab w:val="left" w:pos="5050"/>
      </w:tabs>
      <w:spacing w:before="120" w:after="0"/>
    </w:pPr>
    <w:rPr>
      <w:rFonts w:ascii="Times New Roman" w:hAnsi="Times New Roman"/>
      <w:snapToGrid w:val="0"/>
      <w:sz w:val="24"/>
    </w:rPr>
  </w:style>
  <w:style w:type="paragraph" w:customStyle="1" w:styleId="PRIMAPAG01">
    <w:name w:val="PRIMA PAG 01"/>
    <w:basedOn w:val="Normal"/>
    <w:uiPriority w:val="99"/>
    <w:rsid w:val="008205BB"/>
    <w:pPr>
      <w:tabs>
        <w:tab w:val="left" w:pos="567"/>
        <w:tab w:val="left" w:pos="1346"/>
        <w:tab w:val="left" w:pos="1984"/>
        <w:tab w:val="left" w:pos="2693"/>
        <w:tab w:val="left" w:pos="4110"/>
        <w:tab w:val="left" w:pos="5103"/>
        <w:tab w:val="left" w:pos="5386"/>
        <w:tab w:val="left" w:pos="6307"/>
        <w:tab w:val="left" w:pos="6591"/>
        <w:tab w:val="left" w:pos="6874"/>
        <w:tab w:val="left" w:pos="7229"/>
        <w:tab w:val="left" w:pos="7441"/>
      </w:tabs>
      <w:spacing w:before="120" w:after="0"/>
    </w:pPr>
    <w:rPr>
      <w:rFonts w:ascii="Times New Roman" w:hAnsi="Times New Roman"/>
      <w:sz w:val="24"/>
    </w:rPr>
  </w:style>
  <w:style w:type="paragraph" w:customStyle="1" w:styleId="Prrafodelista1">
    <w:name w:val="Párrafo de lista1"/>
    <w:basedOn w:val="Normal"/>
    <w:uiPriority w:val="34"/>
    <w:rsid w:val="008205BB"/>
    <w:pPr>
      <w:spacing w:after="200"/>
      <w:ind w:left="720"/>
      <w:contextualSpacing/>
      <w:jc w:val="left"/>
    </w:pPr>
    <w:rPr>
      <w:rFonts w:ascii="Calibri" w:hAnsi="Calibri"/>
      <w:szCs w:val="22"/>
      <w:lang w:val="es-ES" w:eastAsia="en-US"/>
    </w:rPr>
  </w:style>
  <w:style w:type="character" w:customStyle="1" w:styleId="apple-converted-space">
    <w:name w:val="apple-converted-space"/>
    <w:basedOn w:val="DefaultParagraphFont"/>
    <w:rsid w:val="00CF3FB4"/>
  </w:style>
  <w:style w:type="paragraph" w:customStyle="1" w:styleId="Normal10">
    <w:name w:val="Normal1"/>
    <w:basedOn w:val="Normal"/>
    <w:uiPriority w:val="99"/>
    <w:rsid w:val="00CF3FB4"/>
    <w:pPr>
      <w:spacing w:before="100" w:beforeAutospacing="1" w:after="100" w:afterAutospacing="1"/>
      <w:jc w:val="left"/>
    </w:pPr>
    <w:rPr>
      <w:rFonts w:ascii="Times New Roman" w:hAnsi="Times New Roman"/>
      <w:sz w:val="24"/>
      <w:szCs w:val="24"/>
      <w:lang w:val="es-CO" w:eastAsia="es-CO"/>
    </w:rPr>
  </w:style>
  <w:style w:type="character" w:customStyle="1" w:styleId="normalchar">
    <w:name w:val="normal__char"/>
    <w:basedOn w:val="DefaultParagraphFont"/>
    <w:uiPriority w:val="99"/>
    <w:rsid w:val="00CF3FB4"/>
  </w:style>
  <w:style w:type="character" w:customStyle="1" w:styleId="list0020paragraphchar">
    <w:name w:val="list_0020paragraph__char"/>
    <w:basedOn w:val="DefaultParagraphFont"/>
    <w:uiPriority w:val="99"/>
    <w:rsid w:val="00CF3FB4"/>
  </w:style>
  <w:style w:type="paragraph" w:customStyle="1" w:styleId="Bullet">
    <w:name w:val="Bullet"/>
    <w:basedOn w:val="Normal"/>
    <w:uiPriority w:val="99"/>
    <w:rsid w:val="008F3EDF"/>
    <w:pPr>
      <w:numPr>
        <w:numId w:val="5"/>
      </w:numPr>
      <w:spacing w:after="0"/>
    </w:pPr>
    <w:rPr>
      <w:rFonts w:ascii="Times New Roman" w:hAnsi="Times New Roman"/>
      <w:sz w:val="24"/>
      <w:szCs w:val="24"/>
      <w:lang w:val="en-GB"/>
    </w:rPr>
  </w:style>
  <w:style w:type="paragraph" w:styleId="BodyText3">
    <w:name w:val="Body Text 3"/>
    <w:basedOn w:val="Normal"/>
    <w:link w:val="BodyText3Char"/>
    <w:rsid w:val="00E80E80"/>
    <w:rPr>
      <w:sz w:val="16"/>
      <w:szCs w:val="16"/>
    </w:rPr>
  </w:style>
  <w:style w:type="character" w:customStyle="1" w:styleId="BodyText3Char">
    <w:name w:val="Body Text 3 Char"/>
    <w:basedOn w:val="DefaultParagraphFont"/>
    <w:link w:val="BodyText3"/>
    <w:rsid w:val="00E80E80"/>
    <w:rPr>
      <w:rFonts w:ascii="Arial" w:hAnsi="Arial"/>
      <w:sz w:val="16"/>
      <w:szCs w:val="16"/>
    </w:rPr>
  </w:style>
  <w:style w:type="paragraph" w:styleId="Title">
    <w:name w:val="Title"/>
    <w:basedOn w:val="Normal"/>
    <w:next w:val="Normal"/>
    <w:link w:val="TitleChar"/>
    <w:qFormat/>
    <w:rsid w:val="00E80E80"/>
    <w:pPr>
      <w:pBdr>
        <w:bottom w:val="single" w:sz="4" w:space="1" w:color="auto"/>
      </w:pBdr>
      <w:spacing w:after="0" w:line="360" w:lineRule="auto"/>
      <w:contextualSpacing/>
      <w:jc w:val="center"/>
    </w:pPr>
    <w:rPr>
      <w:b/>
      <w:caps/>
      <w:spacing w:val="5"/>
      <w:sz w:val="32"/>
      <w:szCs w:val="52"/>
      <w:lang w:val="es-PE" w:eastAsia="en-US" w:bidi="en-US"/>
    </w:rPr>
  </w:style>
  <w:style w:type="character" w:customStyle="1" w:styleId="TitleChar">
    <w:name w:val="Title Char"/>
    <w:basedOn w:val="DefaultParagraphFont"/>
    <w:link w:val="Title"/>
    <w:rsid w:val="00E80E80"/>
    <w:rPr>
      <w:rFonts w:ascii="Arial" w:hAnsi="Arial"/>
      <w:b/>
      <w:caps/>
      <w:spacing w:val="5"/>
      <w:sz w:val="32"/>
      <w:szCs w:val="52"/>
      <w:lang w:val="es-PE" w:eastAsia="en-US" w:bidi="en-US"/>
    </w:rPr>
  </w:style>
  <w:style w:type="character" w:styleId="Strong">
    <w:name w:val="Strong"/>
    <w:uiPriority w:val="22"/>
    <w:qFormat/>
    <w:rsid w:val="00E80E80"/>
    <w:rPr>
      <w:b/>
      <w:bCs/>
    </w:rPr>
  </w:style>
  <w:style w:type="character" w:styleId="Emphasis">
    <w:name w:val="Emphasis"/>
    <w:qFormat/>
    <w:rsid w:val="00E80E80"/>
    <w:rPr>
      <w:b/>
      <w:bCs/>
      <w:i/>
      <w:iCs/>
      <w:spacing w:val="10"/>
      <w:bdr w:val="none" w:sz="0" w:space="0" w:color="auto"/>
      <w:shd w:val="clear" w:color="auto" w:fill="auto"/>
    </w:rPr>
  </w:style>
  <w:style w:type="paragraph" w:styleId="Quote">
    <w:name w:val="Quote"/>
    <w:basedOn w:val="Normal"/>
    <w:next w:val="Normal"/>
    <w:link w:val="QuoteChar"/>
    <w:uiPriority w:val="29"/>
    <w:qFormat/>
    <w:rsid w:val="00E80E80"/>
    <w:pPr>
      <w:spacing w:before="200" w:after="0" w:line="360" w:lineRule="auto"/>
      <w:ind w:left="360" w:right="360"/>
    </w:pPr>
    <w:rPr>
      <w:rFonts w:cs="Arial"/>
      <w:i/>
      <w:iCs/>
      <w:sz w:val="24"/>
      <w:szCs w:val="24"/>
      <w:lang w:val="es-PE" w:eastAsia="en-US" w:bidi="en-US"/>
    </w:rPr>
  </w:style>
  <w:style w:type="character" w:customStyle="1" w:styleId="QuoteChar">
    <w:name w:val="Quote Char"/>
    <w:basedOn w:val="DefaultParagraphFont"/>
    <w:link w:val="Quote"/>
    <w:uiPriority w:val="29"/>
    <w:rsid w:val="00E80E80"/>
    <w:rPr>
      <w:rFonts w:ascii="Arial" w:hAnsi="Arial" w:cs="Arial"/>
      <w:i/>
      <w:iCs/>
      <w:sz w:val="24"/>
      <w:szCs w:val="24"/>
      <w:lang w:val="es-PE" w:eastAsia="en-US" w:bidi="en-US"/>
    </w:rPr>
  </w:style>
  <w:style w:type="paragraph" w:styleId="IntenseQuote">
    <w:name w:val="Intense Quote"/>
    <w:basedOn w:val="Normal"/>
    <w:next w:val="Normal"/>
    <w:link w:val="IntenseQuoteChar"/>
    <w:uiPriority w:val="30"/>
    <w:qFormat/>
    <w:rsid w:val="00E80E80"/>
    <w:pPr>
      <w:pBdr>
        <w:bottom w:val="single" w:sz="4" w:space="1" w:color="auto"/>
      </w:pBdr>
      <w:spacing w:before="200" w:after="280" w:line="360" w:lineRule="auto"/>
      <w:ind w:left="1008" w:right="1152"/>
    </w:pPr>
    <w:rPr>
      <w:rFonts w:cs="Arial"/>
      <w:b/>
      <w:bCs/>
      <w:i/>
      <w:iCs/>
      <w:sz w:val="24"/>
      <w:szCs w:val="24"/>
      <w:lang w:val="es-PE" w:eastAsia="en-US" w:bidi="en-US"/>
    </w:rPr>
  </w:style>
  <w:style w:type="character" w:customStyle="1" w:styleId="IntenseQuoteChar">
    <w:name w:val="Intense Quote Char"/>
    <w:basedOn w:val="DefaultParagraphFont"/>
    <w:link w:val="IntenseQuote"/>
    <w:uiPriority w:val="30"/>
    <w:rsid w:val="00E80E80"/>
    <w:rPr>
      <w:rFonts w:ascii="Arial" w:hAnsi="Arial" w:cs="Arial"/>
      <w:b/>
      <w:bCs/>
      <w:i/>
      <w:iCs/>
      <w:sz w:val="24"/>
      <w:szCs w:val="24"/>
      <w:lang w:val="es-PE" w:eastAsia="en-US" w:bidi="en-US"/>
    </w:rPr>
  </w:style>
  <w:style w:type="character" w:styleId="SubtleEmphasis">
    <w:name w:val="Subtle Emphasis"/>
    <w:uiPriority w:val="19"/>
    <w:qFormat/>
    <w:rsid w:val="00E80E80"/>
    <w:rPr>
      <w:i/>
      <w:iCs/>
    </w:rPr>
  </w:style>
  <w:style w:type="character" w:styleId="IntenseEmphasis">
    <w:name w:val="Intense Emphasis"/>
    <w:uiPriority w:val="21"/>
    <w:qFormat/>
    <w:rsid w:val="00E80E80"/>
    <w:rPr>
      <w:b/>
      <w:bCs/>
    </w:rPr>
  </w:style>
  <w:style w:type="character" w:styleId="SubtleReference">
    <w:name w:val="Subtle Reference"/>
    <w:uiPriority w:val="31"/>
    <w:qFormat/>
    <w:rsid w:val="00E80E80"/>
    <w:rPr>
      <w:smallCaps/>
    </w:rPr>
  </w:style>
  <w:style w:type="character" w:styleId="IntenseReference">
    <w:name w:val="Intense Reference"/>
    <w:uiPriority w:val="32"/>
    <w:qFormat/>
    <w:rsid w:val="00E80E80"/>
    <w:rPr>
      <w:smallCaps/>
      <w:spacing w:val="5"/>
      <w:u w:val="single"/>
    </w:rPr>
  </w:style>
  <w:style w:type="character" w:styleId="BookTitle">
    <w:name w:val="Book Title"/>
    <w:uiPriority w:val="33"/>
    <w:qFormat/>
    <w:rsid w:val="00E80E80"/>
    <w:rPr>
      <w:i/>
      <w:iCs/>
      <w:smallCaps/>
      <w:spacing w:val="5"/>
    </w:rPr>
  </w:style>
  <w:style w:type="paragraph" w:styleId="BodyText">
    <w:name w:val="Body Text"/>
    <w:aliases w:val="descriptionbullets,bt,body text,BODY TEXT,Block text,Testo.t2"/>
    <w:basedOn w:val="Normal"/>
    <w:link w:val="BodyTextChar"/>
    <w:unhideWhenUsed/>
    <w:rsid w:val="00E80E80"/>
    <w:pPr>
      <w:spacing w:line="360" w:lineRule="auto"/>
    </w:pPr>
    <w:rPr>
      <w:rFonts w:cs="Arial"/>
      <w:sz w:val="24"/>
      <w:szCs w:val="24"/>
      <w:lang w:val="es-PE" w:eastAsia="en-US" w:bidi="en-US"/>
    </w:rPr>
  </w:style>
  <w:style w:type="character" w:customStyle="1" w:styleId="BodyTextChar">
    <w:name w:val="Body Text Char"/>
    <w:aliases w:val="descriptionbullets Char,bt Char,body text Char,BODY TEXT Char,Block text Char,Testo.t2 Char"/>
    <w:basedOn w:val="DefaultParagraphFont"/>
    <w:link w:val="BodyText"/>
    <w:rsid w:val="00E80E80"/>
    <w:rPr>
      <w:rFonts w:ascii="Arial" w:hAnsi="Arial" w:cs="Arial"/>
      <w:sz w:val="24"/>
      <w:szCs w:val="24"/>
      <w:lang w:val="es-PE" w:eastAsia="en-US" w:bidi="en-US"/>
    </w:rPr>
  </w:style>
  <w:style w:type="paragraph" w:customStyle="1" w:styleId="BodyText21">
    <w:name w:val="Body Text 21"/>
    <w:basedOn w:val="Normal"/>
    <w:rsid w:val="00E80E80"/>
    <w:pPr>
      <w:widowControl w:val="0"/>
      <w:tabs>
        <w:tab w:val="left" w:pos="851"/>
      </w:tabs>
      <w:suppressAutoHyphens/>
      <w:spacing w:after="0"/>
      <w:ind w:left="851" w:hanging="851"/>
    </w:pPr>
    <w:rPr>
      <w:rFonts w:eastAsia="Batang"/>
      <w:spacing w:val="-3"/>
      <w:sz w:val="24"/>
      <w:lang w:val="es-ES_tradnl" w:eastAsia="es-ES"/>
    </w:rPr>
  </w:style>
  <w:style w:type="paragraph" w:customStyle="1" w:styleId="Sangra3detindependiente1">
    <w:name w:val="Sangría 3 de t. independiente1"/>
    <w:basedOn w:val="Normal"/>
    <w:rsid w:val="00E80E80"/>
    <w:pPr>
      <w:widowControl w:val="0"/>
      <w:tabs>
        <w:tab w:val="left" w:pos="0"/>
      </w:tabs>
      <w:suppressAutoHyphens/>
      <w:spacing w:after="0"/>
      <w:ind w:left="1110"/>
    </w:pPr>
    <w:rPr>
      <w:rFonts w:eastAsia="Batang"/>
      <w:spacing w:val="-3"/>
      <w:sz w:val="24"/>
      <w:lang w:val="es-ES_tradnl" w:eastAsia="es-ES"/>
    </w:rPr>
  </w:style>
  <w:style w:type="paragraph" w:customStyle="1" w:styleId="Textoindependiente21">
    <w:name w:val="Texto independiente 21"/>
    <w:basedOn w:val="Normal"/>
    <w:rsid w:val="00E80E80"/>
    <w:pPr>
      <w:widowControl w:val="0"/>
      <w:tabs>
        <w:tab w:val="left" w:pos="0"/>
      </w:tabs>
      <w:suppressAutoHyphens/>
      <w:spacing w:after="0"/>
    </w:pPr>
    <w:rPr>
      <w:rFonts w:eastAsia="Batang"/>
      <w:sz w:val="24"/>
      <w:lang w:val="es-ES_tradnl" w:eastAsia="es-ES"/>
    </w:rPr>
  </w:style>
  <w:style w:type="paragraph" w:styleId="CommentSubject">
    <w:name w:val="annotation subject"/>
    <w:basedOn w:val="CommentText"/>
    <w:next w:val="CommentText"/>
    <w:link w:val="CommentSubjectChar"/>
    <w:uiPriority w:val="99"/>
    <w:unhideWhenUsed/>
    <w:rsid w:val="00E80E80"/>
    <w:pPr>
      <w:spacing w:after="0"/>
    </w:pPr>
    <w:rPr>
      <w:rFonts w:cs="Arial"/>
      <w:b/>
      <w:bCs/>
      <w:lang w:val="es-PE" w:eastAsia="en-US" w:bidi="en-US"/>
    </w:rPr>
  </w:style>
  <w:style w:type="character" w:customStyle="1" w:styleId="CommentSubjectChar">
    <w:name w:val="Comment Subject Char"/>
    <w:basedOn w:val="CommentTextChar"/>
    <w:link w:val="CommentSubject"/>
    <w:uiPriority w:val="99"/>
    <w:rsid w:val="00E80E80"/>
    <w:rPr>
      <w:rFonts w:ascii="Arial" w:hAnsi="Arial" w:cs="Arial"/>
      <w:b/>
      <w:bCs/>
      <w:lang w:val="es-PE" w:eastAsia="en-US" w:bidi="en-US"/>
    </w:rPr>
  </w:style>
  <w:style w:type="paragraph" w:customStyle="1" w:styleId="Sangra2detindependiente1">
    <w:name w:val="Sangría 2 de t. independiente1"/>
    <w:basedOn w:val="Normal"/>
    <w:rsid w:val="00E80E80"/>
    <w:pPr>
      <w:widowControl w:val="0"/>
      <w:tabs>
        <w:tab w:val="left" w:pos="851"/>
      </w:tabs>
      <w:suppressAutoHyphens/>
      <w:spacing w:after="0"/>
      <w:ind w:left="851"/>
    </w:pPr>
    <w:rPr>
      <w:rFonts w:eastAsia="Batang"/>
      <w:spacing w:val="-3"/>
      <w:lang w:val="es-ES_tradnl" w:eastAsia="es-ES"/>
    </w:rPr>
  </w:style>
  <w:style w:type="paragraph" w:customStyle="1" w:styleId="Sangra3detindependiente2">
    <w:name w:val="Sangría 3 de t. independiente2"/>
    <w:basedOn w:val="Normal"/>
    <w:rsid w:val="00E80E80"/>
    <w:pPr>
      <w:widowControl w:val="0"/>
      <w:tabs>
        <w:tab w:val="left" w:pos="0"/>
      </w:tabs>
      <w:suppressAutoHyphens/>
      <w:spacing w:after="0"/>
      <w:ind w:left="1110"/>
    </w:pPr>
    <w:rPr>
      <w:rFonts w:eastAsia="Batang"/>
      <w:spacing w:val="-3"/>
      <w:lang w:val="es-ES_tradnl" w:eastAsia="es-ES"/>
    </w:rPr>
  </w:style>
  <w:style w:type="paragraph" w:customStyle="1" w:styleId="Textoindependiente22">
    <w:name w:val="Texto independiente 22"/>
    <w:basedOn w:val="Normal"/>
    <w:rsid w:val="00E80E80"/>
    <w:pPr>
      <w:widowControl w:val="0"/>
      <w:tabs>
        <w:tab w:val="left" w:pos="0"/>
      </w:tabs>
      <w:suppressAutoHyphens/>
      <w:spacing w:after="0"/>
    </w:pPr>
    <w:rPr>
      <w:rFonts w:eastAsia="Batang"/>
      <w:lang w:val="es-ES_tradnl" w:eastAsia="es-ES"/>
    </w:rPr>
  </w:style>
  <w:style w:type="paragraph" w:styleId="HTMLPreformatted">
    <w:name w:val="HTML Preformatted"/>
    <w:basedOn w:val="Normal"/>
    <w:link w:val="HTMLPreformattedChar"/>
    <w:uiPriority w:val="99"/>
    <w:rsid w:val="00E80E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6"/>
      <w:jc w:val="left"/>
    </w:pPr>
    <w:rPr>
      <w:rFonts w:ascii="Courier New" w:hAnsi="Courier New" w:cs="Courier New"/>
      <w:sz w:val="24"/>
      <w:szCs w:val="24"/>
      <w:lang w:val="es-ES" w:eastAsia="es-ES"/>
    </w:rPr>
  </w:style>
  <w:style w:type="character" w:customStyle="1" w:styleId="HTMLPreformattedChar">
    <w:name w:val="HTML Preformatted Char"/>
    <w:basedOn w:val="DefaultParagraphFont"/>
    <w:link w:val="HTMLPreformatted"/>
    <w:uiPriority w:val="99"/>
    <w:rsid w:val="00E80E80"/>
    <w:rPr>
      <w:rFonts w:ascii="Courier New" w:hAnsi="Courier New" w:cs="Courier New"/>
      <w:sz w:val="24"/>
      <w:szCs w:val="24"/>
      <w:lang w:val="es-ES" w:eastAsia="es-ES"/>
    </w:rPr>
  </w:style>
  <w:style w:type="paragraph" w:customStyle="1" w:styleId="WW-Textoindependiente2">
    <w:name w:val="WW-Texto independiente 2"/>
    <w:basedOn w:val="Normal"/>
    <w:rsid w:val="00E80E80"/>
    <w:pPr>
      <w:suppressAutoHyphens/>
      <w:spacing w:after="0"/>
      <w:ind w:left="6"/>
    </w:pPr>
    <w:rPr>
      <w:rFonts w:ascii="Garamond" w:hAnsi="Garamond"/>
      <w:sz w:val="24"/>
      <w:lang w:val="es-ES_tradnl" w:eastAsia="es-ES"/>
    </w:rPr>
  </w:style>
  <w:style w:type="paragraph" w:customStyle="1" w:styleId="Normal4">
    <w:name w:val="Normal 4"/>
    <w:basedOn w:val="Normal"/>
    <w:rsid w:val="00E80E80"/>
    <w:pPr>
      <w:spacing w:before="120" w:after="240"/>
    </w:pPr>
    <w:rPr>
      <w:rFonts w:ascii="Verdana" w:hAnsi="Verdana" w:cs="Arial"/>
      <w:color w:val="800000"/>
      <w:szCs w:val="24"/>
      <w:lang w:val="es-PE" w:eastAsia="es-ES"/>
    </w:rPr>
  </w:style>
  <w:style w:type="paragraph" w:customStyle="1" w:styleId="Estilo">
    <w:name w:val="Estilo"/>
    <w:rsid w:val="00175299"/>
    <w:pPr>
      <w:widowControl w:val="0"/>
      <w:autoSpaceDE w:val="0"/>
      <w:autoSpaceDN w:val="0"/>
      <w:adjustRightInd w:val="0"/>
    </w:pPr>
    <w:rPr>
      <w:rFonts w:ascii="Arial" w:hAnsi="Arial" w:cs="Arial"/>
      <w:sz w:val="24"/>
      <w:szCs w:val="24"/>
      <w:lang w:val="es-ES" w:eastAsia="es-ES"/>
    </w:rPr>
  </w:style>
  <w:style w:type="paragraph" w:customStyle="1" w:styleId="Figuras">
    <w:name w:val="Figuras"/>
    <w:basedOn w:val="Normal"/>
    <w:link w:val="FigurasCar"/>
    <w:qFormat/>
    <w:rsid w:val="00E25A10"/>
    <w:pPr>
      <w:spacing w:before="60" w:after="240"/>
      <w:jc w:val="center"/>
    </w:pPr>
    <w:rPr>
      <w:b/>
      <w:sz w:val="16"/>
      <w:szCs w:val="16"/>
      <w:lang w:val="es-ES"/>
    </w:rPr>
  </w:style>
  <w:style w:type="character" w:customStyle="1" w:styleId="FigurasCar">
    <w:name w:val="Figuras Car"/>
    <w:basedOn w:val="DefaultParagraphFont"/>
    <w:link w:val="Figuras"/>
    <w:rsid w:val="00E25A10"/>
    <w:rPr>
      <w:rFonts w:ascii="Arial" w:hAnsi="Arial"/>
      <w:b/>
      <w:sz w:val="16"/>
      <w:szCs w:val="16"/>
      <w:lang w:val="es-ES"/>
    </w:rPr>
  </w:style>
  <w:style w:type="character" w:customStyle="1" w:styleId="Titolo2ChapterTitleCarattere">
    <w:name w:val="Titolo 2;Chapter Title Carattere"/>
    <w:basedOn w:val="DefaultParagraphFont"/>
    <w:rsid w:val="00E24DF3"/>
    <w:rPr>
      <w:rFonts w:ascii="Arial" w:hAnsi="Arial"/>
      <w:b/>
      <w:caps/>
      <w:sz w:val="22"/>
      <w:lang w:val="it-IT" w:eastAsia="it-IT" w:bidi="ar-SA"/>
    </w:rPr>
  </w:style>
  <w:style w:type="paragraph" w:styleId="NormalIndent">
    <w:name w:val="Normal Indent"/>
    <w:basedOn w:val="Normal"/>
    <w:rsid w:val="00E24DF3"/>
    <w:pPr>
      <w:widowControl w:val="0"/>
      <w:spacing w:before="60" w:after="0" w:line="240" w:lineRule="auto"/>
      <w:ind w:left="708"/>
    </w:pPr>
    <w:rPr>
      <w:rFonts w:cs="Arial"/>
      <w:snapToGrid w:val="0"/>
      <w:szCs w:val="22"/>
    </w:rPr>
  </w:style>
  <w:style w:type="paragraph" w:styleId="BodyTextIndent2">
    <w:name w:val="Body Text Indent 2"/>
    <w:basedOn w:val="Normal"/>
    <w:link w:val="BodyTextIndent2Char"/>
    <w:rsid w:val="00E24DF3"/>
    <w:pPr>
      <w:widowControl w:val="0"/>
      <w:spacing w:before="60" w:after="0" w:line="240" w:lineRule="auto"/>
      <w:ind w:firstLine="284"/>
    </w:pPr>
    <w:rPr>
      <w:rFonts w:cs="Arial"/>
      <w:snapToGrid w:val="0"/>
      <w:sz w:val="20"/>
      <w:szCs w:val="22"/>
    </w:rPr>
  </w:style>
  <w:style w:type="character" w:customStyle="1" w:styleId="BodyTextIndent2Char">
    <w:name w:val="Body Text Indent 2 Char"/>
    <w:basedOn w:val="DefaultParagraphFont"/>
    <w:link w:val="BodyTextIndent2"/>
    <w:rsid w:val="00E24DF3"/>
    <w:rPr>
      <w:rFonts w:ascii="Arial" w:hAnsi="Arial" w:cs="Arial"/>
      <w:snapToGrid w:val="0"/>
      <w:szCs w:val="22"/>
    </w:rPr>
  </w:style>
  <w:style w:type="paragraph" w:styleId="BodyTextIndent3">
    <w:name w:val="Body Text Indent 3"/>
    <w:basedOn w:val="Normal"/>
    <w:link w:val="BodyTextIndent3Char"/>
    <w:rsid w:val="00E24DF3"/>
    <w:pPr>
      <w:widowControl w:val="0"/>
      <w:spacing w:before="60" w:after="0" w:line="240" w:lineRule="auto"/>
      <w:ind w:left="1134"/>
    </w:pPr>
    <w:rPr>
      <w:rFonts w:cs="Arial"/>
      <w:snapToGrid w:val="0"/>
      <w:sz w:val="24"/>
      <w:szCs w:val="22"/>
    </w:rPr>
  </w:style>
  <w:style w:type="character" w:customStyle="1" w:styleId="BodyTextIndent3Char">
    <w:name w:val="Body Text Indent 3 Char"/>
    <w:basedOn w:val="DefaultParagraphFont"/>
    <w:link w:val="BodyTextIndent3"/>
    <w:rsid w:val="00E24DF3"/>
    <w:rPr>
      <w:rFonts w:ascii="Arial" w:hAnsi="Arial" w:cs="Arial"/>
      <w:snapToGrid w:val="0"/>
      <w:sz w:val="24"/>
      <w:szCs w:val="22"/>
    </w:rPr>
  </w:style>
  <w:style w:type="paragraph" w:customStyle="1" w:styleId="rientro5">
    <w:name w:val="rientro 5"/>
    <w:basedOn w:val="Normal"/>
    <w:rsid w:val="00E24DF3"/>
    <w:pPr>
      <w:widowControl w:val="0"/>
      <w:tabs>
        <w:tab w:val="left" w:pos="283"/>
      </w:tabs>
      <w:spacing w:before="60" w:after="0" w:line="240" w:lineRule="auto"/>
      <w:ind w:left="283" w:hanging="283"/>
    </w:pPr>
    <w:rPr>
      <w:rFonts w:ascii="Helvetica" w:hAnsi="Helvetica" w:cs="Arial"/>
      <w:snapToGrid w:val="0"/>
      <w:szCs w:val="22"/>
    </w:rPr>
  </w:style>
  <w:style w:type="paragraph" w:customStyle="1" w:styleId="rientro10">
    <w:name w:val="rientro 10"/>
    <w:basedOn w:val="Normal"/>
    <w:rsid w:val="00E24DF3"/>
    <w:pPr>
      <w:widowControl w:val="0"/>
      <w:tabs>
        <w:tab w:val="left" w:pos="283"/>
        <w:tab w:val="left" w:pos="794"/>
      </w:tabs>
      <w:spacing w:before="60" w:after="0" w:line="240" w:lineRule="auto"/>
      <w:ind w:left="793" w:hanging="793"/>
    </w:pPr>
    <w:rPr>
      <w:rFonts w:ascii="Helvetica" w:hAnsi="Helvetica" w:cs="Arial"/>
      <w:snapToGrid w:val="0"/>
      <w:szCs w:val="22"/>
    </w:rPr>
  </w:style>
  <w:style w:type="paragraph" w:customStyle="1" w:styleId="Commentaire">
    <w:name w:val="Commentaire"/>
    <w:basedOn w:val="Normal"/>
    <w:rsid w:val="00E24DF3"/>
    <w:pPr>
      <w:widowControl w:val="0"/>
      <w:spacing w:before="60" w:after="0" w:line="240" w:lineRule="auto"/>
    </w:pPr>
    <w:rPr>
      <w:rFonts w:cs="Arial"/>
      <w:snapToGrid w:val="0"/>
      <w:szCs w:val="22"/>
      <w:lang w:val="fr-FR"/>
    </w:rPr>
  </w:style>
  <w:style w:type="paragraph" w:customStyle="1" w:styleId="Lettera">
    <w:name w:val="Lettera"/>
    <w:basedOn w:val="Normal"/>
    <w:rsid w:val="00E24DF3"/>
    <w:pPr>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60" w:after="0" w:line="240" w:lineRule="auto"/>
    </w:pPr>
    <w:rPr>
      <w:rFonts w:cs="Arial"/>
      <w:snapToGrid w:val="0"/>
      <w:szCs w:val="22"/>
    </w:rPr>
  </w:style>
  <w:style w:type="paragraph" w:customStyle="1" w:styleId="testo">
    <w:name w:val="testo"/>
    <w:rsid w:val="00E24DF3"/>
    <w:pPr>
      <w:jc w:val="both"/>
    </w:pPr>
    <w:rPr>
      <w:rFonts w:ascii="Helvetica" w:hAnsi="Helvetica"/>
      <w:color w:val="000000"/>
      <w:sz w:val="22"/>
    </w:rPr>
  </w:style>
  <w:style w:type="paragraph" w:styleId="BlockText">
    <w:name w:val="Block Text"/>
    <w:basedOn w:val="Normal"/>
    <w:rsid w:val="00E24DF3"/>
    <w:pPr>
      <w:widowControl w:val="0"/>
      <w:tabs>
        <w:tab w:val="left" w:pos="1134"/>
      </w:tabs>
      <w:spacing w:before="60" w:after="0" w:line="240" w:lineRule="auto"/>
      <w:ind w:right="333"/>
    </w:pPr>
    <w:rPr>
      <w:rFonts w:cs="Arial"/>
      <w:snapToGrid w:val="0"/>
      <w:szCs w:val="22"/>
    </w:rPr>
  </w:style>
  <w:style w:type="character" w:styleId="PageNumber">
    <w:name w:val="page number"/>
    <w:basedOn w:val="DefaultParagraphFont"/>
    <w:rsid w:val="00E24DF3"/>
  </w:style>
  <w:style w:type="paragraph" w:customStyle="1" w:styleId="figure0">
    <w:name w:val="figure"/>
    <w:basedOn w:val="Normal"/>
    <w:next w:val="Normal"/>
    <w:rsid w:val="00E24DF3"/>
    <w:pPr>
      <w:widowControl w:val="0"/>
      <w:tabs>
        <w:tab w:val="num" w:pos="360"/>
      </w:tabs>
      <w:spacing w:before="60" w:after="0" w:line="240" w:lineRule="auto"/>
      <w:jc w:val="center"/>
    </w:pPr>
    <w:rPr>
      <w:rFonts w:cs="Arial"/>
      <w:i/>
      <w:snapToGrid w:val="0"/>
      <w:sz w:val="20"/>
      <w:szCs w:val="22"/>
    </w:rPr>
  </w:style>
  <w:style w:type="paragraph" w:customStyle="1" w:styleId="capoverso">
    <w:name w:val="capoverso"/>
    <w:basedOn w:val="Normal"/>
    <w:rsid w:val="00E24DF3"/>
    <w:pPr>
      <w:widowControl w:val="0"/>
      <w:tabs>
        <w:tab w:val="left" w:pos="720"/>
      </w:tabs>
      <w:spacing w:before="60" w:after="0" w:line="240" w:lineRule="auto"/>
      <w:ind w:firstLine="720"/>
    </w:pPr>
    <w:rPr>
      <w:rFonts w:cs="Arial"/>
      <w:snapToGrid w:val="0"/>
      <w:sz w:val="24"/>
      <w:szCs w:val="22"/>
    </w:rPr>
  </w:style>
  <w:style w:type="paragraph" w:customStyle="1" w:styleId="TRATTINO">
    <w:name w:val="TRATTINO"/>
    <w:basedOn w:val="capoverso"/>
    <w:rsid w:val="00E24DF3"/>
    <w:pPr>
      <w:ind w:left="142" w:hanging="142"/>
    </w:pPr>
  </w:style>
  <w:style w:type="paragraph" w:customStyle="1" w:styleId="Normal2">
    <w:name w:val="Normal2"/>
    <w:basedOn w:val="Normal"/>
    <w:rsid w:val="00E24DF3"/>
    <w:pPr>
      <w:widowControl w:val="0"/>
      <w:overflowPunct w:val="0"/>
      <w:autoSpaceDE w:val="0"/>
      <w:autoSpaceDN w:val="0"/>
      <w:adjustRightInd w:val="0"/>
      <w:spacing w:before="60" w:after="0" w:line="240" w:lineRule="auto"/>
      <w:ind w:left="709" w:right="-567"/>
      <w:jc w:val="left"/>
      <w:textAlignment w:val="baseline"/>
    </w:pPr>
    <w:rPr>
      <w:rFonts w:cs="Arial"/>
      <w:snapToGrid w:val="0"/>
      <w:sz w:val="20"/>
      <w:szCs w:val="22"/>
      <w:lang w:val="en-US"/>
    </w:rPr>
  </w:style>
  <w:style w:type="paragraph" w:customStyle="1" w:styleId="xl24">
    <w:name w:val="xl24"/>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ahoma" w:eastAsia="Arial Unicode MS" w:hAnsi="Tahoma" w:cs="Tahoma"/>
      <w:snapToGrid w:val="0"/>
      <w:sz w:val="24"/>
      <w:szCs w:val="24"/>
    </w:rPr>
  </w:style>
  <w:style w:type="paragraph" w:customStyle="1" w:styleId="xl25">
    <w:name w:val="xl25"/>
    <w:basedOn w:val="Normal"/>
    <w:rsid w:val="00E24DF3"/>
    <w:pPr>
      <w:widowControl w:val="0"/>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ahoma" w:eastAsia="Arial Unicode MS" w:hAnsi="Tahoma" w:cs="Tahoma"/>
      <w:snapToGrid w:val="0"/>
      <w:sz w:val="24"/>
      <w:szCs w:val="24"/>
    </w:rPr>
  </w:style>
  <w:style w:type="paragraph" w:customStyle="1" w:styleId="xl26">
    <w:name w:val="xl26"/>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Arial Unicode MS" w:hAnsi="Tahoma" w:cs="Tahoma"/>
      <w:snapToGrid w:val="0"/>
      <w:sz w:val="24"/>
      <w:szCs w:val="24"/>
    </w:rPr>
  </w:style>
  <w:style w:type="paragraph" w:customStyle="1" w:styleId="xl27">
    <w:name w:val="xl27"/>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i/>
      <w:iCs/>
      <w:snapToGrid w:val="0"/>
      <w:sz w:val="24"/>
      <w:szCs w:val="24"/>
    </w:rPr>
  </w:style>
  <w:style w:type="paragraph" w:customStyle="1" w:styleId="xl28">
    <w:name w:val="xl28"/>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s="Arial Unicode MS"/>
      <w:snapToGrid w:val="0"/>
      <w:sz w:val="24"/>
      <w:szCs w:val="24"/>
    </w:rPr>
  </w:style>
  <w:style w:type="paragraph" w:customStyle="1" w:styleId="xl29">
    <w:name w:val="xl29"/>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24"/>
      <w:szCs w:val="24"/>
    </w:rPr>
  </w:style>
  <w:style w:type="paragraph" w:customStyle="1" w:styleId="xl30">
    <w:name w:val="xl30"/>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1">
    <w:name w:val="xl31"/>
    <w:basedOn w:val="Normal"/>
    <w:rsid w:val="00E24DF3"/>
    <w:pPr>
      <w:widowControl w:val="0"/>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2">
    <w:name w:val="xl32"/>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3">
    <w:name w:val="xl33"/>
    <w:basedOn w:val="Normal"/>
    <w:rsid w:val="00E24DF3"/>
    <w:pPr>
      <w:widowControl w:val="0"/>
      <w:pBdr>
        <w:top w:val="single" w:sz="4" w:space="0" w:color="auto"/>
        <w:lef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4">
    <w:name w:val="xl34"/>
    <w:basedOn w:val="Normal"/>
    <w:rsid w:val="00E24DF3"/>
    <w:pPr>
      <w:widowControl w:val="0"/>
      <w:pBdr>
        <w:top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5">
    <w:name w:val="xl35"/>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6">
    <w:name w:val="xl36"/>
    <w:basedOn w:val="Normal"/>
    <w:rsid w:val="00E24DF3"/>
    <w:pPr>
      <w:widowControl w:val="0"/>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7">
    <w:name w:val="xl37"/>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38">
    <w:name w:val="xl38"/>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39">
    <w:name w:val="xl39"/>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0">
    <w:name w:val="xl40"/>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napToGrid w:val="0"/>
      <w:sz w:val="24"/>
      <w:szCs w:val="24"/>
    </w:rPr>
  </w:style>
  <w:style w:type="paragraph" w:customStyle="1" w:styleId="xl41">
    <w:name w:val="xl41"/>
    <w:basedOn w:val="Normal"/>
    <w:rsid w:val="00E24DF3"/>
    <w:pPr>
      <w:widowControl w:val="0"/>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2">
    <w:name w:val="xl42"/>
    <w:basedOn w:val="Normal"/>
    <w:rsid w:val="00E24DF3"/>
    <w:pPr>
      <w:widowControl w:val="0"/>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xl43">
    <w:name w:val="xl43"/>
    <w:basedOn w:val="Normal"/>
    <w:rsid w:val="00E24DF3"/>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napToGrid w:val="0"/>
      <w:sz w:val="18"/>
      <w:szCs w:val="18"/>
    </w:rPr>
  </w:style>
  <w:style w:type="paragraph" w:customStyle="1" w:styleId="Elencopuntato">
    <w:name w:val="Elenco puntato"/>
    <w:basedOn w:val="Normal"/>
    <w:rsid w:val="00E24DF3"/>
    <w:pPr>
      <w:widowControl w:val="0"/>
      <w:tabs>
        <w:tab w:val="num" w:pos="870"/>
      </w:tabs>
      <w:spacing w:before="60" w:after="0" w:line="240" w:lineRule="auto"/>
      <w:ind w:firstLine="510"/>
    </w:pPr>
    <w:rPr>
      <w:rFonts w:cs="Arial"/>
      <w:snapToGrid w:val="0"/>
      <w:szCs w:val="22"/>
    </w:rPr>
  </w:style>
  <w:style w:type="paragraph" w:customStyle="1" w:styleId="n">
    <w:name w:val="n"/>
    <w:basedOn w:val="Heading2"/>
    <w:rsid w:val="00E24DF3"/>
    <w:pPr>
      <w:keepNext w:val="0"/>
      <w:widowControl w:val="0"/>
      <w:numPr>
        <w:ilvl w:val="0"/>
        <w:numId w:val="0"/>
      </w:numPr>
      <w:spacing w:before="120" w:after="0" w:line="240" w:lineRule="auto"/>
      <w:jc w:val="both"/>
    </w:pPr>
    <w:rPr>
      <w:rFonts w:cs="Arial"/>
      <w:caps/>
      <w:snapToGrid w:val="0"/>
      <w:szCs w:val="22"/>
    </w:rPr>
  </w:style>
  <w:style w:type="paragraph" w:styleId="List">
    <w:name w:val="List"/>
    <w:basedOn w:val="Normal"/>
    <w:rsid w:val="00E24DF3"/>
    <w:pPr>
      <w:widowControl w:val="0"/>
      <w:tabs>
        <w:tab w:val="num" w:pos="397"/>
      </w:tabs>
      <w:spacing w:before="120" w:after="0" w:line="360" w:lineRule="exact"/>
      <w:ind w:left="397" w:hanging="397"/>
    </w:pPr>
    <w:rPr>
      <w:rFonts w:eastAsia="Batang" w:cs="Arial"/>
      <w:snapToGrid w:val="0"/>
      <w:sz w:val="24"/>
      <w:szCs w:val="22"/>
    </w:rPr>
  </w:style>
  <w:style w:type="paragraph" w:customStyle="1" w:styleId="Elencolineetta">
    <w:name w:val="Elenco lineetta"/>
    <w:basedOn w:val="Elencopuntato"/>
    <w:rsid w:val="00E24DF3"/>
  </w:style>
  <w:style w:type="paragraph" w:customStyle="1" w:styleId="Elencolineetta1">
    <w:name w:val="Elenco lineetta 1"/>
    <w:basedOn w:val="Elencolineetta"/>
    <w:rsid w:val="00E24DF3"/>
    <w:pPr>
      <w:tabs>
        <w:tab w:val="clear" w:pos="870"/>
        <w:tab w:val="num" w:pos="1437"/>
      </w:tabs>
      <w:ind w:left="1077" w:firstLine="0"/>
    </w:pPr>
  </w:style>
  <w:style w:type="paragraph" w:customStyle="1" w:styleId="Elencoletterarientro">
    <w:name w:val="Elenco lettera (rientro)"/>
    <w:basedOn w:val="Elencopuntato"/>
    <w:rsid w:val="00E24DF3"/>
    <w:pPr>
      <w:tabs>
        <w:tab w:val="clear" w:pos="870"/>
        <w:tab w:val="num" w:pos="1437"/>
      </w:tabs>
      <w:ind w:left="1077" w:firstLine="0"/>
    </w:pPr>
  </w:style>
  <w:style w:type="paragraph" w:customStyle="1" w:styleId="Tabella">
    <w:name w:val="Tabella"/>
    <w:basedOn w:val="Normal"/>
    <w:rsid w:val="00E24DF3"/>
    <w:pPr>
      <w:widowControl w:val="0"/>
      <w:spacing w:before="60" w:after="0" w:line="240" w:lineRule="auto"/>
      <w:jc w:val="center"/>
    </w:pPr>
    <w:rPr>
      <w:rFonts w:cs="Arial"/>
      <w:snapToGrid w:val="0"/>
      <w:szCs w:val="22"/>
    </w:rPr>
  </w:style>
  <w:style w:type="paragraph" w:customStyle="1" w:styleId="Elencoromano">
    <w:name w:val="Elenco romano"/>
    <w:basedOn w:val="Normal"/>
    <w:rsid w:val="00E24DF3"/>
    <w:pPr>
      <w:widowControl w:val="0"/>
      <w:tabs>
        <w:tab w:val="num" w:pos="1437"/>
      </w:tabs>
      <w:spacing w:before="60" w:after="0" w:line="240" w:lineRule="auto"/>
      <w:ind w:left="851" w:firstLine="226"/>
    </w:pPr>
    <w:rPr>
      <w:rFonts w:cs="Arial"/>
      <w:snapToGrid w:val="0"/>
      <w:szCs w:val="22"/>
    </w:rPr>
  </w:style>
  <w:style w:type="paragraph" w:customStyle="1" w:styleId="Testotabella">
    <w:name w:val="Testo tabella"/>
    <w:rsid w:val="00E24DF3"/>
    <w:pPr>
      <w:jc w:val="center"/>
    </w:pPr>
    <w:rPr>
      <w:rFonts w:ascii="Arial" w:hAnsi="Arial" w:cs="Arial"/>
    </w:rPr>
  </w:style>
  <w:style w:type="paragraph" w:customStyle="1" w:styleId="Testotabella1">
    <w:name w:val="Testo tabella 1"/>
    <w:basedOn w:val="Testotabella"/>
    <w:rsid w:val="00E24DF3"/>
    <w:rPr>
      <w:sz w:val="22"/>
    </w:rPr>
  </w:style>
  <w:style w:type="paragraph" w:customStyle="1" w:styleId="StileTitolo11ptNonGrassettoGiustificatodopo0pt">
    <w:name w:val="Stile Titolo + 11 pt Non Grassetto Giustificato  dopo 0 pt"/>
    <w:basedOn w:val="Title"/>
    <w:rsid w:val="00E24DF3"/>
    <w:pPr>
      <w:widowControl w:val="0"/>
      <w:pBdr>
        <w:bottom w:val="none" w:sz="0" w:space="0" w:color="auto"/>
      </w:pBdr>
      <w:spacing w:before="60" w:after="240"/>
      <w:contextualSpacing w:val="0"/>
      <w:jc w:val="both"/>
    </w:pPr>
    <w:rPr>
      <w:b w:val="0"/>
      <w:caps w:val="0"/>
      <w:snapToGrid w:val="0"/>
      <w:spacing w:val="0"/>
      <w:sz w:val="22"/>
      <w:szCs w:val="20"/>
      <w:lang w:val="it-IT" w:eastAsia="it-IT" w:bidi="ar-SA"/>
    </w:rPr>
  </w:style>
  <w:style w:type="paragraph" w:customStyle="1" w:styleId="Texto">
    <w:name w:val="Texto"/>
    <w:basedOn w:val="Normal"/>
    <w:rsid w:val="00E24DF3"/>
    <w:pPr>
      <w:widowControl w:val="0"/>
      <w:spacing w:before="60" w:after="60" w:line="240" w:lineRule="auto"/>
      <w:jc w:val="left"/>
    </w:pPr>
    <w:rPr>
      <w:rFonts w:cs="Arial"/>
      <w:snapToGrid w:val="0"/>
      <w:szCs w:val="22"/>
      <w:lang w:val="pt-PT" w:bidi="he-IL"/>
    </w:rPr>
  </w:style>
  <w:style w:type="paragraph" w:customStyle="1" w:styleId="Normal1">
    <w:name w:val="Normal 1"/>
    <w:basedOn w:val="Normal"/>
    <w:autoRedefine/>
    <w:rsid w:val="00E24DF3"/>
    <w:pPr>
      <w:widowControl w:val="0"/>
      <w:numPr>
        <w:numId w:val="9"/>
      </w:numPr>
      <w:spacing w:before="60" w:after="0" w:line="240" w:lineRule="auto"/>
      <w:ind w:left="284" w:hanging="284"/>
    </w:pPr>
    <w:rPr>
      <w:rFonts w:cs="Arial"/>
      <w:snapToGrid w:val="0"/>
      <w:szCs w:val="22"/>
      <w:lang w:val="fr-FR"/>
    </w:rPr>
  </w:style>
  <w:style w:type="paragraph" w:customStyle="1" w:styleId="NEWTESTOCarattereCarattereCarattereCarattereCarattere">
    <w:name w:val="NEW TESTO Carattere Carattere Carattere Carattere Carattere"/>
    <w:basedOn w:val="Normal"/>
    <w:rsid w:val="00E24DF3"/>
    <w:pPr>
      <w:widowControl w:val="0"/>
      <w:spacing w:before="60" w:after="0" w:line="360" w:lineRule="auto"/>
    </w:pPr>
    <w:rPr>
      <w:rFonts w:ascii="Times New Roman" w:hAnsi="Times New Roman" w:cs="Arial"/>
      <w:snapToGrid w:val="0"/>
      <w:sz w:val="24"/>
      <w:szCs w:val="24"/>
    </w:rPr>
  </w:style>
  <w:style w:type="paragraph" w:customStyle="1" w:styleId="NormalTesto">
    <w:name w:val="Normal Testo"/>
    <w:basedOn w:val="Normal"/>
    <w:autoRedefine/>
    <w:rsid w:val="00E24DF3"/>
    <w:pPr>
      <w:widowControl w:val="0"/>
      <w:spacing w:before="60" w:after="0" w:line="360" w:lineRule="auto"/>
      <w:jc w:val="center"/>
    </w:pPr>
    <w:rPr>
      <w:rFonts w:cs="Arial"/>
      <w:snapToGrid w:val="0"/>
      <w:color w:val="333300"/>
      <w:szCs w:val="22"/>
    </w:rPr>
  </w:style>
  <w:style w:type="paragraph" w:customStyle="1" w:styleId="Stile1">
    <w:name w:val="Stile1"/>
    <w:basedOn w:val="Normal"/>
    <w:rsid w:val="00E24DF3"/>
    <w:pPr>
      <w:widowControl w:val="0"/>
      <w:spacing w:before="60" w:line="240" w:lineRule="auto"/>
      <w:jc w:val="center"/>
    </w:pPr>
    <w:rPr>
      <w:rFonts w:ascii="Courier New" w:hAnsi="Courier New" w:cs="Arial"/>
      <w:snapToGrid w:val="0"/>
      <w:sz w:val="24"/>
      <w:szCs w:val="22"/>
      <w:lang w:bidi="he-IL"/>
    </w:rPr>
  </w:style>
  <w:style w:type="paragraph" w:styleId="ListBullet">
    <w:name w:val="List Bullet"/>
    <w:aliases w:val="List Bullet 1"/>
    <w:basedOn w:val="Normal"/>
    <w:autoRedefine/>
    <w:rsid w:val="00E24DF3"/>
    <w:pPr>
      <w:widowControl w:val="0"/>
      <w:tabs>
        <w:tab w:val="left" w:pos="851"/>
      </w:tabs>
      <w:spacing w:before="60" w:after="0" w:line="240" w:lineRule="auto"/>
    </w:pPr>
    <w:rPr>
      <w:rFonts w:cs="Arial"/>
      <w:snapToGrid w:val="0"/>
      <w:szCs w:val="24"/>
    </w:rPr>
  </w:style>
  <w:style w:type="paragraph" w:styleId="DocumentMap">
    <w:name w:val="Document Map"/>
    <w:basedOn w:val="Normal"/>
    <w:link w:val="DocumentMapChar"/>
    <w:rsid w:val="00E24DF3"/>
    <w:pPr>
      <w:widowControl w:val="0"/>
      <w:shd w:val="clear" w:color="auto" w:fill="000080"/>
      <w:spacing w:before="60" w:after="0" w:line="240" w:lineRule="auto"/>
    </w:pPr>
    <w:rPr>
      <w:rFonts w:ascii="Tahoma" w:hAnsi="Tahoma" w:cs="Tahoma"/>
      <w:snapToGrid w:val="0"/>
      <w:szCs w:val="22"/>
    </w:rPr>
  </w:style>
  <w:style w:type="character" w:customStyle="1" w:styleId="DocumentMapChar">
    <w:name w:val="Document Map Char"/>
    <w:basedOn w:val="DefaultParagraphFont"/>
    <w:link w:val="DocumentMap"/>
    <w:rsid w:val="00E24DF3"/>
    <w:rPr>
      <w:rFonts w:ascii="Tahoma" w:hAnsi="Tahoma" w:cs="Tahoma"/>
      <w:snapToGrid w:val="0"/>
      <w:sz w:val="22"/>
      <w:szCs w:val="22"/>
      <w:shd w:val="clear" w:color="auto" w:fill="000080"/>
    </w:rPr>
  </w:style>
  <w:style w:type="paragraph" w:customStyle="1" w:styleId="Elenconumerato">
    <w:name w:val="Elenco numerato"/>
    <w:basedOn w:val="Normal"/>
    <w:rsid w:val="00E24DF3"/>
    <w:pPr>
      <w:widowControl w:val="0"/>
      <w:numPr>
        <w:numId w:val="7"/>
      </w:numPr>
      <w:spacing w:before="60" w:after="0" w:line="360" w:lineRule="auto"/>
    </w:pPr>
    <w:rPr>
      <w:rFonts w:cs="Arial"/>
      <w:snapToGrid w:val="0"/>
      <w:szCs w:val="22"/>
    </w:rPr>
  </w:style>
  <w:style w:type="paragraph" w:customStyle="1" w:styleId="Elencointabella2">
    <w:name w:val="Elenco in tabella 2"/>
    <w:basedOn w:val="Normal"/>
    <w:rsid w:val="00E24DF3"/>
    <w:pPr>
      <w:widowControl w:val="0"/>
      <w:numPr>
        <w:numId w:val="8"/>
      </w:numPr>
      <w:spacing w:before="60" w:after="0" w:line="240" w:lineRule="auto"/>
    </w:pPr>
    <w:rPr>
      <w:rFonts w:cs="Arial"/>
      <w:snapToGrid w:val="0"/>
      <w:szCs w:val="22"/>
    </w:rPr>
  </w:style>
  <w:style w:type="character" w:customStyle="1" w:styleId="Titolo1shmanPartCarattere">
    <w:name w:val="Titolo 1;shman;Part Carattere"/>
    <w:basedOn w:val="DefaultParagraphFont"/>
    <w:rsid w:val="00E24DF3"/>
    <w:rPr>
      <w:rFonts w:ascii="Arial" w:hAnsi="Arial"/>
      <w:b/>
      <w:iCs/>
      <w:caps/>
      <w:sz w:val="28"/>
      <w:szCs w:val="28"/>
      <w:lang w:val="it-IT" w:eastAsia="it-IT" w:bidi="ar-SA"/>
    </w:rPr>
  </w:style>
  <w:style w:type="paragraph" w:styleId="ListBullet2">
    <w:name w:val="List Bullet 2"/>
    <w:basedOn w:val="Normal"/>
    <w:autoRedefine/>
    <w:rsid w:val="00E24DF3"/>
    <w:pPr>
      <w:widowControl w:val="0"/>
      <w:numPr>
        <w:numId w:val="6"/>
      </w:numPr>
      <w:spacing w:before="60" w:after="0" w:line="240" w:lineRule="auto"/>
      <w:ind w:left="641" w:hanging="357"/>
    </w:pPr>
    <w:rPr>
      <w:rFonts w:cs="Arial"/>
      <w:snapToGrid w:val="0"/>
      <w:sz w:val="20"/>
      <w:szCs w:val="22"/>
    </w:rPr>
  </w:style>
  <w:style w:type="paragraph" w:customStyle="1" w:styleId="Elenco03">
    <w:name w:val="Elenco 03"/>
    <w:basedOn w:val="Normal"/>
    <w:rsid w:val="00E24DF3"/>
    <w:pPr>
      <w:widowControl w:val="0"/>
      <w:numPr>
        <w:ilvl w:val="1"/>
        <w:numId w:val="10"/>
      </w:numPr>
      <w:spacing w:before="60" w:after="0" w:line="240" w:lineRule="auto"/>
    </w:pPr>
    <w:rPr>
      <w:rFonts w:cs="Arial"/>
      <w:snapToGrid w:val="0"/>
      <w:szCs w:val="22"/>
    </w:rPr>
  </w:style>
  <w:style w:type="paragraph" w:customStyle="1" w:styleId="TESTO0">
    <w:name w:val="TESTO"/>
    <w:basedOn w:val="Normal"/>
    <w:rsid w:val="00E24DF3"/>
    <w:pPr>
      <w:widowControl w:val="0"/>
      <w:spacing w:before="40" w:after="40" w:line="400" w:lineRule="atLeast"/>
    </w:pPr>
    <w:rPr>
      <w:snapToGrid w:val="0"/>
      <w:sz w:val="24"/>
      <w:szCs w:val="22"/>
    </w:rPr>
  </w:style>
  <w:style w:type="paragraph" w:customStyle="1" w:styleId="Rientro-1">
    <w:name w:val="Rientro-1"/>
    <w:basedOn w:val="TESTO0"/>
    <w:rsid w:val="00E24DF3"/>
    <w:pPr>
      <w:ind w:left="284" w:hanging="284"/>
    </w:pPr>
  </w:style>
  <w:style w:type="paragraph" w:customStyle="1" w:styleId="Titoletto">
    <w:name w:val="Titoletto"/>
    <w:basedOn w:val="TESTO0"/>
    <w:rsid w:val="00E24DF3"/>
    <w:pPr>
      <w:keepNext/>
      <w:widowControl/>
      <w:spacing w:before="500" w:after="200" w:line="240" w:lineRule="auto"/>
    </w:pPr>
    <w:rPr>
      <w:b/>
      <w:i/>
    </w:rPr>
  </w:style>
  <w:style w:type="paragraph" w:customStyle="1" w:styleId="Rientronumerato">
    <w:name w:val="Rientro numerato"/>
    <w:basedOn w:val="Rientro-1"/>
    <w:rsid w:val="00E24DF3"/>
    <w:pPr>
      <w:ind w:left="426" w:hanging="426"/>
    </w:pPr>
  </w:style>
  <w:style w:type="paragraph" w:customStyle="1" w:styleId="Rientro-1elenco">
    <w:name w:val="Rientro-1 elenco"/>
    <w:basedOn w:val="Rientro-1"/>
    <w:rsid w:val="00E24DF3"/>
    <w:pPr>
      <w:tabs>
        <w:tab w:val="right" w:pos="9072"/>
      </w:tabs>
      <w:ind w:right="-1"/>
    </w:pPr>
  </w:style>
  <w:style w:type="paragraph" w:customStyle="1" w:styleId="tabellato">
    <w:name w:val="tabellato"/>
    <w:basedOn w:val="Normal"/>
    <w:rsid w:val="00E24DF3"/>
    <w:pPr>
      <w:widowControl w:val="0"/>
      <w:tabs>
        <w:tab w:val="left" w:pos="284"/>
      </w:tabs>
      <w:spacing w:after="0" w:line="240" w:lineRule="auto"/>
    </w:pPr>
    <w:rPr>
      <w:snapToGrid w:val="0"/>
      <w:szCs w:val="22"/>
    </w:rPr>
  </w:style>
  <w:style w:type="paragraph" w:customStyle="1" w:styleId="e10">
    <w:name w:val="e:10"/>
    <w:rsid w:val="00E24DF3"/>
    <w:pPr>
      <w:widowControl w:val="0"/>
      <w:tabs>
        <w:tab w:val="left" w:pos="2722"/>
        <w:tab w:val="left" w:pos="3572"/>
      </w:tabs>
      <w:spacing w:before="66" w:line="230" w:lineRule="auto"/>
      <w:ind w:left="2722"/>
      <w:jc w:val="both"/>
    </w:pPr>
    <w:rPr>
      <w:rFonts w:ascii="Helvetica" w:hAnsi="Helvetica"/>
    </w:rPr>
  </w:style>
  <w:style w:type="paragraph" w:customStyle="1" w:styleId="Rientro-2">
    <w:name w:val="Rientro-2"/>
    <w:basedOn w:val="TESTO0"/>
    <w:rsid w:val="00E24DF3"/>
    <w:pPr>
      <w:ind w:left="568" w:hanging="284"/>
    </w:pPr>
    <w:rPr>
      <w:snapToGrid/>
    </w:rPr>
  </w:style>
  <w:style w:type="paragraph" w:customStyle="1" w:styleId="Rientro-2elenco">
    <w:name w:val="Rientro-2 elenco"/>
    <w:basedOn w:val="Rientro-2"/>
    <w:rsid w:val="00E24DF3"/>
    <w:pPr>
      <w:numPr>
        <w:numId w:val="11"/>
      </w:numPr>
      <w:tabs>
        <w:tab w:val="clear" w:pos="510"/>
        <w:tab w:val="num" w:pos="567"/>
        <w:tab w:val="right" w:pos="8505"/>
      </w:tabs>
      <w:ind w:left="567" w:right="1701" w:hanging="283"/>
    </w:pPr>
  </w:style>
  <w:style w:type="paragraph" w:customStyle="1" w:styleId="etsto">
    <w:name w:val="etsto"/>
    <w:basedOn w:val="testo"/>
    <w:rsid w:val="00E24DF3"/>
    <w:pPr>
      <w:widowControl w:val="0"/>
      <w:spacing w:before="40" w:after="40" w:line="440" w:lineRule="atLeast"/>
    </w:pPr>
    <w:rPr>
      <w:rFonts w:ascii="Arial" w:hAnsi="Arial"/>
      <w:color w:val="auto"/>
      <w:sz w:val="24"/>
    </w:rPr>
  </w:style>
  <w:style w:type="paragraph" w:customStyle="1" w:styleId="2771-corpotesto">
    <w:name w:val="2771-corpo testo"/>
    <w:basedOn w:val="Normal"/>
    <w:link w:val="2771-corpotestoCarattere"/>
    <w:rsid w:val="00E24DF3"/>
    <w:pPr>
      <w:spacing w:before="120" w:after="0" w:line="240" w:lineRule="auto"/>
    </w:pPr>
    <w:rPr>
      <w:rFonts w:cs="Arial"/>
      <w:szCs w:val="22"/>
    </w:rPr>
  </w:style>
  <w:style w:type="paragraph" w:customStyle="1" w:styleId="toesto">
    <w:name w:val="toesto"/>
    <w:basedOn w:val="TESTO0"/>
    <w:rsid w:val="00E24DF3"/>
    <w:rPr>
      <w:snapToGrid/>
    </w:rPr>
  </w:style>
  <w:style w:type="paragraph" w:customStyle="1" w:styleId="Titolettino">
    <w:name w:val="Titolettino"/>
    <w:basedOn w:val="Titoletto"/>
    <w:rsid w:val="00E24DF3"/>
    <w:pPr>
      <w:spacing w:before="300"/>
    </w:pPr>
    <w:rPr>
      <w:b w:val="0"/>
      <w:snapToGrid/>
    </w:rPr>
  </w:style>
  <w:style w:type="paragraph" w:customStyle="1" w:styleId="2771-T2">
    <w:name w:val="2771-T2"/>
    <w:basedOn w:val="Heading2"/>
    <w:next w:val="2771-corpotesto"/>
    <w:link w:val="2771-T2Char"/>
    <w:rsid w:val="00E24DF3"/>
    <w:pPr>
      <w:spacing w:before="120" w:after="120" w:line="240" w:lineRule="auto"/>
      <w:ind w:left="0" w:firstLine="0"/>
    </w:pPr>
    <w:rPr>
      <w:rFonts w:cs="Arial"/>
      <w:sz w:val="24"/>
      <w:szCs w:val="22"/>
    </w:rPr>
  </w:style>
  <w:style w:type="paragraph" w:customStyle="1" w:styleId="2771-T3">
    <w:name w:val="2771-T3"/>
    <w:basedOn w:val="Heading3"/>
    <w:next w:val="2771-corpotesto"/>
    <w:link w:val="2771-T3Char"/>
    <w:rsid w:val="00E24DF3"/>
    <w:pPr>
      <w:spacing w:before="120" w:after="120" w:line="240" w:lineRule="auto"/>
      <w:ind w:left="0" w:firstLine="0"/>
    </w:pPr>
    <w:rPr>
      <w:rFonts w:cs="Arial"/>
      <w:sz w:val="24"/>
      <w:szCs w:val="22"/>
    </w:rPr>
  </w:style>
  <w:style w:type="paragraph" w:customStyle="1" w:styleId="2771-T1">
    <w:name w:val="2771-T1"/>
    <w:basedOn w:val="Heading1"/>
    <w:next w:val="2771-corpotesto"/>
    <w:rsid w:val="00E24DF3"/>
    <w:pPr>
      <w:spacing w:before="120" w:after="120" w:line="240" w:lineRule="auto"/>
      <w:ind w:left="0" w:firstLine="0"/>
    </w:pPr>
    <w:rPr>
      <w:rFonts w:cs="Arial"/>
    </w:rPr>
  </w:style>
  <w:style w:type="character" w:customStyle="1" w:styleId="2771-corpotestoCarattere">
    <w:name w:val="2771-corpo testo Carattere"/>
    <w:basedOn w:val="DefaultParagraphFont"/>
    <w:link w:val="2771-corpotesto"/>
    <w:rsid w:val="00E24DF3"/>
    <w:rPr>
      <w:rFonts w:ascii="Arial" w:hAnsi="Arial" w:cs="Arial"/>
      <w:sz w:val="22"/>
      <w:szCs w:val="22"/>
    </w:rPr>
  </w:style>
  <w:style w:type="character" w:customStyle="1" w:styleId="2771-T3Char">
    <w:name w:val="2771-T3 Char"/>
    <w:basedOn w:val="DefaultParagraphFont"/>
    <w:link w:val="2771-T3"/>
    <w:rsid w:val="00E24DF3"/>
    <w:rPr>
      <w:rFonts w:ascii="Arial" w:hAnsi="Arial" w:cs="Arial"/>
      <w:sz w:val="24"/>
      <w:szCs w:val="22"/>
    </w:rPr>
  </w:style>
  <w:style w:type="character" w:customStyle="1" w:styleId="2771-T2Char">
    <w:name w:val="2771-T2 Char"/>
    <w:basedOn w:val="DefaultParagraphFont"/>
    <w:link w:val="2771-T2"/>
    <w:rsid w:val="00E24DF3"/>
    <w:rPr>
      <w:rFonts w:ascii="Arial" w:hAnsi="Arial" w:cs="Arial"/>
      <w:b/>
      <w:sz w:val="24"/>
      <w:szCs w:val="22"/>
    </w:rPr>
  </w:style>
  <w:style w:type="paragraph" w:customStyle="1" w:styleId="TitAnejo1">
    <w:name w:val="TitAnejo1"/>
    <w:basedOn w:val="Normal"/>
    <w:next w:val="Normal"/>
    <w:rsid w:val="00E24F15"/>
    <w:pPr>
      <w:pageBreakBefore/>
      <w:numPr>
        <w:numId w:val="12"/>
      </w:numPr>
      <w:spacing w:after="0" w:line="300" w:lineRule="auto"/>
      <w:jc w:val="center"/>
    </w:pPr>
    <w:rPr>
      <w:rFonts w:ascii="Verdana" w:hAnsi="Verdana"/>
      <w:b/>
      <w:caps/>
      <w:sz w:val="28"/>
      <w:lang w:val="es-ES" w:eastAsia="es-ES"/>
    </w:rPr>
  </w:style>
  <w:style w:type="paragraph" w:customStyle="1" w:styleId="TitAnejo3">
    <w:name w:val="TitAnejo3"/>
    <w:basedOn w:val="Normal"/>
    <w:next w:val="Normal"/>
    <w:rsid w:val="00E24F15"/>
    <w:pPr>
      <w:keepNext/>
      <w:numPr>
        <w:ilvl w:val="2"/>
        <w:numId w:val="12"/>
      </w:numPr>
      <w:spacing w:after="240" w:line="300" w:lineRule="auto"/>
      <w:jc w:val="left"/>
    </w:pPr>
    <w:rPr>
      <w:rFonts w:ascii="Verdana" w:hAnsi="Verdana"/>
      <w:b/>
      <w:sz w:val="20"/>
      <w:lang w:val="es-ES" w:eastAsia="es-ES"/>
    </w:rPr>
  </w:style>
  <w:style w:type="paragraph" w:customStyle="1" w:styleId="TitAnejo2">
    <w:name w:val="TitAnejo2"/>
    <w:basedOn w:val="Normal"/>
    <w:rsid w:val="00E24F15"/>
    <w:pPr>
      <w:keepNext/>
      <w:numPr>
        <w:ilvl w:val="1"/>
        <w:numId w:val="12"/>
      </w:numPr>
      <w:spacing w:after="240" w:line="300" w:lineRule="auto"/>
      <w:jc w:val="left"/>
    </w:pPr>
    <w:rPr>
      <w:rFonts w:ascii="Verdana" w:hAnsi="Verdana"/>
      <w:b/>
      <w:smallCaps/>
      <w:sz w:val="24"/>
      <w:lang w:val="es-ES" w:eastAsia="es-ES"/>
    </w:rPr>
  </w:style>
  <w:style w:type="table" w:customStyle="1" w:styleId="Grigliachiara-Colore11">
    <w:name w:val="Griglia chiara - Colore 11"/>
    <w:basedOn w:val="TableNormal"/>
    <w:uiPriority w:val="62"/>
    <w:rsid w:val="00AC196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ableofFigures">
    <w:name w:val="table of figures"/>
    <w:basedOn w:val="Normal"/>
    <w:next w:val="Normal"/>
    <w:uiPriority w:val="99"/>
    <w:rsid w:val="00247F27"/>
    <w:pPr>
      <w:spacing w:after="0"/>
    </w:pPr>
  </w:style>
  <w:style w:type="paragraph" w:customStyle="1" w:styleId="Estilo4">
    <w:name w:val="Estilo4"/>
    <w:basedOn w:val="Normal"/>
    <w:link w:val="Estilo4Car"/>
    <w:rsid w:val="002632F8"/>
    <w:pPr>
      <w:spacing w:after="0" w:line="240" w:lineRule="auto"/>
    </w:pPr>
    <w:rPr>
      <w:rFonts w:ascii="Arial Narrow" w:eastAsiaTheme="minorHAnsi" w:hAnsi="Arial Narrow" w:cs="Arial"/>
      <w:szCs w:val="22"/>
      <w:lang w:val="es-ES" w:eastAsia="en-US"/>
    </w:rPr>
  </w:style>
  <w:style w:type="character" w:customStyle="1" w:styleId="Estilo4Car">
    <w:name w:val="Estilo4 Car"/>
    <w:basedOn w:val="DefaultParagraphFont"/>
    <w:link w:val="Estilo4"/>
    <w:rsid w:val="002632F8"/>
    <w:rPr>
      <w:rFonts w:ascii="Arial Narrow" w:eastAsiaTheme="minorHAnsi" w:hAnsi="Arial Narrow" w:cs="Arial"/>
      <w:sz w:val="22"/>
      <w:szCs w:val="22"/>
      <w:lang w:val="es-ES" w:eastAsia="en-US"/>
    </w:rPr>
  </w:style>
  <w:style w:type="paragraph" w:customStyle="1" w:styleId="Sangra3detindependiente10">
    <w:name w:val="Sangría 3 de t.independiente1"/>
    <w:basedOn w:val="Normal"/>
    <w:rsid w:val="008A37E4"/>
    <w:pPr>
      <w:widowControl w:val="0"/>
      <w:tabs>
        <w:tab w:val="left" w:pos="0"/>
      </w:tabs>
      <w:suppressAutoHyphens/>
      <w:spacing w:after="0"/>
      <w:ind w:left="1110"/>
    </w:pPr>
    <w:rPr>
      <w:rFonts w:eastAsia="Batang"/>
      <w:spacing w:val="-3"/>
      <w:sz w:val="24"/>
      <w:lang w:val="es-ES_tradnl" w:eastAsia="es-ES"/>
    </w:rPr>
  </w:style>
  <w:style w:type="paragraph" w:customStyle="1" w:styleId="Sangra2detindependiente10">
    <w:name w:val="Sangría 2 de t.independiente1"/>
    <w:basedOn w:val="Normal"/>
    <w:rsid w:val="008A37E4"/>
    <w:pPr>
      <w:widowControl w:val="0"/>
      <w:tabs>
        <w:tab w:val="left" w:pos="851"/>
      </w:tabs>
      <w:suppressAutoHyphens/>
      <w:spacing w:after="0"/>
      <w:ind w:left="851"/>
    </w:pPr>
    <w:rPr>
      <w:rFonts w:eastAsia="Batang"/>
      <w:spacing w:val="-3"/>
      <w:lang w:val="es-ES_tradnl" w:eastAsia="es-ES"/>
    </w:rPr>
  </w:style>
  <w:style w:type="paragraph" w:customStyle="1" w:styleId="Sangra3detindependiente20">
    <w:name w:val="Sangría 3 de t.independiente2"/>
    <w:basedOn w:val="Normal"/>
    <w:rsid w:val="008A37E4"/>
    <w:pPr>
      <w:widowControl w:val="0"/>
      <w:tabs>
        <w:tab w:val="left" w:pos="0"/>
      </w:tabs>
      <w:suppressAutoHyphens/>
      <w:spacing w:after="0"/>
      <w:ind w:left="1110"/>
    </w:pPr>
    <w:rPr>
      <w:rFonts w:eastAsia="Batang"/>
      <w:spacing w:val="-3"/>
      <w:lang w:val="es-ES_tradnl" w:eastAsia="es-ES"/>
    </w:rPr>
  </w:style>
  <w:style w:type="paragraph" w:customStyle="1" w:styleId="Estilo2">
    <w:name w:val="Estilo2"/>
    <w:basedOn w:val="Normal"/>
    <w:link w:val="Estilo2Car"/>
    <w:rsid w:val="008A37E4"/>
    <w:pPr>
      <w:spacing w:after="0"/>
      <w:ind w:left="425"/>
    </w:pPr>
    <w:rPr>
      <w:rFonts w:eastAsiaTheme="minorHAnsi" w:cs="Arial"/>
      <w:szCs w:val="22"/>
      <w:lang w:val="es-ES" w:eastAsia="en-US"/>
    </w:rPr>
  </w:style>
  <w:style w:type="character" w:customStyle="1" w:styleId="Estilo2Car">
    <w:name w:val="Estilo2 Car"/>
    <w:basedOn w:val="DefaultParagraphFont"/>
    <w:link w:val="Estilo2"/>
    <w:rsid w:val="008A37E4"/>
    <w:rPr>
      <w:rFonts w:ascii="Arial" w:eastAsiaTheme="minorHAnsi" w:hAnsi="Arial" w:cs="Arial"/>
      <w:sz w:val="22"/>
      <w:szCs w:val="22"/>
      <w:lang w:val="es-ES" w:eastAsia="en-US"/>
    </w:rPr>
  </w:style>
  <w:style w:type="paragraph" w:customStyle="1" w:styleId="Estilo3">
    <w:name w:val="Estilo3"/>
    <w:basedOn w:val="Estilo2"/>
    <w:link w:val="Estilo3Car"/>
    <w:rsid w:val="008A37E4"/>
    <w:pPr>
      <w:ind w:left="992"/>
    </w:pPr>
  </w:style>
  <w:style w:type="character" w:customStyle="1" w:styleId="Estilo3Car">
    <w:name w:val="Estilo3 Car"/>
    <w:basedOn w:val="Estilo2Car"/>
    <w:link w:val="Estilo3"/>
    <w:rsid w:val="008A37E4"/>
    <w:rPr>
      <w:rFonts w:ascii="Arial" w:eastAsiaTheme="minorHAnsi" w:hAnsi="Arial" w:cs="Arial"/>
      <w:sz w:val="22"/>
      <w:szCs w:val="22"/>
      <w:lang w:val="es-ES" w:eastAsia="en-US"/>
    </w:rPr>
  </w:style>
  <w:style w:type="paragraph" w:customStyle="1" w:styleId="NormalInforme">
    <w:name w:val="Normal_Informe"/>
    <w:basedOn w:val="Normal"/>
    <w:rsid w:val="008A37E4"/>
    <w:pPr>
      <w:spacing w:after="0" w:line="288" w:lineRule="auto"/>
      <w:ind w:left="879"/>
    </w:pPr>
    <w:rPr>
      <w:rFonts w:ascii="Arial Narrow" w:eastAsiaTheme="minorEastAsia" w:hAnsi="Arial Narrow" w:cstheme="minorBidi"/>
      <w:sz w:val="20"/>
      <w:lang w:val="es-PE" w:eastAsia="es-PE"/>
    </w:rPr>
  </w:style>
  <w:style w:type="paragraph" w:customStyle="1" w:styleId="Estilo1">
    <w:name w:val="Estilo1"/>
    <w:basedOn w:val="Normal"/>
    <w:link w:val="Estilo1Car"/>
    <w:rsid w:val="008A37E4"/>
    <w:pPr>
      <w:spacing w:after="0"/>
    </w:pPr>
    <w:rPr>
      <w:rFonts w:eastAsiaTheme="minorHAnsi" w:cs="Arial"/>
      <w:szCs w:val="22"/>
      <w:lang w:val="es-ES" w:eastAsia="en-US"/>
    </w:rPr>
  </w:style>
  <w:style w:type="character" w:customStyle="1" w:styleId="Estilo1Car">
    <w:name w:val="Estilo1 Car"/>
    <w:basedOn w:val="DefaultParagraphFont"/>
    <w:link w:val="Estilo1"/>
    <w:rsid w:val="008A37E4"/>
    <w:rPr>
      <w:rFonts w:ascii="Arial" w:eastAsiaTheme="minorHAnsi" w:hAnsi="Arial" w:cs="Arial"/>
      <w:sz w:val="22"/>
      <w:szCs w:val="22"/>
      <w:lang w:val="es-ES" w:eastAsia="en-US"/>
    </w:rPr>
  </w:style>
  <w:style w:type="paragraph" w:customStyle="1" w:styleId="xl63">
    <w:name w:val="xl63"/>
    <w:basedOn w:val="Normal"/>
    <w:rsid w:val="008A37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val="es-PE" w:eastAsia="ja-JP"/>
    </w:rPr>
  </w:style>
  <w:style w:type="paragraph" w:customStyle="1" w:styleId="xl64">
    <w:name w:val="xl64"/>
    <w:basedOn w:val="Normal"/>
    <w:rsid w:val="008A37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val="es-PE" w:eastAsia="ja-JP"/>
    </w:rPr>
  </w:style>
  <w:style w:type="character" w:customStyle="1" w:styleId="Titolo2ChapterTitleCarattere0">
    <w:name w:val="Titolo 2.Chapter Title Carattere"/>
    <w:rsid w:val="008A37E4"/>
    <w:rPr>
      <w:rFonts w:ascii="Arial" w:hAnsi="Arial"/>
      <w:b/>
      <w:caps/>
      <w:sz w:val="22"/>
      <w:lang w:val="it-IT" w:eastAsia="it-IT" w:bidi="ar-SA"/>
    </w:rPr>
  </w:style>
  <w:style w:type="character" w:customStyle="1" w:styleId="Titolo1shmanPartCarattere0">
    <w:name w:val="Titolo 1.shman.Part Carattere"/>
    <w:rsid w:val="008A37E4"/>
    <w:rPr>
      <w:rFonts w:ascii="Arial" w:hAnsi="Arial"/>
      <w:b/>
      <w:iCs/>
      <w:caps/>
      <w:sz w:val="28"/>
      <w:szCs w:val="28"/>
      <w:lang w:val="it-IT" w:eastAsia="it-IT" w:bidi="ar-SA"/>
    </w:rPr>
  </w:style>
  <w:style w:type="table" w:customStyle="1" w:styleId="Sfondochiaro-Colore11">
    <w:name w:val="Sfondo chiaro - Colore 11"/>
    <w:basedOn w:val="TableNormal"/>
    <w:uiPriority w:val="60"/>
    <w:rsid w:val="008A37E4"/>
    <w:rPr>
      <w:color w:val="365F91"/>
      <w:lang w:val="es-MX" w:eastAsia="es-MX"/>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gliachiara-Colore12">
    <w:name w:val="Griglia chiara - Colore 12"/>
    <w:basedOn w:val="TableNormal"/>
    <w:uiPriority w:val="62"/>
    <w:rsid w:val="008A37E4"/>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gliachiara-Colore13">
    <w:name w:val="Griglia chiara - Colore 13"/>
    <w:basedOn w:val="TableNormal"/>
    <w:uiPriority w:val="62"/>
    <w:rsid w:val="008A37E4"/>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initial">
    <w:name w:val="initial"/>
    <w:basedOn w:val="DefaultParagraphFont"/>
    <w:rsid w:val="008A37E4"/>
  </w:style>
  <w:style w:type="paragraph" w:styleId="EndnoteText">
    <w:name w:val="endnote text"/>
    <w:basedOn w:val="Normal"/>
    <w:link w:val="EndnoteTextChar"/>
    <w:rsid w:val="008A37E4"/>
    <w:pPr>
      <w:spacing w:after="0" w:line="240" w:lineRule="auto"/>
    </w:pPr>
    <w:rPr>
      <w:sz w:val="20"/>
      <w:lang w:val="es-ES"/>
    </w:rPr>
  </w:style>
  <w:style w:type="character" w:customStyle="1" w:styleId="EndnoteTextChar">
    <w:name w:val="Endnote Text Char"/>
    <w:basedOn w:val="DefaultParagraphFont"/>
    <w:link w:val="EndnoteText"/>
    <w:rsid w:val="008A37E4"/>
    <w:rPr>
      <w:rFonts w:ascii="Arial" w:hAnsi="Arial"/>
      <w:lang w:val="es-ES"/>
    </w:rPr>
  </w:style>
  <w:style w:type="character" w:styleId="EndnoteReference">
    <w:name w:val="endnote reference"/>
    <w:uiPriority w:val="99"/>
    <w:rsid w:val="008A37E4"/>
    <w:rPr>
      <w:vertAlign w:val="superscript"/>
    </w:rPr>
  </w:style>
  <w:style w:type="table" w:customStyle="1" w:styleId="Sombreadoclaro1">
    <w:name w:val="Sombreado claro1"/>
    <w:basedOn w:val="TableNormal"/>
    <w:uiPriority w:val="60"/>
    <w:rsid w:val="008A37E4"/>
    <w:pPr>
      <w:jc w:val="center"/>
    </w:pPr>
    <w:rPr>
      <w:rFonts w:ascii="Calibri" w:eastAsia="Calibri" w:hAnsi="Calibri"/>
      <w:color w:val="000000"/>
      <w:sz w:val="22"/>
      <w:szCs w:val="22"/>
      <w:lang w:val="es-MX"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CaptionChar">
    <w:name w:val="Caption Char"/>
    <w:aliases w:val="Epígrafe Car Char,Epígrafe2 Char, Car4 Char"/>
    <w:basedOn w:val="DefaultParagraphFont"/>
    <w:link w:val="Caption"/>
    <w:uiPriority w:val="99"/>
    <w:rsid w:val="008A37E4"/>
    <w:rPr>
      <w:rFonts w:ascii="Arial" w:hAnsi="Arial" w:cs="Arial"/>
      <w:b/>
      <w:bCs/>
    </w:rPr>
  </w:style>
  <w:style w:type="paragraph" w:customStyle="1" w:styleId="Textbody">
    <w:name w:val="Text body"/>
    <w:basedOn w:val="Normal"/>
    <w:rsid w:val="008A37E4"/>
    <w:pPr>
      <w:widowControl w:val="0"/>
      <w:suppressAutoHyphens/>
      <w:autoSpaceDN w:val="0"/>
      <w:spacing w:after="227" w:line="240" w:lineRule="auto"/>
      <w:textAlignment w:val="baseline"/>
    </w:pPr>
    <w:rPr>
      <w:rFonts w:eastAsia="Arial Unicode MS" w:cs="Tahoma"/>
      <w:kern w:val="3"/>
      <w:szCs w:val="24"/>
      <w:lang w:val="es-ES"/>
    </w:rPr>
  </w:style>
  <w:style w:type="character" w:customStyle="1" w:styleId="2771-corpotestoCharChar">
    <w:name w:val="2771-corpo testo Char Char"/>
    <w:locked/>
    <w:rsid w:val="008A37E4"/>
    <w:rPr>
      <w:rFonts w:ascii="Arial" w:hAnsi="Arial" w:cs="Arial"/>
      <w:sz w:val="20"/>
      <w:szCs w:val="20"/>
      <w:lang w:val="es-AR" w:eastAsia="it-IT"/>
    </w:rPr>
  </w:style>
  <w:style w:type="paragraph" w:styleId="Revision">
    <w:name w:val="Revision"/>
    <w:hidden/>
    <w:uiPriority w:val="99"/>
    <w:semiHidden/>
    <w:rsid w:val="008A37E4"/>
    <w:rPr>
      <w:rFonts w:ascii="Arial" w:hAnsi="Arial"/>
      <w:sz w:val="22"/>
      <w:lang w:val="es-PE"/>
    </w:rPr>
  </w:style>
  <w:style w:type="paragraph" w:customStyle="1" w:styleId="Corpodeltesto1">
    <w:name w:val="Corpo del testo 1"/>
    <w:autoRedefine/>
    <w:rsid w:val="00842A1C"/>
    <w:pPr>
      <w:spacing w:before="60" w:after="60" w:line="360" w:lineRule="auto"/>
      <w:ind w:right="-2"/>
      <w:jc w:val="both"/>
    </w:pPr>
    <w:rPr>
      <w:rFonts w:cs="Arial"/>
      <w:iCs/>
      <w:color w:val="FF0000"/>
      <w:sz w:val="24"/>
      <w:lang w:val="es-ES"/>
    </w:rPr>
  </w:style>
  <w:style w:type="paragraph" w:styleId="ListBullet3">
    <w:name w:val="List Bullet 3"/>
    <w:basedOn w:val="Normal"/>
    <w:autoRedefine/>
    <w:rsid w:val="00EB6B4D"/>
    <w:pPr>
      <w:tabs>
        <w:tab w:val="num" w:pos="907"/>
      </w:tabs>
      <w:spacing w:after="60" w:line="300" w:lineRule="auto"/>
      <w:ind w:left="907" w:hanging="227"/>
    </w:pPr>
    <w:rPr>
      <w:rFonts w:ascii="Verdana" w:hAnsi="Verdana" w:cs="Verdana"/>
      <w:snapToGrid w:val="0"/>
      <w:sz w:val="20"/>
      <w:lang w:val="es-ES" w:eastAsia="es-ES"/>
    </w:rPr>
  </w:style>
  <w:style w:type="paragraph" w:customStyle="1" w:styleId="Tablanumeracion">
    <w:name w:val="Tabla numeracion"/>
    <w:basedOn w:val="Normal"/>
    <w:next w:val="Normal"/>
    <w:rsid w:val="00584A36"/>
    <w:pPr>
      <w:keepNext/>
      <w:widowControl w:val="0"/>
      <w:numPr>
        <w:numId w:val="62"/>
      </w:numPr>
      <w:spacing w:line="240" w:lineRule="auto"/>
      <w:ind w:right="1134"/>
      <w:jc w:val="left"/>
    </w:pPr>
    <w:rPr>
      <w:rFonts w:ascii="Verdana" w:hAnsi="Verdana" w:cs="Verdana"/>
      <w:b/>
      <w:bCs/>
      <w:snapToGrid w:val="0"/>
      <w:sz w:val="20"/>
      <w:lang w:val="es-ES" w:eastAsia="es-ES"/>
    </w:rPr>
  </w:style>
  <w:style w:type="table" w:styleId="TableClassic1">
    <w:name w:val="Table Classic 1"/>
    <w:basedOn w:val="TableNormal"/>
    <w:rsid w:val="00616C7B"/>
    <w:pPr>
      <w:spacing w:after="120" w:line="276"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680628">
      <w:bodyDiv w:val="1"/>
      <w:marLeft w:val="0"/>
      <w:marRight w:val="0"/>
      <w:marTop w:val="0"/>
      <w:marBottom w:val="0"/>
      <w:divBdr>
        <w:top w:val="none" w:sz="0" w:space="0" w:color="auto"/>
        <w:left w:val="none" w:sz="0" w:space="0" w:color="auto"/>
        <w:bottom w:val="none" w:sz="0" w:space="0" w:color="auto"/>
        <w:right w:val="none" w:sz="0" w:space="0" w:color="auto"/>
      </w:divBdr>
    </w:div>
    <w:div w:id="177618796">
      <w:bodyDiv w:val="1"/>
      <w:marLeft w:val="0"/>
      <w:marRight w:val="0"/>
      <w:marTop w:val="0"/>
      <w:marBottom w:val="0"/>
      <w:divBdr>
        <w:top w:val="none" w:sz="0" w:space="0" w:color="auto"/>
        <w:left w:val="none" w:sz="0" w:space="0" w:color="auto"/>
        <w:bottom w:val="none" w:sz="0" w:space="0" w:color="auto"/>
        <w:right w:val="none" w:sz="0" w:space="0" w:color="auto"/>
      </w:divBdr>
    </w:div>
    <w:div w:id="182327696">
      <w:bodyDiv w:val="1"/>
      <w:marLeft w:val="0"/>
      <w:marRight w:val="0"/>
      <w:marTop w:val="0"/>
      <w:marBottom w:val="0"/>
      <w:divBdr>
        <w:top w:val="none" w:sz="0" w:space="0" w:color="auto"/>
        <w:left w:val="none" w:sz="0" w:space="0" w:color="auto"/>
        <w:bottom w:val="none" w:sz="0" w:space="0" w:color="auto"/>
        <w:right w:val="none" w:sz="0" w:space="0" w:color="auto"/>
      </w:divBdr>
    </w:div>
    <w:div w:id="223614061">
      <w:bodyDiv w:val="1"/>
      <w:marLeft w:val="0"/>
      <w:marRight w:val="0"/>
      <w:marTop w:val="0"/>
      <w:marBottom w:val="0"/>
      <w:divBdr>
        <w:top w:val="none" w:sz="0" w:space="0" w:color="auto"/>
        <w:left w:val="none" w:sz="0" w:space="0" w:color="auto"/>
        <w:bottom w:val="none" w:sz="0" w:space="0" w:color="auto"/>
        <w:right w:val="none" w:sz="0" w:space="0" w:color="auto"/>
      </w:divBdr>
    </w:div>
    <w:div w:id="279803422">
      <w:bodyDiv w:val="1"/>
      <w:marLeft w:val="0"/>
      <w:marRight w:val="0"/>
      <w:marTop w:val="0"/>
      <w:marBottom w:val="0"/>
      <w:divBdr>
        <w:top w:val="none" w:sz="0" w:space="0" w:color="auto"/>
        <w:left w:val="none" w:sz="0" w:space="0" w:color="auto"/>
        <w:bottom w:val="none" w:sz="0" w:space="0" w:color="auto"/>
        <w:right w:val="none" w:sz="0" w:space="0" w:color="auto"/>
      </w:divBdr>
    </w:div>
    <w:div w:id="340665426">
      <w:bodyDiv w:val="1"/>
      <w:marLeft w:val="0"/>
      <w:marRight w:val="0"/>
      <w:marTop w:val="0"/>
      <w:marBottom w:val="0"/>
      <w:divBdr>
        <w:top w:val="none" w:sz="0" w:space="0" w:color="auto"/>
        <w:left w:val="none" w:sz="0" w:space="0" w:color="auto"/>
        <w:bottom w:val="none" w:sz="0" w:space="0" w:color="auto"/>
        <w:right w:val="none" w:sz="0" w:space="0" w:color="auto"/>
      </w:divBdr>
    </w:div>
    <w:div w:id="343287855">
      <w:bodyDiv w:val="1"/>
      <w:marLeft w:val="0"/>
      <w:marRight w:val="0"/>
      <w:marTop w:val="0"/>
      <w:marBottom w:val="0"/>
      <w:divBdr>
        <w:top w:val="none" w:sz="0" w:space="0" w:color="auto"/>
        <w:left w:val="none" w:sz="0" w:space="0" w:color="auto"/>
        <w:bottom w:val="none" w:sz="0" w:space="0" w:color="auto"/>
        <w:right w:val="none" w:sz="0" w:space="0" w:color="auto"/>
      </w:divBdr>
    </w:div>
    <w:div w:id="354619705">
      <w:bodyDiv w:val="1"/>
      <w:marLeft w:val="0"/>
      <w:marRight w:val="0"/>
      <w:marTop w:val="0"/>
      <w:marBottom w:val="0"/>
      <w:divBdr>
        <w:top w:val="none" w:sz="0" w:space="0" w:color="auto"/>
        <w:left w:val="none" w:sz="0" w:space="0" w:color="auto"/>
        <w:bottom w:val="none" w:sz="0" w:space="0" w:color="auto"/>
        <w:right w:val="none" w:sz="0" w:space="0" w:color="auto"/>
      </w:divBdr>
    </w:div>
    <w:div w:id="362899612">
      <w:bodyDiv w:val="1"/>
      <w:marLeft w:val="0"/>
      <w:marRight w:val="0"/>
      <w:marTop w:val="0"/>
      <w:marBottom w:val="0"/>
      <w:divBdr>
        <w:top w:val="none" w:sz="0" w:space="0" w:color="auto"/>
        <w:left w:val="none" w:sz="0" w:space="0" w:color="auto"/>
        <w:bottom w:val="none" w:sz="0" w:space="0" w:color="auto"/>
        <w:right w:val="none" w:sz="0" w:space="0" w:color="auto"/>
      </w:divBdr>
    </w:div>
    <w:div w:id="380906128">
      <w:bodyDiv w:val="1"/>
      <w:marLeft w:val="0"/>
      <w:marRight w:val="0"/>
      <w:marTop w:val="0"/>
      <w:marBottom w:val="0"/>
      <w:divBdr>
        <w:top w:val="none" w:sz="0" w:space="0" w:color="auto"/>
        <w:left w:val="none" w:sz="0" w:space="0" w:color="auto"/>
        <w:bottom w:val="none" w:sz="0" w:space="0" w:color="auto"/>
        <w:right w:val="none" w:sz="0" w:space="0" w:color="auto"/>
      </w:divBdr>
    </w:div>
    <w:div w:id="402290382">
      <w:bodyDiv w:val="1"/>
      <w:marLeft w:val="0"/>
      <w:marRight w:val="0"/>
      <w:marTop w:val="0"/>
      <w:marBottom w:val="0"/>
      <w:divBdr>
        <w:top w:val="none" w:sz="0" w:space="0" w:color="auto"/>
        <w:left w:val="none" w:sz="0" w:space="0" w:color="auto"/>
        <w:bottom w:val="none" w:sz="0" w:space="0" w:color="auto"/>
        <w:right w:val="none" w:sz="0" w:space="0" w:color="auto"/>
      </w:divBdr>
    </w:div>
    <w:div w:id="463275979">
      <w:bodyDiv w:val="1"/>
      <w:marLeft w:val="0"/>
      <w:marRight w:val="0"/>
      <w:marTop w:val="0"/>
      <w:marBottom w:val="0"/>
      <w:divBdr>
        <w:top w:val="none" w:sz="0" w:space="0" w:color="auto"/>
        <w:left w:val="none" w:sz="0" w:space="0" w:color="auto"/>
        <w:bottom w:val="none" w:sz="0" w:space="0" w:color="auto"/>
        <w:right w:val="none" w:sz="0" w:space="0" w:color="auto"/>
      </w:divBdr>
    </w:div>
    <w:div w:id="479856222">
      <w:bodyDiv w:val="1"/>
      <w:marLeft w:val="0"/>
      <w:marRight w:val="0"/>
      <w:marTop w:val="0"/>
      <w:marBottom w:val="0"/>
      <w:divBdr>
        <w:top w:val="none" w:sz="0" w:space="0" w:color="auto"/>
        <w:left w:val="none" w:sz="0" w:space="0" w:color="auto"/>
        <w:bottom w:val="none" w:sz="0" w:space="0" w:color="auto"/>
        <w:right w:val="none" w:sz="0" w:space="0" w:color="auto"/>
      </w:divBdr>
    </w:div>
    <w:div w:id="505822621">
      <w:bodyDiv w:val="1"/>
      <w:marLeft w:val="0"/>
      <w:marRight w:val="0"/>
      <w:marTop w:val="0"/>
      <w:marBottom w:val="0"/>
      <w:divBdr>
        <w:top w:val="none" w:sz="0" w:space="0" w:color="auto"/>
        <w:left w:val="none" w:sz="0" w:space="0" w:color="auto"/>
        <w:bottom w:val="none" w:sz="0" w:space="0" w:color="auto"/>
        <w:right w:val="none" w:sz="0" w:space="0" w:color="auto"/>
      </w:divBdr>
    </w:div>
    <w:div w:id="508645449">
      <w:bodyDiv w:val="1"/>
      <w:marLeft w:val="0"/>
      <w:marRight w:val="0"/>
      <w:marTop w:val="0"/>
      <w:marBottom w:val="0"/>
      <w:divBdr>
        <w:top w:val="none" w:sz="0" w:space="0" w:color="auto"/>
        <w:left w:val="none" w:sz="0" w:space="0" w:color="auto"/>
        <w:bottom w:val="none" w:sz="0" w:space="0" w:color="auto"/>
        <w:right w:val="none" w:sz="0" w:space="0" w:color="auto"/>
      </w:divBdr>
    </w:div>
    <w:div w:id="548225209">
      <w:bodyDiv w:val="1"/>
      <w:marLeft w:val="0"/>
      <w:marRight w:val="0"/>
      <w:marTop w:val="0"/>
      <w:marBottom w:val="0"/>
      <w:divBdr>
        <w:top w:val="none" w:sz="0" w:space="0" w:color="auto"/>
        <w:left w:val="none" w:sz="0" w:space="0" w:color="auto"/>
        <w:bottom w:val="none" w:sz="0" w:space="0" w:color="auto"/>
        <w:right w:val="none" w:sz="0" w:space="0" w:color="auto"/>
      </w:divBdr>
    </w:div>
    <w:div w:id="550701455">
      <w:bodyDiv w:val="1"/>
      <w:marLeft w:val="0"/>
      <w:marRight w:val="0"/>
      <w:marTop w:val="0"/>
      <w:marBottom w:val="0"/>
      <w:divBdr>
        <w:top w:val="none" w:sz="0" w:space="0" w:color="auto"/>
        <w:left w:val="none" w:sz="0" w:space="0" w:color="auto"/>
        <w:bottom w:val="none" w:sz="0" w:space="0" w:color="auto"/>
        <w:right w:val="none" w:sz="0" w:space="0" w:color="auto"/>
      </w:divBdr>
    </w:div>
    <w:div w:id="561673055">
      <w:bodyDiv w:val="1"/>
      <w:marLeft w:val="0"/>
      <w:marRight w:val="0"/>
      <w:marTop w:val="0"/>
      <w:marBottom w:val="0"/>
      <w:divBdr>
        <w:top w:val="none" w:sz="0" w:space="0" w:color="auto"/>
        <w:left w:val="none" w:sz="0" w:space="0" w:color="auto"/>
        <w:bottom w:val="none" w:sz="0" w:space="0" w:color="auto"/>
        <w:right w:val="none" w:sz="0" w:space="0" w:color="auto"/>
      </w:divBdr>
    </w:div>
    <w:div w:id="568228173">
      <w:bodyDiv w:val="1"/>
      <w:marLeft w:val="0"/>
      <w:marRight w:val="0"/>
      <w:marTop w:val="0"/>
      <w:marBottom w:val="0"/>
      <w:divBdr>
        <w:top w:val="none" w:sz="0" w:space="0" w:color="auto"/>
        <w:left w:val="none" w:sz="0" w:space="0" w:color="auto"/>
        <w:bottom w:val="none" w:sz="0" w:space="0" w:color="auto"/>
        <w:right w:val="none" w:sz="0" w:space="0" w:color="auto"/>
      </w:divBdr>
    </w:div>
    <w:div w:id="610823041">
      <w:bodyDiv w:val="1"/>
      <w:marLeft w:val="0"/>
      <w:marRight w:val="0"/>
      <w:marTop w:val="0"/>
      <w:marBottom w:val="0"/>
      <w:divBdr>
        <w:top w:val="none" w:sz="0" w:space="0" w:color="auto"/>
        <w:left w:val="none" w:sz="0" w:space="0" w:color="auto"/>
        <w:bottom w:val="none" w:sz="0" w:space="0" w:color="auto"/>
        <w:right w:val="none" w:sz="0" w:space="0" w:color="auto"/>
      </w:divBdr>
    </w:div>
    <w:div w:id="628632052">
      <w:bodyDiv w:val="1"/>
      <w:marLeft w:val="0"/>
      <w:marRight w:val="0"/>
      <w:marTop w:val="0"/>
      <w:marBottom w:val="0"/>
      <w:divBdr>
        <w:top w:val="none" w:sz="0" w:space="0" w:color="auto"/>
        <w:left w:val="none" w:sz="0" w:space="0" w:color="auto"/>
        <w:bottom w:val="none" w:sz="0" w:space="0" w:color="auto"/>
        <w:right w:val="none" w:sz="0" w:space="0" w:color="auto"/>
      </w:divBdr>
    </w:div>
    <w:div w:id="686106234">
      <w:bodyDiv w:val="1"/>
      <w:marLeft w:val="0"/>
      <w:marRight w:val="0"/>
      <w:marTop w:val="0"/>
      <w:marBottom w:val="0"/>
      <w:divBdr>
        <w:top w:val="none" w:sz="0" w:space="0" w:color="auto"/>
        <w:left w:val="none" w:sz="0" w:space="0" w:color="auto"/>
        <w:bottom w:val="none" w:sz="0" w:space="0" w:color="auto"/>
        <w:right w:val="none" w:sz="0" w:space="0" w:color="auto"/>
      </w:divBdr>
    </w:div>
    <w:div w:id="691297703">
      <w:bodyDiv w:val="1"/>
      <w:marLeft w:val="0"/>
      <w:marRight w:val="0"/>
      <w:marTop w:val="0"/>
      <w:marBottom w:val="0"/>
      <w:divBdr>
        <w:top w:val="none" w:sz="0" w:space="0" w:color="auto"/>
        <w:left w:val="none" w:sz="0" w:space="0" w:color="auto"/>
        <w:bottom w:val="none" w:sz="0" w:space="0" w:color="auto"/>
        <w:right w:val="none" w:sz="0" w:space="0" w:color="auto"/>
      </w:divBdr>
    </w:div>
    <w:div w:id="693924885">
      <w:bodyDiv w:val="1"/>
      <w:marLeft w:val="0"/>
      <w:marRight w:val="0"/>
      <w:marTop w:val="0"/>
      <w:marBottom w:val="0"/>
      <w:divBdr>
        <w:top w:val="none" w:sz="0" w:space="0" w:color="auto"/>
        <w:left w:val="none" w:sz="0" w:space="0" w:color="auto"/>
        <w:bottom w:val="none" w:sz="0" w:space="0" w:color="auto"/>
        <w:right w:val="none" w:sz="0" w:space="0" w:color="auto"/>
      </w:divBdr>
    </w:div>
    <w:div w:id="740366867">
      <w:bodyDiv w:val="1"/>
      <w:marLeft w:val="0"/>
      <w:marRight w:val="0"/>
      <w:marTop w:val="0"/>
      <w:marBottom w:val="0"/>
      <w:divBdr>
        <w:top w:val="none" w:sz="0" w:space="0" w:color="auto"/>
        <w:left w:val="none" w:sz="0" w:space="0" w:color="auto"/>
        <w:bottom w:val="none" w:sz="0" w:space="0" w:color="auto"/>
        <w:right w:val="none" w:sz="0" w:space="0" w:color="auto"/>
      </w:divBdr>
    </w:div>
    <w:div w:id="744062207">
      <w:bodyDiv w:val="1"/>
      <w:marLeft w:val="0"/>
      <w:marRight w:val="0"/>
      <w:marTop w:val="0"/>
      <w:marBottom w:val="0"/>
      <w:divBdr>
        <w:top w:val="none" w:sz="0" w:space="0" w:color="auto"/>
        <w:left w:val="none" w:sz="0" w:space="0" w:color="auto"/>
        <w:bottom w:val="none" w:sz="0" w:space="0" w:color="auto"/>
        <w:right w:val="none" w:sz="0" w:space="0" w:color="auto"/>
      </w:divBdr>
    </w:div>
    <w:div w:id="791168055">
      <w:bodyDiv w:val="1"/>
      <w:marLeft w:val="0"/>
      <w:marRight w:val="0"/>
      <w:marTop w:val="0"/>
      <w:marBottom w:val="0"/>
      <w:divBdr>
        <w:top w:val="none" w:sz="0" w:space="0" w:color="auto"/>
        <w:left w:val="none" w:sz="0" w:space="0" w:color="auto"/>
        <w:bottom w:val="none" w:sz="0" w:space="0" w:color="auto"/>
        <w:right w:val="none" w:sz="0" w:space="0" w:color="auto"/>
      </w:divBdr>
    </w:div>
    <w:div w:id="810830146">
      <w:bodyDiv w:val="1"/>
      <w:marLeft w:val="0"/>
      <w:marRight w:val="0"/>
      <w:marTop w:val="0"/>
      <w:marBottom w:val="0"/>
      <w:divBdr>
        <w:top w:val="none" w:sz="0" w:space="0" w:color="auto"/>
        <w:left w:val="none" w:sz="0" w:space="0" w:color="auto"/>
        <w:bottom w:val="none" w:sz="0" w:space="0" w:color="auto"/>
        <w:right w:val="none" w:sz="0" w:space="0" w:color="auto"/>
      </w:divBdr>
    </w:div>
    <w:div w:id="825899008">
      <w:bodyDiv w:val="1"/>
      <w:marLeft w:val="0"/>
      <w:marRight w:val="0"/>
      <w:marTop w:val="0"/>
      <w:marBottom w:val="0"/>
      <w:divBdr>
        <w:top w:val="none" w:sz="0" w:space="0" w:color="auto"/>
        <w:left w:val="none" w:sz="0" w:space="0" w:color="auto"/>
        <w:bottom w:val="none" w:sz="0" w:space="0" w:color="auto"/>
        <w:right w:val="none" w:sz="0" w:space="0" w:color="auto"/>
      </w:divBdr>
    </w:div>
    <w:div w:id="828137542">
      <w:bodyDiv w:val="1"/>
      <w:marLeft w:val="0"/>
      <w:marRight w:val="0"/>
      <w:marTop w:val="0"/>
      <w:marBottom w:val="0"/>
      <w:divBdr>
        <w:top w:val="none" w:sz="0" w:space="0" w:color="auto"/>
        <w:left w:val="none" w:sz="0" w:space="0" w:color="auto"/>
        <w:bottom w:val="none" w:sz="0" w:space="0" w:color="auto"/>
        <w:right w:val="none" w:sz="0" w:space="0" w:color="auto"/>
      </w:divBdr>
    </w:div>
    <w:div w:id="834691284">
      <w:bodyDiv w:val="1"/>
      <w:marLeft w:val="0"/>
      <w:marRight w:val="0"/>
      <w:marTop w:val="0"/>
      <w:marBottom w:val="0"/>
      <w:divBdr>
        <w:top w:val="none" w:sz="0" w:space="0" w:color="auto"/>
        <w:left w:val="none" w:sz="0" w:space="0" w:color="auto"/>
        <w:bottom w:val="none" w:sz="0" w:space="0" w:color="auto"/>
        <w:right w:val="none" w:sz="0" w:space="0" w:color="auto"/>
      </w:divBdr>
    </w:div>
    <w:div w:id="835415408">
      <w:bodyDiv w:val="1"/>
      <w:marLeft w:val="0"/>
      <w:marRight w:val="0"/>
      <w:marTop w:val="0"/>
      <w:marBottom w:val="0"/>
      <w:divBdr>
        <w:top w:val="none" w:sz="0" w:space="0" w:color="auto"/>
        <w:left w:val="none" w:sz="0" w:space="0" w:color="auto"/>
        <w:bottom w:val="none" w:sz="0" w:space="0" w:color="auto"/>
        <w:right w:val="none" w:sz="0" w:space="0" w:color="auto"/>
      </w:divBdr>
    </w:div>
    <w:div w:id="839390887">
      <w:bodyDiv w:val="1"/>
      <w:marLeft w:val="0"/>
      <w:marRight w:val="0"/>
      <w:marTop w:val="0"/>
      <w:marBottom w:val="0"/>
      <w:divBdr>
        <w:top w:val="none" w:sz="0" w:space="0" w:color="auto"/>
        <w:left w:val="none" w:sz="0" w:space="0" w:color="auto"/>
        <w:bottom w:val="none" w:sz="0" w:space="0" w:color="auto"/>
        <w:right w:val="none" w:sz="0" w:space="0" w:color="auto"/>
      </w:divBdr>
    </w:div>
    <w:div w:id="864750730">
      <w:bodyDiv w:val="1"/>
      <w:marLeft w:val="0"/>
      <w:marRight w:val="0"/>
      <w:marTop w:val="0"/>
      <w:marBottom w:val="0"/>
      <w:divBdr>
        <w:top w:val="none" w:sz="0" w:space="0" w:color="auto"/>
        <w:left w:val="none" w:sz="0" w:space="0" w:color="auto"/>
        <w:bottom w:val="none" w:sz="0" w:space="0" w:color="auto"/>
        <w:right w:val="none" w:sz="0" w:space="0" w:color="auto"/>
      </w:divBdr>
    </w:div>
    <w:div w:id="902956383">
      <w:bodyDiv w:val="1"/>
      <w:marLeft w:val="0"/>
      <w:marRight w:val="0"/>
      <w:marTop w:val="0"/>
      <w:marBottom w:val="0"/>
      <w:divBdr>
        <w:top w:val="none" w:sz="0" w:space="0" w:color="auto"/>
        <w:left w:val="none" w:sz="0" w:space="0" w:color="auto"/>
        <w:bottom w:val="none" w:sz="0" w:space="0" w:color="auto"/>
        <w:right w:val="none" w:sz="0" w:space="0" w:color="auto"/>
      </w:divBdr>
    </w:div>
    <w:div w:id="971708744">
      <w:bodyDiv w:val="1"/>
      <w:marLeft w:val="0"/>
      <w:marRight w:val="0"/>
      <w:marTop w:val="0"/>
      <w:marBottom w:val="0"/>
      <w:divBdr>
        <w:top w:val="none" w:sz="0" w:space="0" w:color="auto"/>
        <w:left w:val="none" w:sz="0" w:space="0" w:color="auto"/>
        <w:bottom w:val="none" w:sz="0" w:space="0" w:color="auto"/>
        <w:right w:val="none" w:sz="0" w:space="0" w:color="auto"/>
      </w:divBdr>
    </w:div>
    <w:div w:id="983043317">
      <w:bodyDiv w:val="1"/>
      <w:marLeft w:val="0"/>
      <w:marRight w:val="0"/>
      <w:marTop w:val="0"/>
      <w:marBottom w:val="0"/>
      <w:divBdr>
        <w:top w:val="none" w:sz="0" w:space="0" w:color="auto"/>
        <w:left w:val="none" w:sz="0" w:space="0" w:color="auto"/>
        <w:bottom w:val="none" w:sz="0" w:space="0" w:color="auto"/>
        <w:right w:val="none" w:sz="0" w:space="0" w:color="auto"/>
      </w:divBdr>
    </w:div>
    <w:div w:id="1002780483">
      <w:bodyDiv w:val="1"/>
      <w:marLeft w:val="0"/>
      <w:marRight w:val="0"/>
      <w:marTop w:val="0"/>
      <w:marBottom w:val="0"/>
      <w:divBdr>
        <w:top w:val="none" w:sz="0" w:space="0" w:color="auto"/>
        <w:left w:val="none" w:sz="0" w:space="0" w:color="auto"/>
        <w:bottom w:val="none" w:sz="0" w:space="0" w:color="auto"/>
        <w:right w:val="none" w:sz="0" w:space="0" w:color="auto"/>
      </w:divBdr>
    </w:div>
    <w:div w:id="1030033138">
      <w:bodyDiv w:val="1"/>
      <w:marLeft w:val="0"/>
      <w:marRight w:val="0"/>
      <w:marTop w:val="0"/>
      <w:marBottom w:val="0"/>
      <w:divBdr>
        <w:top w:val="none" w:sz="0" w:space="0" w:color="auto"/>
        <w:left w:val="none" w:sz="0" w:space="0" w:color="auto"/>
        <w:bottom w:val="none" w:sz="0" w:space="0" w:color="auto"/>
        <w:right w:val="none" w:sz="0" w:space="0" w:color="auto"/>
      </w:divBdr>
    </w:div>
    <w:div w:id="1057245934">
      <w:bodyDiv w:val="1"/>
      <w:marLeft w:val="0"/>
      <w:marRight w:val="0"/>
      <w:marTop w:val="0"/>
      <w:marBottom w:val="0"/>
      <w:divBdr>
        <w:top w:val="none" w:sz="0" w:space="0" w:color="auto"/>
        <w:left w:val="none" w:sz="0" w:space="0" w:color="auto"/>
        <w:bottom w:val="none" w:sz="0" w:space="0" w:color="auto"/>
        <w:right w:val="none" w:sz="0" w:space="0" w:color="auto"/>
      </w:divBdr>
    </w:div>
    <w:div w:id="1073894313">
      <w:bodyDiv w:val="1"/>
      <w:marLeft w:val="0"/>
      <w:marRight w:val="0"/>
      <w:marTop w:val="0"/>
      <w:marBottom w:val="0"/>
      <w:divBdr>
        <w:top w:val="none" w:sz="0" w:space="0" w:color="auto"/>
        <w:left w:val="none" w:sz="0" w:space="0" w:color="auto"/>
        <w:bottom w:val="none" w:sz="0" w:space="0" w:color="auto"/>
        <w:right w:val="none" w:sz="0" w:space="0" w:color="auto"/>
      </w:divBdr>
    </w:div>
    <w:div w:id="1078986205">
      <w:bodyDiv w:val="1"/>
      <w:marLeft w:val="0"/>
      <w:marRight w:val="0"/>
      <w:marTop w:val="0"/>
      <w:marBottom w:val="0"/>
      <w:divBdr>
        <w:top w:val="none" w:sz="0" w:space="0" w:color="auto"/>
        <w:left w:val="none" w:sz="0" w:space="0" w:color="auto"/>
        <w:bottom w:val="none" w:sz="0" w:space="0" w:color="auto"/>
        <w:right w:val="none" w:sz="0" w:space="0" w:color="auto"/>
      </w:divBdr>
    </w:div>
    <w:div w:id="1079861991">
      <w:bodyDiv w:val="1"/>
      <w:marLeft w:val="0"/>
      <w:marRight w:val="0"/>
      <w:marTop w:val="0"/>
      <w:marBottom w:val="0"/>
      <w:divBdr>
        <w:top w:val="none" w:sz="0" w:space="0" w:color="auto"/>
        <w:left w:val="none" w:sz="0" w:space="0" w:color="auto"/>
        <w:bottom w:val="none" w:sz="0" w:space="0" w:color="auto"/>
        <w:right w:val="none" w:sz="0" w:space="0" w:color="auto"/>
      </w:divBdr>
    </w:div>
    <w:div w:id="1089346764">
      <w:bodyDiv w:val="1"/>
      <w:marLeft w:val="0"/>
      <w:marRight w:val="0"/>
      <w:marTop w:val="0"/>
      <w:marBottom w:val="0"/>
      <w:divBdr>
        <w:top w:val="none" w:sz="0" w:space="0" w:color="auto"/>
        <w:left w:val="none" w:sz="0" w:space="0" w:color="auto"/>
        <w:bottom w:val="none" w:sz="0" w:space="0" w:color="auto"/>
        <w:right w:val="none" w:sz="0" w:space="0" w:color="auto"/>
      </w:divBdr>
    </w:div>
    <w:div w:id="1139540043">
      <w:bodyDiv w:val="1"/>
      <w:marLeft w:val="0"/>
      <w:marRight w:val="0"/>
      <w:marTop w:val="0"/>
      <w:marBottom w:val="0"/>
      <w:divBdr>
        <w:top w:val="none" w:sz="0" w:space="0" w:color="auto"/>
        <w:left w:val="none" w:sz="0" w:space="0" w:color="auto"/>
        <w:bottom w:val="none" w:sz="0" w:space="0" w:color="auto"/>
        <w:right w:val="none" w:sz="0" w:space="0" w:color="auto"/>
      </w:divBdr>
    </w:div>
    <w:div w:id="1164321996">
      <w:bodyDiv w:val="1"/>
      <w:marLeft w:val="0"/>
      <w:marRight w:val="0"/>
      <w:marTop w:val="0"/>
      <w:marBottom w:val="0"/>
      <w:divBdr>
        <w:top w:val="none" w:sz="0" w:space="0" w:color="auto"/>
        <w:left w:val="none" w:sz="0" w:space="0" w:color="auto"/>
        <w:bottom w:val="none" w:sz="0" w:space="0" w:color="auto"/>
        <w:right w:val="none" w:sz="0" w:space="0" w:color="auto"/>
      </w:divBdr>
    </w:div>
    <w:div w:id="1231112711">
      <w:bodyDiv w:val="1"/>
      <w:marLeft w:val="0"/>
      <w:marRight w:val="0"/>
      <w:marTop w:val="0"/>
      <w:marBottom w:val="0"/>
      <w:divBdr>
        <w:top w:val="none" w:sz="0" w:space="0" w:color="auto"/>
        <w:left w:val="none" w:sz="0" w:space="0" w:color="auto"/>
        <w:bottom w:val="none" w:sz="0" w:space="0" w:color="auto"/>
        <w:right w:val="none" w:sz="0" w:space="0" w:color="auto"/>
      </w:divBdr>
    </w:div>
    <w:div w:id="1244418297">
      <w:bodyDiv w:val="1"/>
      <w:marLeft w:val="0"/>
      <w:marRight w:val="0"/>
      <w:marTop w:val="0"/>
      <w:marBottom w:val="0"/>
      <w:divBdr>
        <w:top w:val="none" w:sz="0" w:space="0" w:color="auto"/>
        <w:left w:val="none" w:sz="0" w:space="0" w:color="auto"/>
        <w:bottom w:val="none" w:sz="0" w:space="0" w:color="auto"/>
        <w:right w:val="none" w:sz="0" w:space="0" w:color="auto"/>
      </w:divBdr>
    </w:div>
    <w:div w:id="1308778260">
      <w:bodyDiv w:val="1"/>
      <w:marLeft w:val="0"/>
      <w:marRight w:val="0"/>
      <w:marTop w:val="0"/>
      <w:marBottom w:val="0"/>
      <w:divBdr>
        <w:top w:val="none" w:sz="0" w:space="0" w:color="auto"/>
        <w:left w:val="none" w:sz="0" w:space="0" w:color="auto"/>
        <w:bottom w:val="none" w:sz="0" w:space="0" w:color="auto"/>
        <w:right w:val="none" w:sz="0" w:space="0" w:color="auto"/>
      </w:divBdr>
    </w:div>
    <w:div w:id="1309169655">
      <w:bodyDiv w:val="1"/>
      <w:marLeft w:val="0"/>
      <w:marRight w:val="0"/>
      <w:marTop w:val="0"/>
      <w:marBottom w:val="0"/>
      <w:divBdr>
        <w:top w:val="none" w:sz="0" w:space="0" w:color="auto"/>
        <w:left w:val="none" w:sz="0" w:space="0" w:color="auto"/>
        <w:bottom w:val="none" w:sz="0" w:space="0" w:color="auto"/>
        <w:right w:val="none" w:sz="0" w:space="0" w:color="auto"/>
      </w:divBdr>
    </w:div>
    <w:div w:id="1362827859">
      <w:bodyDiv w:val="1"/>
      <w:marLeft w:val="0"/>
      <w:marRight w:val="0"/>
      <w:marTop w:val="0"/>
      <w:marBottom w:val="0"/>
      <w:divBdr>
        <w:top w:val="none" w:sz="0" w:space="0" w:color="auto"/>
        <w:left w:val="none" w:sz="0" w:space="0" w:color="auto"/>
        <w:bottom w:val="none" w:sz="0" w:space="0" w:color="auto"/>
        <w:right w:val="none" w:sz="0" w:space="0" w:color="auto"/>
      </w:divBdr>
    </w:div>
    <w:div w:id="1376853883">
      <w:bodyDiv w:val="1"/>
      <w:marLeft w:val="0"/>
      <w:marRight w:val="0"/>
      <w:marTop w:val="0"/>
      <w:marBottom w:val="0"/>
      <w:divBdr>
        <w:top w:val="none" w:sz="0" w:space="0" w:color="auto"/>
        <w:left w:val="none" w:sz="0" w:space="0" w:color="auto"/>
        <w:bottom w:val="none" w:sz="0" w:space="0" w:color="auto"/>
        <w:right w:val="none" w:sz="0" w:space="0" w:color="auto"/>
      </w:divBdr>
    </w:div>
    <w:div w:id="1385448434">
      <w:bodyDiv w:val="1"/>
      <w:marLeft w:val="0"/>
      <w:marRight w:val="0"/>
      <w:marTop w:val="0"/>
      <w:marBottom w:val="0"/>
      <w:divBdr>
        <w:top w:val="none" w:sz="0" w:space="0" w:color="auto"/>
        <w:left w:val="none" w:sz="0" w:space="0" w:color="auto"/>
        <w:bottom w:val="none" w:sz="0" w:space="0" w:color="auto"/>
        <w:right w:val="none" w:sz="0" w:space="0" w:color="auto"/>
      </w:divBdr>
    </w:div>
    <w:div w:id="1434202821">
      <w:bodyDiv w:val="1"/>
      <w:marLeft w:val="0"/>
      <w:marRight w:val="0"/>
      <w:marTop w:val="0"/>
      <w:marBottom w:val="0"/>
      <w:divBdr>
        <w:top w:val="none" w:sz="0" w:space="0" w:color="auto"/>
        <w:left w:val="none" w:sz="0" w:space="0" w:color="auto"/>
        <w:bottom w:val="none" w:sz="0" w:space="0" w:color="auto"/>
        <w:right w:val="none" w:sz="0" w:space="0" w:color="auto"/>
      </w:divBdr>
    </w:div>
    <w:div w:id="1444376436">
      <w:bodyDiv w:val="1"/>
      <w:marLeft w:val="0"/>
      <w:marRight w:val="0"/>
      <w:marTop w:val="0"/>
      <w:marBottom w:val="0"/>
      <w:divBdr>
        <w:top w:val="none" w:sz="0" w:space="0" w:color="auto"/>
        <w:left w:val="none" w:sz="0" w:space="0" w:color="auto"/>
        <w:bottom w:val="none" w:sz="0" w:space="0" w:color="auto"/>
        <w:right w:val="none" w:sz="0" w:space="0" w:color="auto"/>
      </w:divBdr>
    </w:div>
    <w:div w:id="1463886756">
      <w:bodyDiv w:val="1"/>
      <w:marLeft w:val="0"/>
      <w:marRight w:val="0"/>
      <w:marTop w:val="0"/>
      <w:marBottom w:val="0"/>
      <w:divBdr>
        <w:top w:val="none" w:sz="0" w:space="0" w:color="auto"/>
        <w:left w:val="none" w:sz="0" w:space="0" w:color="auto"/>
        <w:bottom w:val="none" w:sz="0" w:space="0" w:color="auto"/>
        <w:right w:val="none" w:sz="0" w:space="0" w:color="auto"/>
      </w:divBdr>
    </w:div>
    <w:div w:id="1490439636">
      <w:bodyDiv w:val="1"/>
      <w:marLeft w:val="0"/>
      <w:marRight w:val="0"/>
      <w:marTop w:val="0"/>
      <w:marBottom w:val="0"/>
      <w:divBdr>
        <w:top w:val="none" w:sz="0" w:space="0" w:color="auto"/>
        <w:left w:val="none" w:sz="0" w:space="0" w:color="auto"/>
        <w:bottom w:val="none" w:sz="0" w:space="0" w:color="auto"/>
        <w:right w:val="none" w:sz="0" w:space="0" w:color="auto"/>
      </w:divBdr>
    </w:div>
    <w:div w:id="1493520359">
      <w:bodyDiv w:val="1"/>
      <w:marLeft w:val="0"/>
      <w:marRight w:val="0"/>
      <w:marTop w:val="0"/>
      <w:marBottom w:val="0"/>
      <w:divBdr>
        <w:top w:val="none" w:sz="0" w:space="0" w:color="auto"/>
        <w:left w:val="none" w:sz="0" w:space="0" w:color="auto"/>
        <w:bottom w:val="none" w:sz="0" w:space="0" w:color="auto"/>
        <w:right w:val="none" w:sz="0" w:space="0" w:color="auto"/>
      </w:divBdr>
    </w:div>
    <w:div w:id="1518739178">
      <w:bodyDiv w:val="1"/>
      <w:marLeft w:val="0"/>
      <w:marRight w:val="0"/>
      <w:marTop w:val="0"/>
      <w:marBottom w:val="0"/>
      <w:divBdr>
        <w:top w:val="none" w:sz="0" w:space="0" w:color="auto"/>
        <w:left w:val="none" w:sz="0" w:space="0" w:color="auto"/>
        <w:bottom w:val="none" w:sz="0" w:space="0" w:color="auto"/>
        <w:right w:val="none" w:sz="0" w:space="0" w:color="auto"/>
      </w:divBdr>
    </w:div>
    <w:div w:id="1570192040">
      <w:bodyDiv w:val="1"/>
      <w:marLeft w:val="0"/>
      <w:marRight w:val="0"/>
      <w:marTop w:val="0"/>
      <w:marBottom w:val="0"/>
      <w:divBdr>
        <w:top w:val="none" w:sz="0" w:space="0" w:color="auto"/>
        <w:left w:val="none" w:sz="0" w:space="0" w:color="auto"/>
        <w:bottom w:val="none" w:sz="0" w:space="0" w:color="auto"/>
        <w:right w:val="none" w:sz="0" w:space="0" w:color="auto"/>
      </w:divBdr>
    </w:div>
    <w:div w:id="1570267732">
      <w:bodyDiv w:val="1"/>
      <w:marLeft w:val="0"/>
      <w:marRight w:val="0"/>
      <w:marTop w:val="0"/>
      <w:marBottom w:val="0"/>
      <w:divBdr>
        <w:top w:val="none" w:sz="0" w:space="0" w:color="auto"/>
        <w:left w:val="none" w:sz="0" w:space="0" w:color="auto"/>
        <w:bottom w:val="none" w:sz="0" w:space="0" w:color="auto"/>
        <w:right w:val="none" w:sz="0" w:space="0" w:color="auto"/>
      </w:divBdr>
    </w:div>
    <w:div w:id="1574269730">
      <w:bodyDiv w:val="1"/>
      <w:marLeft w:val="0"/>
      <w:marRight w:val="0"/>
      <w:marTop w:val="0"/>
      <w:marBottom w:val="0"/>
      <w:divBdr>
        <w:top w:val="none" w:sz="0" w:space="0" w:color="auto"/>
        <w:left w:val="none" w:sz="0" w:space="0" w:color="auto"/>
        <w:bottom w:val="none" w:sz="0" w:space="0" w:color="auto"/>
        <w:right w:val="none" w:sz="0" w:space="0" w:color="auto"/>
      </w:divBdr>
    </w:div>
    <w:div w:id="1604144749">
      <w:bodyDiv w:val="1"/>
      <w:marLeft w:val="0"/>
      <w:marRight w:val="0"/>
      <w:marTop w:val="0"/>
      <w:marBottom w:val="0"/>
      <w:divBdr>
        <w:top w:val="none" w:sz="0" w:space="0" w:color="auto"/>
        <w:left w:val="none" w:sz="0" w:space="0" w:color="auto"/>
        <w:bottom w:val="none" w:sz="0" w:space="0" w:color="auto"/>
        <w:right w:val="none" w:sz="0" w:space="0" w:color="auto"/>
      </w:divBdr>
    </w:div>
    <w:div w:id="1634288931">
      <w:bodyDiv w:val="1"/>
      <w:marLeft w:val="0"/>
      <w:marRight w:val="0"/>
      <w:marTop w:val="0"/>
      <w:marBottom w:val="0"/>
      <w:divBdr>
        <w:top w:val="none" w:sz="0" w:space="0" w:color="auto"/>
        <w:left w:val="none" w:sz="0" w:space="0" w:color="auto"/>
        <w:bottom w:val="none" w:sz="0" w:space="0" w:color="auto"/>
        <w:right w:val="none" w:sz="0" w:space="0" w:color="auto"/>
      </w:divBdr>
    </w:div>
    <w:div w:id="1662468559">
      <w:bodyDiv w:val="1"/>
      <w:marLeft w:val="0"/>
      <w:marRight w:val="0"/>
      <w:marTop w:val="0"/>
      <w:marBottom w:val="0"/>
      <w:divBdr>
        <w:top w:val="none" w:sz="0" w:space="0" w:color="auto"/>
        <w:left w:val="none" w:sz="0" w:space="0" w:color="auto"/>
        <w:bottom w:val="none" w:sz="0" w:space="0" w:color="auto"/>
        <w:right w:val="none" w:sz="0" w:space="0" w:color="auto"/>
      </w:divBdr>
    </w:div>
    <w:div w:id="1670986369">
      <w:bodyDiv w:val="1"/>
      <w:marLeft w:val="0"/>
      <w:marRight w:val="0"/>
      <w:marTop w:val="0"/>
      <w:marBottom w:val="0"/>
      <w:divBdr>
        <w:top w:val="none" w:sz="0" w:space="0" w:color="auto"/>
        <w:left w:val="none" w:sz="0" w:space="0" w:color="auto"/>
        <w:bottom w:val="none" w:sz="0" w:space="0" w:color="auto"/>
        <w:right w:val="none" w:sz="0" w:space="0" w:color="auto"/>
      </w:divBdr>
    </w:div>
    <w:div w:id="1684282378">
      <w:bodyDiv w:val="1"/>
      <w:marLeft w:val="0"/>
      <w:marRight w:val="0"/>
      <w:marTop w:val="0"/>
      <w:marBottom w:val="0"/>
      <w:divBdr>
        <w:top w:val="none" w:sz="0" w:space="0" w:color="auto"/>
        <w:left w:val="none" w:sz="0" w:space="0" w:color="auto"/>
        <w:bottom w:val="none" w:sz="0" w:space="0" w:color="auto"/>
        <w:right w:val="none" w:sz="0" w:space="0" w:color="auto"/>
      </w:divBdr>
    </w:div>
    <w:div w:id="1685092679">
      <w:bodyDiv w:val="1"/>
      <w:marLeft w:val="0"/>
      <w:marRight w:val="0"/>
      <w:marTop w:val="0"/>
      <w:marBottom w:val="0"/>
      <w:divBdr>
        <w:top w:val="none" w:sz="0" w:space="0" w:color="auto"/>
        <w:left w:val="none" w:sz="0" w:space="0" w:color="auto"/>
        <w:bottom w:val="none" w:sz="0" w:space="0" w:color="auto"/>
        <w:right w:val="none" w:sz="0" w:space="0" w:color="auto"/>
      </w:divBdr>
    </w:div>
    <w:div w:id="1697652403">
      <w:bodyDiv w:val="1"/>
      <w:marLeft w:val="0"/>
      <w:marRight w:val="0"/>
      <w:marTop w:val="0"/>
      <w:marBottom w:val="0"/>
      <w:divBdr>
        <w:top w:val="none" w:sz="0" w:space="0" w:color="auto"/>
        <w:left w:val="none" w:sz="0" w:space="0" w:color="auto"/>
        <w:bottom w:val="none" w:sz="0" w:space="0" w:color="auto"/>
        <w:right w:val="none" w:sz="0" w:space="0" w:color="auto"/>
      </w:divBdr>
    </w:div>
    <w:div w:id="1744066312">
      <w:bodyDiv w:val="1"/>
      <w:marLeft w:val="0"/>
      <w:marRight w:val="0"/>
      <w:marTop w:val="0"/>
      <w:marBottom w:val="0"/>
      <w:divBdr>
        <w:top w:val="none" w:sz="0" w:space="0" w:color="auto"/>
        <w:left w:val="none" w:sz="0" w:space="0" w:color="auto"/>
        <w:bottom w:val="none" w:sz="0" w:space="0" w:color="auto"/>
        <w:right w:val="none" w:sz="0" w:space="0" w:color="auto"/>
      </w:divBdr>
    </w:div>
    <w:div w:id="1798180377">
      <w:bodyDiv w:val="1"/>
      <w:marLeft w:val="0"/>
      <w:marRight w:val="0"/>
      <w:marTop w:val="0"/>
      <w:marBottom w:val="0"/>
      <w:divBdr>
        <w:top w:val="none" w:sz="0" w:space="0" w:color="auto"/>
        <w:left w:val="none" w:sz="0" w:space="0" w:color="auto"/>
        <w:bottom w:val="none" w:sz="0" w:space="0" w:color="auto"/>
        <w:right w:val="none" w:sz="0" w:space="0" w:color="auto"/>
      </w:divBdr>
    </w:div>
    <w:div w:id="1841196373">
      <w:bodyDiv w:val="1"/>
      <w:marLeft w:val="0"/>
      <w:marRight w:val="0"/>
      <w:marTop w:val="0"/>
      <w:marBottom w:val="0"/>
      <w:divBdr>
        <w:top w:val="none" w:sz="0" w:space="0" w:color="auto"/>
        <w:left w:val="none" w:sz="0" w:space="0" w:color="auto"/>
        <w:bottom w:val="none" w:sz="0" w:space="0" w:color="auto"/>
        <w:right w:val="none" w:sz="0" w:space="0" w:color="auto"/>
      </w:divBdr>
    </w:div>
    <w:div w:id="1860391820">
      <w:bodyDiv w:val="1"/>
      <w:marLeft w:val="0"/>
      <w:marRight w:val="0"/>
      <w:marTop w:val="0"/>
      <w:marBottom w:val="0"/>
      <w:divBdr>
        <w:top w:val="none" w:sz="0" w:space="0" w:color="auto"/>
        <w:left w:val="none" w:sz="0" w:space="0" w:color="auto"/>
        <w:bottom w:val="none" w:sz="0" w:space="0" w:color="auto"/>
        <w:right w:val="none" w:sz="0" w:space="0" w:color="auto"/>
      </w:divBdr>
    </w:div>
    <w:div w:id="1883128821">
      <w:bodyDiv w:val="1"/>
      <w:marLeft w:val="0"/>
      <w:marRight w:val="0"/>
      <w:marTop w:val="0"/>
      <w:marBottom w:val="0"/>
      <w:divBdr>
        <w:top w:val="none" w:sz="0" w:space="0" w:color="auto"/>
        <w:left w:val="none" w:sz="0" w:space="0" w:color="auto"/>
        <w:bottom w:val="none" w:sz="0" w:space="0" w:color="auto"/>
        <w:right w:val="none" w:sz="0" w:space="0" w:color="auto"/>
      </w:divBdr>
    </w:div>
    <w:div w:id="1938168253">
      <w:bodyDiv w:val="1"/>
      <w:marLeft w:val="0"/>
      <w:marRight w:val="0"/>
      <w:marTop w:val="0"/>
      <w:marBottom w:val="0"/>
      <w:divBdr>
        <w:top w:val="none" w:sz="0" w:space="0" w:color="auto"/>
        <w:left w:val="none" w:sz="0" w:space="0" w:color="auto"/>
        <w:bottom w:val="none" w:sz="0" w:space="0" w:color="auto"/>
        <w:right w:val="none" w:sz="0" w:space="0" w:color="auto"/>
      </w:divBdr>
    </w:div>
    <w:div w:id="1948535124">
      <w:bodyDiv w:val="1"/>
      <w:marLeft w:val="0"/>
      <w:marRight w:val="0"/>
      <w:marTop w:val="0"/>
      <w:marBottom w:val="0"/>
      <w:divBdr>
        <w:top w:val="none" w:sz="0" w:space="0" w:color="auto"/>
        <w:left w:val="none" w:sz="0" w:space="0" w:color="auto"/>
        <w:bottom w:val="none" w:sz="0" w:space="0" w:color="auto"/>
        <w:right w:val="none" w:sz="0" w:space="0" w:color="auto"/>
      </w:divBdr>
    </w:div>
    <w:div w:id="2018002421">
      <w:bodyDiv w:val="1"/>
      <w:marLeft w:val="0"/>
      <w:marRight w:val="0"/>
      <w:marTop w:val="0"/>
      <w:marBottom w:val="0"/>
      <w:divBdr>
        <w:top w:val="none" w:sz="0" w:space="0" w:color="auto"/>
        <w:left w:val="none" w:sz="0" w:space="0" w:color="auto"/>
        <w:bottom w:val="none" w:sz="0" w:space="0" w:color="auto"/>
        <w:right w:val="none" w:sz="0" w:space="0" w:color="auto"/>
      </w:divBdr>
    </w:div>
    <w:div w:id="2022734906">
      <w:bodyDiv w:val="1"/>
      <w:marLeft w:val="0"/>
      <w:marRight w:val="0"/>
      <w:marTop w:val="0"/>
      <w:marBottom w:val="0"/>
      <w:divBdr>
        <w:top w:val="none" w:sz="0" w:space="0" w:color="auto"/>
        <w:left w:val="none" w:sz="0" w:space="0" w:color="auto"/>
        <w:bottom w:val="none" w:sz="0" w:space="0" w:color="auto"/>
        <w:right w:val="none" w:sz="0" w:space="0" w:color="auto"/>
      </w:divBdr>
    </w:div>
    <w:div w:id="2049596686">
      <w:bodyDiv w:val="1"/>
      <w:marLeft w:val="0"/>
      <w:marRight w:val="0"/>
      <w:marTop w:val="0"/>
      <w:marBottom w:val="0"/>
      <w:divBdr>
        <w:top w:val="none" w:sz="0" w:space="0" w:color="auto"/>
        <w:left w:val="none" w:sz="0" w:space="0" w:color="auto"/>
        <w:bottom w:val="none" w:sz="0" w:space="0" w:color="auto"/>
        <w:right w:val="none" w:sz="0" w:space="0" w:color="auto"/>
      </w:divBdr>
    </w:div>
    <w:div w:id="2063944788">
      <w:bodyDiv w:val="1"/>
      <w:marLeft w:val="0"/>
      <w:marRight w:val="0"/>
      <w:marTop w:val="0"/>
      <w:marBottom w:val="0"/>
      <w:divBdr>
        <w:top w:val="none" w:sz="0" w:space="0" w:color="auto"/>
        <w:left w:val="none" w:sz="0" w:space="0" w:color="auto"/>
        <w:bottom w:val="none" w:sz="0" w:space="0" w:color="auto"/>
        <w:right w:val="none" w:sz="0" w:space="0" w:color="auto"/>
      </w:divBdr>
    </w:div>
    <w:div w:id="2078555422">
      <w:bodyDiv w:val="1"/>
      <w:marLeft w:val="0"/>
      <w:marRight w:val="0"/>
      <w:marTop w:val="0"/>
      <w:marBottom w:val="0"/>
      <w:divBdr>
        <w:top w:val="none" w:sz="0" w:space="0" w:color="auto"/>
        <w:left w:val="none" w:sz="0" w:space="0" w:color="auto"/>
        <w:bottom w:val="none" w:sz="0" w:space="0" w:color="auto"/>
        <w:right w:val="none" w:sz="0" w:space="0" w:color="auto"/>
      </w:divBdr>
    </w:div>
    <w:div w:id="2079857425">
      <w:bodyDiv w:val="1"/>
      <w:marLeft w:val="0"/>
      <w:marRight w:val="0"/>
      <w:marTop w:val="0"/>
      <w:marBottom w:val="0"/>
      <w:divBdr>
        <w:top w:val="none" w:sz="0" w:space="0" w:color="auto"/>
        <w:left w:val="none" w:sz="0" w:space="0" w:color="auto"/>
        <w:bottom w:val="none" w:sz="0" w:space="0" w:color="auto"/>
        <w:right w:val="none" w:sz="0" w:space="0" w:color="auto"/>
      </w:divBdr>
    </w:div>
    <w:div w:id="2080203811">
      <w:bodyDiv w:val="1"/>
      <w:marLeft w:val="0"/>
      <w:marRight w:val="0"/>
      <w:marTop w:val="0"/>
      <w:marBottom w:val="0"/>
      <w:divBdr>
        <w:top w:val="none" w:sz="0" w:space="0" w:color="auto"/>
        <w:left w:val="none" w:sz="0" w:space="0" w:color="auto"/>
        <w:bottom w:val="none" w:sz="0" w:space="0" w:color="auto"/>
        <w:right w:val="none" w:sz="0" w:space="0" w:color="auto"/>
      </w:divBdr>
    </w:div>
    <w:div w:id="2087485131">
      <w:bodyDiv w:val="1"/>
      <w:marLeft w:val="0"/>
      <w:marRight w:val="0"/>
      <w:marTop w:val="0"/>
      <w:marBottom w:val="0"/>
      <w:divBdr>
        <w:top w:val="none" w:sz="0" w:space="0" w:color="auto"/>
        <w:left w:val="none" w:sz="0" w:space="0" w:color="auto"/>
        <w:bottom w:val="none" w:sz="0" w:space="0" w:color="auto"/>
        <w:right w:val="none" w:sz="0" w:space="0" w:color="auto"/>
      </w:divBdr>
      <w:divsChild>
        <w:div w:id="1443115148">
          <w:marLeft w:val="0"/>
          <w:marRight w:val="0"/>
          <w:marTop w:val="0"/>
          <w:marBottom w:val="0"/>
          <w:divBdr>
            <w:top w:val="none" w:sz="0" w:space="0" w:color="auto"/>
            <w:left w:val="none" w:sz="0" w:space="0" w:color="auto"/>
            <w:bottom w:val="none" w:sz="0" w:space="0" w:color="auto"/>
            <w:right w:val="none" w:sz="0" w:space="0" w:color="auto"/>
          </w:divBdr>
        </w:div>
      </w:divsChild>
    </w:div>
    <w:div w:id="2090155504">
      <w:bodyDiv w:val="1"/>
      <w:marLeft w:val="0"/>
      <w:marRight w:val="0"/>
      <w:marTop w:val="0"/>
      <w:marBottom w:val="0"/>
      <w:divBdr>
        <w:top w:val="none" w:sz="0" w:space="0" w:color="auto"/>
        <w:left w:val="none" w:sz="0" w:space="0" w:color="auto"/>
        <w:bottom w:val="none" w:sz="0" w:space="0" w:color="auto"/>
        <w:right w:val="none" w:sz="0" w:space="0" w:color="auto"/>
      </w:divBdr>
    </w:div>
    <w:div w:id="2127429934">
      <w:bodyDiv w:val="1"/>
      <w:marLeft w:val="0"/>
      <w:marRight w:val="0"/>
      <w:marTop w:val="0"/>
      <w:marBottom w:val="0"/>
      <w:divBdr>
        <w:top w:val="none" w:sz="0" w:space="0" w:color="auto"/>
        <w:left w:val="none" w:sz="0" w:space="0" w:color="auto"/>
        <w:bottom w:val="none" w:sz="0" w:space="0" w:color="auto"/>
        <w:right w:val="none" w:sz="0" w:space="0" w:color="auto"/>
      </w:divBdr>
    </w:div>
    <w:div w:id="2141192942">
      <w:bodyDiv w:val="1"/>
      <w:marLeft w:val="0"/>
      <w:marRight w:val="0"/>
      <w:marTop w:val="0"/>
      <w:marBottom w:val="0"/>
      <w:divBdr>
        <w:top w:val="none" w:sz="0" w:space="0" w:color="auto"/>
        <w:left w:val="none" w:sz="0" w:space="0" w:color="auto"/>
        <w:bottom w:val="none" w:sz="0" w:space="0" w:color="auto"/>
        <w:right w:val="none" w:sz="0" w:space="0" w:color="auto"/>
      </w:divBdr>
      <w:divsChild>
        <w:div w:id="413284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emf"/><Relationship Id="rId21" Type="http://schemas.openxmlformats.org/officeDocument/2006/relationships/chart" Target="charts/chart2.xml"/><Relationship Id="rId63" Type="http://schemas.openxmlformats.org/officeDocument/2006/relationships/header" Target="header4.xml"/><Relationship Id="rId159" Type="http://schemas.openxmlformats.org/officeDocument/2006/relationships/image" Target="media/image93.emf"/><Relationship Id="rId170" Type="http://schemas.openxmlformats.org/officeDocument/2006/relationships/chart" Target="charts/chart30.xml"/><Relationship Id="rId226" Type="http://schemas.openxmlformats.org/officeDocument/2006/relationships/image" Target="media/image132.emf"/><Relationship Id="rId268" Type="http://schemas.openxmlformats.org/officeDocument/2006/relationships/customXml" Target="../customXml/item2.xml"/><Relationship Id="rId11" Type="http://schemas.openxmlformats.org/officeDocument/2006/relationships/header" Target="header1.xml"/><Relationship Id="rId32" Type="http://schemas.openxmlformats.org/officeDocument/2006/relationships/image" Target="media/image16.emf"/><Relationship Id="rId53" Type="http://schemas.openxmlformats.org/officeDocument/2006/relationships/image" Target="media/image30.emf"/><Relationship Id="rId74" Type="http://schemas.openxmlformats.org/officeDocument/2006/relationships/chart" Target="charts/chart7.xml"/><Relationship Id="rId128" Type="http://schemas.openxmlformats.org/officeDocument/2006/relationships/image" Target="media/image62.emf"/><Relationship Id="rId149" Type="http://schemas.openxmlformats.org/officeDocument/2006/relationships/image" Target="media/image83.emf"/><Relationship Id="rId5" Type="http://schemas.openxmlformats.org/officeDocument/2006/relationships/settings" Target="settings.xml"/><Relationship Id="rId95" Type="http://schemas.openxmlformats.org/officeDocument/2006/relationships/image" Target="media/image50.emf"/><Relationship Id="rId160" Type="http://schemas.openxmlformats.org/officeDocument/2006/relationships/image" Target="media/image94.emf"/><Relationship Id="rId181" Type="http://schemas.openxmlformats.org/officeDocument/2006/relationships/chart" Target="charts/chart35.xml"/><Relationship Id="rId216" Type="http://schemas.openxmlformats.org/officeDocument/2006/relationships/image" Target="media/image126.png"/><Relationship Id="rId237" Type="http://schemas.openxmlformats.org/officeDocument/2006/relationships/image" Target="media/image137.emf"/><Relationship Id="rId258" Type="http://schemas.openxmlformats.org/officeDocument/2006/relationships/package" Target="embeddings/Microsoft_Excel_Worksheet2.xlsx"/><Relationship Id="rId22" Type="http://schemas.openxmlformats.org/officeDocument/2006/relationships/image" Target="media/image6.emf"/><Relationship Id="rId43" Type="http://schemas.openxmlformats.org/officeDocument/2006/relationships/image" Target="media/image23.emf"/><Relationship Id="rId64" Type="http://schemas.openxmlformats.org/officeDocument/2006/relationships/header" Target="header5.xml"/><Relationship Id="rId118" Type="http://schemas.openxmlformats.org/officeDocument/2006/relationships/header" Target="header11.xml"/><Relationship Id="rId139" Type="http://schemas.openxmlformats.org/officeDocument/2006/relationships/image" Target="media/image73.emf"/><Relationship Id="rId85" Type="http://schemas.openxmlformats.org/officeDocument/2006/relationships/footer" Target="footer14.xml"/><Relationship Id="rId150" Type="http://schemas.openxmlformats.org/officeDocument/2006/relationships/image" Target="media/image84.emf"/><Relationship Id="rId171" Type="http://schemas.openxmlformats.org/officeDocument/2006/relationships/image" Target="media/image103.emf"/><Relationship Id="rId192" Type="http://schemas.openxmlformats.org/officeDocument/2006/relationships/image" Target="media/image114.emf"/><Relationship Id="rId206" Type="http://schemas.openxmlformats.org/officeDocument/2006/relationships/chart" Target="charts/chart48.xml"/><Relationship Id="rId227" Type="http://schemas.openxmlformats.org/officeDocument/2006/relationships/chart" Target="charts/chart57.xml"/><Relationship Id="rId248" Type="http://schemas.openxmlformats.org/officeDocument/2006/relationships/chart" Target="charts/chart68.xml"/><Relationship Id="rId269" Type="http://schemas.openxmlformats.org/officeDocument/2006/relationships/customXml" Target="../customXml/item3.xml"/><Relationship Id="rId12" Type="http://schemas.openxmlformats.org/officeDocument/2006/relationships/footer" Target="footer1.xml"/><Relationship Id="rId33" Type="http://schemas.openxmlformats.org/officeDocument/2006/relationships/hyperlink" Target="http://turismoi.pe/museos/museo-santuario-coronel-leoncio-prado-centro-educativo-leoncio-prado.htm" TargetMode="External"/><Relationship Id="rId108" Type="http://schemas.openxmlformats.org/officeDocument/2006/relationships/chart" Target="charts/chart27.xml"/><Relationship Id="rId129" Type="http://schemas.openxmlformats.org/officeDocument/2006/relationships/image" Target="media/image63.png"/><Relationship Id="rId54" Type="http://schemas.openxmlformats.org/officeDocument/2006/relationships/image" Target="media/image31.emf"/><Relationship Id="rId75" Type="http://schemas.openxmlformats.org/officeDocument/2006/relationships/chart" Target="charts/chart8.xml"/><Relationship Id="rId96" Type="http://schemas.openxmlformats.org/officeDocument/2006/relationships/image" Target="media/image51.emf"/><Relationship Id="rId140" Type="http://schemas.openxmlformats.org/officeDocument/2006/relationships/image" Target="media/image74.png"/><Relationship Id="rId161" Type="http://schemas.openxmlformats.org/officeDocument/2006/relationships/image" Target="media/image95.emf"/><Relationship Id="rId182" Type="http://schemas.openxmlformats.org/officeDocument/2006/relationships/chart" Target="charts/chart36.xml"/><Relationship Id="rId217" Type="http://schemas.openxmlformats.org/officeDocument/2006/relationships/image" Target="media/image127.emf"/><Relationship Id="rId6" Type="http://schemas.openxmlformats.org/officeDocument/2006/relationships/webSettings" Target="webSettings.xml"/><Relationship Id="rId238" Type="http://schemas.openxmlformats.org/officeDocument/2006/relationships/image" Target="media/image138.emf"/><Relationship Id="rId259" Type="http://schemas.openxmlformats.org/officeDocument/2006/relationships/chart" Target="charts/chart73.xml"/><Relationship Id="rId23" Type="http://schemas.openxmlformats.org/officeDocument/2006/relationships/image" Target="media/image7.emf"/><Relationship Id="rId119" Type="http://schemas.openxmlformats.org/officeDocument/2006/relationships/footer" Target="footer17.xml"/><Relationship Id="rId270" Type="http://schemas.openxmlformats.org/officeDocument/2006/relationships/customXml" Target="../customXml/item4.xml"/><Relationship Id="rId44" Type="http://schemas.openxmlformats.org/officeDocument/2006/relationships/image" Target="media/image24.emf"/><Relationship Id="rId65" Type="http://schemas.openxmlformats.org/officeDocument/2006/relationships/footer" Target="footer12.xml"/><Relationship Id="rId86" Type="http://schemas.openxmlformats.org/officeDocument/2006/relationships/image" Target="media/image42.png"/><Relationship Id="rId130" Type="http://schemas.openxmlformats.org/officeDocument/2006/relationships/image" Target="media/image64.png"/><Relationship Id="rId151" Type="http://schemas.openxmlformats.org/officeDocument/2006/relationships/image" Target="media/image85.emf"/><Relationship Id="rId172" Type="http://schemas.openxmlformats.org/officeDocument/2006/relationships/image" Target="media/image104.emf"/><Relationship Id="rId193" Type="http://schemas.openxmlformats.org/officeDocument/2006/relationships/chart" Target="charts/chart41.xml"/><Relationship Id="rId207" Type="http://schemas.openxmlformats.org/officeDocument/2006/relationships/image" Target="media/image121.emf"/><Relationship Id="rId228" Type="http://schemas.openxmlformats.org/officeDocument/2006/relationships/chart" Target="charts/chart58.xml"/><Relationship Id="rId249" Type="http://schemas.openxmlformats.org/officeDocument/2006/relationships/image" Target="media/image143.emf"/><Relationship Id="rId13" Type="http://schemas.openxmlformats.org/officeDocument/2006/relationships/footer" Target="footer2.xml"/><Relationship Id="rId109" Type="http://schemas.openxmlformats.org/officeDocument/2006/relationships/image" Target="media/image52.png"/><Relationship Id="rId260" Type="http://schemas.openxmlformats.org/officeDocument/2006/relationships/chart" Target="charts/chart74.xml"/><Relationship Id="rId34" Type="http://schemas.openxmlformats.org/officeDocument/2006/relationships/image" Target="media/image17.emf"/><Relationship Id="rId55" Type="http://schemas.openxmlformats.org/officeDocument/2006/relationships/image" Target="media/image32.emf"/><Relationship Id="rId76" Type="http://schemas.openxmlformats.org/officeDocument/2006/relationships/chart" Target="charts/chart9.xml"/><Relationship Id="rId97" Type="http://schemas.openxmlformats.org/officeDocument/2006/relationships/header" Target="header8.xml"/><Relationship Id="rId120" Type="http://schemas.openxmlformats.org/officeDocument/2006/relationships/footer" Target="footer18.xml"/><Relationship Id="rId141" Type="http://schemas.openxmlformats.org/officeDocument/2006/relationships/image" Target="media/image75.png"/><Relationship Id="rId7" Type="http://schemas.openxmlformats.org/officeDocument/2006/relationships/footnotes" Target="footnotes.xml"/><Relationship Id="rId162" Type="http://schemas.openxmlformats.org/officeDocument/2006/relationships/image" Target="media/image96.emf"/><Relationship Id="rId183" Type="http://schemas.openxmlformats.org/officeDocument/2006/relationships/image" Target="media/image109.emf"/><Relationship Id="rId218" Type="http://schemas.openxmlformats.org/officeDocument/2006/relationships/image" Target="media/image128.emf"/><Relationship Id="rId239" Type="http://schemas.openxmlformats.org/officeDocument/2006/relationships/chart" Target="charts/chart63.xml"/><Relationship Id="rId250" Type="http://schemas.openxmlformats.org/officeDocument/2006/relationships/image" Target="media/image144.emf"/><Relationship Id="rId271" Type="http://schemas.openxmlformats.org/officeDocument/2006/relationships/customXml" Target="../customXml/item5.xml"/><Relationship Id="rId24" Type="http://schemas.openxmlformats.org/officeDocument/2006/relationships/image" Target="media/image8.emf"/><Relationship Id="rId45" Type="http://schemas.openxmlformats.org/officeDocument/2006/relationships/footer" Target="footer9.xml"/><Relationship Id="rId66" Type="http://schemas.openxmlformats.org/officeDocument/2006/relationships/chart" Target="charts/chart5.xml"/><Relationship Id="rId87" Type="http://schemas.openxmlformats.org/officeDocument/2006/relationships/image" Target="media/image43.png"/><Relationship Id="rId110" Type="http://schemas.openxmlformats.org/officeDocument/2006/relationships/chart" Target="charts/chart28.xml"/><Relationship Id="rId131" Type="http://schemas.openxmlformats.org/officeDocument/2006/relationships/image" Target="media/image65.png"/><Relationship Id="rId152" Type="http://schemas.openxmlformats.org/officeDocument/2006/relationships/image" Target="media/image86.emf"/><Relationship Id="rId173" Type="http://schemas.openxmlformats.org/officeDocument/2006/relationships/chart" Target="charts/chart31.xml"/><Relationship Id="rId194" Type="http://schemas.openxmlformats.org/officeDocument/2006/relationships/chart" Target="charts/chart42.xml"/><Relationship Id="rId208" Type="http://schemas.openxmlformats.org/officeDocument/2006/relationships/image" Target="media/image122.emf"/><Relationship Id="rId229" Type="http://schemas.openxmlformats.org/officeDocument/2006/relationships/image" Target="media/image133.emf"/><Relationship Id="rId240" Type="http://schemas.openxmlformats.org/officeDocument/2006/relationships/chart" Target="charts/chart64.xml"/><Relationship Id="rId261" Type="http://schemas.openxmlformats.org/officeDocument/2006/relationships/chart" Target="charts/chart75.xml"/><Relationship Id="rId14" Type="http://schemas.openxmlformats.org/officeDocument/2006/relationships/header" Target="header2.xml"/><Relationship Id="rId35" Type="http://schemas.openxmlformats.org/officeDocument/2006/relationships/image" Target="media/image18.emf"/><Relationship Id="rId56" Type="http://schemas.openxmlformats.org/officeDocument/2006/relationships/image" Target="media/image33.emf"/><Relationship Id="rId77" Type="http://schemas.openxmlformats.org/officeDocument/2006/relationships/chart" Target="charts/chart10.xml"/><Relationship Id="rId100" Type="http://schemas.openxmlformats.org/officeDocument/2006/relationships/chart" Target="charts/chart19.xml"/><Relationship Id="rId8" Type="http://schemas.openxmlformats.org/officeDocument/2006/relationships/endnotes" Target="endnotes.xml"/><Relationship Id="rId98" Type="http://schemas.openxmlformats.org/officeDocument/2006/relationships/footer" Target="footer15.xml"/><Relationship Id="rId121" Type="http://schemas.openxmlformats.org/officeDocument/2006/relationships/image" Target="media/image56.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0.emf"/><Relationship Id="rId219" Type="http://schemas.openxmlformats.org/officeDocument/2006/relationships/chart" Target="charts/chart53.xml"/><Relationship Id="rId230" Type="http://schemas.openxmlformats.org/officeDocument/2006/relationships/image" Target="media/image134.emf"/><Relationship Id="rId251" Type="http://schemas.openxmlformats.org/officeDocument/2006/relationships/chart" Target="charts/chart69.xml"/><Relationship Id="rId25" Type="http://schemas.openxmlformats.org/officeDocument/2006/relationships/image" Target="media/image9.emf"/><Relationship Id="rId46" Type="http://schemas.openxmlformats.org/officeDocument/2006/relationships/image" Target="media/image25.emf"/><Relationship Id="rId67" Type="http://schemas.openxmlformats.org/officeDocument/2006/relationships/image" Target="media/image38.emf"/><Relationship Id="rId272" Type="http://schemas.openxmlformats.org/officeDocument/2006/relationships/customXml" Target="../customXml/item6.xml"/><Relationship Id="rId88" Type="http://schemas.openxmlformats.org/officeDocument/2006/relationships/image" Target="media/image44.png"/><Relationship Id="rId111" Type="http://schemas.openxmlformats.org/officeDocument/2006/relationships/header" Target="header9.xml"/><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chart" Target="charts/chart32.xml"/><Relationship Id="rId195" Type="http://schemas.openxmlformats.org/officeDocument/2006/relationships/image" Target="media/image115.emf"/><Relationship Id="rId209" Type="http://schemas.openxmlformats.org/officeDocument/2006/relationships/chart" Target="charts/chart49.xml"/><Relationship Id="rId220" Type="http://schemas.openxmlformats.org/officeDocument/2006/relationships/chart" Target="charts/chart54.xml"/><Relationship Id="rId241" Type="http://schemas.openxmlformats.org/officeDocument/2006/relationships/image" Target="media/image139.emf"/><Relationship Id="rId15" Type="http://schemas.openxmlformats.org/officeDocument/2006/relationships/footer" Target="footer3.xml"/><Relationship Id="rId36" Type="http://schemas.openxmlformats.org/officeDocument/2006/relationships/image" Target="media/image19.emf"/><Relationship Id="rId57" Type="http://schemas.openxmlformats.org/officeDocument/2006/relationships/image" Target="media/image34.png"/><Relationship Id="rId262" Type="http://schemas.openxmlformats.org/officeDocument/2006/relationships/chart" Target="charts/chart76.xml"/><Relationship Id="rId78" Type="http://schemas.openxmlformats.org/officeDocument/2006/relationships/chart" Target="charts/chart11.xml"/><Relationship Id="rId99" Type="http://schemas.openxmlformats.org/officeDocument/2006/relationships/chart" Target="charts/chart18.xml"/><Relationship Id="rId101" Type="http://schemas.openxmlformats.org/officeDocument/2006/relationships/chart" Target="charts/chart20.xml"/><Relationship Id="rId122" Type="http://schemas.openxmlformats.org/officeDocument/2006/relationships/image" Target="media/image57.png"/><Relationship Id="rId143" Type="http://schemas.openxmlformats.org/officeDocument/2006/relationships/image" Target="media/image77.png"/><Relationship Id="rId164" Type="http://schemas.openxmlformats.org/officeDocument/2006/relationships/image" Target="media/image98.png"/><Relationship Id="rId185" Type="http://schemas.openxmlformats.org/officeDocument/2006/relationships/chart" Target="charts/chart37.xml"/><Relationship Id="rId9" Type="http://schemas.openxmlformats.org/officeDocument/2006/relationships/image" Target="media/image1.jpeg"/><Relationship Id="rId210" Type="http://schemas.openxmlformats.org/officeDocument/2006/relationships/chart" Target="charts/chart50.xml"/><Relationship Id="rId26" Type="http://schemas.openxmlformats.org/officeDocument/2006/relationships/image" Target="media/image10.emf"/><Relationship Id="rId231" Type="http://schemas.openxmlformats.org/officeDocument/2006/relationships/chart" Target="charts/chart59.xml"/><Relationship Id="rId252" Type="http://schemas.openxmlformats.org/officeDocument/2006/relationships/chart" Target="charts/chart70.xml"/><Relationship Id="rId47" Type="http://schemas.openxmlformats.org/officeDocument/2006/relationships/image" Target="media/image26.emf"/><Relationship Id="rId68" Type="http://schemas.openxmlformats.org/officeDocument/2006/relationships/image" Target="media/image39.emf"/><Relationship Id="rId89" Type="http://schemas.openxmlformats.org/officeDocument/2006/relationships/image" Target="media/image45.png"/><Relationship Id="rId112" Type="http://schemas.openxmlformats.org/officeDocument/2006/relationships/hyperlink" Target="http://es.wikipedia.org/wiki/Centro_hist%C3%B3rico_de_Lima" TargetMode="External"/><Relationship Id="rId133" Type="http://schemas.openxmlformats.org/officeDocument/2006/relationships/image" Target="media/image67.png"/><Relationship Id="rId154" Type="http://schemas.openxmlformats.org/officeDocument/2006/relationships/image" Target="media/image88.emf"/><Relationship Id="rId175" Type="http://schemas.openxmlformats.org/officeDocument/2006/relationships/image" Target="media/image105.emf"/><Relationship Id="rId196" Type="http://schemas.openxmlformats.org/officeDocument/2006/relationships/image" Target="media/image116.emf"/><Relationship Id="rId200" Type="http://schemas.openxmlformats.org/officeDocument/2006/relationships/image" Target="media/image118.emf"/><Relationship Id="rId16" Type="http://schemas.openxmlformats.org/officeDocument/2006/relationships/header" Target="header3.xml"/><Relationship Id="rId221" Type="http://schemas.openxmlformats.org/officeDocument/2006/relationships/image" Target="media/image129.emf"/><Relationship Id="rId242" Type="http://schemas.openxmlformats.org/officeDocument/2006/relationships/image" Target="media/image140.emf"/><Relationship Id="rId263" Type="http://schemas.openxmlformats.org/officeDocument/2006/relationships/chart" Target="charts/chart77.xml"/><Relationship Id="rId37" Type="http://schemas.openxmlformats.org/officeDocument/2006/relationships/image" Target="media/image20.emf"/><Relationship Id="rId58" Type="http://schemas.openxmlformats.org/officeDocument/2006/relationships/chart" Target="charts/chart3.xml"/><Relationship Id="rId79" Type="http://schemas.openxmlformats.org/officeDocument/2006/relationships/chart" Target="charts/chart12.xml"/><Relationship Id="rId102" Type="http://schemas.openxmlformats.org/officeDocument/2006/relationships/chart" Target="charts/chart21.xml"/><Relationship Id="rId123" Type="http://schemas.openxmlformats.org/officeDocument/2006/relationships/image" Target="media/image58.png"/><Relationship Id="rId144" Type="http://schemas.openxmlformats.org/officeDocument/2006/relationships/image" Target="media/image78.emf"/><Relationship Id="rId90" Type="http://schemas.openxmlformats.org/officeDocument/2006/relationships/image" Target="media/image46.png"/><Relationship Id="rId165" Type="http://schemas.openxmlformats.org/officeDocument/2006/relationships/image" Target="media/image99.png"/><Relationship Id="rId186" Type="http://schemas.openxmlformats.org/officeDocument/2006/relationships/chart" Target="charts/chart38.xml"/><Relationship Id="rId211" Type="http://schemas.openxmlformats.org/officeDocument/2006/relationships/image" Target="media/image123.emf"/><Relationship Id="rId232" Type="http://schemas.openxmlformats.org/officeDocument/2006/relationships/chart" Target="charts/chart60.xml"/><Relationship Id="rId253" Type="http://schemas.openxmlformats.org/officeDocument/2006/relationships/chart" Target="charts/chart71.xml"/><Relationship Id="rId27" Type="http://schemas.openxmlformats.org/officeDocument/2006/relationships/image" Target="media/image11.png"/><Relationship Id="rId48" Type="http://schemas.openxmlformats.org/officeDocument/2006/relationships/footer" Target="footer10.xml"/><Relationship Id="rId69" Type="http://schemas.openxmlformats.org/officeDocument/2006/relationships/image" Target="media/image40.emf"/><Relationship Id="rId113" Type="http://schemas.openxmlformats.org/officeDocument/2006/relationships/image" Target="media/image53.emf"/><Relationship Id="rId134" Type="http://schemas.openxmlformats.org/officeDocument/2006/relationships/image" Target="media/image68.jpeg"/><Relationship Id="rId80" Type="http://schemas.openxmlformats.org/officeDocument/2006/relationships/chart" Target="charts/chart13.xml"/><Relationship Id="rId155" Type="http://schemas.openxmlformats.org/officeDocument/2006/relationships/image" Target="media/image89.emf"/><Relationship Id="rId176" Type="http://schemas.openxmlformats.org/officeDocument/2006/relationships/image" Target="media/image106.emf"/><Relationship Id="rId197" Type="http://schemas.openxmlformats.org/officeDocument/2006/relationships/chart" Target="charts/chart43.xml"/><Relationship Id="rId201" Type="http://schemas.openxmlformats.org/officeDocument/2006/relationships/chart" Target="charts/chart45.xml"/><Relationship Id="rId222" Type="http://schemas.openxmlformats.org/officeDocument/2006/relationships/image" Target="media/image130.emf"/><Relationship Id="rId243" Type="http://schemas.openxmlformats.org/officeDocument/2006/relationships/chart" Target="charts/chart65.xml"/><Relationship Id="rId264" Type="http://schemas.openxmlformats.org/officeDocument/2006/relationships/image" Target="media/image147.png"/><Relationship Id="rId17" Type="http://schemas.openxmlformats.org/officeDocument/2006/relationships/footer" Target="footer4.xml"/><Relationship Id="rId38" Type="http://schemas.openxmlformats.org/officeDocument/2006/relationships/footer" Target="footer6.xml"/><Relationship Id="rId59" Type="http://schemas.openxmlformats.org/officeDocument/2006/relationships/chart" Target="charts/chart4.xml"/><Relationship Id="rId103" Type="http://schemas.openxmlformats.org/officeDocument/2006/relationships/chart" Target="charts/chart22.xml"/><Relationship Id="rId124" Type="http://schemas.openxmlformats.org/officeDocument/2006/relationships/image" Target="media/image59.png"/><Relationship Id="rId70" Type="http://schemas.openxmlformats.org/officeDocument/2006/relationships/header" Target="header6.xml"/><Relationship Id="rId91" Type="http://schemas.openxmlformats.org/officeDocument/2006/relationships/image" Target="media/image47.png"/><Relationship Id="rId145" Type="http://schemas.openxmlformats.org/officeDocument/2006/relationships/image" Target="media/image79.emf"/><Relationship Id="rId166" Type="http://schemas.openxmlformats.org/officeDocument/2006/relationships/image" Target="media/image100.emf"/><Relationship Id="rId187" Type="http://schemas.openxmlformats.org/officeDocument/2006/relationships/image" Target="media/image111.emf"/><Relationship Id="rId1" Type="http://schemas.openxmlformats.org/officeDocument/2006/relationships/customXml" Target="../customXml/item1.xml"/><Relationship Id="rId212" Type="http://schemas.openxmlformats.org/officeDocument/2006/relationships/image" Target="media/image124.emf"/><Relationship Id="rId233" Type="http://schemas.openxmlformats.org/officeDocument/2006/relationships/image" Target="media/image135.emf"/><Relationship Id="rId254" Type="http://schemas.openxmlformats.org/officeDocument/2006/relationships/chart" Target="charts/chart72.xml"/><Relationship Id="rId28" Type="http://schemas.openxmlformats.org/officeDocument/2006/relationships/image" Target="media/image12.emf"/><Relationship Id="rId49" Type="http://schemas.openxmlformats.org/officeDocument/2006/relationships/image" Target="media/image27.emf"/><Relationship Id="rId114" Type="http://schemas.openxmlformats.org/officeDocument/2006/relationships/header" Target="header10.xml"/><Relationship Id="rId60" Type="http://schemas.openxmlformats.org/officeDocument/2006/relationships/image" Target="media/image35.jpeg"/><Relationship Id="rId81" Type="http://schemas.openxmlformats.org/officeDocument/2006/relationships/chart" Target="charts/chart14.xml"/><Relationship Id="rId135" Type="http://schemas.openxmlformats.org/officeDocument/2006/relationships/image" Target="media/image69.png"/><Relationship Id="rId156" Type="http://schemas.openxmlformats.org/officeDocument/2006/relationships/image" Target="media/image90.emf"/><Relationship Id="rId177" Type="http://schemas.openxmlformats.org/officeDocument/2006/relationships/chart" Target="charts/chart33.xml"/><Relationship Id="rId198" Type="http://schemas.openxmlformats.org/officeDocument/2006/relationships/chart" Target="charts/chart44.xml"/><Relationship Id="rId202" Type="http://schemas.openxmlformats.org/officeDocument/2006/relationships/chart" Target="charts/chart46.xml"/><Relationship Id="rId223" Type="http://schemas.openxmlformats.org/officeDocument/2006/relationships/chart" Target="charts/chart55.xml"/><Relationship Id="rId244" Type="http://schemas.openxmlformats.org/officeDocument/2006/relationships/chart" Target="charts/chart66.xml"/><Relationship Id="rId18" Type="http://schemas.openxmlformats.org/officeDocument/2006/relationships/footer" Target="footer5.xml"/><Relationship Id="rId39" Type="http://schemas.openxmlformats.org/officeDocument/2006/relationships/footer" Target="footer7.xml"/><Relationship Id="rId265" Type="http://schemas.openxmlformats.org/officeDocument/2006/relationships/image" Target="media/image148.png"/><Relationship Id="rId50" Type="http://schemas.openxmlformats.org/officeDocument/2006/relationships/image" Target="media/image28.emf"/><Relationship Id="rId104" Type="http://schemas.openxmlformats.org/officeDocument/2006/relationships/chart" Target="charts/chart23.xml"/><Relationship Id="rId125" Type="http://schemas.openxmlformats.org/officeDocument/2006/relationships/image" Target="media/image60.png"/><Relationship Id="rId146" Type="http://schemas.openxmlformats.org/officeDocument/2006/relationships/image" Target="media/image80.emf"/><Relationship Id="rId167" Type="http://schemas.openxmlformats.org/officeDocument/2006/relationships/image" Target="media/image101.emf"/><Relationship Id="rId188" Type="http://schemas.openxmlformats.org/officeDocument/2006/relationships/image" Target="media/image112.emf"/><Relationship Id="rId71" Type="http://schemas.openxmlformats.org/officeDocument/2006/relationships/footer" Target="footer13.xml"/><Relationship Id="rId92" Type="http://schemas.openxmlformats.org/officeDocument/2006/relationships/image" Target="media/image48.png"/><Relationship Id="rId213" Type="http://schemas.openxmlformats.org/officeDocument/2006/relationships/chart" Target="charts/chart51.xml"/><Relationship Id="rId234" Type="http://schemas.openxmlformats.org/officeDocument/2006/relationships/image" Target="media/image136.emf"/><Relationship Id="rId2" Type="http://schemas.openxmlformats.org/officeDocument/2006/relationships/numbering" Target="numbering.xml"/><Relationship Id="rId29" Type="http://schemas.openxmlformats.org/officeDocument/2006/relationships/image" Target="media/image13.emf"/><Relationship Id="rId255" Type="http://schemas.openxmlformats.org/officeDocument/2006/relationships/image" Target="media/image145.emf"/><Relationship Id="rId40" Type="http://schemas.openxmlformats.org/officeDocument/2006/relationships/image" Target="media/image21.emf"/><Relationship Id="rId115" Type="http://schemas.openxmlformats.org/officeDocument/2006/relationships/footer" Target="footer16.xml"/><Relationship Id="rId136" Type="http://schemas.openxmlformats.org/officeDocument/2006/relationships/image" Target="media/image70.png"/><Relationship Id="rId157" Type="http://schemas.openxmlformats.org/officeDocument/2006/relationships/image" Target="media/image91.emf"/><Relationship Id="rId178" Type="http://schemas.openxmlformats.org/officeDocument/2006/relationships/chart" Target="charts/chart34.xml"/><Relationship Id="rId61" Type="http://schemas.openxmlformats.org/officeDocument/2006/relationships/image" Target="media/image36.png"/><Relationship Id="rId82" Type="http://schemas.openxmlformats.org/officeDocument/2006/relationships/chart" Target="charts/chart15.xml"/><Relationship Id="rId199" Type="http://schemas.openxmlformats.org/officeDocument/2006/relationships/image" Target="media/image117.emf"/><Relationship Id="rId203" Type="http://schemas.openxmlformats.org/officeDocument/2006/relationships/image" Target="media/image119.emf"/><Relationship Id="rId19" Type="http://schemas.openxmlformats.org/officeDocument/2006/relationships/image" Target="media/image5.emf"/><Relationship Id="rId224" Type="http://schemas.openxmlformats.org/officeDocument/2006/relationships/chart" Target="charts/chart56.xml"/><Relationship Id="rId245" Type="http://schemas.openxmlformats.org/officeDocument/2006/relationships/image" Target="media/image141.emf"/><Relationship Id="rId266" Type="http://schemas.openxmlformats.org/officeDocument/2006/relationships/fontTable" Target="fontTable.xml"/><Relationship Id="rId30" Type="http://schemas.openxmlformats.org/officeDocument/2006/relationships/image" Target="media/image14.emf"/><Relationship Id="rId105" Type="http://schemas.openxmlformats.org/officeDocument/2006/relationships/chart" Target="charts/chart24.xml"/><Relationship Id="rId126" Type="http://schemas.openxmlformats.org/officeDocument/2006/relationships/image" Target="media/image61.png"/><Relationship Id="rId147" Type="http://schemas.openxmlformats.org/officeDocument/2006/relationships/image" Target="media/image81.emf"/><Relationship Id="rId168" Type="http://schemas.openxmlformats.org/officeDocument/2006/relationships/image" Target="media/image102.emf"/><Relationship Id="rId51" Type="http://schemas.openxmlformats.org/officeDocument/2006/relationships/footer" Target="footer11.xml"/><Relationship Id="rId72" Type="http://schemas.openxmlformats.org/officeDocument/2006/relationships/image" Target="media/image41.png"/><Relationship Id="rId93" Type="http://schemas.openxmlformats.org/officeDocument/2006/relationships/image" Target="media/image49.png"/><Relationship Id="rId189" Type="http://schemas.openxmlformats.org/officeDocument/2006/relationships/chart" Target="charts/chart39.xml"/><Relationship Id="rId3" Type="http://schemas.openxmlformats.org/officeDocument/2006/relationships/styles" Target="styles.xml"/><Relationship Id="rId214" Type="http://schemas.openxmlformats.org/officeDocument/2006/relationships/chart" Target="charts/chart52.xml"/><Relationship Id="rId235" Type="http://schemas.openxmlformats.org/officeDocument/2006/relationships/chart" Target="charts/chart61.xml"/><Relationship Id="rId256" Type="http://schemas.openxmlformats.org/officeDocument/2006/relationships/package" Target="embeddings/Microsoft_Excel_Worksheet1.xlsx"/><Relationship Id="rId116" Type="http://schemas.openxmlformats.org/officeDocument/2006/relationships/image" Target="media/image54.emf"/><Relationship Id="rId137" Type="http://schemas.openxmlformats.org/officeDocument/2006/relationships/image" Target="media/image71.png"/><Relationship Id="rId158" Type="http://schemas.openxmlformats.org/officeDocument/2006/relationships/image" Target="media/image92.emf"/><Relationship Id="rId20" Type="http://schemas.openxmlformats.org/officeDocument/2006/relationships/chart" Target="charts/chart1.xml"/><Relationship Id="rId41" Type="http://schemas.openxmlformats.org/officeDocument/2006/relationships/image" Target="media/image22.emf"/><Relationship Id="rId62" Type="http://schemas.openxmlformats.org/officeDocument/2006/relationships/image" Target="media/image37.png"/><Relationship Id="rId83" Type="http://schemas.openxmlformats.org/officeDocument/2006/relationships/chart" Target="charts/chart16.xml"/><Relationship Id="rId179" Type="http://schemas.openxmlformats.org/officeDocument/2006/relationships/image" Target="media/image107.emf"/><Relationship Id="rId190" Type="http://schemas.openxmlformats.org/officeDocument/2006/relationships/chart" Target="charts/chart40.xml"/><Relationship Id="rId204" Type="http://schemas.openxmlformats.org/officeDocument/2006/relationships/image" Target="media/image120.emf"/><Relationship Id="rId225" Type="http://schemas.openxmlformats.org/officeDocument/2006/relationships/image" Target="media/image131.emf"/><Relationship Id="rId246" Type="http://schemas.openxmlformats.org/officeDocument/2006/relationships/image" Target="media/image142.emf"/><Relationship Id="rId267" Type="http://schemas.openxmlformats.org/officeDocument/2006/relationships/theme" Target="theme/theme1.xml"/><Relationship Id="rId106" Type="http://schemas.openxmlformats.org/officeDocument/2006/relationships/chart" Target="charts/chart25.xml"/><Relationship Id="rId127" Type="http://schemas.openxmlformats.org/officeDocument/2006/relationships/footer" Target="footer19.xml"/><Relationship Id="rId10" Type="http://schemas.openxmlformats.org/officeDocument/2006/relationships/image" Target="media/image2.jpeg"/><Relationship Id="rId31" Type="http://schemas.openxmlformats.org/officeDocument/2006/relationships/image" Target="media/image15.emf"/><Relationship Id="rId52" Type="http://schemas.openxmlformats.org/officeDocument/2006/relationships/image" Target="media/image29.emf"/><Relationship Id="rId73" Type="http://schemas.openxmlformats.org/officeDocument/2006/relationships/chart" Target="charts/chart6.xml"/><Relationship Id="rId94" Type="http://schemas.openxmlformats.org/officeDocument/2006/relationships/chart" Target="charts/chart17.xml"/><Relationship Id="rId148" Type="http://schemas.openxmlformats.org/officeDocument/2006/relationships/image" Target="media/image82.emf"/><Relationship Id="rId169" Type="http://schemas.openxmlformats.org/officeDocument/2006/relationships/chart" Target="charts/chart29.xml"/><Relationship Id="rId4" Type="http://schemas.microsoft.com/office/2007/relationships/stylesWithEffects" Target="stylesWithEffects.xml"/><Relationship Id="rId180" Type="http://schemas.openxmlformats.org/officeDocument/2006/relationships/image" Target="media/image108.emf"/><Relationship Id="rId215" Type="http://schemas.openxmlformats.org/officeDocument/2006/relationships/image" Target="media/image125.png"/><Relationship Id="rId236" Type="http://schemas.openxmlformats.org/officeDocument/2006/relationships/chart" Target="charts/chart62.xml"/><Relationship Id="rId257" Type="http://schemas.openxmlformats.org/officeDocument/2006/relationships/image" Target="media/image146.emf"/><Relationship Id="rId42" Type="http://schemas.openxmlformats.org/officeDocument/2006/relationships/footer" Target="footer8.xml"/><Relationship Id="rId84" Type="http://schemas.openxmlformats.org/officeDocument/2006/relationships/header" Target="header7.xml"/><Relationship Id="rId138" Type="http://schemas.openxmlformats.org/officeDocument/2006/relationships/image" Target="media/image72.emf"/><Relationship Id="rId191" Type="http://schemas.openxmlformats.org/officeDocument/2006/relationships/image" Target="media/image113.emf"/><Relationship Id="rId205" Type="http://schemas.openxmlformats.org/officeDocument/2006/relationships/chart" Target="charts/chart47.xml"/><Relationship Id="rId247" Type="http://schemas.openxmlformats.org/officeDocument/2006/relationships/chart" Target="charts/chart67.xml"/><Relationship Id="rId107" Type="http://schemas.openxmlformats.org/officeDocument/2006/relationships/chart" Target="charts/chart26.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10.xml.rels><?xml version="1.0" encoding="UTF-8" standalone="yes"?>
<Relationships xmlns="http://schemas.openxmlformats.org/package/2006/relationships"><Relationship Id="rId1" Type="http://schemas.openxmlformats.org/officeDocument/2006/relationships/image" Target="media/image4.jpeg"/></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13.xml.rels><?xml version="1.0" encoding="UTF-8" standalone="yes"?>
<Relationships xmlns="http://schemas.openxmlformats.org/package/2006/relationships"><Relationship Id="rId1" Type="http://schemas.openxmlformats.org/officeDocument/2006/relationships/image" Target="media/image4.jpeg"/></Relationships>
</file>

<file path=word/_rels/footer14.xml.rels><?xml version="1.0" encoding="UTF-8" standalone="yes"?>
<Relationships xmlns="http://schemas.openxmlformats.org/package/2006/relationships"><Relationship Id="rId1" Type="http://schemas.openxmlformats.org/officeDocument/2006/relationships/image" Target="media/image4.jpeg"/></Relationships>
</file>

<file path=word/_rels/footer15.xml.rels><?xml version="1.0" encoding="UTF-8" standalone="yes"?>
<Relationships xmlns="http://schemas.openxmlformats.org/package/2006/relationships"><Relationship Id="rId1" Type="http://schemas.openxmlformats.org/officeDocument/2006/relationships/image" Target="media/image4.jpeg"/></Relationships>
</file>

<file path=word/_rels/footer16.xml.rels><?xml version="1.0" encoding="UTF-8" standalone="yes"?>
<Relationships xmlns="http://schemas.openxmlformats.org/package/2006/relationships"><Relationship Id="rId1" Type="http://schemas.openxmlformats.org/officeDocument/2006/relationships/image" Target="media/image4.jpeg"/></Relationships>
</file>

<file path=word/_rels/footer18.xml.rels><?xml version="1.0" encoding="UTF-8" standalone="yes"?>
<Relationships xmlns="http://schemas.openxmlformats.org/package/2006/relationships"><Relationship Id="rId1" Type="http://schemas.openxmlformats.org/officeDocument/2006/relationships/image" Target="media/image4.jpeg"/></Relationships>
</file>

<file path=word/_rels/footer19.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4.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4.jpeg"/></Relationships>
</file>

<file path=word/_rels/footer7.xml.rels><?xml version="1.0" encoding="UTF-8" standalone="yes"?>
<Relationships xmlns="http://schemas.openxmlformats.org/package/2006/relationships"><Relationship Id="rId1" Type="http://schemas.openxmlformats.org/officeDocument/2006/relationships/image" Target="media/image4.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footer9.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Projects\12P-0068_ML2_MetroLimaLinea2\08_Docs\Statistiche\GTU.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Projects\12P-0068_ML2_MetroLimaLinea2\08_Docs\Statistiche\INEI_Reporte%20Poblacion%202007.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Projects\12P-0068_ML2_MetroLimaLinea2\08_Docs\Statistiche\INEI_Reporte%20Poblacion%202007.xlsx" TargetMode="External"/><Relationship Id="rId1" Type="http://schemas.openxmlformats.org/officeDocument/2006/relationships/themeOverride" Target="../theme/themeOverride2.xml"/></Relationships>
</file>

<file path=word/charts/_rels/chart40.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Projects\12P-0068_ML2_MetroLimaLinea2\02_Work\Tempi%20di%20Viaggio%20Corridoio\650_TIEMPO_VIAJE.xlsx" TargetMode="External"/><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Sube%20-Baya%20y%20Grafico\Subidos%20y%20Bajados.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Projects\12P-0068_ML2_MetroLimaLinea2\02_Work\Informe3\Outputs\Outputs.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C:\Projects\12P-0068_ML2_MetroLimaLinea2\08_Docs\Statistiche\Transporte.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16454499148688"/>
          <c:y val="0.13547367930486418"/>
          <c:w val="0.85131559357924169"/>
          <c:h val="0.70145677016457564"/>
        </c:manualLayout>
      </c:layout>
      <c:lineChart>
        <c:grouping val="standard"/>
        <c:varyColors val="0"/>
        <c:ser>
          <c:idx val="0"/>
          <c:order val="0"/>
          <c:tx>
            <c:strRef>
              <c:f>Progressione!$AB$3</c:f>
              <c:strCache>
                <c:ptCount val="1"/>
                <c:pt idx="0">
                  <c:v>DO NOTHING</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Progressione!$AB$10:$AB$40</c:f>
            </c:numRef>
          </c:val>
          <c:smooth val="0"/>
        </c:ser>
        <c:ser>
          <c:idx val="1"/>
          <c:order val="1"/>
          <c:tx>
            <c:strRef>
              <c:f>Progressione!$AC$3</c:f>
              <c:strCache>
                <c:ptCount val="1"/>
                <c:pt idx="0">
                  <c:v>SITUACIÓN OPTIMIZADA</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Progressione!$AC$10:$AC$40</c:f>
              <c:numCache>
                <c:formatCode>#,##0</c:formatCode>
                <c:ptCount val="31"/>
                <c:pt idx="0">
                  <c:v>2420649.6635604072</c:v>
                </c:pt>
                <c:pt idx="1">
                  <c:v>2498645.5580670657</c:v>
                </c:pt>
                <c:pt idx="2">
                  <c:v>2579154.5628562658</c:v>
                </c:pt>
                <c:pt idx="3">
                  <c:v>2629709.6903970605</c:v>
                </c:pt>
                <c:pt idx="4">
                  <c:v>2681255.7709258897</c:v>
                </c:pt>
                <c:pt idx="5">
                  <c:v>2733812.2285421933</c:v>
                </c:pt>
                <c:pt idx="6">
                  <c:v>2787398.8680855967</c:v>
                </c:pt>
                <c:pt idx="7">
                  <c:v>2842035.8825990297</c:v>
                </c:pt>
                <c:pt idx="8">
                  <c:v>2897743.8609379451</c:v>
                </c:pt>
                <c:pt idx="9">
                  <c:v>2954543.7955289292</c:v>
                </c:pt>
                <c:pt idx="10">
                  <c:v>3012457.0902802167</c:v>
                </c:pt>
                <c:pt idx="11">
                  <c:v>3071505.5686473199</c:v>
                </c:pt>
                <c:pt idx="12">
                  <c:v>3131711.481856849</c:v>
                </c:pt>
                <c:pt idx="13">
                  <c:v>3193097.5172912297</c:v>
                </c:pt>
                <c:pt idx="14">
                  <c:v>3255686.8070382103</c:v>
                </c:pt>
                <c:pt idx="15">
                  <c:v>3319502.9366075867</c:v>
                </c:pt>
                <c:pt idx="16">
                  <c:v>3384569.9538189969</c:v>
                </c:pt>
                <c:pt idx="17">
                  <c:v>3450912.3778637853</c:v>
                </c:pt>
                <c:pt idx="18">
                  <c:v>3518555.2085446287</c:v>
                </c:pt>
                <c:pt idx="19">
                  <c:v>3587523.9356961753</c:v>
                </c:pt>
                <c:pt idx="20">
                  <c:v>3657844.5487903822</c:v>
                </c:pt>
                <c:pt idx="21">
                  <c:v>3729543.5467301332</c:v>
                </c:pt>
                <c:pt idx="22">
                  <c:v>3802647.9478347539</c:v>
                </c:pt>
                <c:pt idx="23">
                  <c:v>3877185.3000214444</c:v>
                </c:pt>
                <c:pt idx="24">
                  <c:v>3953183.6911860309</c:v>
                </c:pt>
                <c:pt idx="25">
                  <c:v>4030671.7597873872</c:v>
                </c:pt>
                <c:pt idx="26">
                  <c:v>4109678.7056392287</c:v>
                </c:pt>
                <c:pt idx="27">
                  <c:v>4190234.3009135067</c:v>
                </c:pt>
                <c:pt idx="28">
                  <c:v>4272368.9013594603</c:v>
                </c:pt>
                <c:pt idx="29">
                  <c:v>4356113.4577424275</c:v>
                </c:pt>
                <c:pt idx="30">
                  <c:v>4441499.5275072707</c:v>
                </c:pt>
              </c:numCache>
            </c:numRef>
          </c:val>
          <c:smooth val="1"/>
        </c:ser>
        <c:ser>
          <c:idx val="2"/>
          <c:order val="2"/>
          <c:tx>
            <c:strRef>
              <c:f>Progressione!$AD$3</c:f>
              <c:strCache>
                <c:ptCount val="1"/>
                <c:pt idx="0">
                  <c:v>PROYECTO</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Progressione!$AD$10:$AD$40</c:f>
              <c:numCache>
                <c:formatCode>#,##0</c:formatCode>
                <c:ptCount val="31"/>
                <c:pt idx="0">
                  <c:v>2378810.1474889591</c:v>
                </c:pt>
                <c:pt idx="1">
                  <c:v>2427874.0760375317</c:v>
                </c:pt>
                <c:pt idx="2">
                  <c:v>2477949.9681037068</c:v>
                </c:pt>
                <c:pt idx="3">
                  <c:v>2522603.1140396097</c:v>
                </c:pt>
                <c:pt idx="4">
                  <c:v>2568060.9184502643</c:v>
                </c:pt>
                <c:pt idx="5">
                  <c:v>2614337.8814398088</c:v>
                </c:pt>
                <c:pt idx="6">
                  <c:v>2661448.7644068971</c:v>
                </c:pt>
                <c:pt idx="7">
                  <c:v>2709408.5947536244</c:v>
                </c:pt>
                <c:pt idx="8">
                  <c:v>2758232.6706787907</c:v>
                </c:pt>
                <c:pt idx="9">
                  <c:v>2807936.5660577547</c:v>
                </c:pt>
                <c:pt idx="10">
                  <c:v>2858536.1354101687</c:v>
                </c:pt>
                <c:pt idx="11">
                  <c:v>2910047.518957214</c:v>
                </c:pt>
                <c:pt idx="12">
                  <c:v>2962487.1477701934</c:v>
                </c:pt>
                <c:pt idx="13">
                  <c:v>3015871.7490112479</c:v>
                </c:pt>
                <c:pt idx="14">
                  <c:v>3070218.3512695483</c:v>
                </c:pt>
                <c:pt idx="15">
                  <c:v>3125544.2899926682</c:v>
                </c:pt>
                <c:pt idx="16">
                  <c:v>3181867.213016374</c:v>
                </c:pt>
                <c:pt idx="17">
                  <c:v>3239205.0861939127</c:v>
                </c:pt>
                <c:pt idx="18">
                  <c:v>3297576.1991267353</c:v>
                </c:pt>
                <c:pt idx="19">
                  <c:v>3356999.1709985114</c:v>
                </c:pt>
                <c:pt idx="20">
                  <c:v>3417492.9565142617</c:v>
                </c:pt>
                <c:pt idx="21">
                  <c:v>3479076.8519465253</c:v>
                </c:pt>
                <c:pt idx="22">
                  <c:v>3541770.5012904722</c:v>
                </c:pt>
                <c:pt idx="23">
                  <c:v>3605593.9025298953</c:v>
                </c:pt>
                <c:pt idx="24">
                  <c:v>3670567.4140162468</c:v>
                </c:pt>
                <c:pt idx="25">
                  <c:v>3736711.7609624388</c:v>
                </c:pt>
                <c:pt idx="26">
                  <c:v>3804048.0420538057</c:v>
                </c:pt>
                <c:pt idx="27">
                  <c:v>3872597.7361781499</c:v>
                </c:pt>
                <c:pt idx="28">
                  <c:v>3942382.7092770482</c:v>
                </c:pt>
                <c:pt idx="29">
                  <c:v>4013425.2213206482</c:v>
                </c:pt>
                <c:pt idx="30">
                  <c:v>4085747.9334081267</c:v>
                </c:pt>
              </c:numCache>
            </c:numRef>
          </c:val>
          <c:smooth val="0"/>
        </c:ser>
        <c:ser>
          <c:idx val="3"/>
          <c:order val="3"/>
          <c:tx>
            <c:strRef>
              <c:f>Progressione!$AE$3</c:f>
              <c:strCache>
                <c:ptCount val="1"/>
                <c:pt idx="0">
                  <c:v>PROYECTO + RED BASICA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Progressione!$AE$10:$AE$40</c:f>
              <c:numCache>
                <c:formatCode>General</c:formatCode>
                <c:ptCount val="31"/>
                <c:pt idx="12" formatCode="#,##0.00">
                  <c:v>2768213.8052403247</c:v>
                </c:pt>
                <c:pt idx="13" formatCode="#,##0">
                  <c:v>2818097.5626277877</c:v>
                </c:pt>
                <c:pt idx="14" formatCode="#,##0">
                  <c:v>2868880.2351374617</c:v>
                </c:pt>
                <c:pt idx="15" formatCode="#,##0">
                  <c:v>2920578.0213967212</c:v>
                </c:pt>
                <c:pt idx="16" formatCode="#,##0">
                  <c:v>2973207.4119353658</c:v>
                </c:pt>
                <c:pt idx="17" formatCode="#,##0">
                  <c:v>3026785.1944457847</c:v>
                </c:pt>
                <c:pt idx="18" formatCode="#,##0">
                  <c:v>3081328.4591379357</c:v>
                </c:pt>
                <c:pt idx="19" formatCode="#,##0">
                  <c:v>3136854.6041906397</c:v>
                </c:pt>
                <c:pt idx="20" formatCode="#,##0">
                  <c:v>3193381.3413013667</c:v>
                </c:pt>
                <c:pt idx="21" formatCode="#,##0">
                  <c:v>3250926.7013358981</c:v>
                </c:pt>
                <c:pt idx="22" formatCode="#,##0">
                  <c:v>3309509.040079684</c:v>
                </c:pt>
                <c:pt idx="23" formatCode="#,##0">
                  <c:v>3369147.0440930934</c:v>
                </c:pt>
                <c:pt idx="24" formatCode="#,##0">
                  <c:v>3429859.7366719758</c:v>
                </c:pt>
                <c:pt idx="25" formatCode="#,##0">
                  <c:v>3491666.4839157057</c:v>
                </c:pt>
                <c:pt idx="26" formatCode="#,##0">
                  <c:v>3554587.0009046067</c:v>
                </c:pt>
                <c:pt idx="27" formatCode="#,##0">
                  <c:v>3618641.3579886057</c:v>
                </c:pt>
                <c:pt idx="28" formatCode="#,##0">
                  <c:v>3683849.9871892687</c:v>
                </c:pt>
                <c:pt idx="29" formatCode="#,##0">
                  <c:v>3750233.6887172507</c:v>
                </c:pt>
                <c:pt idx="30" formatCode="#,##0">
                  <c:v>3817813.6376070557</c:v>
                </c:pt>
              </c:numCache>
            </c:numRef>
          </c:val>
          <c:smooth val="1"/>
        </c:ser>
        <c:dLbls>
          <c:showLegendKey val="0"/>
          <c:showVal val="0"/>
          <c:showCatName val="0"/>
          <c:showSerName val="0"/>
          <c:showPercent val="0"/>
          <c:showBubbleSize val="0"/>
        </c:dLbls>
        <c:marker val="1"/>
        <c:smooth val="0"/>
        <c:axId val="422790656"/>
        <c:axId val="422792576"/>
      </c:lineChart>
      <c:catAx>
        <c:axId val="422790656"/>
        <c:scaling>
          <c:orientation val="minMax"/>
        </c:scaling>
        <c:delete val="0"/>
        <c:axPos val="b"/>
        <c:numFmt formatCode="General" sourceLinked="1"/>
        <c:majorTickMark val="out"/>
        <c:minorTickMark val="none"/>
        <c:tickLblPos val="nextTo"/>
        <c:txPr>
          <a:bodyPr rot="-5400000" vert="horz"/>
          <a:lstStyle/>
          <a:p>
            <a:pPr>
              <a:defRPr>
                <a:latin typeface="Arial" pitchFamily="34" charset="0"/>
                <a:cs typeface="Arial" pitchFamily="34" charset="0"/>
              </a:defRPr>
            </a:pPr>
            <a:endParaRPr lang="en-US"/>
          </a:p>
        </c:txPr>
        <c:crossAx val="422792576"/>
        <c:crosses val="autoZero"/>
        <c:auto val="1"/>
        <c:lblAlgn val="ctr"/>
        <c:lblOffset val="100"/>
        <c:noMultiLvlLbl val="0"/>
      </c:catAx>
      <c:valAx>
        <c:axId val="422792576"/>
        <c:scaling>
          <c:orientation val="minMax"/>
          <c:max val="6000000"/>
          <c:min val="0"/>
        </c:scaling>
        <c:delete val="0"/>
        <c:axPos val="l"/>
        <c:majorGridlines/>
        <c:title>
          <c:tx>
            <c:rich>
              <a:bodyPr rot="0" vert="horz"/>
              <a:lstStyle/>
              <a:p>
                <a:pPr algn="l">
                  <a:defRPr/>
                </a:pPr>
                <a:r>
                  <a:rPr lang="it-IT"/>
                  <a:t>Tiempo Total de Viaje [horas/año *1000]</a:t>
                </a:r>
              </a:p>
            </c:rich>
          </c:tx>
          <c:layout>
            <c:manualLayout>
              <c:xMode val="edge"/>
              <c:yMode val="edge"/>
              <c:x val="1.4300624839801287E-3"/>
              <c:y val="2.7640867987536392E-4"/>
            </c:manualLayout>
          </c:layout>
          <c:overlay val="0"/>
        </c:title>
        <c:numFmt formatCode="#,##0" sourceLinked="1"/>
        <c:majorTickMark val="out"/>
        <c:minorTickMark val="none"/>
        <c:tickLblPos val="nextTo"/>
        <c:txPr>
          <a:bodyPr/>
          <a:lstStyle/>
          <a:p>
            <a:pPr>
              <a:defRPr>
                <a:latin typeface="Arial" pitchFamily="34" charset="0"/>
                <a:cs typeface="Arial" pitchFamily="34" charset="0"/>
              </a:defRPr>
            </a:pPr>
            <a:endParaRPr lang="en-US"/>
          </a:p>
        </c:txPr>
        <c:crossAx val="422790656"/>
        <c:crosses val="autoZero"/>
        <c:crossBetween val="between"/>
        <c:majorUnit val="500000"/>
      </c:valAx>
    </c:plotArea>
    <c:legend>
      <c:legendPos val="r"/>
      <c:layout>
        <c:manualLayout>
          <c:xMode val="edge"/>
          <c:yMode val="edge"/>
          <c:x val="0.59917956074330758"/>
          <c:y val="0.67156027878708013"/>
          <c:w val="0.37839435914299907"/>
          <c:h val="0.14608707862134521"/>
        </c:manualLayout>
      </c:layout>
      <c:overlay val="0"/>
      <c:spPr>
        <a:solidFill>
          <a:sysClr val="window" lastClr="FFFFFF"/>
        </a:solidFill>
      </c:spPr>
    </c:legend>
    <c:plotVisOnly val="1"/>
    <c:dispBlanksAs val="gap"/>
    <c:showDLblsOverMax val="0"/>
  </c:chart>
  <c:spPr>
    <a:solidFill>
      <a:schemeClr val="bg1"/>
    </a:solidFill>
    <a:ln>
      <a:noFill/>
    </a:ln>
  </c:spPr>
  <c:txPr>
    <a:bodyPr/>
    <a:lstStyle/>
    <a:p>
      <a:pPr>
        <a:defRPr sz="900">
          <a:latin typeface="Arial Narrow"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988470479373162E-2"/>
          <c:y val="4.6531028991059847E-2"/>
          <c:w val="0.91113491382325318"/>
          <c:h val="0.48758838203338062"/>
        </c:manualLayout>
      </c:layout>
      <c:barChart>
        <c:barDir val="col"/>
        <c:grouping val="clustered"/>
        <c:varyColors val="0"/>
        <c:ser>
          <c:idx val="0"/>
          <c:order val="0"/>
          <c:tx>
            <c:v>HPM</c:v>
          </c:tx>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TARYET!$K$64:$K$88</c:f>
              <c:numCache>
                <c:formatCode>0.00</c:formatCode>
                <c:ptCount val="25"/>
                <c:pt idx="1">
                  <c:v>2.5</c:v>
                </c:pt>
                <c:pt idx="2">
                  <c:v>3</c:v>
                </c:pt>
                <c:pt idx="3">
                  <c:v>7</c:v>
                </c:pt>
                <c:pt idx="4">
                  <c:v>5</c:v>
                </c:pt>
                <c:pt idx="5">
                  <c:v>3</c:v>
                </c:pt>
                <c:pt idx="6">
                  <c:v>2</c:v>
                </c:pt>
                <c:pt idx="7">
                  <c:v>2.56</c:v>
                </c:pt>
                <c:pt idx="8">
                  <c:v>14</c:v>
                </c:pt>
                <c:pt idx="9">
                  <c:v>5</c:v>
                </c:pt>
                <c:pt idx="10">
                  <c:v>1</c:v>
                </c:pt>
                <c:pt idx="11">
                  <c:v>0.98</c:v>
                </c:pt>
                <c:pt idx="12">
                  <c:v>3</c:v>
                </c:pt>
                <c:pt idx="13">
                  <c:v>5</c:v>
                </c:pt>
                <c:pt idx="14">
                  <c:v>4</c:v>
                </c:pt>
                <c:pt idx="15">
                  <c:v>4</c:v>
                </c:pt>
                <c:pt idx="16">
                  <c:v>3</c:v>
                </c:pt>
                <c:pt idx="17">
                  <c:v>8</c:v>
                </c:pt>
                <c:pt idx="18">
                  <c:v>7.89</c:v>
                </c:pt>
                <c:pt idx="19">
                  <c:v>2</c:v>
                </c:pt>
                <c:pt idx="20">
                  <c:v>2</c:v>
                </c:pt>
                <c:pt idx="21">
                  <c:v>5</c:v>
                </c:pt>
                <c:pt idx="22">
                  <c:v>3.4499999999999997</c:v>
                </c:pt>
                <c:pt idx="23">
                  <c:v>2.4899999999999998</c:v>
                </c:pt>
                <c:pt idx="24">
                  <c:v>1.27</c:v>
                </c:pt>
              </c:numCache>
            </c:numRef>
          </c:val>
        </c:ser>
        <c:ser>
          <c:idx val="1"/>
          <c:order val="1"/>
          <c:tx>
            <c:v>HPT</c:v>
          </c:tx>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TARYET!$L$64:$L$88</c:f>
              <c:numCache>
                <c:formatCode>0.00</c:formatCode>
                <c:ptCount val="25"/>
                <c:pt idx="1">
                  <c:v>2.7600000000000002</c:v>
                </c:pt>
                <c:pt idx="2">
                  <c:v>2</c:v>
                </c:pt>
                <c:pt idx="3">
                  <c:v>4</c:v>
                </c:pt>
                <c:pt idx="4">
                  <c:v>4.55</c:v>
                </c:pt>
                <c:pt idx="5">
                  <c:v>2.5</c:v>
                </c:pt>
                <c:pt idx="6">
                  <c:v>2</c:v>
                </c:pt>
                <c:pt idx="7">
                  <c:v>8.67</c:v>
                </c:pt>
                <c:pt idx="8">
                  <c:v>12</c:v>
                </c:pt>
                <c:pt idx="9">
                  <c:v>8.33</c:v>
                </c:pt>
                <c:pt idx="10">
                  <c:v>3</c:v>
                </c:pt>
                <c:pt idx="11">
                  <c:v>2.5</c:v>
                </c:pt>
                <c:pt idx="12">
                  <c:v>4</c:v>
                </c:pt>
                <c:pt idx="13">
                  <c:v>10</c:v>
                </c:pt>
                <c:pt idx="14">
                  <c:v>8</c:v>
                </c:pt>
                <c:pt idx="15">
                  <c:v>22</c:v>
                </c:pt>
                <c:pt idx="16">
                  <c:v>2.3499999999999988</c:v>
                </c:pt>
                <c:pt idx="17">
                  <c:v>12.8</c:v>
                </c:pt>
                <c:pt idx="18">
                  <c:v>8</c:v>
                </c:pt>
                <c:pt idx="19">
                  <c:v>3.23</c:v>
                </c:pt>
                <c:pt idx="20">
                  <c:v>4</c:v>
                </c:pt>
                <c:pt idx="21">
                  <c:v>3.84</c:v>
                </c:pt>
                <c:pt idx="22">
                  <c:v>4.21</c:v>
                </c:pt>
                <c:pt idx="23">
                  <c:v>1.9800000000000371</c:v>
                </c:pt>
                <c:pt idx="24">
                  <c:v>2.23</c:v>
                </c:pt>
              </c:numCache>
            </c:numRef>
          </c:val>
        </c:ser>
        <c:dLbls>
          <c:showLegendKey val="0"/>
          <c:showVal val="0"/>
          <c:showCatName val="0"/>
          <c:showSerName val="0"/>
          <c:showPercent val="0"/>
          <c:showBubbleSize val="0"/>
        </c:dLbls>
        <c:gapWidth val="300"/>
        <c:axId val="215779200"/>
        <c:axId val="215801856"/>
      </c:barChart>
      <c:catAx>
        <c:axId val="215779200"/>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15801856"/>
        <c:crosses val="autoZero"/>
        <c:auto val="1"/>
        <c:lblAlgn val="ctr"/>
        <c:lblOffset val="100"/>
        <c:noMultiLvlLbl val="0"/>
      </c:catAx>
      <c:valAx>
        <c:axId val="215801856"/>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overlay val="0"/>
        </c:title>
        <c:numFmt formatCode="0.00" sourceLinked="1"/>
        <c:majorTickMark val="out"/>
        <c:minorTickMark val="none"/>
        <c:tickLblPos val="nextTo"/>
        <c:txPr>
          <a:bodyPr/>
          <a:lstStyle/>
          <a:p>
            <a:pPr>
              <a:defRPr lang="es-MX"/>
            </a:pPr>
            <a:endParaRPr lang="en-US"/>
          </a:p>
        </c:txPr>
        <c:crossAx val="215779200"/>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723784989194523E-2"/>
          <c:y val="4.6570064328530301E-2"/>
          <c:w val="0.93309839358181368"/>
          <c:h val="0.86451044822555712"/>
        </c:manualLayout>
      </c:layout>
      <c:barChart>
        <c:barDir val="col"/>
        <c:grouping val="clustered"/>
        <c:varyColors val="0"/>
        <c:ser>
          <c:idx val="0"/>
          <c:order val="0"/>
          <c:tx>
            <c:v>HPM</c:v>
          </c:tx>
          <c:invertIfNegative val="0"/>
          <c:cat>
            <c:strRef>
              <c:f>TARYET!$C$95:$C$119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TARYET!$I$95:$I$119</c:f>
              <c:numCache>
                <c:formatCode>0.00</c:formatCode>
                <c:ptCount val="25"/>
                <c:pt idx="1">
                  <c:v>9.4</c:v>
                </c:pt>
                <c:pt idx="2">
                  <c:v>16.399999999999999</c:v>
                </c:pt>
                <c:pt idx="3">
                  <c:v>11.76</c:v>
                </c:pt>
                <c:pt idx="4">
                  <c:v>42.800000000000004</c:v>
                </c:pt>
                <c:pt idx="5">
                  <c:v>20.2</c:v>
                </c:pt>
                <c:pt idx="6">
                  <c:v>20</c:v>
                </c:pt>
                <c:pt idx="7">
                  <c:v>24.3</c:v>
                </c:pt>
                <c:pt idx="8">
                  <c:v>42</c:v>
                </c:pt>
                <c:pt idx="9">
                  <c:v>24.2</c:v>
                </c:pt>
                <c:pt idx="10">
                  <c:v>7.2857142857142874</c:v>
                </c:pt>
                <c:pt idx="11">
                  <c:v>4.1538461538461515</c:v>
                </c:pt>
                <c:pt idx="12">
                  <c:v>16.599999999999987</c:v>
                </c:pt>
                <c:pt idx="13">
                  <c:v>8.4</c:v>
                </c:pt>
                <c:pt idx="14">
                  <c:v>3.9</c:v>
                </c:pt>
                <c:pt idx="15">
                  <c:v>12</c:v>
                </c:pt>
                <c:pt idx="16">
                  <c:v>7.05</c:v>
                </c:pt>
                <c:pt idx="17">
                  <c:v>9.3750000000000266</c:v>
                </c:pt>
                <c:pt idx="18">
                  <c:v>9.75</c:v>
                </c:pt>
                <c:pt idx="19">
                  <c:v>21.200000000000003</c:v>
                </c:pt>
                <c:pt idx="20">
                  <c:v>19.950000000000003</c:v>
                </c:pt>
                <c:pt idx="21">
                  <c:v>23.759999999999987</c:v>
                </c:pt>
                <c:pt idx="22">
                  <c:v>23.8</c:v>
                </c:pt>
                <c:pt idx="23">
                  <c:v>11.419354838710024</c:v>
                </c:pt>
                <c:pt idx="24">
                  <c:v>17.618069815195074</c:v>
                </c:pt>
              </c:numCache>
            </c:numRef>
          </c:val>
        </c:ser>
        <c:ser>
          <c:idx val="1"/>
          <c:order val="1"/>
          <c:tx>
            <c:v>HPT</c:v>
          </c:tx>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TARYET!$J$95:$J$119</c:f>
              <c:numCache>
                <c:formatCode>0.00</c:formatCode>
                <c:ptCount val="25"/>
                <c:pt idx="1">
                  <c:v>8.7037037037036988</c:v>
                </c:pt>
                <c:pt idx="2">
                  <c:v>18.996138996138889</c:v>
                </c:pt>
                <c:pt idx="3">
                  <c:v>12.024539877300874</c:v>
                </c:pt>
                <c:pt idx="4">
                  <c:v>36.271186440677965</c:v>
                </c:pt>
                <c:pt idx="5">
                  <c:v>12.120000000000001</c:v>
                </c:pt>
                <c:pt idx="6">
                  <c:v>14.251781472684087</c:v>
                </c:pt>
                <c:pt idx="7">
                  <c:v>36.679245283018872</c:v>
                </c:pt>
                <c:pt idx="8">
                  <c:v>28</c:v>
                </c:pt>
                <c:pt idx="9">
                  <c:v>21.228070175438599</c:v>
                </c:pt>
                <c:pt idx="10">
                  <c:v>10.200000000000001</c:v>
                </c:pt>
                <c:pt idx="11">
                  <c:v>6.75</c:v>
                </c:pt>
                <c:pt idx="12">
                  <c:v>12.450000000000006</c:v>
                </c:pt>
                <c:pt idx="13">
                  <c:v>5.2336448598130874</c:v>
                </c:pt>
                <c:pt idx="14">
                  <c:v>3.5294117647058831</c:v>
                </c:pt>
                <c:pt idx="15">
                  <c:v>10.714285714285715</c:v>
                </c:pt>
                <c:pt idx="16">
                  <c:v>5.64</c:v>
                </c:pt>
                <c:pt idx="17">
                  <c:v>15.000000000000002</c:v>
                </c:pt>
                <c:pt idx="18">
                  <c:v>7.2625698324022352</c:v>
                </c:pt>
                <c:pt idx="19">
                  <c:v>19.813084112149635</c:v>
                </c:pt>
                <c:pt idx="20">
                  <c:v>15.96</c:v>
                </c:pt>
                <c:pt idx="21">
                  <c:v>23.759999999999987</c:v>
                </c:pt>
                <c:pt idx="22">
                  <c:v>22.488188976376833</c:v>
                </c:pt>
                <c:pt idx="23">
                  <c:v>17.744360902255639</c:v>
                </c:pt>
                <c:pt idx="24">
                  <c:v>16.097560975609756</c:v>
                </c:pt>
              </c:numCache>
            </c:numRef>
          </c:val>
        </c:ser>
        <c:dLbls>
          <c:showLegendKey val="0"/>
          <c:showVal val="0"/>
          <c:showCatName val="0"/>
          <c:showSerName val="0"/>
          <c:showPercent val="0"/>
          <c:showBubbleSize val="0"/>
        </c:dLbls>
        <c:gapWidth val="300"/>
        <c:axId val="215818624"/>
        <c:axId val="215820160"/>
      </c:barChart>
      <c:catAx>
        <c:axId val="215818624"/>
        <c:scaling>
          <c:orientation val="minMax"/>
        </c:scaling>
        <c:delete val="1"/>
        <c:axPos val="b"/>
        <c:majorTickMark val="none"/>
        <c:minorTickMark val="none"/>
        <c:tickLblPos val="none"/>
        <c:crossAx val="215820160"/>
        <c:crosses val="autoZero"/>
        <c:auto val="1"/>
        <c:lblAlgn val="ctr"/>
        <c:lblOffset val="100"/>
        <c:noMultiLvlLbl val="0"/>
      </c:catAx>
      <c:valAx>
        <c:axId val="215820160"/>
        <c:scaling>
          <c:orientation val="minMax"/>
          <c:max val="50"/>
        </c:scaling>
        <c:delete val="0"/>
        <c:axPos val="l"/>
        <c:majorGridlines/>
        <c:minorGridlines/>
        <c:title>
          <c:tx>
            <c:rich>
              <a:bodyPr/>
              <a:lstStyle/>
              <a:p>
                <a:pPr>
                  <a:defRPr lang="es-MX"/>
                </a:pPr>
                <a:r>
                  <a:rPr lang="en-US"/>
                  <a:t>Velocidad [km/h]</a:t>
                </a:r>
              </a:p>
            </c:rich>
          </c:tx>
          <c:overlay val="0"/>
        </c:title>
        <c:numFmt formatCode="0.00" sourceLinked="1"/>
        <c:majorTickMark val="out"/>
        <c:minorTickMark val="none"/>
        <c:tickLblPos val="nextTo"/>
        <c:txPr>
          <a:bodyPr/>
          <a:lstStyle/>
          <a:p>
            <a:pPr>
              <a:defRPr lang="es-MX"/>
            </a:pPr>
            <a:endParaRPr lang="en-US"/>
          </a:p>
        </c:txPr>
        <c:crossAx val="215818624"/>
        <c:crosses val="autoZero"/>
        <c:crossBetween val="between"/>
        <c:majorUnit val="5"/>
        <c:minorUnit val="5"/>
      </c:valAx>
    </c:plotArea>
    <c:legend>
      <c:legendPos val="r"/>
      <c:layout>
        <c:manualLayout>
          <c:xMode val="edge"/>
          <c:yMode val="edge"/>
          <c:x val="0.9146646684909171"/>
          <c:y val="4.7462149148258824E-2"/>
          <c:w val="6.9843067725013724E-2"/>
          <c:h val="0.15452190562000226"/>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499220188761972E-2"/>
          <c:y val="4.6531028991059847E-2"/>
          <c:w val="0.93397722498841462"/>
          <c:h val="0.50000379503009451"/>
        </c:manualLayout>
      </c:layout>
      <c:barChart>
        <c:barDir val="col"/>
        <c:grouping val="clustered"/>
        <c:varyColors val="0"/>
        <c:ser>
          <c:idx val="0"/>
          <c:order val="0"/>
          <c:tx>
            <c:v>HPM</c:v>
          </c:tx>
          <c:invertIfNegative val="0"/>
          <c:cat>
            <c:strRef>
              <c:f>TARYET!$C$95:$C$119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TARYET!$K$95:$K$119</c:f>
              <c:numCache>
                <c:formatCode>0.00</c:formatCode>
                <c:ptCount val="25"/>
                <c:pt idx="1">
                  <c:v>3</c:v>
                </c:pt>
                <c:pt idx="2">
                  <c:v>3</c:v>
                </c:pt>
                <c:pt idx="3">
                  <c:v>5</c:v>
                </c:pt>
                <c:pt idx="4">
                  <c:v>3</c:v>
                </c:pt>
                <c:pt idx="5">
                  <c:v>3</c:v>
                </c:pt>
                <c:pt idx="6">
                  <c:v>3</c:v>
                </c:pt>
                <c:pt idx="7">
                  <c:v>4</c:v>
                </c:pt>
                <c:pt idx="8">
                  <c:v>2</c:v>
                </c:pt>
                <c:pt idx="9">
                  <c:v>3</c:v>
                </c:pt>
                <c:pt idx="10">
                  <c:v>7</c:v>
                </c:pt>
                <c:pt idx="11">
                  <c:v>13</c:v>
                </c:pt>
                <c:pt idx="12">
                  <c:v>3</c:v>
                </c:pt>
                <c:pt idx="13">
                  <c:v>2</c:v>
                </c:pt>
                <c:pt idx="14">
                  <c:v>2</c:v>
                </c:pt>
                <c:pt idx="15">
                  <c:v>1</c:v>
                </c:pt>
                <c:pt idx="16">
                  <c:v>4</c:v>
                </c:pt>
                <c:pt idx="17">
                  <c:v>8</c:v>
                </c:pt>
                <c:pt idx="18">
                  <c:v>4</c:v>
                </c:pt>
                <c:pt idx="19">
                  <c:v>3</c:v>
                </c:pt>
                <c:pt idx="20">
                  <c:v>4</c:v>
                </c:pt>
                <c:pt idx="21">
                  <c:v>5</c:v>
                </c:pt>
                <c:pt idx="22">
                  <c:v>6</c:v>
                </c:pt>
                <c:pt idx="23">
                  <c:v>6.2</c:v>
                </c:pt>
                <c:pt idx="24">
                  <c:v>4.87</c:v>
                </c:pt>
              </c:numCache>
            </c:numRef>
          </c:val>
        </c:ser>
        <c:ser>
          <c:idx val="1"/>
          <c:order val="1"/>
          <c:tx>
            <c:v>HPT</c:v>
          </c:tx>
          <c:invertIfNegative val="0"/>
          <c:cat>
            <c:strRef>
              <c:f>TARYET!$C$95:$C$119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TARYET!$L$95:$L$119</c:f>
              <c:numCache>
                <c:formatCode>0.00</c:formatCode>
                <c:ptCount val="25"/>
                <c:pt idx="1">
                  <c:v>3.24</c:v>
                </c:pt>
                <c:pt idx="2">
                  <c:v>2.59</c:v>
                </c:pt>
                <c:pt idx="3">
                  <c:v>4.8899999999999997</c:v>
                </c:pt>
                <c:pt idx="4">
                  <c:v>3.54</c:v>
                </c:pt>
                <c:pt idx="5">
                  <c:v>5</c:v>
                </c:pt>
                <c:pt idx="6">
                  <c:v>4.21</c:v>
                </c:pt>
                <c:pt idx="7">
                  <c:v>2.65</c:v>
                </c:pt>
                <c:pt idx="8">
                  <c:v>3</c:v>
                </c:pt>
                <c:pt idx="9">
                  <c:v>3.42</c:v>
                </c:pt>
                <c:pt idx="10">
                  <c:v>5</c:v>
                </c:pt>
                <c:pt idx="11">
                  <c:v>8</c:v>
                </c:pt>
                <c:pt idx="12">
                  <c:v>4</c:v>
                </c:pt>
                <c:pt idx="13">
                  <c:v>3.21</c:v>
                </c:pt>
                <c:pt idx="14">
                  <c:v>2.21</c:v>
                </c:pt>
                <c:pt idx="15">
                  <c:v>1.1200000000000001</c:v>
                </c:pt>
                <c:pt idx="16">
                  <c:v>5</c:v>
                </c:pt>
                <c:pt idx="17">
                  <c:v>5</c:v>
                </c:pt>
                <c:pt idx="18">
                  <c:v>5.37</c:v>
                </c:pt>
                <c:pt idx="19">
                  <c:v>3.21</c:v>
                </c:pt>
                <c:pt idx="20">
                  <c:v>5</c:v>
                </c:pt>
                <c:pt idx="21">
                  <c:v>5</c:v>
                </c:pt>
                <c:pt idx="22">
                  <c:v>6.35</c:v>
                </c:pt>
                <c:pt idx="23">
                  <c:v>3.9899999999999998</c:v>
                </c:pt>
                <c:pt idx="24">
                  <c:v>5.33</c:v>
                </c:pt>
              </c:numCache>
            </c:numRef>
          </c:val>
        </c:ser>
        <c:dLbls>
          <c:showLegendKey val="0"/>
          <c:showVal val="0"/>
          <c:showCatName val="0"/>
          <c:showSerName val="0"/>
          <c:showPercent val="0"/>
          <c:showBubbleSize val="0"/>
        </c:dLbls>
        <c:gapWidth val="300"/>
        <c:axId val="215841792"/>
        <c:axId val="215852160"/>
      </c:barChart>
      <c:catAx>
        <c:axId val="215841792"/>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15852160"/>
        <c:crosses val="autoZero"/>
        <c:auto val="1"/>
        <c:lblAlgn val="ctr"/>
        <c:lblOffset val="100"/>
        <c:noMultiLvlLbl val="0"/>
      </c:catAx>
      <c:valAx>
        <c:axId val="215852160"/>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6.3115144988106914E-3"/>
              <c:y val="9.1517975737547705E-2"/>
            </c:manualLayout>
          </c:layout>
          <c:overlay val="0"/>
        </c:title>
        <c:numFmt formatCode="0.00" sourceLinked="1"/>
        <c:majorTickMark val="out"/>
        <c:minorTickMark val="none"/>
        <c:tickLblPos val="nextTo"/>
        <c:txPr>
          <a:bodyPr/>
          <a:lstStyle/>
          <a:p>
            <a:pPr>
              <a:defRPr lang="es-MX"/>
            </a:pPr>
            <a:endParaRPr lang="en-US"/>
          </a:p>
        </c:txPr>
        <c:crossAx val="215841792"/>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651981396625191E-2"/>
          <c:y val="4.6570064328530301E-2"/>
          <c:w val="0.920346917112837"/>
          <c:h val="0.88797515241573333"/>
        </c:manualLayout>
      </c:layout>
      <c:barChart>
        <c:barDir val="col"/>
        <c:grouping val="clustered"/>
        <c:varyColors val="0"/>
        <c:ser>
          <c:idx val="0"/>
          <c:order val="0"/>
          <c:tx>
            <c:v>HPM</c:v>
          </c:tx>
          <c:spPr>
            <a:solidFill>
              <a:srgbClr val="FFC000"/>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TARYET!$I$126:$I$143</c:f>
              <c:numCache>
                <c:formatCode>0.00</c:formatCode>
                <c:ptCount val="18"/>
                <c:pt idx="1">
                  <c:v>22.32</c:v>
                </c:pt>
                <c:pt idx="2">
                  <c:v>15.7</c:v>
                </c:pt>
                <c:pt idx="3">
                  <c:v>31.800000000000004</c:v>
                </c:pt>
                <c:pt idx="4">
                  <c:v>14.4</c:v>
                </c:pt>
                <c:pt idx="6">
                  <c:v>11.666666666666726</c:v>
                </c:pt>
                <c:pt idx="7">
                  <c:v>44.800000000000004</c:v>
                </c:pt>
                <c:pt idx="8">
                  <c:v>29</c:v>
                </c:pt>
                <c:pt idx="9">
                  <c:v>24.599999999999987</c:v>
                </c:pt>
                <c:pt idx="10">
                  <c:v>28.650000000000031</c:v>
                </c:pt>
                <c:pt idx="11">
                  <c:v>55.2</c:v>
                </c:pt>
                <c:pt idx="12">
                  <c:v>20.85</c:v>
                </c:pt>
                <c:pt idx="13">
                  <c:v>27.4</c:v>
                </c:pt>
                <c:pt idx="14">
                  <c:v>46.800000000000004</c:v>
                </c:pt>
                <c:pt idx="15">
                  <c:v>113.7</c:v>
                </c:pt>
                <c:pt idx="16">
                  <c:v>5.7600000000000007</c:v>
                </c:pt>
                <c:pt idx="17">
                  <c:v>14.880000000000004</c:v>
                </c:pt>
              </c:numCache>
            </c:numRef>
          </c:val>
        </c:ser>
        <c:ser>
          <c:idx val="1"/>
          <c:order val="1"/>
          <c:tx>
            <c:v>HPT</c:v>
          </c:tx>
          <c:spPr>
            <a:solidFill>
              <a:schemeClr val="accent6">
                <a:lumMod val="75000"/>
              </a:schemeClr>
            </a:solidFill>
          </c:spPr>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TARYET!$J$126:$J$143</c:f>
              <c:numCache>
                <c:formatCode>0.00</c:formatCode>
                <c:ptCount val="18"/>
                <c:pt idx="1">
                  <c:v>18.600000000000001</c:v>
                </c:pt>
                <c:pt idx="2">
                  <c:v>23.55</c:v>
                </c:pt>
                <c:pt idx="3">
                  <c:v>15.900000000000002</c:v>
                </c:pt>
                <c:pt idx="4">
                  <c:v>31.680000000000003</c:v>
                </c:pt>
                <c:pt idx="6">
                  <c:v>11.666666666666726</c:v>
                </c:pt>
                <c:pt idx="7">
                  <c:v>10.338461538461539</c:v>
                </c:pt>
                <c:pt idx="8">
                  <c:v>9.6666666666666767</c:v>
                </c:pt>
                <c:pt idx="9">
                  <c:v>14.76</c:v>
                </c:pt>
                <c:pt idx="10">
                  <c:v>16.37142857142857</c:v>
                </c:pt>
                <c:pt idx="11">
                  <c:v>22.080000000000002</c:v>
                </c:pt>
                <c:pt idx="12">
                  <c:v>41.7</c:v>
                </c:pt>
                <c:pt idx="13">
                  <c:v>13.7</c:v>
                </c:pt>
                <c:pt idx="14">
                  <c:v>23.400000000000002</c:v>
                </c:pt>
                <c:pt idx="15">
                  <c:v>20.672727272726124</c:v>
                </c:pt>
                <c:pt idx="16">
                  <c:v>11.520000000000001</c:v>
                </c:pt>
                <c:pt idx="17">
                  <c:v>9.3000000000000007</c:v>
                </c:pt>
              </c:numCache>
            </c:numRef>
          </c:val>
        </c:ser>
        <c:dLbls>
          <c:showLegendKey val="0"/>
          <c:showVal val="0"/>
          <c:showCatName val="0"/>
          <c:showSerName val="0"/>
          <c:showPercent val="0"/>
          <c:showBubbleSize val="0"/>
        </c:dLbls>
        <c:gapWidth val="300"/>
        <c:axId val="215860736"/>
        <c:axId val="215862272"/>
      </c:barChart>
      <c:catAx>
        <c:axId val="215860736"/>
        <c:scaling>
          <c:orientation val="minMax"/>
        </c:scaling>
        <c:delete val="1"/>
        <c:axPos val="b"/>
        <c:majorTickMark val="none"/>
        <c:minorTickMark val="none"/>
        <c:tickLblPos val="none"/>
        <c:crossAx val="215862272"/>
        <c:crosses val="autoZero"/>
        <c:auto val="1"/>
        <c:lblAlgn val="ctr"/>
        <c:lblOffset val="100"/>
        <c:noMultiLvlLbl val="0"/>
      </c:catAx>
      <c:valAx>
        <c:axId val="215862272"/>
        <c:scaling>
          <c:orientation val="minMax"/>
          <c:max val="120"/>
        </c:scaling>
        <c:delete val="0"/>
        <c:axPos val="l"/>
        <c:majorGridlines/>
        <c:minorGridlines/>
        <c:title>
          <c:tx>
            <c:rich>
              <a:bodyPr/>
              <a:lstStyle/>
              <a:p>
                <a:pPr>
                  <a:defRPr lang="es-MX"/>
                </a:pPr>
                <a:r>
                  <a:rPr lang="en-US"/>
                  <a:t>Velocidad [km/h]</a:t>
                </a:r>
              </a:p>
            </c:rich>
          </c:tx>
          <c:overlay val="0"/>
        </c:title>
        <c:numFmt formatCode="General" sourceLinked="0"/>
        <c:majorTickMark val="out"/>
        <c:minorTickMark val="none"/>
        <c:tickLblPos val="nextTo"/>
        <c:txPr>
          <a:bodyPr/>
          <a:lstStyle/>
          <a:p>
            <a:pPr>
              <a:defRPr lang="es-MX"/>
            </a:pPr>
            <a:endParaRPr lang="en-US"/>
          </a:p>
        </c:txPr>
        <c:crossAx val="215860736"/>
        <c:crosses val="autoZero"/>
        <c:crossBetween val="between"/>
        <c:majorUnit val="20"/>
        <c:minorUnit val="20"/>
      </c:valAx>
    </c:plotArea>
    <c:legend>
      <c:legendPos val="r"/>
      <c:layout>
        <c:manualLayout>
          <c:xMode val="edge"/>
          <c:yMode val="edge"/>
          <c:x val="0.9161626031142005"/>
          <c:y val="5.1656698282117462E-2"/>
          <c:w val="6.9843067725013724E-2"/>
          <c:h val="0.21461962395087592"/>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714783471285994E-2"/>
          <c:y val="5.5093504633768532E-2"/>
          <c:w val="0.92016330889315356"/>
          <c:h val="0.50022291676772956"/>
        </c:manualLayout>
      </c:layout>
      <c:barChart>
        <c:barDir val="col"/>
        <c:grouping val="clustered"/>
        <c:varyColors val="0"/>
        <c:ser>
          <c:idx val="0"/>
          <c:order val="0"/>
          <c:tx>
            <c:v>HPM</c:v>
          </c:tx>
          <c:spPr>
            <a:solidFill>
              <a:srgbClr val="FFC000"/>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TARYET!$K$126:$K$143</c:f>
              <c:numCache>
                <c:formatCode>0.00</c:formatCode>
                <c:ptCount val="18"/>
                <c:pt idx="1">
                  <c:v>5</c:v>
                </c:pt>
                <c:pt idx="2">
                  <c:v>6</c:v>
                </c:pt>
                <c:pt idx="3">
                  <c:v>2</c:v>
                </c:pt>
                <c:pt idx="4">
                  <c:v>11</c:v>
                </c:pt>
                <c:pt idx="6">
                  <c:v>9</c:v>
                </c:pt>
                <c:pt idx="7">
                  <c:v>3</c:v>
                </c:pt>
                <c:pt idx="8">
                  <c:v>3</c:v>
                </c:pt>
                <c:pt idx="9">
                  <c:v>3</c:v>
                </c:pt>
                <c:pt idx="10">
                  <c:v>4</c:v>
                </c:pt>
                <c:pt idx="11">
                  <c:v>2</c:v>
                </c:pt>
                <c:pt idx="12">
                  <c:v>4</c:v>
                </c:pt>
                <c:pt idx="13">
                  <c:v>3</c:v>
                </c:pt>
                <c:pt idx="14">
                  <c:v>2</c:v>
                </c:pt>
                <c:pt idx="15">
                  <c:v>2</c:v>
                </c:pt>
                <c:pt idx="16">
                  <c:v>10</c:v>
                </c:pt>
                <c:pt idx="17">
                  <c:v>5</c:v>
                </c:pt>
              </c:numCache>
            </c:numRef>
          </c:val>
        </c:ser>
        <c:ser>
          <c:idx val="1"/>
          <c:order val="1"/>
          <c:tx>
            <c:v>HPT</c:v>
          </c:tx>
          <c:spPr>
            <a:solidFill>
              <a:schemeClr val="accent6">
                <a:lumMod val="75000"/>
              </a:schemeClr>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TARYET!$L$126:$L$143</c:f>
              <c:numCache>
                <c:formatCode>0.00</c:formatCode>
                <c:ptCount val="18"/>
                <c:pt idx="1">
                  <c:v>6</c:v>
                </c:pt>
                <c:pt idx="2">
                  <c:v>4</c:v>
                </c:pt>
                <c:pt idx="3">
                  <c:v>4</c:v>
                </c:pt>
                <c:pt idx="4">
                  <c:v>5</c:v>
                </c:pt>
                <c:pt idx="6">
                  <c:v>9</c:v>
                </c:pt>
                <c:pt idx="7">
                  <c:v>13</c:v>
                </c:pt>
                <c:pt idx="8">
                  <c:v>9</c:v>
                </c:pt>
                <c:pt idx="9">
                  <c:v>5</c:v>
                </c:pt>
                <c:pt idx="10">
                  <c:v>7</c:v>
                </c:pt>
                <c:pt idx="11">
                  <c:v>5</c:v>
                </c:pt>
                <c:pt idx="12">
                  <c:v>2</c:v>
                </c:pt>
                <c:pt idx="13">
                  <c:v>6</c:v>
                </c:pt>
                <c:pt idx="14">
                  <c:v>4</c:v>
                </c:pt>
                <c:pt idx="15">
                  <c:v>11</c:v>
                </c:pt>
                <c:pt idx="16">
                  <c:v>5</c:v>
                </c:pt>
                <c:pt idx="17">
                  <c:v>8</c:v>
                </c:pt>
              </c:numCache>
            </c:numRef>
          </c:val>
        </c:ser>
        <c:dLbls>
          <c:showLegendKey val="0"/>
          <c:showVal val="0"/>
          <c:showCatName val="0"/>
          <c:showSerName val="0"/>
          <c:showPercent val="0"/>
          <c:showBubbleSize val="0"/>
        </c:dLbls>
        <c:gapWidth val="300"/>
        <c:axId val="238542848"/>
        <c:axId val="238544768"/>
      </c:barChart>
      <c:catAx>
        <c:axId val="238542848"/>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38544768"/>
        <c:crosses val="autoZero"/>
        <c:auto val="1"/>
        <c:lblAlgn val="ctr"/>
        <c:lblOffset val="100"/>
        <c:noMultiLvlLbl val="0"/>
      </c:catAx>
      <c:valAx>
        <c:axId val="238544768"/>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overlay val="0"/>
        </c:title>
        <c:numFmt formatCode="General" sourceLinked="0"/>
        <c:majorTickMark val="out"/>
        <c:minorTickMark val="none"/>
        <c:tickLblPos val="nextTo"/>
        <c:txPr>
          <a:bodyPr/>
          <a:lstStyle/>
          <a:p>
            <a:pPr>
              <a:defRPr lang="es-MX"/>
            </a:pPr>
            <a:endParaRPr lang="en-US"/>
          </a:p>
        </c:txPr>
        <c:crossAx val="238542848"/>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555826943157496E-2"/>
          <c:y val="5.9163529166786834E-2"/>
          <c:w val="0.91776204016027452"/>
          <c:h val="0.86225459767895962"/>
        </c:manualLayout>
      </c:layout>
      <c:barChart>
        <c:barDir val="col"/>
        <c:grouping val="clustered"/>
        <c:varyColors val="0"/>
        <c:ser>
          <c:idx val="0"/>
          <c:order val="0"/>
          <c:tx>
            <c:v>HPM</c:v>
          </c:tx>
          <c:spPr>
            <a:solidFill>
              <a:srgbClr val="FFC000"/>
            </a:solidFill>
          </c:spPr>
          <c:invertIfNegative val="0"/>
          <c:cat>
            <c:strRef>
              <c:f>TARYET!$C$150:$C$167</c:f>
              <c:strCache>
                <c:ptCount val="18"/>
                <c:pt idx="0">
                  <c:v>Estacion Villa El Salvador</c:v>
                </c:pt>
                <c:pt idx="1">
                  <c:v>EL Sol</c:v>
                </c:pt>
                <c:pt idx="2">
                  <c:v>1 de Mayo</c:v>
                </c:pt>
                <c:pt idx="3">
                  <c:v>Miguel Iglesias</c:v>
                </c:pt>
                <c:pt idx="4">
                  <c:v>San Juan</c:v>
                </c:pt>
                <c:pt idx="5">
                  <c:v>Atoconogo</c:v>
                </c:pt>
                <c:pt idx="6">
                  <c:v>Velazco Astete</c:v>
                </c:pt>
                <c:pt idx="7">
                  <c:v>Alfredo Benavides</c:v>
                </c:pt>
                <c:pt idx="8">
                  <c:v>Angamos</c:v>
                </c:pt>
                <c:pt idx="9">
                  <c:v>San Borja Sur</c:v>
                </c:pt>
                <c:pt idx="10">
                  <c:v>Javier Prado</c:v>
                </c:pt>
                <c:pt idx="11">
                  <c:v>Mexico</c:v>
                </c:pt>
                <c:pt idx="12">
                  <c:v>Miguel Grau</c:v>
                </c:pt>
                <c:pt idx="13">
                  <c:v>Lima</c:v>
                </c:pt>
                <c:pt idx="14">
                  <c:v>Jardines</c:v>
                </c:pt>
                <c:pt idx="15">
                  <c:v>Los Postes</c:v>
                </c:pt>
                <c:pt idx="16">
                  <c:v>El Sol</c:v>
                </c:pt>
                <c:pt idx="17">
                  <c:v>San Martin de Porres</c:v>
                </c:pt>
              </c:strCache>
            </c:strRef>
          </c:cat>
          <c:val>
            <c:numRef>
              <c:f>TARYET!$I$150:$I$167</c:f>
              <c:numCache>
                <c:formatCode>0.00</c:formatCode>
                <c:ptCount val="18"/>
                <c:pt idx="1">
                  <c:v>8.2666666666666728</c:v>
                </c:pt>
                <c:pt idx="2">
                  <c:v>19.2</c:v>
                </c:pt>
                <c:pt idx="3">
                  <c:v>22.74</c:v>
                </c:pt>
                <c:pt idx="4">
                  <c:v>23.400000000000002</c:v>
                </c:pt>
                <c:pt idx="5">
                  <c:v>10.275</c:v>
                </c:pt>
                <c:pt idx="6">
                  <c:v>16.680000000000003</c:v>
                </c:pt>
                <c:pt idx="7">
                  <c:v>27.6</c:v>
                </c:pt>
                <c:pt idx="8">
                  <c:v>19.100000000000001</c:v>
                </c:pt>
                <c:pt idx="9">
                  <c:v>14.76</c:v>
                </c:pt>
                <c:pt idx="10">
                  <c:v>17.399999999999999</c:v>
                </c:pt>
                <c:pt idx="11">
                  <c:v>16.8</c:v>
                </c:pt>
                <c:pt idx="12">
                  <c:v>21</c:v>
                </c:pt>
                <c:pt idx="14">
                  <c:v>22.62857142857143</c:v>
                </c:pt>
                <c:pt idx="15">
                  <c:v>21.200000000000003</c:v>
                </c:pt>
                <c:pt idx="16">
                  <c:v>28.119402985074633</c:v>
                </c:pt>
                <c:pt idx="17">
                  <c:v>18.600000000000001</c:v>
                </c:pt>
              </c:numCache>
            </c:numRef>
          </c:val>
        </c:ser>
        <c:ser>
          <c:idx val="1"/>
          <c:order val="1"/>
          <c:tx>
            <c:v>HPT</c:v>
          </c:tx>
          <c:spPr>
            <a:solidFill>
              <a:schemeClr val="accent6">
                <a:lumMod val="75000"/>
              </a:schemeClr>
            </a:solidFill>
          </c:spPr>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TARYET!$J$150:$J$167</c:f>
              <c:numCache>
                <c:formatCode>0.00</c:formatCode>
                <c:ptCount val="18"/>
                <c:pt idx="1">
                  <c:v>8.2666666666666728</c:v>
                </c:pt>
                <c:pt idx="2">
                  <c:v>14.4</c:v>
                </c:pt>
                <c:pt idx="3">
                  <c:v>20.672727272726124</c:v>
                </c:pt>
                <c:pt idx="4">
                  <c:v>15.6</c:v>
                </c:pt>
                <c:pt idx="5">
                  <c:v>20.55</c:v>
                </c:pt>
                <c:pt idx="6">
                  <c:v>16.680000000000003</c:v>
                </c:pt>
                <c:pt idx="7">
                  <c:v>27.6</c:v>
                </c:pt>
                <c:pt idx="8">
                  <c:v>19.100000000000001</c:v>
                </c:pt>
                <c:pt idx="9">
                  <c:v>14.76</c:v>
                </c:pt>
                <c:pt idx="10">
                  <c:v>12.428571428571248</c:v>
                </c:pt>
                <c:pt idx="11">
                  <c:v>16.8</c:v>
                </c:pt>
                <c:pt idx="12">
                  <c:v>21</c:v>
                </c:pt>
                <c:pt idx="14">
                  <c:v>19.8</c:v>
                </c:pt>
                <c:pt idx="15">
                  <c:v>15.900000000000002</c:v>
                </c:pt>
                <c:pt idx="16">
                  <c:v>22.269503546098989</c:v>
                </c:pt>
                <c:pt idx="17">
                  <c:v>18.600000000000001</c:v>
                </c:pt>
              </c:numCache>
            </c:numRef>
          </c:val>
        </c:ser>
        <c:dLbls>
          <c:showLegendKey val="0"/>
          <c:showVal val="0"/>
          <c:showCatName val="0"/>
          <c:showSerName val="0"/>
          <c:showPercent val="0"/>
          <c:showBubbleSize val="0"/>
        </c:dLbls>
        <c:gapWidth val="300"/>
        <c:axId val="263592192"/>
        <c:axId val="263618560"/>
      </c:barChart>
      <c:catAx>
        <c:axId val="263592192"/>
        <c:scaling>
          <c:orientation val="minMax"/>
        </c:scaling>
        <c:delete val="1"/>
        <c:axPos val="b"/>
        <c:majorTickMark val="none"/>
        <c:minorTickMark val="none"/>
        <c:tickLblPos val="none"/>
        <c:crossAx val="263618560"/>
        <c:crosses val="autoZero"/>
        <c:auto val="1"/>
        <c:lblAlgn val="ctr"/>
        <c:lblOffset val="100"/>
        <c:noMultiLvlLbl val="0"/>
      </c:catAx>
      <c:valAx>
        <c:axId val="263618560"/>
        <c:scaling>
          <c:orientation val="minMax"/>
          <c:max val="120"/>
        </c:scaling>
        <c:delete val="0"/>
        <c:axPos val="l"/>
        <c:majorGridlines/>
        <c:minorGridlines/>
        <c:title>
          <c:tx>
            <c:rich>
              <a:bodyPr/>
              <a:lstStyle/>
              <a:p>
                <a:pPr>
                  <a:defRPr lang="es-MX"/>
                </a:pPr>
                <a:r>
                  <a:rPr lang="en-US"/>
                  <a:t>Velocidad [km/h]</a:t>
                </a:r>
              </a:p>
            </c:rich>
          </c:tx>
          <c:layout>
            <c:manualLayout>
              <c:xMode val="edge"/>
              <c:yMode val="edge"/>
              <c:x val="9.2538240835657506E-3"/>
              <c:y val="0.12809117833733691"/>
            </c:manualLayout>
          </c:layout>
          <c:overlay val="0"/>
        </c:title>
        <c:numFmt formatCode="General" sourceLinked="0"/>
        <c:majorTickMark val="out"/>
        <c:minorTickMark val="none"/>
        <c:tickLblPos val="nextTo"/>
        <c:txPr>
          <a:bodyPr/>
          <a:lstStyle/>
          <a:p>
            <a:pPr>
              <a:defRPr lang="es-MX"/>
            </a:pPr>
            <a:endParaRPr lang="en-US"/>
          </a:p>
        </c:txPr>
        <c:crossAx val="263592192"/>
        <c:crosses val="autoZero"/>
        <c:crossBetween val="between"/>
        <c:majorUnit val="20"/>
        <c:minorUnit val="20"/>
      </c:valAx>
    </c:plotArea>
    <c:legend>
      <c:legendPos val="r"/>
      <c:layout>
        <c:manualLayout>
          <c:xMode val="edge"/>
          <c:yMode val="edge"/>
          <c:x val="0.91465110609881284"/>
          <c:y val="5.1864201283116834E-2"/>
          <c:w val="6.9843067725013724E-2"/>
          <c:h val="0.22708045832872445"/>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01124556410122E-2"/>
          <c:y val="4.6531028991059847E-2"/>
          <c:w val="0.91242965557001265"/>
          <c:h val="0.50022291676772956"/>
        </c:manualLayout>
      </c:layout>
      <c:barChart>
        <c:barDir val="col"/>
        <c:grouping val="clustered"/>
        <c:varyColors val="0"/>
        <c:ser>
          <c:idx val="0"/>
          <c:order val="0"/>
          <c:tx>
            <c:v>HPM</c:v>
          </c:tx>
          <c:spPr>
            <a:solidFill>
              <a:srgbClr val="FFC000"/>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TARYET!$K$150:$K$167</c:f>
              <c:numCache>
                <c:formatCode>0.00</c:formatCode>
                <c:ptCount val="18"/>
                <c:pt idx="1">
                  <c:v>9</c:v>
                </c:pt>
                <c:pt idx="2">
                  <c:v>3</c:v>
                </c:pt>
                <c:pt idx="3">
                  <c:v>10</c:v>
                </c:pt>
                <c:pt idx="4">
                  <c:v>4</c:v>
                </c:pt>
                <c:pt idx="5">
                  <c:v>8</c:v>
                </c:pt>
                <c:pt idx="6">
                  <c:v>5</c:v>
                </c:pt>
                <c:pt idx="7">
                  <c:v>4</c:v>
                </c:pt>
                <c:pt idx="8">
                  <c:v>6</c:v>
                </c:pt>
                <c:pt idx="9">
                  <c:v>5</c:v>
                </c:pt>
                <c:pt idx="10">
                  <c:v>5</c:v>
                </c:pt>
                <c:pt idx="11">
                  <c:v>8</c:v>
                </c:pt>
                <c:pt idx="12">
                  <c:v>5</c:v>
                </c:pt>
                <c:pt idx="14">
                  <c:v>7</c:v>
                </c:pt>
                <c:pt idx="15">
                  <c:v>3</c:v>
                </c:pt>
                <c:pt idx="16">
                  <c:v>3.3499999999999988</c:v>
                </c:pt>
                <c:pt idx="17">
                  <c:v>6</c:v>
                </c:pt>
              </c:numCache>
            </c:numRef>
          </c:val>
        </c:ser>
        <c:ser>
          <c:idx val="1"/>
          <c:order val="1"/>
          <c:tx>
            <c:v>HPT</c:v>
          </c:tx>
          <c:spPr>
            <a:solidFill>
              <a:schemeClr val="accent6">
                <a:lumMod val="75000"/>
              </a:schemeClr>
            </a:solidFill>
          </c:spPr>
          <c:invertIfNegative val="0"/>
          <c:cat>
            <c:strRef>
              <c:f>TARYET!$C$150:$C$167</c:f>
              <c:strCache>
                <c:ptCount val="18"/>
                <c:pt idx="0">
                  <c:v>Estacion Villa El Salvador</c:v>
                </c:pt>
                <c:pt idx="1">
                  <c:v>EL Sol</c:v>
                </c:pt>
                <c:pt idx="2">
                  <c:v>1 de Mayo</c:v>
                </c:pt>
                <c:pt idx="3">
                  <c:v>Miguel Iglesias</c:v>
                </c:pt>
                <c:pt idx="4">
                  <c:v>San Juan</c:v>
                </c:pt>
                <c:pt idx="5">
                  <c:v>Atoconogo</c:v>
                </c:pt>
                <c:pt idx="6">
                  <c:v>Velazco Astete</c:v>
                </c:pt>
                <c:pt idx="7">
                  <c:v>Alfredo Benavides</c:v>
                </c:pt>
                <c:pt idx="8">
                  <c:v>Angamos</c:v>
                </c:pt>
                <c:pt idx="9">
                  <c:v>San Borja Sur</c:v>
                </c:pt>
                <c:pt idx="10">
                  <c:v>Javier Prado</c:v>
                </c:pt>
                <c:pt idx="11">
                  <c:v>Mexico</c:v>
                </c:pt>
                <c:pt idx="12">
                  <c:v>Miguel Grau</c:v>
                </c:pt>
                <c:pt idx="13">
                  <c:v>Lima</c:v>
                </c:pt>
                <c:pt idx="14">
                  <c:v>Jardines</c:v>
                </c:pt>
                <c:pt idx="15">
                  <c:v>Los Postes</c:v>
                </c:pt>
                <c:pt idx="16">
                  <c:v>El Sol</c:v>
                </c:pt>
                <c:pt idx="17">
                  <c:v>San Martin de Porres</c:v>
                </c:pt>
              </c:strCache>
            </c:strRef>
          </c:cat>
          <c:val>
            <c:numRef>
              <c:f>TARYET!$L$150:$L$167</c:f>
              <c:numCache>
                <c:formatCode>0.00</c:formatCode>
                <c:ptCount val="18"/>
                <c:pt idx="1">
                  <c:v>9</c:v>
                </c:pt>
                <c:pt idx="2">
                  <c:v>4</c:v>
                </c:pt>
                <c:pt idx="3">
                  <c:v>11</c:v>
                </c:pt>
                <c:pt idx="4">
                  <c:v>6</c:v>
                </c:pt>
                <c:pt idx="5">
                  <c:v>4</c:v>
                </c:pt>
                <c:pt idx="6">
                  <c:v>5</c:v>
                </c:pt>
                <c:pt idx="7">
                  <c:v>4</c:v>
                </c:pt>
                <c:pt idx="8">
                  <c:v>6</c:v>
                </c:pt>
                <c:pt idx="9">
                  <c:v>5</c:v>
                </c:pt>
                <c:pt idx="10">
                  <c:v>7</c:v>
                </c:pt>
                <c:pt idx="11">
                  <c:v>8</c:v>
                </c:pt>
                <c:pt idx="12">
                  <c:v>5</c:v>
                </c:pt>
                <c:pt idx="14">
                  <c:v>8</c:v>
                </c:pt>
                <c:pt idx="15">
                  <c:v>4</c:v>
                </c:pt>
                <c:pt idx="16">
                  <c:v>4.2300000000000004</c:v>
                </c:pt>
                <c:pt idx="17">
                  <c:v>6</c:v>
                </c:pt>
              </c:numCache>
            </c:numRef>
          </c:val>
        </c:ser>
        <c:dLbls>
          <c:showLegendKey val="0"/>
          <c:showVal val="0"/>
          <c:showCatName val="0"/>
          <c:showSerName val="0"/>
          <c:showPercent val="0"/>
          <c:showBubbleSize val="0"/>
        </c:dLbls>
        <c:gapWidth val="300"/>
        <c:axId val="284656384"/>
        <c:axId val="284658304"/>
      </c:barChart>
      <c:catAx>
        <c:axId val="284656384"/>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84658304"/>
        <c:crosses val="autoZero"/>
        <c:auto val="1"/>
        <c:lblAlgn val="ctr"/>
        <c:lblOffset val="100"/>
        <c:noMultiLvlLbl val="0"/>
      </c:catAx>
      <c:valAx>
        <c:axId val="284658304"/>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1.1624369334028726E-2"/>
              <c:y val="9.1627536606365287E-2"/>
            </c:manualLayout>
          </c:layout>
          <c:overlay val="0"/>
        </c:title>
        <c:numFmt formatCode="General" sourceLinked="0"/>
        <c:majorTickMark val="out"/>
        <c:minorTickMark val="none"/>
        <c:tickLblPos val="nextTo"/>
        <c:txPr>
          <a:bodyPr/>
          <a:lstStyle/>
          <a:p>
            <a:pPr>
              <a:defRPr lang="es-MX"/>
            </a:pPr>
            <a:endParaRPr lang="en-US"/>
          </a:p>
        </c:txPr>
        <c:crossAx val="284656384"/>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221213918403613E-2"/>
          <c:y val="4.3996003597012313E-2"/>
          <c:w val="0.85415814173574856"/>
          <c:h val="0.76000208432010963"/>
        </c:manualLayout>
      </c:layout>
      <c:barChart>
        <c:barDir val="col"/>
        <c:grouping val="clustered"/>
        <c:varyColors val="0"/>
        <c:ser>
          <c:idx val="0"/>
          <c:order val="0"/>
          <c:tx>
            <c:strRef>
              <c:f>Resumen!$H$97</c:f>
              <c:strCache>
                <c:ptCount val="1"/>
                <c:pt idx="0">
                  <c:v>N° de Empresas</c:v>
                </c:pt>
              </c:strCache>
            </c:strRef>
          </c:tx>
          <c:invertIfNegative val="0"/>
          <c:cat>
            <c:strRef>
              <c:f>Resumen!$G$98:$G$103</c:f>
              <c:strCache>
                <c:ptCount val="6"/>
                <c:pt idx="0">
                  <c:v>Empresas con 6 Rutas</c:v>
                </c:pt>
                <c:pt idx="1">
                  <c:v>Empresas con 5 Rutas</c:v>
                </c:pt>
                <c:pt idx="2">
                  <c:v>Empresas con 4 Rutas</c:v>
                </c:pt>
                <c:pt idx="3">
                  <c:v>Empresas con 3 Rutas</c:v>
                </c:pt>
                <c:pt idx="4">
                  <c:v>Empresas con 2 Rutas</c:v>
                </c:pt>
                <c:pt idx="5">
                  <c:v>Empresas con 1 Rutas</c:v>
                </c:pt>
              </c:strCache>
            </c:strRef>
          </c:cat>
          <c:val>
            <c:numRef>
              <c:f>Resumen!$I$98:$I$103</c:f>
              <c:numCache>
                <c:formatCode>0.00%</c:formatCode>
                <c:ptCount val="6"/>
                <c:pt idx="0">
                  <c:v>1.2345679012345723E-2</c:v>
                </c:pt>
                <c:pt idx="1">
                  <c:v>3.0864197530865302E-3</c:v>
                </c:pt>
                <c:pt idx="2">
                  <c:v>1.8518518518518583E-2</c:v>
                </c:pt>
                <c:pt idx="3">
                  <c:v>7.407407407407407E-2</c:v>
                </c:pt>
                <c:pt idx="4">
                  <c:v>0.17283950617283991</c:v>
                </c:pt>
                <c:pt idx="5">
                  <c:v>0.71913580246916886</c:v>
                </c:pt>
              </c:numCache>
            </c:numRef>
          </c:val>
        </c:ser>
        <c:ser>
          <c:idx val="1"/>
          <c:order val="1"/>
          <c:tx>
            <c:strRef>
              <c:f>Resumen!$J$97</c:f>
              <c:strCache>
                <c:ptCount val="1"/>
                <c:pt idx="0">
                  <c:v>N° de Rutas I/V</c:v>
                </c:pt>
              </c:strCache>
            </c:strRef>
          </c:tx>
          <c:invertIfNegative val="0"/>
          <c:cat>
            <c:strRef>
              <c:f>Resumen!$G$98:$G$103</c:f>
              <c:strCache>
                <c:ptCount val="6"/>
                <c:pt idx="0">
                  <c:v>Empresas con 6 Rutas</c:v>
                </c:pt>
                <c:pt idx="1">
                  <c:v>Empresas con 5 Rutas</c:v>
                </c:pt>
                <c:pt idx="2">
                  <c:v>Empresas con 4 Rutas</c:v>
                </c:pt>
                <c:pt idx="3">
                  <c:v>Empresas con 3 Rutas</c:v>
                </c:pt>
                <c:pt idx="4">
                  <c:v>Empresas con 2 Rutas</c:v>
                </c:pt>
                <c:pt idx="5">
                  <c:v>Empresas con 1 Rutas</c:v>
                </c:pt>
              </c:strCache>
            </c:strRef>
          </c:cat>
          <c:val>
            <c:numRef>
              <c:f>Resumen!$K$98:$K$103</c:f>
              <c:numCache>
                <c:formatCode>0.00%</c:formatCode>
                <c:ptCount val="6"/>
                <c:pt idx="0">
                  <c:v>5.1172707889125812E-2</c:v>
                </c:pt>
                <c:pt idx="1">
                  <c:v>1.0660980810234541E-2</c:v>
                </c:pt>
                <c:pt idx="2">
                  <c:v>5.1172707889125812E-2</c:v>
                </c:pt>
                <c:pt idx="3">
                  <c:v>0.15351812366738463</c:v>
                </c:pt>
                <c:pt idx="4">
                  <c:v>0.23880597014925373</c:v>
                </c:pt>
                <c:pt idx="5">
                  <c:v>0.49680170575693638</c:v>
                </c:pt>
              </c:numCache>
            </c:numRef>
          </c:val>
        </c:ser>
        <c:ser>
          <c:idx val="2"/>
          <c:order val="2"/>
          <c:tx>
            <c:strRef>
              <c:f>Resumen!$L$97</c:f>
              <c:strCache>
                <c:ptCount val="1"/>
                <c:pt idx="0">
                  <c:v>Flota</c:v>
                </c:pt>
              </c:strCache>
            </c:strRef>
          </c:tx>
          <c:invertIfNegative val="0"/>
          <c:cat>
            <c:strRef>
              <c:f>Resumen!$G$98:$G$103</c:f>
              <c:strCache>
                <c:ptCount val="6"/>
                <c:pt idx="0">
                  <c:v>Empresas con 6 Rutas</c:v>
                </c:pt>
                <c:pt idx="1">
                  <c:v>Empresas con 5 Rutas</c:v>
                </c:pt>
                <c:pt idx="2">
                  <c:v>Empresas con 4 Rutas</c:v>
                </c:pt>
                <c:pt idx="3">
                  <c:v>Empresas con 3 Rutas</c:v>
                </c:pt>
                <c:pt idx="4">
                  <c:v>Empresas con 2 Rutas</c:v>
                </c:pt>
                <c:pt idx="5">
                  <c:v>Empresas con 1 Rutas</c:v>
                </c:pt>
              </c:strCache>
            </c:strRef>
          </c:cat>
          <c:val>
            <c:numRef>
              <c:f>Resumen!$M$98:$M$103</c:f>
              <c:numCache>
                <c:formatCode>0.00%</c:formatCode>
                <c:ptCount val="6"/>
                <c:pt idx="0">
                  <c:v>6.1649524052897212E-2</c:v>
                </c:pt>
                <c:pt idx="1">
                  <c:v>1.3607615153644658E-2</c:v>
                </c:pt>
                <c:pt idx="2">
                  <c:v>5.5963713026257023E-2</c:v>
                </c:pt>
                <c:pt idx="3">
                  <c:v>0.15778125598927273</c:v>
                </c:pt>
                <c:pt idx="4">
                  <c:v>0.22232159969334817</c:v>
                </c:pt>
                <c:pt idx="5">
                  <c:v>0.48869226346388267</c:v>
                </c:pt>
              </c:numCache>
            </c:numRef>
          </c:val>
        </c:ser>
        <c:dLbls>
          <c:showLegendKey val="0"/>
          <c:showVal val="0"/>
          <c:showCatName val="0"/>
          <c:showSerName val="0"/>
          <c:showPercent val="0"/>
          <c:showBubbleSize val="0"/>
        </c:dLbls>
        <c:gapWidth val="150"/>
        <c:axId val="292394112"/>
        <c:axId val="292395648"/>
      </c:barChart>
      <c:catAx>
        <c:axId val="292394112"/>
        <c:scaling>
          <c:orientation val="minMax"/>
        </c:scaling>
        <c:delete val="0"/>
        <c:axPos val="b"/>
        <c:majorTickMark val="out"/>
        <c:minorTickMark val="none"/>
        <c:tickLblPos val="nextTo"/>
        <c:txPr>
          <a:bodyPr/>
          <a:lstStyle/>
          <a:p>
            <a:pPr>
              <a:defRPr lang="es-MX" b="1"/>
            </a:pPr>
            <a:endParaRPr lang="en-US"/>
          </a:p>
        </c:txPr>
        <c:crossAx val="292395648"/>
        <c:crosses val="autoZero"/>
        <c:auto val="1"/>
        <c:lblAlgn val="ctr"/>
        <c:lblOffset val="100"/>
        <c:noMultiLvlLbl val="0"/>
      </c:catAx>
      <c:valAx>
        <c:axId val="292395648"/>
        <c:scaling>
          <c:orientation val="minMax"/>
          <c:max val="0.8"/>
        </c:scaling>
        <c:delete val="0"/>
        <c:axPos val="l"/>
        <c:majorGridlines/>
        <c:numFmt formatCode="0.00%" sourceLinked="1"/>
        <c:majorTickMark val="out"/>
        <c:minorTickMark val="none"/>
        <c:tickLblPos val="nextTo"/>
        <c:txPr>
          <a:bodyPr/>
          <a:lstStyle/>
          <a:p>
            <a:pPr>
              <a:defRPr lang="es-MX" b="1"/>
            </a:pPr>
            <a:endParaRPr lang="en-US"/>
          </a:p>
        </c:txPr>
        <c:crossAx val="292394112"/>
        <c:crosses val="autoZero"/>
        <c:crossBetween val="between"/>
      </c:valAx>
    </c:plotArea>
    <c:legend>
      <c:legendPos val="r"/>
      <c:layout>
        <c:manualLayout>
          <c:xMode val="edge"/>
          <c:yMode val="edge"/>
          <c:x val="0.12965326257740459"/>
          <c:y val="0.13444551156642437"/>
          <c:w val="0.17663371021665517"/>
          <c:h val="0.15651683899751057"/>
        </c:manualLayout>
      </c:layout>
      <c:overlay val="0"/>
      <c:spPr>
        <a:solidFill>
          <a:sysClr val="window" lastClr="FFFFFF"/>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54301110176463E-2"/>
          <c:y val="4.6694862015328284E-2"/>
          <c:w val="0.90830210766638819"/>
          <c:h val="0.8603602515266987"/>
        </c:manualLayout>
      </c:layout>
      <c:barChart>
        <c:barDir val="col"/>
        <c:grouping val="clustered"/>
        <c:varyColors val="0"/>
        <c:ser>
          <c:idx val="0"/>
          <c:order val="0"/>
          <c:tx>
            <c:v>HPM</c:v>
          </c:tx>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TARYET!$U$5:$U$27</c:f>
              <c:numCache>
                <c:formatCode>0.00</c:formatCode>
                <c:ptCount val="23"/>
                <c:pt idx="1">
                  <c:v>16.971428571428572</c:v>
                </c:pt>
                <c:pt idx="2">
                  <c:v>22.285714285713009</c:v>
                </c:pt>
                <c:pt idx="3">
                  <c:v>15.657142857142874</c:v>
                </c:pt>
                <c:pt idx="4">
                  <c:v>22.650000000000031</c:v>
                </c:pt>
                <c:pt idx="5">
                  <c:v>10.946882217090074</c:v>
                </c:pt>
                <c:pt idx="6">
                  <c:v>46.2</c:v>
                </c:pt>
                <c:pt idx="7">
                  <c:v>16.2</c:v>
                </c:pt>
                <c:pt idx="8">
                  <c:v>10.700000000000001</c:v>
                </c:pt>
                <c:pt idx="9">
                  <c:v>19.542857142857144</c:v>
                </c:pt>
                <c:pt idx="10">
                  <c:v>11.828571428571298</c:v>
                </c:pt>
                <c:pt idx="11">
                  <c:v>27</c:v>
                </c:pt>
                <c:pt idx="12">
                  <c:v>21.428571428571427</c:v>
                </c:pt>
                <c:pt idx="13">
                  <c:v>20.099999999999987</c:v>
                </c:pt>
                <c:pt idx="14">
                  <c:v>19.68</c:v>
                </c:pt>
                <c:pt idx="15">
                  <c:v>21.65413533834586</c:v>
                </c:pt>
                <c:pt idx="16">
                  <c:v>14.850000000000026</c:v>
                </c:pt>
                <c:pt idx="17">
                  <c:v>30.299999999999986</c:v>
                </c:pt>
                <c:pt idx="18">
                  <c:v>17.361319340328858</c:v>
                </c:pt>
                <c:pt idx="19">
                  <c:v>39.101123595505605</c:v>
                </c:pt>
                <c:pt idx="20">
                  <c:v>13.733583489681051</c:v>
                </c:pt>
                <c:pt idx="21">
                  <c:v>29</c:v>
                </c:pt>
                <c:pt idx="22">
                  <c:v>12.169312169312168</c:v>
                </c:pt>
              </c:numCache>
            </c:numRef>
          </c:val>
        </c:ser>
        <c:ser>
          <c:idx val="1"/>
          <c:order val="1"/>
          <c:tx>
            <c:v>HPT</c:v>
          </c:tx>
          <c:spPr>
            <a:solidFill>
              <a:schemeClr val="accent3"/>
            </a:solidFill>
          </c:spPr>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TARYET!$W$5:$W$27</c:f>
              <c:numCache>
                <c:formatCode>0.00</c:formatCode>
                <c:ptCount val="23"/>
                <c:pt idx="1">
                  <c:v>12.733118971061048</c:v>
                </c:pt>
                <c:pt idx="2">
                  <c:v>18</c:v>
                </c:pt>
                <c:pt idx="3">
                  <c:v>20.55</c:v>
                </c:pt>
                <c:pt idx="4">
                  <c:v>21.317647058823532</c:v>
                </c:pt>
                <c:pt idx="5">
                  <c:v>12.639999999999999</c:v>
                </c:pt>
                <c:pt idx="6">
                  <c:v>19.452631578946296</c:v>
                </c:pt>
                <c:pt idx="7">
                  <c:v>7.6235294117647063</c:v>
                </c:pt>
                <c:pt idx="8">
                  <c:v>7.7818181818182124</c:v>
                </c:pt>
                <c:pt idx="9">
                  <c:v>14.030769230769376</c:v>
                </c:pt>
                <c:pt idx="10">
                  <c:v>16.559999999999999</c:v>
                </c:pt>
                <c:pt idx="11">
                  <c:v>21.6</c:v>
                </c:pt>
                <c:pt idx="12">
                  <c:v>25</c:v>
                </c:pt>
                <c:pt idx="13">
                  <c:v>14.17989417989418</c:v>
                </c:pt>
                <c:pt idx="14">
                  <c:v>36.992481203007394</c:v>
                </c:pt>
                <c:pt idx="15">
                  <c:v>28.8</c:v>
                </c:pt>
                <c:pt idx="16">
                  <c:v>14.850000000000026</c:v>
                </c:pt>
                <c:pt idx="17">
                  <c:v>18.198198198198231</c:v>
                </c:pt>
                <c:pt idx="18">
                  <c:v>15.798090040927695</c:v>
                </c:pt>
                <c:pt idx="19">
                  <c:v>22.355460385438974</c:v>
                </c:pt>
                <c:pt idx="20">
                  <c:v>24.4</c:v>
                </c:pt>
                <c:pt idx="21">
                  <c:v>19.333333333332789</c:v>
                </c:pt>
                <c:pt idx="22">
                  <c:v>9.8571428571433728</c:v>
                </c:pt>
              </c:numCache>
            </c:numRef>
          </c:val>
        </c:ser>
        <c:dLbls>
          <c:showLegendKey val="0"/>
          <c:showVal val="0"/>
          <c:showCatName val="0"/>
          <c:showSerName val="0"/>
          <c:showPercent val="0"/>
          <c:showBubbleSize val="0"/>
        </c:dLbls>
        <c:gapWidth val="300"/>
        <c:axId val="292439168"/>
        <c:axId val="292440704"/>
      </c:barChart>
      <c:catAx>
        <c:axId val="292439168"/>
        <c:scaling>
          <c:orientation val="minMax"/>
        </c:scaling>
        <c:delete val="1"/>
        <c:axPos val="b"/>
        <c:majorTickMark val="none"/>
        <c:minorTickMark val="none"/>
        <c:tickLblPos val="none"/>
        <c:crossAx val="292440704"/>
        <c:crosses val="autoZero"/>
        <c:auto val="1"/>
        <c:lblAlgn val="ctr"/>
        <c:lblOffset val="100"/>
        <c:noMultiLvlLbl val="0"/>
      </c:catAx>
      <c:valAx>
        <c:axId val="292440704"/>
        <c:scaling>
          <c:orientation val="minMax"/>
          <c:max val="50"/>
        </c:scaling>
        <c:delete val="0"/>
        <c:axPos val="l"/>
        <c:majorGridlines/>
        <c:minorGridlines/>
        <c:title>
          <c:tx>
            <c:rich>
              <a:bodyPr/>
              <a:lstStyle/>
              <a:p>
                <a:pPr>
                  <a:defRPr lang="es-MX"/>
                </a:pPr>
                <a:r>
                  <a:rPr lang="en-US"/>
                  <a:t>Velocidad [km/h]</a:t>
                </a:r>
              </a:p>
            </c:rich>
          </c:tx>
          <c:layout>
            <c:manualLayout>
              <c:xMode val="edge"/>
              <c:yMode val="edge"/>
              <c:x val="1.007126266773045E-2"/>
              <c:y val="0.11027841830363451"/>
            </c:manualLayout>
          </c:layout>
          <c:overlay val="0"/>
        </c:title>
        <c:numFmt formatCode="0.00" sourceLinked="1"/>
        <c:majorTickMark val="out"/>
        <c:minorTickMark val="none"/>
        <c:tickLblPos val="nextTo"/>
        <c:txPr>
          <a:bodyPr/>
          <a:lstStyle/>
          <a:p>
            <a:pPr>
              <a:defRPr lang="es-MX"/>
            </a:pPr>
            <a:endParaRPr lang="en-US"/>
          </a:p>
        </c:txPr>
        <c:crossAx val="292439168"/>
        <c:crosses val="autoZero"/>
        <c:crossBetween val="between"/>
        <c:majorUnit val="5"/>
        <c:minorUnit val="5"/>
      </c:valAx>
    </c:plotArea>
    <c:legend>
      <c:legendPos val="r"/>
      <c:layout>
        <c:manualLayout>
          <c:xMode val="edge"/>
          <c:yMode val="edge"/>
          <c:x val="0.91313565333906765"/>
          <c:y val="4.2582129633033532E-2"/>
          <c:w val="6.9843067725013724E-2"/>
          <c:h val="0.23431478297193534"/>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HPM</c:v>
          </c:tx>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TARYET!$Z$5:$Z$27</c:f>
              <c:numCache>
                <c:formatCode>General</c:formatCode>
                <c:ptCount val="23"/>
                <c:pt idx="0">
                  <c:v>0</c:v>
                </c:pt>
                <c:pt idx="1">
                  <c:v>7</c:v>
                </c:pt>
                <c:pt idx="2">
                  <c:v>5.25</c:v>
                </c:pt>
                <c:pt idx="3">
                  <c:v>5.25</c:v>
                </c:pt>
                <c:pt idx="4">
                  <c:v>4</c:v>
                </c:pt>
                <c:pt idx="5">
                  <c:v>4.33</c:v>
                </c:pt>
                <c:pt idx="6">
                  <c:v>2</c:v>
                </c:pt>
                <c:pt idx="7">
                  <c:v>4</c:v>
                </c:pt>
                <c:pt idx="8">
                  <c:v>6</c:v>
                </c:pt>
                <c:pt idx="9">
                  <c:v>7</c:v>
                </c:pt>
                <c:pt idx="10">
                  <c:v>7</c:v>
                </c:pt>
                <c:pt idx="11">
                  <c:v>2</c:v>
                </c:pt>
                <c:pt idx="12">
                  <c:v>3.5</c:v>
                </c:pt>
                <c:pt idx="13">
                  <c:v>4</c:v>
                </c:pt>
                <c:pt idx="14">
                  <c:v>2.5</c:v>
                </c:pt>
                <c:pt idx="15">
                  <c:v>1.33</c:v>
                </c:pt>
                <c:pt idx="16">
                  <c:v>4</c:v>
                </c:pt>
                <c:pt idx="17">
                  <c:v>2</c:v>
                </c:pt>
                <c:pt idx="18">
                  <c:v>6.67</c:v>
                </c:pt>
                <c:pt idx="19">
                  <c:v>2.67</c:v>
                </c:pt>
                <c:pt idx="20">
                  <c:v>5.33</c:v>
                </c:pt>
                <c:pt idx="21">
                  <c:v>3</c:v>
                </c:pt>
                <c:pt idx="22">
                  <c:v>5.67</c:v>
                </c:pt>
              </c:numCache>
            </c:numRef>
          </c:val>
        </c:ser>
        <c:ser>
          <c:idx val="2"/>
          <c:order val="1"/>
          <c:tx>
            <c:v>HPT</c:v>
          </c:tx>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TARYET!$AB$5:$AB$27</c:f>
              <c:numCache>
                <c:formatCode>General</c:formatCode>
                <c:ptCount val="23"/>
                <c:pt idx="0">
                  <c:v>0</c:v>
                </c:pt>
                <c:pt idx="1">
                  <c:v>9.33</c:v>
                </c:pt>
                <c:pt idx="2">
                  <c:v>6.5</c:v>
                </c:pt>
                <c:pt idx="3">
                  <c:v>4</c:v>
                </c:pt>
                <c:pt idx="4">
                  <c:v>4.25</c:v>
                </c:pt>
                <c:pt idx="5">
                  <c:v>3.75</c:v>
                </c:pt>
                <c:pt idx="6">
                  <c:v>4.75</c:v>
                </c:pt>
                <c:pt idx="7">
                  <c:v>8.5</c:v>
                </c:pt>
                <c:pt idx="8">
                  <c:v>8.25</c:v>
                </c:pt>
                <c:pt idx="9">
                  <c:v>9.75</c:v>
                </c:pt>
                <c:pt idx="10">
                  <c:v>5</c:v>
                </c:pt>
                <c:pt idx="11">
                  <c:v>2.5</c:v>
                </c:pt>
                <c:pt idx="12">
                  <c:v>3</c:v>
                </c:pt>
                <c:pt idx="13">
                  <c:v>5.67</c:v>
                </c:pt>
                <c:pt idx="14">
                  <c:v>1.33</c:v>
                </c:pt>
                <c:pt idx="15">
                  <c:v>1</c:v>
                </c:pt>
                <c:pt idx="16">
                  <c:v>4</c:v>
                </c:pt>
                <c:pt idx="17">
                  <c:v>3.3299999999999987</c:v>
                </c:pt>
                <c:pt idx="18">
                  <c:v>7.33</c:v>
                </c:pt>
                <c:pt idx="19">
                  <c:v>4.67</c:v>
                </c:pt>
                <c:pt idx="20">
                  <c:v>3</c:v>
                </c:pt>
                <c:pt idx="21">
                  <c:v>4.5</c:v>
                </c:pt>
                <c:pt idx="22">
                  <c:v>7</c:v>
                </c:pt>
              </c:numCache>
            </c:numRef>
          </c:val>
        </c:ser>
        <c:dLbls>
          <c:showLegendKey val="0"/>
          <c:showVal val="0"/>
          <c:showCatName val="0"/>
          <c:showSerName val="0"/>
          <c:showPercent val="0"/>
          <c:showBubbleSize val="0"/>
        </c:dLbls>
        <c:gapWidth val="300"/>
        <c:axId val="292470144"/>
        <c:axId val="295699968"/>
      </c:barChart>
      <c:catAx>
        <c:axId val="292470144"/>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95699968"/>
        <c:crosses val="autoZero"/>
        <c:auto val="1"/>
        <c:lblAlgn val="ctr"/>
        <c:lblOffset val="100"/>
        <c:noMultiLvlLbl val="0"/>
      </c:catAx>
      <c:valAx>
        <c:axId val="295699968"/>
        <c:scaling>
          <c:orientation val="minMax"/>
          <c:max val="30"/>
        </c:scaling>
        <c:delete val="0"/>
        <c:axPos val="l"/>
        <c:majorGridlines/>
        <c:title>
          <c:tx>
            <c:rich>
              <a:bodyPr/>
              <a:lstStyle/>
              <a:p>
                <a:pPr>
                  <a:defRPr lang="es-MX"/>
                </a:pPr>
                <a:r>
                  <a:rPr lang="en-US"/>
                  <a:t>Tiempo</a:t>
                </a:r>
                <a:r>
                  <a:rPr lang="en-US" baseline="0"/>
                  <a:t> de Viaje</a:t>
                </a:r>
                <a:r>
                  <a:rPr lang="en-US"/>
                  <a:t> [min]</a:t>
                </a:r>
              </a:p>
            </c:rich>
          </c:tx>
          <c:overlay val="0"/>
        </c:title>
        <c:numFmt formatCode="General" sourceLinked="1"/>
        <c:majorTickMark val="out"/>
        <c:minorTickMark val="none"/>
        <c:tickLblPos val="nextTo"/>
        <c:txPr>
          <a:bodyPr/>
          <a:lstStyle/>
          <a:p>
            <a:pPr>
              <a:defRPr lang="es-MX"/>
            </a:pPr>
            <a:endParaRPr lang="en-US"/>
          </a:p>
        </c:txPr>
        <c:crossAx val="292470144"/>
        <c:crosses val="autoZero"/>
        <c:crossBetween val="between"/>
        <c:minorUnit val="2"/>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16454499148688"/>
          <c:y val="0.15117289351176791"/>
          <c:w val="0.85131559357924169"/>
          <c:h val="0.69408341572502252"/>
        </c:manualLayout>
      </c:layout>
      <c:lineChart>
        <c:grouping val="standard"/>
        <c:varyColors val="0"/>
        <c:ser>
          <c:idx val="0"/>
          <c:order val="0"/>
          <c:tx>
            <c:strRef>
              <c:f>Progressione!$AF$3</c:f>
              <c:strCache>
                <c:ptCount val="1"/>
                <c:pt idx="0">
                  <c:v>PROYECTO vs OPTIMIZADA</c:v>
                </c:pt>
              </c:strCache>
            </c:strRef>
          </c:tx>
          <c:spPr>
            <a:ln>
              <a:solidFill>
                <a:srgbClr val="92D050"/>
              </a:solidFill>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Progressione!$AF$10:$AF$40</c:f>
              <c:numCache>
                <c:formatCode>#,##0</c:formatCode>
                <c:ptCount val="31"/>
                <c:pt idx="0">
                  <c:v>41839.516071448597</c:v>
                </c:pt>
                <c:pt idx="1">
                  <c:v>70771.482029539518</c:v>
                </c:pt>
                <c:pt idx="2">
                  <c:v>101204.59475253439</c:v>
                </c:pt>
                <c:pt idx="3">
                  <c:v>107106.57635744661</c:v>
                </c:pt>
                <c:pt idx="4">
                  <c:v>113194.85247559239</c:v>
                </c:pt>
                <c:pt idx="5">
                  <c:v>119474.34710238455</c:v>
                </c:pt>
                <c:pt idx="6">
                  <c:v>125950.10367871261</c:v>
                </c:pt>
                <c:pt idx="7">
                  <c:v>132627.28784540776</c:v>
                </c:pt>
                <c:pt idx="8">
                  <c:v>139511.19025915311</c:v>
                </c:pt>
                <c:pt idx="9">
                  <c:v>146607.22947117078</c:v>
                </c:pt>
                <c:pt idx="10">
                  <c:v>153920.95487004705</c:v>
                </c:pt>
                <c:pt idx="11">
                  <c:v>161458.04969009268</c:v>
                </c:pt>
                <c:pt idx="12">
                  <c:v>169224.33408667622</c:v>
                </c:pt>
                <c:pt idx="13">
                  <c:v>177225.76827998497</c:v>
                </c:pt>
                <c:pt idx="14">
                  <c:v>185468.45576866204</c:v>
                </c:pt>
                <c:pt idx="15">
                  <c:v>193958.64661492547</c:v>
                </c:pt>
                <c:pt idx="16">
                  <c:v>202702.74080262287</c:v>
                </c:pt>
                <c:pt idx="17">
                  <c:v>211707.29166987212</c:v>
                </c:pt>
                <c:pt idx="18">
                  <c:v>220979.00941789211</c:v>
                </c:pt>
                <c:pt idx="19">
                  <c:v>230524.76469766395</c:v>
                </c:pt>
                <c:pt idx="20">
                  <c:v>240351.59227611971</c:v>
                </c:pt>
                <c:pt idx="21">
                  <c:v>250466.69478359525</c:v>
                </c:pt>
                <c:pt idx="22">
                  <c:v>260877.44654429145</c:v>
                </c:pt>
                <c:pt idx="23">
                  <c:v>271591.3974915492</c:v>
                </c:pt>
                <c:pt idx="24">
                  <c:v>282616.27716978407</c:v>
                </c:pt>
                <c:pt idx="25">
                  <c:v>293959.99882494455</c:v>
                </c:pt>
                <c:pt idx="26">
                  <c:v>305630.66358542664</c:v>
                </c:pt>
                <c:pt idx="27">
                  <c:v>317636.56473536883</c:v>
                </c:pt>
                <c:pt idx="28">
                  <c:v>329986.19208240398</c:v>
                </c:pt>
                <c:pt idx="29">
                  <c:v>342688.23642178997</c:v>
                </c:pt>
                <c:pt idx="30">
                  <c:v>355751.59409913392</c:v>
                </c:pt>
              </c:numCache>
            </c:numRef>
          </c:val>
          <c:smooth val="0"/>
        </c:ser>
        <c:ser>
          <c:idx val="1"/>
          <c:order val="1"/>
          <c:tx>
            <c:strRef>
              <c:f>Progressione!$AG$3</c:f>
              <c:strCache>
                <c:ptCount val="1"/>
                <c:pt idx="0">
                  <c:v>PROYECTO + RED BASICA vs OPTIMIZADA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Progressione!$AG$10:$AG$40</c:f>
              <c:numCache>
                <c:formatCode>General</c:formatCode>
                <c:ptCount val="31"/>
                <c:pt idx="12" formatCode="#,##0.00">
                  <c:v>363497.67661650805</c:v>
                </c:pt>
                <c:pt idx="13" formatCode="#,##0">
                  <c:v>374999.954663446</c:v>
                </c:pt>
                <c:pt idx="14" formatCode="#,##0">
                  <c:v>386806.57190074719</c:v>
                </c:pt>
                <c:pt idx="15" formatCode="#,##0">
                  <c:v>398924.91521087603</c:v>
                </c:pt>
                <c:pt idx="16" formatCode="#,##0">
                  <c:v>411362.54188363114</c:v>
                </c:pt>
                <c:pt idx="17" formatCode="#,##0">
                  <c:v>424127.18341798661</c:v>
                </c:pt>
                <c:pt idx="18" formatCode="#,##0">
                  <c:v>437226.74940669321</c:v>
                </c:pt>
                <c:pt idx="19" formatCode="#,##0">
                  <c:v>450669.33150553564</c:v>
                </c:pt>
                <c:pt idx="20" formatCode="#,##0">
                  <c:v>464463.2074890022</c:v>
                </c:pt>
                <c:pt idx="21" formatCode="#,##0">
                  <c:v>478616.84539422253</c:v>
                </c:pt>
                <c:pt idx="22" formatCode="#,##0">
                  <c:v>493138.90775506984</c:v>
                </c:pt>
                <c:pt idx="23" formatCode="#,##0">
                  <c:v>508038.25592835085</c:v>
                </c:pt>
                <c:pt idx="24" formatCode="#,##0">
                  <c:v>523323.95451405522</c:v>
                </c:pt>
                <c:pt idx="25" formatCode="#,##0">
                  <c:v>539005.27587166836</c:v>
                </c:pt>
                <c:pt idx="26" formatCode="#,##0">
                  <c:v>555091.70473461738</c:v>
                </c:pt>
                <c:pt idx="27" formatCode="#,##0">
                  <c:v>571592.94292491255</c:v>
                </c:pt>
                <c:pt idx="28" formatCode="#,##0">
                  <c:v>588518.91417017137</c:v>
                </c:pt>
                <c:pt idx="29" formatCode="#,##0">
                  <c:v>605879.7690251834</c:v>
                </c:pt>
                <c:pt idx="30" formatCode="#,##0">
                  <c:v>623685.88990021218</c:v>
                </c:pt>
              </c:numCache>
            </c:numRef>
          </c:val>
          <c:smooth val="1"/>
        </c:ser>
        <c:dLbls>
          <c:showLegendKey val="0"/>
          <c:showVal val="0"/>
          <c:showCatName val="0"/>
          <c:showSerName val="0"/>
          <c:showPercent val="0"/>
          <c:showBubbleSize val="0"/>
        </c:dLbls>
        <c:marker val="1"/>
        <c:smooth val="0"/>
        <c:axId val="445946880"/>
        <c:axId val="214614784"/>
      </c:lineChart>
      <c:catAx>
        <c:axId val="445946880"/>
        <c:scaling>
          <c:orientation val="minMax"/>
        </c:scaling>
        <c:delete val="0"/>
        <c:axPos val="b"/>
        <c:numFmt formatCode="General" sourceLinked="1"/>
        <c:majorTickMark val="out"/>
        <c:minorTickMark val="none"/>
        <c:tickLblPos val="nextTo"/>
        <c:txPr>
          <a:bodyPr rot="-5400000" vert="horz"/>
          <a:lstStyle/>
          <a:p>
            <a:pPr>
              <a:defRPr>
                <a:latin typeface="Arial" pitchFamily="34" charset="0"/>
                <a:cs typeface="Arial" pitchFamily="34" charset="0"/>
              </a:defRPr>
            </a:pPr>
            <a:endParaRPr lang="en-US"/>
          </a:p>
        </c:txPr>
        <c:crossAx val="214614784"/>
        <c:crosses val="autoZero"/>
        <c:auto val="1"/>
        <c:lblAlgn val="ctr"/>
        <c:lblOffset val="100"/>
        <c:noMultiLvlLbl val="0"/>
      </c:catAx>
      <c:valAx>
        <c:axId val="214614784"/>
        <c:scaling>
          <c:orientation val="minMax"/>
        </c:scaling>
        <c:delete val="0"/>
        <c:axPos val="l"/>
        <c:majorGridlines/>
        <c:title>
          <c:tx>
            <c:rich>
              <a:bodyPr rot="0" vert="horz"/>
              <a:lstStyle/>
              <a:p>
                <a:pPr algn="l">
                  <a:defRPr/>
                </a:pPr>
                <a:r>
                  <a:rPr lang="it-IT"/>
                  <a:t>Ahorr</a:t>
                </a:r>
                <a:r>
                  <a:rPr lang="it-IT" baseline="0"/>
                  <a:t>o de Tiempo </a:t>
                </a:r>
                <a:r>
                  <a:rPr lang="it-IT"/>
                  <a:t>[horas/año *1000]</a:t>
                </a:r>
              </a:p>
            </c:rich>
          </c:tx>
          <c:layout>
            <c:manualLayout>
              <c:xMode val="edge"/>
              <c:yMode val="edge"/>
              <c:x val="1.4301313850191518E-3"/>
              <c:y val="1.9844106513297183E-2"/>
            </c:manualLayout>
          </c:layout>
          <c:overlay val="0"/>
        </c:title>
        <c:numFmt formatCode="#,##0" sourceLinked="1"/>
        <c:majorTickMark val="out"/>
        <c:minorTickMark val="none"/>
        <c:tickLblPos val="nextTo"/>
        <c:txPr>
          <a:bodyPr/>
          <a:lstStyle/>
          <a:p>
            <a:pPr>
              <a:defRPr>
                <a:latin typeface="Arial" pitchFamily="34" charset="0"/>
                <a:cs typeface="Arial" pitchFamily="34" charset="0"/>
              </a:defRPr>
            </a:pPr>
            <a:endParaRPr lang="en-US"/>
          </a:p>
        </c:txPr>
        <c:crossAx val="445946880"/>
        <c:crosses val="autoZero"/>
        <c:crossBetween val="between"/>
        <c:majorUnit val="50000"/>
      </c:valAx>
    </c:plotArea>
    <c:legend>
      <c:legendPos val="r"/>
      <c:layout>
        <c:manualLayout>
          <c:xMode val="edge"/>
          <c:yMode val="edge"/>
          <c:x val="0.53594355505771751"/>
          <c:y val="0.73100186004651047"/>
          <c:w val="0.44631066417892246"/>
          <c:h val="8.6616708696185124E-2"/>
        </c:manualLayout>
      </c:layout>
      <c:overlay val="0"/>
      <c:spPr>
        <a:solidFill>
          <a:sysClr val="window" lastClr="FFFFFF"/>
        </a:solidFill>
      </c:spPr>
    </c:legend>
    <c:plotVisOnly val="1"/>
    <c:dispBlanksAs val="gap"/>
    <c:showDLblsOverMax val="0"/>
  </c:chart>
  <c:spPr>
    <a:solidFill>
      <a:schemeClr val="bg1"/>
    </a:solidFill>
    <a:ln>
      <a:noFill/>
    </a:ln>
  </c:spPr>
  <c:txPr>
    <a:bodyPr/>
    <a:lstStyle/>
    <a:p>
      <a:pPr>
        <a:defRPr sz="900">
          <a:latin typeface="Arial Narrow" pitchFamily="34"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104491483196494E-2"/>
          <c:y val="4.6570064328530301E-2"/>
          <c:w val="0.92224848076839783"/>
          <c:h val="0.86936423516029615"/>
        </c:manualLayout>
      </c:layout>
      <c:barChart>
        <c:barDir val="col"/>
        <c:grouping val="clustered"/>
        <c:varyColors val="0"/>
        <c:ser>
          <c:idx val="0"/>
          <c:order val="0"/>
          <c:tx>
            <c:v>HPM</c:v>
          </c:tx>
          <c:invertIfNegative val="0"/>
          <c:cat>
            <c:strRef>
              <c:f>TARYET!$T$34:$T$56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TARYET!$U$34:$U$56</c:f>
              <c:numCache>
                <c:formatCode>0</c:formatCode>
                <c:ptCount val="23"/>
                <c:pt idx="0">
                  <c:v>0</c:v>
                </c:pt>
                <c:pt idx="1">
                  <c:v>39.428571428572013</c:v>
                </c:pt>
                <c:pt idx="2">
                  <c:v>3.9118705035971177</c:v>
                </c:pt>
                <c:pt idx="3">
                  <c:v>20.619718309859191</c:v>
                </c:pt>
                <c:pt idx="4">
                  <c:v>30.173410404624278</c:v>
                </c:pt>
                <c:pt idx="5">
                  <c:v>11.901336073997976</c:v>
                </c:pt>
                <c:pt idx="6">
                  <c:v>30.761421319796952</c:v>
                </c:pt>
                <c:pt idx="7">
                  <c:v>16.229508196720989</c:v>
                </c:pt>
                <c:pt idx="8">
                  <c:v>5.3731343283581845</c:v>
                </c:pt>
                <c:pt idx="9">
                  <c:v>4.404655326768129</c:v>
                </c:pt>
                <c:pt idx="10">
                  <c:v>4.3342318059299165</c:v>
                </c:pt>
                <c:pt idx="11">
                  <c:v>13.562386980108506</c:v>
                </c:pt>
                <c:pt idx="12">
                  <c:v>18.685121107266436</c:v>
                </c:pt>
                <c:pt idx="13">
                  <c:v>20.19512195121953</c:v>
                </c:pt>
                <c:pt idx="14">
                  <c:v>24.648648648648649</c:v>
                </c:pt>
                <c:pt idx="15">
                  <c:v>14.362416107383103</c:v>
                </c:pt>
                <c:pt idx="16">
                  <c:v>11.868131868131869</c:v>
                </c:pt>
                <c:pt idx="17">
                  <c:v>20.17467248908299</c:v>
                </c:pt>
                <c:pt idx="18">
                  <c:v>13.581661891117468</c:v>
                </c:pt>
                <c:pt idx="19">
                  <c:v>26.109510086455327</c:v>
                </c:pt>
                <c:pt idx="20">
                  <c:v>36.533333333333339</c:v>
                </c:pt>
                <c:pt idx="21">
                  <c:v>24.788135593219689</c:v>
                </c:pt>
                <c:pt idx="22">
                  <c:v>23.067961165049539</c:v>
                </c:pt>
              </c:numCache>
            </c:numRef>
          </c:val>
        </c:ser>
        <c:ser>
          <c:idx val="1"/>
          <c:order val="1"/>
          <c:tx>
            <c:v>HPT</c:v>
          </c:tx>
          <c:spPr>
            <a:solidFill>
              <a:schemeClr val="accent3"/>
            </a:solidFill>
          </c:spPr>
          <c:invertIfNegative val="0"/>
          <c:cat>
            <c:strRef>
              <c:f>TARYET!$T$34:$T$56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TARYET!$W$34:$W$56</c:f>
              <c:numCache>
                <c:formatCode>0</c:formatCode>
                <c:ptCount val="23"/>
                <c:pt idx="0">
                  <c:v>0</c:v>
                </c:pt>
                <c:pt idx="1">
                  <c:v>17.737789203084827</c:v>
                </c:pt>
                <c:pt idx="2">
                  <c:v>15.316901408450708</c:v>
                </c:pt>
                <c:pt idx="3">
                  <c:v>30.886075949367083</c:v>
                </c:pt>
                <c:pt idx="4">
                  <c:v>19.405204460966527</c:v>
                </c:pt>
                <c:pt idx="5">
                  <c:v>15.863013698630136</c:v>
                </c:pt>
                <c:pt idx="6">
                  <c:v>18.475609756097562</c:v>
                </c:pt>
                <c:pt idx="7">
                  <c:v>24.344262295081929</c:v>
                </c:pt>
                <c:pt idx="8">
                  <c:v>8.3965014577260266</c:v>
                </c:pt>
                <c:pt idx="9">
                  <c:v>11.388888888888889</c:v>
                </c:pt>
                <c:pt idx="10">
                  <c:v>24.738461538461529</c:v>
                </c:pt>
                <c:pt idx="11">
                  <c:v>20.325203252032519</c:v>
                </c:pt>
                <c:pt idx="12">
                  <c:v>22.40663900414841</c:v>
                </c:pt>
                <c:pt idx="13">
                  <c:v>12.122986822840424</c:v>
                </c:pt>
                <c:pt idx="14">
                  <c:v>13.451327433628316</c:v>
                </c:pt>
                <c:pt idx="15">
                  <c:v>43.087248322147644</c:v>
                </c:pt>
                <c:pt idx="16">
                  <c:v>11.868131868131869</c:v>
                </c:pt>
                <c:pt idx="17">
                  <c:v>20.17467248908299</c:v>
                </c:pt>
                <c:pt idx="18">
                  <c:v>38.536585365853654</c:v>
                </c:pt>
                <c:pt idx="19">
                  <c:v>34.84615384615541</c:v>
                </c:pt>
                <c:pt idx="20">
                  <c:v>18.22616407982262</c:v>
                </c:pt>
                <c:pt idx="21">
                  <c:v>28.888888888888893</c:v>
                </c:pt>
                <c:pt idx="22">
                  <c:v>11.545189504373178</c:v>
                </c:pt>
              </c:numCache>
            </c:numRef>
          </c:val>
        </c:ser>
        <c:dLbls>
          <c:showLegendKey val="0"/>
          <c:showVal val="0"/>
          <c:showCatName val="0"/>
          <c:showSerName val="0"/>
          <c:showPercent val="0"/>
          <c:showBubbleSize val="0"/>
        </c:dLbls>
        <c:gapWidth val="300"/>
        <c:axId val="295720448"/>
        <c:axId val="295721984"/>
      </c:barChart>
      <c:catAx>
        <c:axId val="295720448"/>
        <c:scaling>
          <c:orientation val="minMax"/>
        </c:scaling>
        <c:delete val="1"/>
        <c:axPos val="b"/>
        <c:majorTickMark val="none"/>
        <c:minorTickMark val="none"/>
        <c:tickLblPos val="none"/>
        <c:crossAx val="295721984"/>
        <c:crosses val="autoZero"/>
        <c:auto val="1"/>
        <c:lblAlgn val="ctr"/>
        <c:lblOffset val="100"/>
        <c:noMultiLvlLbl val="0"/>
      </c:catAx>
      <c:valAx>
        <c:axId val="295721984"/>
        <c:scaling>
          <c:orientation val="minMax"/>
          <c:max val="50"/>
        </c:scaling>
        <c:delete val="0"/>
        <c:axPos val="l"/>
        <c:majorGridlines/>
        <c:minorGridlines/>
        <c:title>
          <c:tx>
            <c:rich>
              <a:bodyPr/>
              <a:lstStyle/>
              <a:p>
                <a:pPr>
                  <a:defRPr lang="es-MX"/>
                </a:pPr>
                <a:r>
                  <a:rPr lang="en-US"/>
                  <a:t>Velocidad [km/h]</a:t>
                </a:r>
              </a:p>
            </c:rich>
          </c:tx>
          <c:layout>
            <c:manualLayout>
              <c:xMode val="edge"/>
              <c:yMode val="edge"/>
              <c:x val="0"/>
              <c:y val="0.2174044936673534"/>
            </c:manualLayout>
          </c:layout>
          <c:overlay val="0"/>
        </c:title>
        <c:numFmt formatCode="0" sourceLinked="1"/>
        <c:majorTickMark val="out"/>
        <c:minorTickMark val="none"/>
        <c:tickLblPos val="nextTo"/>
        <c:txPr>
          <a:bodyPr/>
          <a:lstStyle/>
          <a:p>
            <a:pPr>
              <a:defRPr lang="es-MX"/>
            </a:pPr>
            <a:endParaRPr lang="en-US"/>
          </a:p>
        </c:txPr>
        <c:crossAx val="295720448"/>
        <c:crosses val="autoZero"/>
        <c:crossBetween val="between"/>
        <c:majorUnit val="5"/>
        <c:minorUnit val="5"/>
      </c:valAx>
    </c:plotArea>
    <c:legend>
      <c:legendPos val="r"/>
      <c:layout>
        <c:manualLayout>
          <c:xMode val="edge"/>
          <c:yMode val="edge"/>
          <c:x val="0.9207512801714437"/>
          <c:y val="5.5851247415976094E-2"/>
          <c:w val="6.9843067725013724E-2"/>
          <c:h val="0.25634203583387088"/>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633562688727298E-2"/>
          <c:y val="4.6531028991059847E-2"/>
          <c:w val="0.92359867999221257"/>
          <c:h val="0.44198834496757688"/>
        </c:manualLayout>
      </c:layout>
      <c:barChart>
        <c:barDir val="col"/>
        <c:grouping val="clustered"/>
        <c:varyColors val="0"/>
        <c:ser>
          <c:idx val="0"/>
          <c:order val="0"/>
          <c:tx>
            <c:v>HPM</c:v>
          </c:tx>
          <c:invertIfNegative val="0"/>
          <c:cat>
            <c:strRef>
              <c:f>TARYET!$T$34:$T$56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TARYET!$Z$34:$Z$56</c:f>
              <c:numCache>
                <c:formatCode>0</c:formatCode>
                <c:ptCount val="23"/>
                <c:pt idx="0">
                  <c:v>0</c:v>
                </c:pt>
                <c:pt idx="1">
                  <c:v>1.75</c:v>
                </c:pt>
                <c:pt idx="2">
                  <c:v>22.24</c:v>
                </c:pt>
                <c:pt idx="3">
                  <c:v>3.55</c:v>
                </c:pt>
                <c:pt idx="4">
                  <c:v>3.46</c:v>
                </c:pt>
                <c:pt idx="5">
                  <c:v>9.7299999999999986</c:v>
                </c:pt>
                <c:pt idx="6">
                  <c:v>1.9700000000000357</c:v>
                </c:pt>
                <c:pt idx="7">
                  <c:v>3.66</c:v>
                </c:pt>
                <c:pt idx="8">
                  <c:v>5.3599999999999985</c:v>
                </c:pt>
                <c:pt idx="9">
                  <c:v>11.17</c:v>
                </c:pt>
                <c:pt idx="10">
                  <c:v>18.55</c:v>
                </c:pt>
                <c:pt idx="11">
                  <c:v>5.53</c:v>
                </c:pt>
                <c:pt idx="12">
                  <c:v>2.8899999999999997</c:v>
                </c:pt>
                <c:pt idx="13">
                  <c:v>4.0999999999999996</c:v>
                </c:pt>
                <c:pt idx="14">
                  <c:v>5.55</c:v>
                </c:pt>
                <c:pt idx="15">
                  <c:v>4.4700000000000024</c:v>
                </c:pt>
                <c:pt idx="16">
                  <c:v>5.46</c:v>
                </c:pt>
                <c:pt idx="17">
                  <c:v>4.58</c:v>
                </c:pt>
                <c:pt idx="18">
                  <c:v>3.4899999999999998</c:v>
                </c:pt>
                <c:pt idx="19">
                  <c:v>3.4699999999999998</c:v>
                </c:pt>
                <c:pt idx="20">
                  <c:v>2.25</c:v>
                </c:pt>
                <c:pt idx="21">
                  <c:v>4.72</c:v>
                </c:pt>
                <c:pt idx="22">
                  <c:v>5.1499999999999995</c:v>
                </c:pt>
              </c:numCache>
            </c:numRef>
          </c:val>
        </c:ser>
        <c:ser>
          <c:idx val="2"/>
          <c:order val="1"/>
          <c:tx>
            <c:v>HPT</c:v>
          </c:tx>
          <c:invertIfNegative val="0"/>
          <c:cat>
            <c:strRef>
              <c:f>TARYET!$T$34:$T$56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TARYET!$AB$34:$AB$56</c:f>
              <c:numCache>
                <c:formatCode>0</c:formatCode>
                <c:ptCount val="23"/>
                <c:pt idx="0">
                  <c:v>0</c:v>
                </c:pt>
                <c:pt idx="1">
                  <c:v>3.8899999999999997</c:v>
                </c:pt>
                <c:pt idx="2">
                  <c:v>5.68</c:v>
                </c:pt>
                <c:pt idx="3">
                  <c:v>2.3699999999999997</c:v>
                </c:pt>
                <c:pt idx="4">
                  <c:v>5.38</c:v>
                </c:pt>
                <c:pt idx="5">
                  <c:v>7.3</c:v>
                </c:pt>
                <c:pt idx="6">
                  <c:v>3.2800000000000002</c:v>
                </c:pt>
                <c:pt idx="7">
                  <c:v>2.44</c:v>
                </c:pt>
                <c:pt idx="8">
                  <c:v>3.4299999999999997</c:v>
                </c:pt>
                <c:pt idx="9">
                  <c:v>4.3199999999999985</c:v>
                </c:pt>
                <c:pt idx="10">
                  <c:v>3.25</c:v>
                </c:pt>
                <c:pt idx="11">
                  <c:v>3.69</c:v>
                </c:pt>
                <c:pt idx="12">
                  <c:v>2.4099999999999997</c:v>
                </c:pt>
                <c:pt idx="13">
                  <c:v>6.83</c:v>
                </c:pt>
                <c:pt idx="14">
                  <c:v>10.17</c:v>
                </c:pt>
                <c:pt idx="15">
                  <c:v>1.49</c:v>
                </c:pt>
                <c:pt idx="16">
                  <c:v>5.46</c:v>
                </c:pt>
                <c:pt idx="17">
                  <c:v>4.58</c:v>
                </c:pt>
                <c:pt idx="18">
                  <c:v>1.23</c:v>
                </c:pt>
                <c:pt idx="19">
                  <c:v>2.6</c:v>
                </c:pt>
                <c:pt idx="20">
                  <c:v>4.51</c:v>
                </c:pt>
                <c:pt idx="21">
                  <c:v>4.05</c:v>
                </c:pt>
                <c:pt idx="22">
                  <c:v>10.29</c:v>
                </c:pt>
              </c:numCache>
            </c:numRef>
          </c:val>
        </c:ser>
        <c:dLbls>
          <c:showLegendKey val="0"/>
          <c:showVal val="0"/>
          <c:showCatName val="0"/>
          <c:showSerName val="0"/>
          <c:showPercent val="0"/>
          <c:showBubbleSize val="0"/>
        </c:dLbls>
        <c:gapWidth val="300"/>
        <c:axId val="295739392"/>
        <c:axId val="295741312"/>
      </c:barChart>
      <c:catAx>
        <c:axId val="295739392"/>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95741312"/>
        <c:crosses val="autoZero"/>
        <c:auto val="1"/>
        <c:lblAlgn val="ctr"/>
        <c:lblOffset val="100"/>
        <c:noMultiLvlLbl val="0"/>
      </c:catAx>
      <c:valAx>
        <c:axId val="295741312"/>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6.0973662978400433E-3"/>
              <c:y val="6.670144894249011E-2"/>
            </c:manualLayout>
          </c:layout>
          <c:overlay val="0"/>
        </c:title>
        <c:numFmt formatCode="0" sourceLinked="1"/>
        <c:majorTickMark val="out"/>
        <c:minorTickMark val="none"/>
        <c:tickLblPos val="nextTo"/>
        <c:txPr>
          <a:bodyPr rot="0" vert="horz"/>
          <a:lstStyle/>
          <a:p>
            <a:pPr>
              <a:defRPr lang="es-MX"/>
            </a:pPr>
            <a:endParaRPr lang="en-US"/>
          </a:p>
        </c:txPr>
        <c:crossAx val="295739392"/>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44064662371753E-2"/>
          <c:y val="4.3926883026861999E-2"/>
          <c:w val="0.91056758156082995"/>
          <c:h val="0.87690091370160062"/>
        </c:manualLayout>
      </c:layout>
      <c:barChart>
        <c:barDir val="col"/>
        <c:grouping val="clustered"/>
        <c:varyColors val="0"/>
        <c:ser>
          <c:idx val="0"/>
          <c:order val="0"/>
          <c:tx>
            <c:v>HPM</c:v>
          </c:tx>
          <c:invertIfNegative val="0"/>
          <c:cat>
            <c:strRef>
              <c:f>Foglio1!$M$95:$M$119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Foglio1!$N$95:$N$119</c:f>
              <c:numCache>
                <c:formatCode>General</c:formatCode>
                <c:ptCount val="25"/>
                <c:pt idx="0">
                  <c:v>0</c:v>
                </c:pt>
                <c:pt idx="1">
                  <c:v>9.5593220338983063</c:v>
                </c:pt>
                <c:pt idx="2">
                  <c:v>2.0338983050847377</c:v>
                </c:pt>
                <c:pt idx="3">
                  <c:v>6.9503546099290778</c:v>
                </c:pt>
                <c:pt idx="4">
                  <c:v>28.533333333332589</c:v>
                </c:pt>
                <c:pt idx="5">
                  <c:v>31.237113402061862</c:v>
                </c:pt>
                <c:pt idx="6">
                  <c:v>28.708133971290977</c:v>
                </c:pt>
                <c:pt idx="7">
                  <c:v>20.124223602484491</c:v>
                </c:pt>
                <c:pt idx="8">
                  <c:v>12.138728323698979</c:v>
                </c:pt>
                <c:pt idx="9">
                  <c:v>9.9045020463847226</c:v>
                </c:pt>
                <c:pt idx="10">
                  <c:v>2.1241149521034215</c:v>
                </c:pt>
                <c:pt idx="11">
                  <c:v>2.3539668700959022</c:v>
                </c:pt>
                <c:pt idx="12">
                  <c:v>23.714285714286653</c:v>
                </c:pt>
                <c:pt idx="13">
                  <c:v>8.2352941176470598</c:v>
                </c:pt>
                <c:pt idx="14">
                  <c:v>7.8787878787878745</c:v>
                </c:pt>
                <c:pt idx="15">
                  <c:v>26.666666666666668</c:v>
                </c:pt>
                <c:pt idx="16">
                  <c:v>1.2362998684787381</c:v>
                </c:pt>
                <c:pt idx="17">
                  <c:v>4.0961223375204785</c:v>
                </c:pt>
                <c:pt idx="18">
                  <c:v>4.4879171461449845</c:v>
                </c:pt>
                <c:pt idx="19">
                  <c:v>9.2711370262390673</c:v>
                </c:pt>
                <c:pt idx="20">
                  <c:v>18.095238095238088</c:v>
                </c:pt>
                <c:pt idx="21">
                  <c:v>24.344262295081929</c:v>
                </c:pt>
                <c:pt idx="22">
                  <c:v>19.642365887207703</c:v>
                </c:pt>
                <c:pt idx="23">
                  <c:v>7.08</c:v>
                </c:pt>
                <c:pt idx="24">
                  <c:v>12.257142857142856</c:v>
                </c:pt>
              </c:numCache>
            </c:numRef>
          </c:val>
        </c:ser>
        <c:ser>
          <c:idx val="1"/>
          <c:order val="1"/>
          <c:tx>
            <c:v>HPT</c:v>
          </c:tx>
          <c:invertIfNegative val="0"/>
          <c:cat>
            <c:strRef>
              <c:f>Foglio1!$M$95:$M$119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Foglio1!$O$95:$O$119</c:f>
              <c:numCache>
                <c:formatCode>General</c:formatCode>
                <c:ptCount val="25"/>
                <c:pt idx="0">
                  <c:v>0</c:v>
                </c:pt>
                <c:pt idx="1">
                  <c:v>4.9911504424778794</c:v>
                </c:pt>
                <c:pt idx="2">
                  <c:v>13.591160220994468</c:v>
                </c:pt>
                <c:pt idx="3">
                  <c:v>23.902439024389249</c:v>
                </c:pt>
                <c:pt idx="4">
                  <c:v>13.70330843116329</c:v>
                </c:pt>
                <c:pt idx="5">
                  <c:v>9.9344262295084267</c:v>
                </c:pt>
                <c:pt idx="6">
                  <c:v>10.791366906474748</c:v>
                </c:pt>
                <c:pt idx="7">
                  <c:v>32.4</c:v>
                </c:pt>
                <c:pt idx="8">
                  <c:v>11.444141689373298</c:v>
                </c:pt>
                <c:pt idx="9">
                  <c:v>15.748373101951341</c:v>
                </c:pt>
                <c:pt idx="10">
                  <c:v>20.158102766798535</c:v>
                </c:pt>
                <c:pt idx="11">
                  <c:v>6.9857697283312534</c:v>
                </c:pt>
                <c:pt idx="12">
                  <c:v>8.2178217821775039</c:v>
                </c:pt>
                <c:pt idx="13">
                  <c:v>2.670906200318</c:v>
                </c:pt>
                <c:pt idx="14">
                  <c:v>4.5614035087719298</c:v>
                </c:pt>
                <c:pt idx="15">
                  <c:v>3.9603960396039608</c:v>
                </c:pt>
                <c:pt idx="16">
                  <c:v>1.712204007285931</c:v>
                </c:pt>
                <c:pt idx="17">
                  <c:v>6.4710957722174314</c:v>
                </c:pt>
                <c:pt idx="18">
                  <c:v>13.829787234043108</c:v>
                </c:pt>
                <c:pt idx="19">
                  <c:v>25.039370078740156</c:v>
                </c:pt>
                <c:pt idx="20">
                  <c:v>16.978723404255089</c:v>
                </c:pt>
                <c:pt idx="21">
                  <c:v>34.236311239193213</c:v>
                </c:pt>
                <c:pt idx="22">
                  <c:v>9.2129032258064516</c:v>
                </c:pt>
                <c:pt idx="23">
                  <c:v>8.8500000000000068</c:v>
                </c:pt>
                <c:pt idx="24">
                  <c:v>9.533333333333335</c:v>
                </c:pt>
              </c:numCache>
            </c:numRef>
          </c:val>
        </c:ser>
        <c:dLbls>
          <c:showLegendKey val="0"/>
          <c:showVal val="0"/>
          <c:showCatName val="0"/>
          <c:showSerName val="0"/>
          <c:showPercent val="0"/>
          <c:showBubbleSize val="0"/>
        </c:dLbls>
        <c:gapWidth val="300"/>
        <c:axId val="295855616"/>
        <c:axId val="295857152"/>
      </c:barChart>
      <c:catAx>
        <c:axId val="295855616"/>
        <c:scaling>
          <c:orientation val="minMax"/>
        </c:scaling>
        <c:delete val="1"/>
        <c:axPos val="b"/>
        <c:majorTickMark val="none"/>
        <c:minorTickMark val="none"/>
        <c:tickLblPos val="none"/>
        <c:crossAx val="295857152"/>
        <c:crosses val="autoZero"/>
        <c:auto val="1"/>
        <c:lblAlgn val="ctr"/>
        <c:lblOffset val="100"/>
        <c:noMultiLvlLbl val="0"/>
      </c:catAx>
      <c:valAx>
        <c:axId val="295857152"/>
        <c:scaling>
          <c:orientation val="minMax"/>
          <c:max val="50"/>
        </c:scaling>
        <c:delete val="0"/>
        <c:axPos val="l"/>
        <c:majorGridlines/>
        <c:minorGridlines/>
        <c:title>
          <c:tx>
            <c:rich>
              <a:bodyPr/>
              <a:lstStyle/>
              <a:p>
                <a:pPr>
                  <a:defRPr lang="es-MX"/>
                </a:pPr>
                <a:r>
                  <a:rPr lang="en-US"/>
                  <a:t>Velocidad [km/h]</a:t>
                </a:r>
              </a:p>
            </c:rich>
          </c:tx>
          <c:layout>
            <c:manualLayout>
              <c:xMode val="edge"/>
              <c:yMode val="edge"/>
              <c:x val="5.6553558751028096E-3"/>
              <c:y val="0.23630967181733994"/>
            </c:manualLayout>
          </c:layout>
          <c:overlay val="0"/>
        </c:title>
        <c:numFmt formatCode="#,##0.00" sourceLinked="0"/>
        <c:majorTickMark val="out"/>
        <c:minorTickMark val="none"/>
        <c:tickLblPos val="nextTo"/>
        <c:txPr>
          <a:bodyPr/>
          <a:lstStyle/>
          <a:p>
            <a:pPr>
              <a:defRPr lang="es-MX"/>
            </a:pPr>
            <a:endParaRPr lang="en-US"/>
          </a:p>
        </c:txPr>
        <c:crossAx val="295855616"/>
        <c:crosses val="autoZero"/>
        <c:crossBetween val="between"/>
        <c:majorUnit val="5"/>
        <c:minorUnit val="5"/>
      </c:valAx>
    </c:plotArea>
    <c:legend>
      <c:legendPos val="r"/>
      <c:layout>
        <c:manualLayout>
          <c:xMode val="edge"/>
          <c:yMode val="edge"/>
          <c:x val="0.91959058709451513"/>
          <c:y val="8.2152801551980043E-2"/>
          <c:w val="6.9843067725013724E-2"/>
          <c:h val="0.2307040967705124"/>
        </c:manualLayout>
      </c:layout>
      <c:overlay val="0"/>
      <c:spPr>
        <a:solidFill>
          <a:sysClr val="window" lastClr="FFFFFF"/>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833844921927224E-2"/>
          <c:y val="4.3033022035037123E-2"/>
          <c:w val="0.90337850141613651"/>
          <c:h val="0.58292986632486365"/>
        </c:manualLayout>
      </c:layout>
      <c:barChart>
        <c:barDir val="col"/>
        <c:grouping val="clustered"/>
        <c:varyColors val="0"/>
        <c:ser>
          <c:idx val="0"/>
          <c:order val="0"/>
          <c:tx>
            <c:v>HPM</c:v>
          </c:tx>
          <c:invertIfNegative val="0"/>
          <c:cat>
            <c:strRef>
              <c:f>Foglio1!$M$95:$M$119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Foglio1!$S$95:$S$119</c:f>
              <c:numCache>
                <c:formatCode>0</c:formatCode>
                <c:ptCount val="25"/>
                <c:pt idx="0">
                  <c:v>0</c:v>
                </c:pt>
                <c:pt idx="1">
                  <c:v>2.9499999999999997</c:v>
                </c:pt>
                <c:pt idx="2">
                  <c:v>24.19</c:v>
                </c:pt>
                <c:pt idx="3">
                  <c:v>8.4600000000000026</c:v>
                </c:pt>
                <c:pt idx="4">
                  <c:v>4.5</c:v>
                </c:pt>
                <c:pt idx="5">
                  <c:v>1.9400000000000241</c:v>
                </c:pt>
                <c:pt idx="6">
                  <c:v>2.09</c:v>
                </c:pt>
                <c:pt idx="7">
                  <c:v>4.83</c:v>
                </c:pt>
                <c:pt idx="8">
                  <c:v>6.92</c:v>
                </c:pt>
                <c:pt idx="9">
                  <c:v>7.33</c:v>
                </c:pt>
                <c:pt idx="10">
                  <c:v>24.01</c:v>
                </c:pt>
                <c:pt idx="11">
                  <c:v>22.939999999999987</c:v>
                </c:pt>
                <c:pt idx="12">
                  <c:v>2.1</c:v>
                </c:pt>
                <c:pt idx="13">
                  <c:v>2.04</c:v>
                </c:pt>
                <c:pt idx="14">
                  <c:v>0.99</c:v>
                </c:pt>
                <c:pt idx="15">
                  <c:v>0.45</c:v>
                </c:pt>
                <c:pt idx="16">
                  <c:v>22.810000000000031</c:v>
                </c:pt>
                <c:pt idx="17">
                  <c:v>18.309999999999999</c:v>
                </c:pt>
                <c:pt idx="18">
                  <c:v>8.69</c:v>
                </c:pt>
                <c:pt idx="19">
                  <c:v>6.8599999999999985</c:v>
                </c:pt>
                <c:pt idx="20">
                  <c:v>4.41</c:v>
                </c:pt>
                <c:pt idx="21">
                  <c:v>4.88</c:v>
                </c:pt>
                <c:pt idx="22">
                  <c:v>7.2700000000000014</c:v>
                </c:pt>
                <c:pt idx="23">
                  <c:v>10</c:v>
                </c:pt>
                <c:pt idx="24">
                  <c:v>7</c:v>
                </c:pt>
              </c:numCache>
            </c:numRef>
          </c:val>
        </c:ser>
        <c:ser>
          <c:idx val="1"/>
          <c:order val="1"/>
          <c:tx>
            <c:v>HPT</c:v>
          </c:tx>
          <c:invertIfNegative val="0"/>
          <c:cat>
            <c:strRef>
              <c:f>Foglio1!$M$95:$M$119</c:f>
              <c:strCache>
                <c:ptCount val="25"/>
                <c:pt idx="0">
                  <c:v>Municipalidad De Ate</c:v>
                </c:pt>
                <c:pt idx="1">
                  <c:v>Javier Prado</c:v>
                </c:pt>
                <c:pt idx="2">
                  <c:v>Las Azucenas</c:v>
                </c:pt>
                <c:pt idx="3">
                  <c:v>Separadora Industrial</c:v>
                </c:pt>
                <c:pt idx="4">
                  <c:v>Colectora Industrial</c:v>
                </c:pt>
                <c:pt idx="5">
                  <c:v>La Molina</c:v>
                </c:pt>
                <c:pt idx="6">
                  <c:v>Via Evitamiento</c:v>
                </c:pt>
                <c:pt idx="7">
                  <c:v>De Las Torres</c:v>
                </c:pt>
                <c:pt idx="8">
                  <c:v>Circunvalacion</c:v>
                </c:pt>
                <c:pt idx="9">
                  <c:v>San Pablo</c:v>
                </c:pt>
                <c:pt idx="10">
                  <c:v>Parinacochas</c:v>
                </c:pt>
                <c:pt idx="11">
                  <c:v>Andahuaylas</c:v>
                </c:pt>
                <c:pt idx="12">
                  <c:v>Via Expresa</c:v>
                </c:pt>
                <c:pt idx="13">
                  <c:v>Petit Thouars</c:v>
                </c:pt>
                <c:pt idx="14">
                  <c:v>Arequipa</c:v>
                </c:pt>
                <c:pt idx="15">
                  <c:v>Salaverry</c:v>
                </c:pt>
                <c:pt idx="16">
                  <c:v>Bolognesi</c:v>
                </c:pt>
                <c:pt idx="17">
                  <c:v>Aguarico</c:v>
                </c:pt>
                <c:pt idx="18">
                  <c:v>Tingo Maria</c:v>
                </c:pt>
                <c:pt idx="19">
                  <c:v>La Alborada</c:v>
                </c:pt>
                <c:pt idx="20">
                  <c:v>Universitaria</c:v>
                </c:pt>
                <c:pt idx="21">
                  <c:v>Faucett</c:v>
                </c:pt>
                <c:pt idx="22">
                  <c:v>Santa Rosa</c:v>
                </c:pt>
                <c:pt idx="23">
                  <c:v>Almirante Miguel Grau</c:v>
                </c:pt>
                <c:pt idx="24">
                  <c:v>Argentina</c:v>
                </c:pt>
              </c:strCache>
            </c:strRef>
          </c:cat>
          <c:val>
            <c:numRef>
              <c:f>Foglio1!$T$95:$T$119</c:f>
              <c:numCache>
                <c:formatCode>0</c:formatCode>
                <c:ptCount val="25"/>
                <c:pt idx="0">
                  <c:v>0</c:v>
                </c:pt>
                <c:pt idx="1">
                  <c:v>5.6499999999999995</c:v>
                </c:pt>
                <c:pt idx="2">
                  <c:v>3.62</c:v>
                </c:pt>
                <c:pt idx="3">
                  <c:v>2.46</c:v>
                </c:pt>
                <c:pt idx="4">
                  <c:v>9.3700000000000028</c:v>
                </c:pt>
                <c:pt idx="5">
                  <c:v>6.1</c:v>
                </c:pt>
                <c:pt idx="6">
                  <c:v>5.56</c:v>
                </c:pt>
                <c:pt idx="7">
                  <c:v>3</c:v>
                </c:pt>
                <c:pt idx="8">
                  <c:v>7.34</c:v>
                </c:pt>
                <c:pt idx="9">
                  <c:v>4.6099999999999985</c:v>
                </c:pt>
                <c:pt idx="10">
                  <c:v>2.5299999999999998</c:v>
                </c:pt>
                <c:pt idx="11">
                  <c:v>7.73</c:v>
                </c:pt>
                <c:pt idx="12">
                  <c:v>6.06</c:v>
                </c:pt>
                <c:pt idx="13">
                  <c:v>6.29</c:v>
                </c:pt>
                <c:pt idx="14">
                  <c:v>1.71</c:v>
                </c:pt>
                <c:pt idx="15">
                  <c:v>3.03</c:v>
                </c:pt>
                <c:pt idx="16">
                  <c:v>16.47</c:v>
                </c:pt>
                <c:pt idx="17">
                  <c:v>11.59</c:v>
                </c:pt>
                <c:pt idx="18">
                  <c:v>2.82</c:v>
                </c:pt>
                <c:pt idx="19">
                  <c:v>2.54</c:v>
                </c:pt>
                <c:pt idx="20">
                  <c:v>4.7</c:v>
                </c:pt>
                <c:pt idx="21">
                  <c:v>3.4699999999999998</c:v>
                </c:pt>
                <c:pt idx="22">
                  <c:v>15.5</c:v>
                </c:pt>
                <c:pt idx="23">
                  <c:v>8</c:v>
                </c:pt>
                <c:pt idx="24">
                  <c:v>9</c:v>
                </c:pt>
              </c:numCache>
            </c:numRef>
          </c:val>
        </c:ser>
        <c:dLbls>
          <c:showLegendKey val="0"/>
          <c:showVal val="0"/>
          <c:showCatName val="0"/>
          <c:showSerName val="0"/>
          <c:showPercent val="0"/>
          <c:showBubbleSize val="0"/>
        </c:dLbls>
        <c:gapWidth val="300"/>
        <c:axId val="396140928"/>
        <c:axId val="396142464"/>
      </c:barChart>
      <c:catAx>
        <c:axId val="396140928"/>
        <c:scaling>
          <c:orientation val="minMax"/>
        </c:scaling>
        <c:delete val="0"/>
        <c:axPos val="b"/>
        <c:majorTickMark val="none"/>
        <c:minorTickMark val="none"/>
        <c:tickLblPos val="nextTo"/>
        <c:txPr>
          <a:bodyPr rot="-5400000" vert="horz"/>
          <a:lstStyle/>
          <a:p>
            <a:pPr>
              <a:defRPr lang="es-MX"/>
            </a:pPr>
            <a:endParaRPr lang="en-US"/>
          </a:p>
        </c:txPr>
        <c:crossAx val="396142464"/>
        <c:crosses val="autoZero"/>
        <c:auto val="1"/>
        <c:lblAlgn val="ctr"/>
        <c:lblOffset val="100"/>
        <c:noMultiLvlLbl val="0"/>
      </c:catAx>
      <c:valAx>
        <c:axId val="396142464"/>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7.5973397944624436E-3"/>
              <c:y val="0.1565232252945126"/>
            </c:manualLayout>
          </c:layout>
          <c:overlay val="0"/>
        </c:title>
        <c:numFmt formatCode="0.00" sourceLinked="0"/>
        <c:majorTickMark val="out"/>
        <c:minorTickMark val="none"/>
        <c:tickLblPos val="nextTo"/>
        <c:txPr>
          <a:bodyPr/>
          <a:lstStyle/>
          <a:p>
            <a:pPr>
              <a:defRPr lang="es-MX"/>
            </a:pPr>
            <a:endParaRPr lang="en-US"/>
          </a:p>
        </c:txPr>
        <c:crossAx val="396140928"/>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517510311211145E-2"/>
          <c:y val="4.5409078466418687E-2"/>
          <c:w val="0.89478035245594301"/>
          <c:h val="0.9128776387614127"/>
        </c:manualLayout>
      </c:layout>
      <c:barChart>
        <c:barDir val="col"/>
        <c:grouping val="clustered"/>
        <c:varyColors val="0"/>
        <c:ser>
          <c:idx val="0"/>
          <c:order val="0"/>
          <c:tx>
            <c:v>HPM</c:v>
          </c:tx>
          <c:invertIfNegative val="0"/>
          <c:cat>
            <c:strRef>
              <c:f>Foglio1!$M$64:$M$88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Foglio1!$N$64:$N$88</c:f>
              <c:numCache>
                <c:formatCode>0.00</c:formatCode>
                <c:ptCount val="25"/>
                <c:pt idx="0" formatCode="General">
                  <c:v>0</c:v>
                </c:pt>
                <c:pt idx="1">
                  <c:v>34.878048780487809</c:v>
                </c:pt>
                <c:pt idx="2">
                  <c:v>2.9268292682926842</c:v>
                </c:pt>
                <c:pt idx="3">
                  <c:v>12.060810810810812</c:v>
                </c:pt>
                <c:pt idx="4">
                  <c:v>15.840000000000002</c:v>
                </c:pt>
                <c:pt idx="5">
                  <c:v>41.134020618556711</c:v>
                </c:pt>
                <c:pt idx="6">
                  <c:v>45.428571428572013</c:v>
                </c:pt>
                <c:pt idx="7">
                  <c:v>12.621359223300971</c:v>
                </c:pt>
                <c:pt idx="8">
                  <c:v>9.3750000000000266</c:v>
                </c:pt>
                <c:pt idx="9">
                  <c:v>2.3095823095823098</c:v>
                </c:pt>
                <c:pt idx="10">
                  <c:v>3.4985422740524781</c:v>
                </c:pt>
                <c:pt idx="11">
                  <c:v>4.5086705202312141</c:v>
                </c:pt>
                <c:pt idx="12">
                  <c:v>8</c:v>
                </c:pt>
                <c:pt idx="13">
                  <c:v>9.7455968688845527</c:v>
                </c:pt>
                <c:pt idx="14">
                  <c:v>27.272727272725611</c:v>
                </c:pt>
                <c:pt idx="15">
                  <c:v>28.651685393259235</c:v>
                </c:pt>
                <c:pt idx="16">
                  <c:v>4.2456140350877165</c:v>
                </c:pt>
                <c:pt idx="17">
                  <c:v>4.5876570180229388</c:v>
                </c:pt>
                <c:pt idx="18">
                  <c:v>5.6742556917688294</c:v>
                </c:pt>
                <c:pt idx="19">
                  <c:v>13.12910284463895</c:v>
                </c:pt>
                <c:pt idx="20">
                  <c:v>27.420814479638011</c:v>
                </c:pt>
                <c:pt idx="21">
                  <c:v>26.311475409837108</c:v>
                </c:pt>
                <c:pt idx="22">
                  <c:v>14.066985645933016</c:v>
                </c:pt>
                <c:pt idx="23">
                  <c:v>7.8095238095238093</c:v>
                </c:pt>
                <c:pt idx="24">
                  <c:v>4.4833068362480075</c:v>
                </c:pt>
              </c:numCache>
            </c:numRef>
          </c:val>
        </c:ser>
        <c:ser>
          <c:idx val="1"/>
          <c:order val="1"/>
          <c:tx>
            <c:v>HPT</c:v>
          </c:tx>
          <c:invertIfNegative val="0"/>
          <c:cat>
            <c:strRef>
              <c:f>Foglio1!$M$64:$M$88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Foglio1!$O$64:$O$88</c:f>
              <c:numCache>
                <c:formatCode>0.00</c:formatCode>
                <c:ptCount val="25"/>
                <c:pt idx="0" formatCode="General">
                  <c:v>0</c:v>
                </c:pt>
                <c:pt idx="1">
                  <c:v>17.837837837837842</c:v>
                </c:pt>
                <c:pt idx="2">
                  <c:v>25.285714285712917</c:v>
                </c:pt>
                <c:pt idx="3">
                  <c:v>23.8</c:v>
                </c:pt>
                <c:pt idx="4">
                  <c:v>9.8671096345514968</c:v>
                </c:pt>
                <c:pt idx="5">
                  <c:v>26.163934426229531</c:v>
                </c:pt>
                <c:pt idx="6">
                  <c:v>24.090909090909086</c:v>
                </c:pt>
                <c:pt idx="7">
                  <c:v>7.9918032786885274</c:v>
                </c:pt>
                <c:pt idx="8">
                  <c:v>10.714285714285715</c:v>
                </c:pt>
                <c:pt idx="9">
                  <c:v>2.5111308993766688</c:v>
                </c:pt>
                <c:pt idx="10">
                  <c:v>7.8947368421049884</c:v>
                </c:pt>
                <c:pt idx="11">
                  <c:v>3.2365145228215852</c:v>
                </c:pt>
                <c:pt idx="12">
                  <c:v>2.7722772277227752</c:v>
                </c:pt>
                <c:pt idx="13">
                  <c:v>2.5408163265306132</c:v>
                </c:pt>
                <c:pt idx="14">
                  <c:v>8.7378640776699044</c:v>
                </c:pt>
                <c:pt idx="15">
                  <c:v>14.529914529914532</c:v>
                </c:pt>
                <c:pt idx="16">
                  <c:v>9.3798449612403267</c:v>
                </c:pt>
                <c:pt idx="17">
                  <c:v>2.8320971004720166</c:v>
                </c:pt>
                <c:pt idx="18">
                  <c:v>23.142857142857231</c:v>
                </c:pt>
                <c:pt idx="19">
                  <c:v>23.529411764705884</c:v>
                </c:pt>
                <c:pt idx="20">
                  <c:v>16.117021276595747</c:v>
                </c:pt>
                <c:pt idx="21">
                  <c:v>26.257668711657235</c:v>
                </c:pt>
                <c:pt idx="22">
                  <c:v>5.7198443579766547</c:v>
                </c:pt>
                <c:pt idx="23">
                  <c:v>9.84</c:v>
                </c:pt>
                <c:pt idx="24">
                  <c:v>8.7850467289719667</c:v>
                </c:pt>
              </c:numCache>
            </c:numRef>
          </c:val>
        </c:ser>
        <c:dLbls>
          <c:showLegendKey val="0"/>
          <c:showVal val="0"/>
          <c:showCatName val="0"/>
          <c:showSerName val="0"/>
          <c:showPercent val="0"/>
          <c:showBubbleSize val="0"/>
        </c:dLbls>
        <c:gapWidth val="300"/>
        <c:axId val="396163328"/>
        <c:axId val="397234176"/>
      </c:barChart>
      <c:catAx>
        <c:axId val="396163328"/>
        <c:scaling>
          <c:orientation val="minMax"/>
        </c:scaling>
        <c:delete val="1"/>
        <c:axPos val="b"/>
        <c:majorTickMark val="none"/>
        <c:minorTickMark val="none"/>
        <c:tickLblPos val="none"/>
        <c:crossAx val="397234176"/>
        <c:crosses val="autoZero"/>
        <c:auto val="1"/>
        <c:lblAlgn val="ctr"/>
        <c:lblOffset val="100"/>
        <c:noMultiLvlLbl val="0"/>
      </c:catAx>
      <c:valAx>
        <c:axId val="397234176"/>
        <c:scaling>
          <c:orientation val="minMax"/>
          <c:max val="50"/>
        </c:scaling>
        <c:delete val="0"/>
        <c:axPos val="l"/>
        <c:majorGridlines/>
        <c:minorGridlines/>
        <c:title>
          <c:tx>
            <c:rich>
              <a:bodyPr/>
              <a:lstStyle/>
              <a:p>
                <a:pPr>
                  <a:defRPr lang="es-MX"/>
                </a:pPr>
                <a:r>
                  <a:rPr lang="en-US"/>
                  <a:t>Velocidad [km/h]</a:t>
                </a:r>
              </a:p>
            </c:rich>
          </c:tx>
          <c:layout>
            <c:manualLayout>
              <c:xMode val="edge"/>
              <c:yMode val="edge"/>
              <c:x val="6.095238095238412E-3"/>
              <c:y val="0.15332012946234491"/>
            </c:manualLayout>
          </c:layout>
          <c:overlay val="0"/>
        </c:title>
        <c:numFmt formatCode="#,##0.00" sourceLinked="0"/>
        <c:majorTickMark val="out"/>
        <c:minorTickMark val="none"/>
        <c:tickLblPos val="nextTo"/>
        <c:txPr>
          <a:bodyPr/>
          <a:lstStyle/>
          <a:p>
            <a:pPr>
              <a:defRPr lang="es-MX"/>
            </a:pPr>
            <a:endParaRPr lang="en-US"/>
          </a:p>
        </c:txPr>
        <c:crossAx val="396163328"/>
        <c:crosses val="autoZero"/>
        <c:crossBetween val="between"/>
        <c:majorUnit val="5"/>
        <c:minorUnit val="5"/>
      </c:valAx>
    </c:plotArea>
    <c:legend>
      <c:legendPos val="r"/>
      <c:layout>
        <c:manualLayout>
          <c:xMode val="edge"/>
          <c:yMode val="edge"/>
          <c:x val="0.90094518185223871"/>
          <c:y val="6.6006473117242184E-2"/>
          <c:w val="6.9843067725013724E-2"/>
          <c:h val="0.25324307022597775"/>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469891263592054E-2"/>
          <c:y val="4.5409078466418687E-2"/>
          <c:w val="0.9030138432696001"/>
          <c:h val="0.51205964285139205"/>
        </c:manualLayout>
      </c:layout>
      <c:barChart>
        <c:barDir val="col"/>
        <c:grouping val="clustered"/>
        <c:varyColors val="0"/>
        <c:ser>
          <c:idx val="0"/>
          <c:order val="0"/>
          <c:tx>
            <c:v>HPM</c:v>
          </c:tx>
          <c:invertIfNegative val="0"/>
          <c:cat>
            <c:strRef>
              <c:f>Foglio1!$M$64:$M$88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Foglio1!$S$64:$S$88</c:f>
              <c:numCache>
                <c:formatCode>General</c:formatCode>
                <c:ptCount val="25"/>
                <c:pt idx="0">
                  <c:v>0</c:v>
                </c:pt>
                <c:pt idx="1">
                  <c:v>2.46</c:v>
                </c:pt>
                <c:pt idx="2">
                  <c:v>24.19</c:v>
                </c:pt>
                <c:pt idx="3">
                  <c:v>11.84</c:v>
                </c:pt>
                <c:pt idx="4">
                  <c:v>7.5</c:v>
                </c:pt>
                <c:pt idx="5">
                  <c:v>1.9400000000000241</c:v>
                </c:pt>
                <c:pt idx="6">
                  <c:v>1.4</c:v>
                </c:pt>
                <c:pt idx="7">
                  <c:v>3.09</c:v>
                </c:pt>
                <c:pt idx="8">
                  <c:v>8</c:v>
                </c:pt>
                <c:pt idx="9">
                  <c:v>12.209999999999999</c:v>
                </c:pt>
                <c:pt idx="10">
                  <c:v>3.4299999999999997</c:v>
                </c:pt>
                <c:pt idx="11">
                  <c:v>1.73</c:v>
                </c:pt>
                <c:pt idx="12">
                  <c:v>2.1</c:v>
                </c:pt>
                <c:pt idx="13">
                  <c:v>5.1099999999999985</c:v>
                </c:pt>
                <c:pt idx="14">
                  <c:v>1.9800000000000397</c:v>
                </c:pt>
                <c:pt idx="15">
                  <c:v>1.78</c:v>
                </c:pt>
                <c:pt idx="16">
                  <c:v>17.100000000000001</c:v>
                </c:pt>
                <c:pt idx="17">
                  <c:v>18.309999999999999</c:v>
                </c:pt>
                <c:pt idx="18">
                  <c:v>17.130000000000031</c:v>
                </c:pt>
                <c:pt idx="19">
                  <c:v>4.57</c:v>
                </c:pt>
                <c:pt idx="20">
                  <c:v>2.21</c:v>
                </c:pt>
                <c:pt idx="21">
                  <c:v>4.88</c:v>
                </c:pt>
                <c:pt idx="22">
                  <c:v>4.18</c:v>
                </c:pt>
                <c:pt idx="23">
                  <c:v>6.3</c:v>
                </c:pt>
                <c:pt idx="24">
                  <c:v>6.29</c:v>
                </c:pt>
              </c:numCache>
            </c:numRef>
          </c:val>
        </c:ser>
        <c:ser>
          <c:idx val="1"/>
          <c:order val="1"/>
          <c:tx>
            <c:v>HPT</c:v>
          </c:tx>
          <c:invertIfNegative val="0"/>
          <c:cat>
            <c:strRef>
              <c:f>Foglio1!$M$64:$M$88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Foglio1!$T$64:$T$88</c:f>
              <c:numCache>
                <c:formatCode>General</c:formatCode>
                <c:ptCount val="25"/>
                <c:pt idx="0">
                  <c:v>0</c:v>
                </c:pt>
                <c:pt idx="1">
                  <c:v>4.8099999999999996</c:v>
                </c:pt>
                <c:pt idx="2">
                  <c:v>2.8</c:v>
                </c:pt>
                <c:pt idx="3">
                  <c:v>6</c:v>
                </c:pt>
                <c:pt idx="4">
                  <c:v>12.04</c:v>
                </c:pt>
                <c:pt idx="5">
                  <c:v>3.05</c:v>
                </c:pt>
                <c:pt idx="6">
                  <c:v>2.64</c:v>
                </c:pt>
                <c:pt idx="7">
                  <c:v>4.88</c:v>
                </c:pt>
                <c:pt idx="8">
                  <c:v>7</c:v>
                </c:pt>
                <c:pt idx="9">
                  <c:v>11.229999999999999</c:v>
                </c:pt>
                <c:pt idx="10">
                  <c:v>1.52</c:v>
                </c:pt>
                <c:pt idx="11">
                  <c:v>2.4099999999999997</c:v>
                </c:pt>
                <c:pt idx="12">
                  <c:v>6.06</c:v>
                </c:pt>
                <c:pt idx="13">
                  <c:v>19.600000000000001</c:v>
                </c:pt>
                <c:pt idx="14">
                  <c:v>6.18</c:v>
                </c:pt>
                <c:pt idx="15">
                  <c:v>3.51</c:v>
                </c:pt>
                <c:pt idx="16">
                  <c:v>7.74</c:v>
                </c:pt>
                <c:pt idx="17">
                  <c:v>29.66</c:v>
                </c:pt>
                <c:pt idx="18">
                  <c:v>4.2</c:v>
                </c:pt>
                <c:pt idx="19">
                  <c:v>2.5499999999999998</c:v>
                </c:pt>
                <c:pt idx="20">
                  <c:v>3.7600000000000002</c:v>
                </c:pt>
                <c:pt idx="21">
                  <c:v>4.8899999999999997</c:v>
                </c:pt>
                <c:pt idx="22">
                  <c:v>10.28</c:v>
                </c:pt>
                <c:pt idx="23">
                  <c:v>5</c:v>
                </c:pt>
                <c:pt idx="24">
                  <c:v>3.21</c:v>
                </c:pt>
              </c:numCache>
            </c:numRef>
          </c:val>
        </c:ser>
        <c:dLbls>
          <c:showLegendKey val="0"/>
          <c:showVal val="0"/>
          <c:showCatName val="0"/>
          <c:showSerName val="0"/>
          <c:showPercent val="0"/>
          <c:showBubbleSize val="0"/>
        </c:dLbls>
        <c:gapWidth val="300"/>
        <c:axId val="397247232"/>
        <c:axId val="397248768"/>
      </c:barChart>
      <c:catAx>
        <c:axId val="397247232"/>
        <c:scaling>
          <c:orientation val="minMax"/>
        </c:scaling>
        <c:delete val="0"/>
        <c:axPos val="b"/>
        <c:majorTickMark val="none"/>
        <c:minorTickMark val="none"/>
        <c:tickLblPos val="nextTo"/>
        <c:txPr>
          <a:bodyPr rot="-5400000" vert="horz"/>
          <a:lstStyle/>
          <a:p>
            <a:pPr>
              <a:defRPr lang="es-MX"/>
            </a:pPr>
            <a:endParaRPr lang="en-US"/>
          </a:p>
        </c:txPr>
        <c:crossAx val="397248768"/>
        <c:crosses val="autoZero"/>
        <c:auto val="1"/>
        <c:lblAlgn val="ctr"/>
        <c:lblOffset val="100"/>
        <c:noMultiLvlLbl val="0"/>
      </c:catAx>
      <c:valAx>
        <c:axId val="397248768"/>
        <c:scaling>
          <c:orientation val="minMax"/>
          <c:max val="3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7.6190476190477014E-3"/>
              <c:y val="0.11772700191617549"/>
            </c:manualLayout>
          </c:layout>
          <c:overlay val="0"/>
        </c:title>
        <c:numFmt formatCode="General" sourceLinked="1"/>
        <c:majorTickMark val="out"/>
        <c:minorTickMark val="none"/>
        <c:tickLblPos val="nextTo"/>
        <c:txPr>
          <a:bodyPr/>
          <a:lstStyle/>
          <a:p>
            <a:pPr>
              <a:defRPr lang="es-MX"/>
            </a:pPr>
            <a:endParaRPr lang="en-US"/>
          </a:p>
        </c:txPr>
        <c:crossAx val="397247232"/>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423647533040123E-2"/>
          <c:y val="4.6589606567917857E-2"/>
          <c:w val="0.92244780371860779"/>
          <c:h val="0.87953552473193342"/>
        </c:manualLayout>
      </c:layout>
      <c:barChart>
        <c:barDir val="col"/>
        <c:grouping val="clustered"/>
        <c:varyColors val="0"/>
        <c:ser>
          <c:idx val="0"/>
          <c:order val="0"/>
          <c:tx>
            <c:v>HPM</c:v>
          </c:tx>
          <c:spPr>
            <a:solidFill>
              <a:srgbClr val="FFC000"/>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TARYET!$E$126:$E$143</c:f>
              <c:numCache>
                <c:formatCode>0.00</c:formatCode>
                <c:ptCount val="18"/>
                <c:pt idx="1">
                  <c:v>9.5629820051414267</c:v>
                </c:pt>
                <c:pt idx="2">
                  <c:v>17.942857142857143</c:v>
                </c:pt>
                <c:pt idx="3">
                  <c:v>24.182509505702384</c:v>
                </c:pt>
                <c:pt idx="4">
                  <c:v>10.797546012270002</c:v>
                </c:pt>
                <c:pt idx="6">
                  <c:v>11.666666666666726</c:v>
                </c:pt>
                <c:pt idx="7">
                  <c:v>11.200000000000001</c:v>
                </c:pt>
                <c:pt idx="8">
                  <c:v>9.6666666666666767</c:v>
                </c:pt>
                <c:pt idx="9">
                  <c:v>21.085714285713163</c:v>
                </c:pt>
                <c:pt idx="10">
                  <c:v>24.539614561027829</c:v>
                </c:pt>
                <c:pt idx="11">
                  <c:v>27.6</c:v>
                </c:pt>
                <c:pt idx="12">
                  <c:v>23.828571428571433</c:v>
                </c:pt>
                <c:pt idx="13">
                  <c:v>13.7</c:v>
                </c:pt>
                <c:pt idx="14">
                  <c:v>37.440000000000005</c:v>
                </c:pt>
                <c:pt idx="15">
                  <c:v>85.168539325842701</c:v>
                </c:pt>
                <c:pt idx="16">
                  <c:v>5.7600000000000007</c:v>
                </c:pt>
                <c:pt idx="17">
                  <c:v>22.34234234234107</c:v>
                </c:pt>
              </c:numCache>
            </c:numRef>
          </c:val>
        </c:ser>
        <c:ser>
          <c:idx val="1"/>
          <c:order val="1"/>
          <c:tx>
            <c:v>HPT</c:v>
          </c:tx>
          <c:spPr>
            <a:solidFill>
              <a:schemeClr val="accent6">
                <a:lumMod val="75000"/>
              </a:schemeClr>
            </a:solidFill>
          </c:spPr>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TARYET!$F$126:$F$143</c:f>
              <c:numCache>
                <c:formatCode>0.00</c:formatCode>
                <c:ptCount val="18"/>
                <c:pt idx="1">
                  <c:v>5.3473885960708945</c:v>
                </c:pt>
                <c:pt idx="2">
                  <c:v>18.220502901353019</c:v>
                </c:pt>
                <c:pt idx="3">
                  <c:v>10.495049504950504</c:v>
                </c:pt>
                <c:pt idx="4">
                  <c:v>17.273718647764429</c:v>
                </c:pt>
                <c:pt idx="6">
                  <c:v>9.8222637979420018</c:v>
                </c:pt>
                <c:pt idx="7">
                  <c:v>8.2051282051282062</c:v>
                </c:pt>
                <c:pt idx="8">
                  <c:v>5.7463672391017173</c:v>
                </c:pt>
                <c:pt idx="9">
                  <c:v>10.350631136045353</c:v>
                </c:pt>
                <c:pt idx="10">
                  <c:v>13.514150943396221</c:v>
                </c:pt>
                <c:pt idx="11">
                  <c:v>25.85480093676815</c:v>
                </c:pt>
                <c:pt idx="12">
                  <c:v>55.6</c:v>
                </c:pt>
                <c:pt idx="13">
                  <c:v>4.8352941176470585</c:v>
                </c:pt>
                <c:pt idx="14">
                  <c:v>40.34482758620414</c:v>
                </c:pt>
                <c:pt idx="15">
                  <c:v>20.672727272726124</c:v>
                </c:pt>
                <c:pt idx="16">
                  <c:v>10.68645640074212</c:v>
                </c:pt>
                <c:pt idx="17">
                  <c:v>8.1400437636760419</c:v>
                </c:pt>
              </c:numCache>
            </c:numRef>
          </c:val>
        </c:ser>
        <c:dLbls>
          <c:showLegendKey val="0"/>
          <c:showVal val="0"/>
          <c:showCatName val="0"/>
          <c:showSerName val="0"/>
          <c:showPercent val="0"/>
          <c:showBubbleSize val="0"/>
        </c:dLbls>
        <c:gapWidth val="300"/>
        <c:axId val="397265536"/>
        <c:axId val="397308288"/>
      </c:barChart>
      <c:catAx>
        <c:axId val="397265536"/>
        <c:scaling>
          <c:orientation val="minMax"/>
        </c:scaling>
        <c:delete val="1"/>
        <c:axPos val="b"/>
        <c:majorTickMark val="none"/>
        <c:minorTickMark val="none"/>
        <c:tickLblPos val="none"/>
        <c:crossAx val="397308288"/>
        <c:crosses val="autoZero"/>
        <c:auto val="1"/>
        <c:lblAlgn val="ctr"/>
        <c:lblOffset val="100"/>
        <c:noMultiLvlLbl val="0"/>
      </c:catAx>
      <c:valAx>
        <c:axId val="397308288"/>
        <c:scaling>
          <c:orientation val="minMax"/>
          <c:max val="120"/>
        </c:scaling>
        <c:delete val="0"/>
        <c:axPos val="l"/>
        <c:majorGridlines/>
        <c:minorGridlines/>
        <c:title>
          <c:tx>
            <c:rich>
              <a:bodyPr/>
              <a:lstStyle/>
              <a:p>
                <a:pPr>
                  <a:defRPr lang="es-MX"/>
                </a:pPr>
                <a:r>
                  <a:rPr lang="en-US"/>
                  <a:t>Velocidad [km/h]</a:t>
                </a:r>
              </a:p>
            </c:rich>
          </c:tx>
          <c:layout>
            <c:manualLayout>
              <c:xMode val="edge"/>
              <c:yMode val="edge"/>
              <c:x val="1.0179663614078171E-2"/>
              <c:y val="0.12037625364740252"/>
            </c:manualLayout>
          </c:layout>
          <c:overlay val="0"/>
        </c:title>
        <c:numFmt formatCode="General" sourceLinked="0"/>
        <c:majorTickMark val="out"/>
        <c:minorTickMark val="none"/>
        <c:tickLblPos val="nextTo"/>
        <c:txPr>
          <a:bodyPr/>
          <a:lstStyle/>
          <a:p>
            <a:pPr>
              <a:defRPr lang="es-MX"/>
            </a:pPr>
            <a:endParaRPr lang="en-US"/>
          </a:p>
        </c:txPr>
        <c:crossAx val="397265536"/>
        <c:crosses val="autoZero"/>
        <c:crossBetween val="between"/>
        <c:majorUnit val="20"/>
        <c:minorUnit val="20"/>
      </c:valAx>
    </c:plotArea>
    <c:legend>
      <c:legendPos val="r"/>
      <c:layout>
        <c:manualLayout>
          <c:xMode val="edge"/>
          <c:yMode val="edge"/>
          <c:x val="0.92743709132174856"/>
          <c:y val="4.9952349446813434E-2"/>
          <c:w val="6.9843067725013724E-2"/>
          <c:h val="0.18211590201980721"/>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979890318250479E-2"/>
          <c:y val="4.6531028991059847E-2"/>
          <c:w val="0.90424372804104336"/>
          <c:h val="0.47734779536802935"/>
        </c:manualLayout>
      </c:layout>
      <c:barChart>
        <c:barDir val="col"/>
        <c:grouping val="clustered"/>
        <c:varyColors val="0"/>
        <c:ser>
          <c:idx val="0"/>
          <c:order val="0"/>
          <c:tx>
            <c:v>HPM</c:v>
          </c:tx>
          <c:spPr>
            <a:solidFill>
              <a:srgbClr val="FFC000"/>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TARYET!$G$126:$G$143</c:f>
              <c:numCache>
                <c:formatCode>0.00</c:formatCode>
                <c:ptCount val="18"/>
                <c:pt idx="1">
                  <c:v>11.67</c:v>
                </c:pt>
                <c:pt idx="2">
                  <c:v>5.25</c:v>
                </c:pt>
                <c:pt idx="3">
                  <c:v>2.63</c:v>
                </c:pt>
                <c:pt idx="4">
                  <c:v>14.67</c:v>
                </c:pt>
                <c:pt idx="6">
                  <c:v>9</c:v>
                </c:pt>
                <c:pt idx="7">
                  <c:v>12</c:v>
                </c:pt>
                <c:pt idx="8">
                  <c:v>9</c:v>
                </c:pt>
                <c:pt idx="9">
                  <c:v>3.5</c:v>
                </c:pt>
                <c:pt idx="10">
                  <c:v>4.67</c:v>
                </c:pt>
                <c:pt idx="11">
                  <c:v>4</c:v>
                </c:pt>
                <c:pt idx="12">
                  <c:v>3.5</c:v>
                </c:pt>
                <c:pt idx="13">
                  <c:v>6</c:v>
                </c:pt>
                <c:pt idx="14">
                  <c:v>2.5</c:v>
                </c:pt>
                <c:pt idx="15">
                  <c:v>2.67</c:v>
                </c:pt>
                <c:pt idx="16">
                  <c:v>10</c:v>
                </c:pt>
                <c:pt idx="17">
                  <c:v>3.3299999999999987</c:v>
                </c:pt>
              </c:numCache>
            </c:numRef>
          </c:val>
        </c:ser>
        <c:ser>
          <c:idx val="1"/>
          <c:order val="1"/>
          <c:tx>
            <c:v>HPT</c:v>
          </c:tx>
          <c:spPr>
            <a:solidFill>
              <a:schemeClr val="accent6">
                <a:lumMod val="75000"/>
              </a:schemeClr>
            </a:solidFill>
          </c:spPr>
          <c:invertIfNegative val="0"/>
          <c:cat>
            <c:strRef>
              <c:f>TARYET!$C$126:$C$143</c:f>
              <c:strCache>
                <c:ptCount val="18"/>
                <c:pt idx="0">
                  <c:v>San Martin de Porres</c:v>
                </c:pt>
                <c:pt idx="1">
                  <c:v>El Sol</c:v>
                </c:pt>
                <c:pt idx="2">
                  <c:v>Los Postes</c:v>
                </c:pt>
                <c:pt idx="3">
                  <c:v>Jardines</c:v>
                </c:pt>
                <c:pt idx="4">
                  <c:v>Lima</c:v>
                </c:pt>
                <c:pt idx="5">
                  <c:v>Miguel Grau</c:v>
                </c:pt>
                <c:pt idx="6">
                  <c:v>Mexico</c:v>
                </c:pt>
                <c:pt idx="7">
                  <c:v>Javier Prado</c:v>
                </c:pt>
                <c:pt idx="8">
                  <c:v>San Borja Sur</c:v>
                </c:pt>
                <c:pt idx="9">
                  <c:v>Angamos</c:v>
                </c:pt>
                <c:pt idx="10">
                  <c:v>Alfredo Benavides</c:v>
                </c:pt>
                <c:pt idx="11">
                  <c:v>Velazco Astete</c:v>
                </c:pt>
                <c:pt idx="12">
                  <c:v>Atoconogo</c:v>
                </c:pt>
                <c:pt idx="13">
                  <c:v>San Juan</c:v>
                </c:pt>
                <c:pt idx="14">
                  <c:v>Miguel Iglesias</c:v>
                </c:pt>
                <c:pt idx="15">
                  <c:v>1 de Mayo</c:v>
                </c:pt>
                <c:pt idx="16">
                  <c:v>EL Sol</c:v>
                </c:pt>
                <c:pt idx="17">
                  <c:v>Estacion Villa El Salvador</c:v>
                </c:pt>
              </c:strCache>
            </c:strRef>
          </c:cat>
          <c:val>
            <c:numRef>
              <c:f>TARYET!$H$126:$H$143</c:f>
              <c:numCache>
                <c:formatCode>0.00</c:formatCode>
                <c:ptCount val="18"/>
                <c:pt idx="1">
                  <c:v>20.87</c:v>
                </c:pt>
                <c:pt idx="2">
                  <c:v>5.17</c:v>
                </c:pt>
                <c:pt idx="3">
                  <c:v>6.06</c:v>
                </c:pt>
                <c:pt idx="4">
                  <c:v>9.17</c:v>
                </c:pt>
                <c:pt idx="6">
                  <c:v>10.69</c:v>
                </c:pt>
                <c:pt idx="7">
                  <c:v>16.38</c:v>
                </c:pt>
                <c:pt idx="8">
                  <c:v>15.139999999999999</c:v>
                </c:pt>
                <c:pt idx="9">
                  <c:v>7.13</c:v>
                </c:pt>
                <c:pt idx="10">
                  <c:v>8.48</c:v>
                </c:pt>
                <c:pt idx="11">
                  <c:v>4.2699999999999996</c:v>
                </c:pt>
                <c:pt idx="12">
                  <c:v>1.5</c:v>
                </c:pt>
                <c:pt idx="13">
                  <c:v>17</c:v>
                </c:pt>
                <c:pt idx="14">
                  <c:v>2.3199999999999967</c:v>
                </c:pt>
                <c:pt idx="15">
                  <c:v>11</c:v>
                </c:pt>
                <c:pt idx="16">
                  <c:v>5.39</c:v>
                </c:pt>
                <c:pt idx="17">
                  <c:v>9.1399999999999988</c:v>
                </c:pt>
              </c:numCache>
            </c:numRef>
          </c:val>
        </c:ser>
        <c:dLbls>
          <c:showLegendKey val="0"/>
          <c:showVal val="0"/>
          <c:showCatName val="0"/>
          <c:showSerName val="0"/>
          <c:showPercent val="0"/>
          <c:showBubbleSize val="0"/>
        </c:dLbls>
        <c:gapWidth val="300"/>
        <c:axId val="397329536"/>
        <c:axId val="397331456"/>
      </c:barChart>
      <c:catAx>
        <c:axId val="397329536"/>
        <c:scaling>
          <c:orientation val="minMax"/>
        </c:scaling>
        <c:delete val="0"/>
        <c:axPos val="b"/>
        <c:title>
          <c:tx>
            <c:rich>
              <a:bodyPr/>
              <a:lstStyle/>
              <a:p>
                <a:pPr>
                  <a:defRPr lang="es-MX"/>
                </a:pPr>
                <a:r>
                  <a:rPr lang="en-US"/>
                  <a:t>Tramos</a:t>
                </a:r>
              </a:p>
            </c:rich>
          </c:tx>
          <c:layout>
            <c:manualLayout>
              <c:xMode val="edge"/>
              <c:yMode val="edge"/>
              <c:x val="0.48005574033859949"/>
              <c:y val="0.91532000848766726"/>
            </c:manualLayout>
          </c:layout>
          <c:overlay val="0"/>
        </c:title>
        <c:majorTickMark val="none"/>
        <c:minorTickMark val="none"/>
        <c:tickLblPos val="nextTo"/>
        <c:txPr>
          <a:bodyPr rot="5400000" vert="horz"/>
          <a:lstStyle/>
          <a:p>
            <a:pPr>
              <a:defRPr lang="es-MX"/>
            </a:pPr>
            <a:endParaRPr lang="en-US"/>
          </a:p>
        </c:txPr>
        <c:crossAx val="397331456"/>
        <c:crosses val="autoZero"/>
        <c:auto val="1"/>
        <c:lblAlgn val="ctr"/>
        <c:lblOffset val="100"/>
        <c:noMultiLvlLbl val="0"/>
      </c:catAx>
      <c:valAx>
        <c:axId val="397331456"/>
        <c:scaling>
          <c:orientation val="minMax"/>
          <c:max val="4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6.100502414802444E-3"/>
              <c:y val="9.2763075611189627E-2"/>
            </c:manualLayout>
          </c:layout>
          <c:overlay val="0"/>
        </c:title>
        <c:numFmt formatCode="General" sourceLinked="0"/>
        <c:majorTickMark val="out"/>
        <c:minorTickMark val="none"/>
        <c:tickLblPos val="nextTo"/>
        <c:txPr>
          <a:bodyPr/>
          <a:lstStyle/>
          <a:p>
            <a:pPr>
              <a:defRPr lang="es-MX"/>
            </a:pPr>
            <a:endParaRPr lang="en-US"/>
          </a:p>
        </c:txPr>
        <c:crossAx val="397329536"/>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29442299285163E-2"/>
          <c:y val="5.0722062225953483E-2"/>
          <c:w val="0.92870557700714862"/>
          <c:h val="0.47734779536802913"/>
        </c:manualLayout>
      </c:layout>
      <c:barChart>
        <c:barDir val="col"/>
        <c:grouping val="clustered"/>
        <c:varyColors val="0"/>
        <c:ser>
          <c:idx val="0"/>
          <c:order val="0"/>
          <c:tx>
            <c:v>HPM</c:v>
          </c:tx>
          <c:spPr>
            <a:solidFill>
              <a:srgbClr val="FFC000"/>
            </a:solidFill>
          </c:spPr>
          <c:invertIfNegative val="0"/>
          <c:cat>
            <c:strRef>
              <c:f>TARYET!$C$150:$C$167</c:f>
              <c:strCache>
                <c:ptCount val="18"/>
                <c:pt idx="0">
                  <c:v>Estacion Villa El Salvador</c:v>
                </c:pt>
                <c:pt idx="1">
                  <c:v>EL Sol</c:v>
                </c:pt>
                <c:pt idx="2">
                  <c:v>1 de Mayo</c:v>
                </c:pt>
                <c:pt idx="3">
                  <c:v>Miguel Iglesias</c:v>
                </c:pt>
                <c:pt idx="4">
                  <c:v>San Juan</c:v>
                </c:pt>
                <c:pt idx="5">
                  <c:v>Atoconogo</c:v>
                </c:pt>
                <c:pt idx="6">
                  <c:v>Velazco Astete</c:v>
                </c:pt>
                <c:pt idx="7">
                  <c:v>Alfredo Benavides</c:v>
                </c:pt>
                <c:pt idx="8">
                  <c:v>Angamos</c:v>
                </c:pt>
                <c:pt idx="9">
                  <c:v>San Borja Sur</c:v>
                </c:pt>
                <c:pt idx="10">
                  <c:v>Javier Prado</c:v>
                </c:pt>
                <c:pt idx="11">
                  <c:v>Mexico</c:v>
                </c:pt>
                <c:pt idx="12">
                  <c:v>Miguel Grau</c:v>
                </c:pt>
                <c:pt idx="13">
                  <c:v>Lima</c:v>
                </c:pt>
                <c:pt idx="14">
                  <c:v>Jardines</c:v>
                </c:pt>
                <c:pt idx="15">
                  <c:v>Los Postes</c:v>
                </c:pt>
                <c:pt idx="16">
                  <c:v>El Sol</c:v>
                </c:pt>
                <c:pt idx="17">
                  <c:v>San Martin de Porres</c:v>
                </c:pt>
              </c:strCache>
            </c:strRef>
          </c:cat>
          <c:val>
            <c:numRef>
              <c:f>TARYET!$G$150:$G$167</c:f>
              <c:numCache>
                <c:formatCode>0.00</c:formatCode>
                <c:ptCount val="18"/>
                <c:pt idx="1">
                  <c:v>21</c:v>
                </c:pt>
                <c:pt idx="2">
                  <c:v>2.62</c:v>
                </c:pt>
                <c:pt idx="3">
                  <c:v>13.129999999999999</c:v>
                </c:pt>
                <c:pt idx="4">
                  <c:v>5.33</c:v>
                </c:pt>
                <c:pt idx="5">
                  <c:v>34.67</c:v>
                </c:pt>
                <c:pt idx="6">
                  <c:v>5</c:v>
                </c:pt>
                <c:pt idx="7">
                  <c:v>16</c:v>
                </c:pt>
                <c:pt idx="8">
                  <c:v>18</c:v>
                </c:pt>
                <c:pt idx="9">
                  <c:v>5.83</c:v>
                </c:pt>
                <c:pt idx="10">
                  <c:v>5.83</c:v>
                </c:pt>
                <c:pt idx="11">
                  <c:v>16</c:v>
                </c:pt>
                <c:pt idx="12">
                  <c:v>4.38</c:v>
                </c:pt>
                <c:pt idx="14">
                  <c:v>8.75</c:v>
                </c:pt>
                <c:pt idx="15">
                  <c:v>4</c:v>
                </c:pt>
                <c:pt idx="16">
                  <c:v>3.3499999999999988</c:v>
                </c:pt>
                <c:pt idx="17">
                  <c:v>5.67</c:v>
                </c:pt>
              </c:numCache>
            </c:numRef>
          </c:val>
        </c:ser>
        <c:ser>
          <c:idx val="1"/>
          <c:order val="1"/>
          <c:tx>
            <c:v>HPT</c:v>
          </c:tx>
          <c:spPr>
            <a:solidFill>
              <a:schemeClr val="accent6">
                <a:lumMod val="75000"/>
              </a:schemeClr>
            </a:solidFill>
          </c:spPr>
          <c:invertIfNegative val="0"/>
          <c:cat>
            <c:strRef>
              <c:f>TARYET!$C$150:$C$167</c:f>
              <c:strCache>
                <c:ptCount val="18"/>
                <c:pt idx="0">
                  <c:v>Estacion Villa El Salvador</c:v>
                </c:pt>
                <c:pt idx="1">
                  <c:v>EL Sol</c:v>
                </c:pt>
                <c:pt idx="2">
                  <c:v>1 de Mayo</c:v>
                </c:pt>
                <c:pt idx="3">
                  <c:v>Miguel Iglesias</c:v>
                </c:pt>
                <c:pt idx="4">
                  <c:v>San Juan</c:v>
                </c:pt>
                <c:pt idx="5">
                  <c:v>Atoconogo</c:v>
                </c:pt>
                <c:pt idx="6">
                  <c:v>Velazco Astete</c:v>
                </c:pt>
                <c:pt idx="7">
                  <c:v>Alfredo Benavides</c:v>
                </c:pt>
                <c:pt idx="8">
                  <c:v>Angamos</c:v>
                </c:pt>
                <c:pt idx="9">
                  <c:v>San Borja Sur</c:v>
                </c:pt>
                <c:pt idx="10">
                  <c:v>Javier Prado</c:v>
                </c:pt>
                <c:pt idx="11">
                  <c:v>Mexico</c:v>
                </c:pt>
                <c:pt idx="12">
                  <c:v>Miguel Grau</c:v>
                </c:pt>
                <c:pt idx="13">
                  <c:v>Lima</c:v>
                </c:pt>
                <c:pt idx="14">
                  <c:v>Jardines</c:v>
                </c:pt>
                <c:pt idx="15">
                  <c:v>Los Postes</c:v>
                </c:pt>
                <c:pt idx="16">
                  <c:v>El Sol</c:v>
                </c:pt>
                <c:pt idx="17">
                  <c:v>San Martin de Porres</c:v>
                </c:pt>
              </c:strCache>
            </c:strRef>
          </c:cat>
          <c:val>
            <c:numRef>
              <c:f>TARYET!$H$150:$H$167</c:f>
              <c:numCache>
                <c:formatCode>0.00</c:formatCode>
                <c:ptCount val="18"/>
                <c:pt idx="1">
                  <c:v>31.3</c:v>
                </c:pt>
                <c:pt idx="2">
                  <c:v>5.17</c:v>
                </c:pt>
                <c:pt idx="3">
                  <c:v>16.670000000000005</c:v>
                </c:pt>
                <c:pt idx="4">
                  <c:v>11.01</c:v>
                </c:pt>
                <c:pt idx="5">
                  <c:v>13.17</c:v>
                </c:pt>
                <c:pt idx="6">
                  <c:v>5.94</c:v>
                </c:pt>
                <c:pt idx="7">
                  <c:v>5.04</c:v>
                </c:pt>
                <c:pt idx="8">
                  <c:v>10.09</c:v>
                </c:pt>
                <c:pt idx="9">
                  <c:v>7.13</c:v>
                </c:pt>
                <c:pt idx="10">
                  <c:v>8.48</c:v>
                </c:pt>
                <c:pt idx="11">
                  <c:v>6.83</c:v>
                </c:pt>
                <c:pt idx="12">
                  <c:v>3.75</c:v>
                </c:pt>
                <c:pt idx="14">
                  <c:v>4.6399999999999997</c:v>
                </c:pt>
                <c:pt idx="15">
                  <c:v>4</c:v>
                </c:pt>
                <c:pt idx="16">
                  <c:v>4.5599999999999996</c:v>
                </c:pt>
                <c:pt idx="17">
                  <c:v>8</c:v>
                </c:pt>
              </c:numCache>
            </c:numRef>
          </c:val>
        </c:ser>
        <c:dLbls>
          <c:showLegendKey val="0"/>
          <c:showVal val="0"/>
          <c:showCatName val="0"/>
          <c:showSerName val="0"/>
          <c:showPercent val="0"/>
          <c:showBubbleSize val="0"/>
        </c:dLbls>
        <c:gapWidth val="300"/>
        <c:axId val="397438336"/>
        <c:axId val="397448704"/>
      </c:barChart>
      <c:catAx>
        <c:axId val="397438336"/>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397448704"/>
        <c:crosses val="autoZero"/>
        <c:auto val="1"/>
        <c:lblAlgn val="ctr"/>
        <c:lblOffset val="100"/>
        <c:noMultiLvlLbl val="0"/>
      </c:catAx>
      <c:valAx>
        <c:axId val="397448704"/>
        <c:scaling>
          <c:orientation val="minMax"/>
          <c:max val="40"/>
        </c:scaling>
        <c:delete val="0"/>
        <c:axPos val="l"/>
        <c:majorGridlines/>
        <c:minorGridlines/>
        <c:title>
          <c:tx>
            <c:rich>
              <a:bodyPr/>
              <a:lstStyle/>
              <a:p>
                <a:pPr>
                  <a:defRPr lang="es-MX"/>
                </a:pPr>
                <a:r>
                  <a:rPr lang="en-US"/>
                  <a:t>Tiempo</a:t>
                </a:r>
                <a:r>
                  <a:rPr lang="en-US" baseline="0"/>
                  <a:t> de Viaje</a:t>
                </a:r>
                <a:r>
                  <a:rPr lang="en-US"/>
                  <a:t> [min]</a:t>
                </a:r>
              </a:p>
            </c:rich>
          </c:tx>
          <c:layout>
            <c:manualLayout>
              <c:xMode val="edge"/>
              <c:yMode val="edge"/>
              <c:x val="1.5841289080840606E-2"/>
              <c:y val="0.10952720855076382"/>
            </c:manualLayout>
          </c:layout>
          <c:overlay val="0"/>
        </c:title>
        <c:numFmt formatCode="General" sourceLinked="0"/>
        <c:majorTickMark val="out"/>
        <c:minorTickMark val="none"/>
        <c:tickLblPos val="nextTo"/>
        <c:txPr>
          <a:bodyPr/>
          <a:lstStyle/>
          <a:p>
            <a:pPr>
              <a:defRPr lang="es-MX"/>
            </a:pPr>
            <a:endParaRPr lang="en-US"/>
          </a:p>
        </c:txPr>
        <c:crossAx val="397438336"/>
        <c:crosses val="autoZero"/>
        <c:crossBetween val="between"/>
        <c:majorUnit val="5"/>
        <c:minorUnit val="5"/>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a:t>Linea</a:t>
            </a:r>
            <a:r>
              <a:rPr lang="it-IT" sz="1200" baseline="0"/>
              <a:t> 2 - SENTIDO </a:t>
            </a:r>
            <a:r>
              <a:rPr lang="it-IT" sz="1200"/>
              <a:t>Este - Oeste HPM</a:t>
            </a:r>
          </a:p>
        </c:rich>
      </c:tx>
      <c:overlay val="1"/>
    </c:title>
    <c:autoTitleDeleted val="0"/>
    <c:plotArea>
      <c:layout>
        <c:manualLayout>
          <c:layoutTarget val="inner"/>
          <c:xMode val="edge"/>
          <c:yMode val="edge"/>
          <c:x val="0.11511570047692603"/>
          <c:y val="9.3474767542853568E-2"/>
          <c:w val="0.86312678618135652"/>
          <c:h val="0.64917584581452314"/>
        </c:manualLayout>
      </c:layout>
      <c:barChart>
        <c:barDir val="col"/>
        <c:grouping val="clustered"/>
        <c:varyColors val="0"/>
        <c:ser>
          <c:idx val="1"/>
          <c:order val="0"/>
          <c:tx>
            <c:strRef>
              <c:f>ESC13_2018!$C$2</c:f>
              <c:strCache>
                <c:ptCount val="1"/>
                <c:pt idx="0">
                  <c:v>Sube</c:v>
                </c:pt>
              </c:strCache>
            </c:strRef>
          </c:tx>
          <c:invertIfNegative val="0"/>
          <c:cat>
            <c:strRef>
              <c:f>ESC13_2018!$B$3:$B$29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ESC13_2018!$C$3:$C$29</c:f>
              <c:numCache>
                <c:formatCode>_-* #,##0_-;\-* #,##0_-;_-* "-"??_-;_-@_-</c:formatCode>
                <c:ptCount val="27"/>
                <c:pt idx="0">
                  <c:v>2036.2002</c:v>
                </c:pt>
                <c:pt idx="1">
                  <c:v>5805.8901420000002</c:v>
                </c:pt>
                <c:pt idx="2">
                  <c:v>1277.2866240000001</c:v>
                </c:pt>
                <c:pt idx="3">
                  <c:v>947.01341000000002</c:v>
                </c:pt>
                <c:pt idx="4">
                  <c:v>802.003559</c:v>
                </c:pt>
                <c:pt idx="5">
                  <c:v>2331.2994779999999</c:v>
                </c:pt>
                <c:pt idx="6">
                  <c:v>2983.9327920000155</c:v>
                </c:pt>
                <c:pt idx="7">
                  <c:v>1290.627592</c:v>
                </c:pt>
                <c:pt idx="8">
                  <c:v>581.02772099999947</c:v>
                </c:pt>
                <c:pt idx="9">
                  <c:v>559.63412199999948</c:v>
                </c:pt>
                <c:pt idx="10">
                  <c:v>0</c:v>
                </c:pt>
                <c:pt idx="11">
                  <c:v>966.06432400000006</c:v>
                </c:pt>
                <c:pt idx="12">
                  <c:v>0</c:v>
                </c:pt>
                <c:pt idx="13">
                  <c:v>0</c:v>
                </c:pt>
                <c:pt idx="14">
                  <c:v>0</c:v>
                </c:pt>
              </c:numCache>
            </c:numRef>
          </c:val>
        </c:ser>
        <c:ser>
          <c:idx val="2"/>
          <c:order val="1"/>
          <c:tx>
            <c:strRef>
              <c:f>ESC13_2018!$D$2</c:f>
              <c:strCache>
                <c:ptCount val="1"/>
                <c:pt idx="0">
                  <c:v>Baja</c:v>
                </c:pt>
              </c:strCache>
            </c:strRef>
          </c:tx>
          <c:invertIfNegative val="0"/>
          <c:cat>
            <c:strRef>
              <c:f>ESC13_2018!$B$3:$B$29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ESC13_2018!$D$3:$D$29</c:f>
              <c:numCache>
                <c:formatCode>_-* #,##0_-;\-* #,##0_-;_-* "-"??_-;_-@_-</c:formatCode>
                <c:ptCount val="27"/>
                <c:pt idx="0">
                  <c:v>0</c:v>
                </c:pt>
                <c:pt idx="1">
                  <c:v>0</c:v>
                </c:pt>
                <c:pt idx="2">
                  <c:v>105.89779</c:v>
                </c:pt>
                <c:pt idx="3">
                  <c:v>852.50044300000002</c:v>
                </c:pt>
                <c:pt idx="4">
                  <c:v>352.12867499999999</c:v>
                </c:pt>
                <c:pt idx="5">
                  <c:v>63.190950000000221</c:v>
                </c:pt>
                <c:pt idx="6">
                  <c:v>434.76528100000002</c:v>
                </c:pt>
                <c:pt idx="7">
                  <c:v>437.34365200000002</c:v>
                </c:pt>
                <c:pt idx="8">
                  <c:v>399.170524</c:v>
                </c:pt>
                <c:pt idx="9">
                  <c:v>1180.9759469999999</c:v>
                </c:pt>
                <c:pt idx="10">
                  <c:v>504.90297699999923</c:v>
                </c:pt>
                <c:pt idx="11">
                  <c:v>6700.8359820000005</c:v>
                </c:pt>
                <c:pt idx="12">
                  <c:v>1935.6630269999887</c:v>
                </c:pt>
                <c:pt idx="13">
                  <c:v>2552.4659000000001</c:v>
                </c:pt>
                <c:pt idx="14">
                  <c:v>4061.138817</c:v>
                </c:pt>
              </c:numCache>
            </c:numRef>
          </c:val>
        </c:ser>
        <c:dLbls>
          <c:showLegendKey val="0"/>
          <c:showVal val="0"/>
          <c:showCatName val="0"/>
          <c:showSerName val="0"/>
          <c:showPercent val="0"/>
          <c:showBubbleSize val="0"/>
        </c:dLbls>
        <c:gapWidth val="150"/>
        <c:axId val="397570816"/>
        <c:axId val="397572352"/>
      </c:barChart>
      <c:lineChart>
        <c:grouping val="standard"/>
        <c:varyColors val="0"/>
        <c:ser>
          <c:idx val="0"/>
          <c:order val="2"/>
          <c:tx>
            <c:strRef>
              <c:f>ESC13_2018!$E$2</c:f>
              <c:strCache>
                <c:ptCount val="1"/>
                <c:pt idx="0">
                  <c:v>Carga</c:v>
                </c:pt>
              </c:strCache>
            </c:strRef>
          </c:tx>
          <c:marker>
            <c:symbol val="none"/>
          </c:marker>
          <c:cat>
            <c:strRef>
              <c:f>ESC13_2018!$B$3:$B$29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ESC13_2018!$E$3:$E$29</c:f>
              <c:numCache>
                <c:formatCode>_-* #,##0_-;\-* #,##0_-;_-* "-"??_-;_-@_-</c:formatCode>
                <c:ptCount val="27"/>
                <c:pt idx="0">
                  <c:v>2036.2002</c:v>
                </c:pt>
                <c:pt idx="1">
                  <c:v>7842.0903419999995</c:v>
                </c:pt>
                <c:pt idx="2">
                  <c:v>9013.4791759999353</c:v>
                </c:pt>
                <c:pt idx="3">
                  <c:v>9107.9921429999977</c:v>
                </c:pt>
                <c:pt idx="4">
                  <c:v>9557.8670269999275</c:v>
                </c:pt>
                <c:pt idx="5">
                  <c:v>11825.975554999985</c:v>
                </c:pt>
                <c:pt idx="6">
                  <c:v>14375.143066000059</c:v>
                </c:pt>
                <c:pt idx="7">
                  <c:v>15228.427005999993</c:v>
                </c:pt>
                <c:pt idx="8">
                  <c:v>15410.284203000008</c:v>
                </c:pt>
                <c:pt idx="9">
                  <c:v>14788.942378000012</c:v>
                </c:pt>
                <c:pt idx="10">
                  <c:v>14284.039401000016</c:v>
                </c:pt>
                <c:pt idx="11">
                  <c:v>8549.2677430000003</c:v>
                </c:pt>
                <c:pt idx="12">
                  <c:v>6613.6047159999998</c:v>
                </c:pt>
                <c:pt idx="13">
                  <c:v>4061.1388159999997</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397570816"/>
        <c:axId val="397572352"/>
      </c:lineChart>
      <c:catAx>
        <c:axId val="397570816"/>
        <c:scaling>
          <c:orientation val="minMax"/>
        </c:scaling>
        <c:delete val="0"/>
        <c:axPos val="b"/>
        <c:majorTickMark val="out"/>
        <c:minorTickMark val="none"/>
        <c:tickLblPos val="nextTo"/>
        <c:txPr>
          <a:bodyPr rot="-5400000" vert="horz"/>
          <a:lstStyle/>
          <a:p>
            <a:pPr>
              <a:defRPr sz="900" b="0"/>
            </a:pPr>
            <a:endParaRPr lang="en-US"/>
          </a:p>
        </c:txPr>
        <c:crossAx val="397572352"/>
        <c:crosses val="autoZero"/>
        <c:auto val="1"/>
        <c:lblAlgn val="ctr"/>
        <c:lblOffset val="100"/>
        <c:noMultiLvlLbl val="0"/>
      </c:catAx>
      <c:valAx>
        <c:axId val="397572352"/>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3.2694976462025833E-3"/>
              <c:y val="0.38443487707482726"/>
            </c:manualLayout>
          </c:layout>
          <c:overlay val="0"/>
        </c:title>
        <c:numFmt formatCode="_-* #,##0_-;\-* #,##0_-;_-* &quot;-&quot;??_-;_-@_-" sourceLinked="1"/>
        <c:majorTickMark val="out"/>
        <c:minorTickMark val="none"/>
        <c:tickLblPos val="nextTo"/>
        <c:txPr>
          <a:bodyPr/>
          <a:lstStyle/>
          <a:p>
            <a:pPr>
              <a:defRPr sz="900" b="0"/>
            </a:pPr>
            <a:endParaRPr lang="en-US"/>
          </a:p>
        </c:txPr>
        <c:crossAx val="397570816"/>
        <c:crosses val="autoZero"/>
        <c:crossBetween val="between"/>
        <c:majorUnit val="2500"/>
      </c:valAx>
    </c:plotArea>
    <c:legend>
      <c:legendPos val="r"/>
      <c:layout>
        <c:manualLayout>
          <c:xMode val="edge"/>
          <c:yMode val="edge"/>
          <c:x val="0.86372697683582389"/>
          <c:y val="0.10584955319525211"/>
          <c:w val="0.10444377114335369"/>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57953345089012"/>
          <c:y val="0.16097158091586392"/>
          <c:w val="0.71242311898512678"/>
          <c:h val="0.66903037982862668"/>
        </c:manualLayout>
      </c:layout>
      <c:barChart>
        <c:barDir val="col"/>
        <c:grouping val="clustered"/>
        <c:varyColors val="0"/>
        <c:ser>
          <c:idx val="0"/>
          <c:order val="0"/>
          <c:tx>
            <c:strRef>
              <c:f>Resumen!$A$76</c:f>
              <c:strCache>
                <c:ptCount val="1"/>
                <c:pt idx="0">
                  <c:v>Parque Vehiclular Estimado</c:v>
                </c:pt>
              </c:strCache>
            </c:strRef>
          </c:tx>
          <c:spPr>
            <a:solidFill>
              <a:schemeClr val="tx2">
                <a:lumMod val="50000"/>
              </a:schemeClr>
            </a:solidFill>
          </c:spPr>
          <c:invertIfNegative val="0"/>
          <c:cat>
            <c:numRef>
              <c:f>Resumen!$C$75:$M$75</c:f>
              <c:numCache>
                <c:formatCode>General</c:formatCode>
                <c:ptCount val="11"/>
                <c:pt idx="0">
                  <c:v>2002</c:v>
                </c:pt>
                <c:pt idx="1">
                  <c:v>2003</c:v>
                </c:pt>
                <c:pt idx="2">
                  <c:v>2004</c:v>
                </c:pt>
                <c:pt idx="3">
                  <c:v>2005</c:v>
                </c:pt>
                <c:pt idx="4">
                  <c:v>2006</c:v>
                </c:pt>
                <c:pt idx="5">
                  <c:v>2007</c:v>
                </c:pt>
                <c:pt idx="6">
                  <c:v>2008</c:v>
                </c:pt>
                <c:pt idx="7">
                  <c:v>2009</c:v>
                </c:pt>
                <c:pt idx="8">
                  <c:v>2010</c:v>
                </c:pt>
                <c:pt idx="9">
                  <c:v>2011</c:v>
                </c:pt>
                <c:pt idx="10">
                  <c:v>2012</c:v>
                </c:pt>
              </c:numCache>
            </c:numRef>
          </c:cat>
          <c:val>
            <c:numRef>
              <c:f>Resumen!$C$76:$M$76</c:f>
              <c:numCache>
                <c:formatCode>#,##0</c:formatCode>
                <c:ptCount val="11"/>
                <c:pt idx="0">
                  <c:v>829214</c:v>
                </c:pt>
                <c:pt idx="1">
                  <c:v>851360</c:v>
                </c:pt>
                <c:pt idx="2">
                  <c:v>866881</c:v>
                </c:pt>
                <c:pt idx="3">
                  <c:v>885636</c:v>
                </c:pt>
                <c:pt idx="4">
                  <c:v>912763</c:v>
                </c:pt>
                <c:pt idx="5">
                  <c:v>957368</c:v>
                </c:pt>
                <c:pt idx="6">
                  <c:v>1036850</c:v>
                </c:pt>
                <c:pt idx="7">
                  <c:v>1106444</c:v>
                </c:pt>
                <c:pt idx="8">
                  <c:v>1195353</c:v>
                </c:pt>
                <c:pt idx="9">
                  <c:v>1287454</c:v>
                </c:pt>
                <c:pt idx="10">
                  <c:v>1328797</c:v>
                </c:pt>
              </c:numCache>
            </c:numRef>
          </c:val>
        </c:ser>
        <c:ser>
          <c:idx val="1"/>
          <c:order val="1"/>
          <c:tx>
            <c:strRef>
              <c:f>Resumen!$A$77</c:f>
              <c:strCache>
                <c:ptCount val="1"/>
                <c:pt idx="0">
                  <c:v>Poblaciòn</c:v>
                </c:pt>
              </c:strCache>
            </c:strRef>
          </c:tx>
          <c:spPr>
            <a:solidFill>
              <a:srgbClr val="C00000"/>
            </a:solidFill>
          </c:spPr>
          <c:invertIfNegative val="0"/>
          <c:cat>
            <c:numRef>
              <c:f>Resumen!$C$75:$M$75</c:f>
              <c:numCache>
                <c:formatCode>General</c:formatCode>
                <c:ptCount val="11"/>
                <c:pt idx="0">
                  <c:v>2002</c:v>
                </c:pt>
                <c:pt idx="1">
                  <c:v>2003</c:v>
                </c:pt>
                <c:pt idx="2">
                  <c:v>2004</c:v>
                </c:pt>
                <c:pt idx="3">
                  <c:v>2005</c:v>
                </c:pt>
                <c:pt idx="4">
                  <c:v>2006</c:v>
                </c:pt>
                <c:pt idx="5">
                  <c:v>2007</c:v>
                </c:pt>
                <c:pt idx="6">
                  <c:v>2008</c:v>
                </c:pt>
                <c:pt idx="7">
                  <c:v>2009</c:v>
                </c:pt>
                <c:pt idx="8">
                  <c:v>2010</c:v>
                </c:pt>
                <c:pt idx="9">
                  <c:v>2011</c:v>
                </c:pt>
                <c:pt idx="10">
                  <c:v>2012</c:v>
                </c:pt>
              </c:numCache>
            </c:numRef>
          </c:cat>
          <c:val>
            <c:numRef>
              <c:f>Resumen!$C$77:$M$77</c:f>
              <c:numCache>
                <c:formatCode>#,##0</c:formatCode>
                <c:ptCount val="11"/>
                <c:pt idx="0">
                  <c:v>805747.7</c:v>
                </c:pt>
                <c:pt idx="1">
                  <c:v>820399.8</c:v>
                </c:pt>
                <c:pt idx="2">
                  <c:v>834808.1</c:v>
                </c:pt>
                <c:pt idx="3">
                  <c:v>848966.8</c:v>
                </c:pt>
                <c:pt idx="4">
                  <c:v>862660.3</c:v>
                </c:pt>
                <c:pt idx="5">
                  <c:v>875888.9</c:v>
                </c:pt>
                <c:pt idx="6">
                  <c:v>888977.3</c:v>
                </c:pt>
                <c:pt idx="7">
                  <c:v>902253.5</c:v>
                </c:pt>
                <c:pt idx="8">
                  <c:v>916038.4</c:v>
                </c:pt>
                <c:pt idx="9">
                  <c:v>930378.8</c:v>
                </c:pt>
                <c:pt idx="10">
                  <c:v>945058.5</c:v>
                </c:pt>
              </c:numCache>
            </c:numRef>
          </c:val>
        </c:ser>
        <c:dLbls>
          <c:showLegendKey val="0"/>
          <c:showVal val="0"/>
          <c:showCatName val="0"/>
          <c:showSerName val="0"/>
          <c:showPercent val="0"/>
          <c:showBubbleSize val="0"/>
        </c:dLbls>
        <c:gapWidth val="150"/>
        <c:axId val="214962176"/>
        <c:axId val="214964096"/>
      </c:barChart>
      <c:catAx>
        <c:axId val="214962176"/>
        <c:scaling>
          <c:orientation val="minMax"/>
        </c:scaling>
        <c:delete val="0"/>
        <c:axPos val="b"/>
        <c:title>
          <c:tx>
            <c:rich>
              <a:bodyPr/>
              <a:lstStyle/>
              <a:p>
                <a:pPr>
                  <a:defRPr lang="es-MX"/>
                </a:pPr>
                <a:r>
                  <a:rPr lang="it-IT"/>
                  <a:t>a</a:t>
                </a:r>
                <a:r>
                  <a:rPr lang="it-IT">
                    <a:latin typeface="Calibri"/>
                    <a:cs typeface="Calibri"/>
                  </a:rPr>
                  <a:t>ño</a:t>
                </a:r>
                <a:endParaRPr lang="it-IT"/>
              </a:p>
            </c:rich>
          </c:tx>
          <c:overlay val="0"/>
        </c:title>
        <c:numFmt formatCode="General" sourceLinked="1"/>
        <c:majorTickMark val="out"/>
        <c:minorTickMark val="none"/>
        <c:tickLblPos val="nextTo"/>
        <c:txPr>
          <a:bodyPr/>
          <a:lstStyle/>
          <a:p>
            <a:pPr>
              <a:defRPr lang="es-MX"/>
            </a:pPr>
            <a:endParaRPr lang="en-US"/>
          </a:p>
        </c:txPr>
        <c:crossAx val="214964096"/>
        <c:crosses val="autoZero"/>
        <c:auto val="1"/>
        <c:lblAlgn val="ctr"/>
        <c:lblOffset val="100"/>
        <c:noMultiLvlLbl val="0"/>
      </c:catAx>
      <c:valAx>
        <c:axId val="214964096"/>
        <c:scaling>
          <c:orientation val="minMax"/>
        </c:scaling>
        <c:delete val="0"/>
        <c:axPos val="l"/>
        <c:majorGridlines/>
        <c:title>
          <c:tx>
            <c:rich>
              <a:bodyPr rot="0" vert="horz"/>
              <a:lstStyle/>
              <a:p>
                <a:pPr>
                  <a:defRPr lang="es-MX"/>
                </a:pPr>
                <a:r>
                  <a:rPr lang="it-IT"/>
                  <a:t>Habitantes (x10)</a:t>
                </a:r>
              </a:p>
            </c:rich>
          </c:tx>
          <c:layout>
            <c:manualLayout>
              <c:xMode val="edge"/>
              <c:yMode val="edge"/>
              <c:x val="1.3045933040312892E-3"/>
              <c:y val="3.614133458734519E-2"/>
            </c:manualLayout>
          </c:layout>
          <c:overlay val="0"/>
        </c:title>
        <c:numFmt formatCode="#,##0" sourceLinked="1"/>
        <c:majorTickMark val="out"/>
        <c:minorTickMark val="none"/>
        <c:tickLblPos val="nextTo"/>
        <c:txPr>
          <a:bodyPr/>
          <a:lstStyle/>
          <a:p>
            <a:pPr>
              <a:defRPr lang="es-MX"/>
            </a:pPr>
            <a:endParaRPr lang="en-US"/>
          </a:p>
        </c:txPr>
        <c:crossAx val="214962176"/>
        <c:crosses val="autoZero"/>
        <c:crossBetween val="between"/>
      </c:valAx>
    </c:plotArea>
    <c:legend>
      <c:legendPos val="r"/>
      <c:layout>
        <c:manualLayout>
          <c:xMode val="edge"/>
          <c:yMode val="edge"/>
          <c:x val="0.82811431841997862"/>
          <c:y val="8.4572169285945756E-2"/>
          <c:w val="0.15905831653459804"/>
          <c:h val="0.81109251111949088"/>
        </c:manualLayout>
      </c:layout>
      <c:overlay val="0"/>
      <c:txPr>
        <a:bodyPr/>
        <a:lstStyle/>
        <a:p>
          <a:pPr>
            <a:defRPr lang="es-MX" b="1"/>
          </a:pPr>
          <a:endParaRPr lang="en-US"/>
        </a:p>
      </c:txPr>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0.11050044107066199"/>
          <c:y val="0.11611292463467299"/>
          <c:w val="0.86774219819802001"/>
          <c:h val="0.63683120230156143"/>
        </c:manualLayout>
      </c:layout>
      <c:barChart>
        <c:barDir val="col"/>
        <c:grouping val="clustered"/>
        <c:varyColors val="0"/>
        <c:ser>
          <c:idx val="1"/>
          <c:order val="0"/>
          <c:tx>
            <c:strRef>
              <c:f>ESC13_2018!$I$2</c:f>
              <c:strCache>
                <c:ptCount val="1"/>
                <c:pt idx="0">
                  <c:v>Sube</c:v>
                </c:pt>
              </c:strCache>
            </c:strRef>
          </c:tx>
          <c:invertIfNegative val="0"/>
          <c:cat>
            <c:strRef>
              <c:f>ESC13_2018!$H$11:$H$37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ESC13_2018!$I$11:$I$37</c:f>
              <c:numCache>
                <c:formatCode>General</c:formatCode>
                <c:ptCount val="27"/>
                <c:pt idx="12" formatCode="_-* #,##0_-;\-* #,##0_-;_-* &quot;-&quot;??_-;_-@_-">
                  <c:v>2369.5585570000012</c:v>
                </c:pt>
                <c:pt idx="13" formatCode="_-* #,##0_-;\-* #,##0_-;_-* &quot;-&quot;??_-;_-@_-">
                  <c:v>841.42075499999999</c:v>
                </c:pt>
                <c:pt idx="14" formatCode="_-* #,##0_-;\-* #,##0_-;_-* &quot;-&quot;??_-;_-@_-">
                  <c:v>376.68280099999998</c:v>
                </c:pt>
                <c:pt idx="15" formatCode="_-* #,##0_-;\-* #,##0_-;_-* &quot;-&quot;??_-;_-@_-">
                  <c:v>5978.7167650000001</c:v>
                </c:pt>
                <c:pt idx="16" formatCode="_-* #,##0_-;\-* #,##0_-;_-* &quot;-&quot;??_-;_-@_-">
                  <c:v>316.33310199999869</c:v>
                </c:pt>
                <c:pt idx="17" formatCode="_-* #,##0_-;\-* #,##0_-;_-* &quot;-&quot;??_-;_-@_-">
                  <c:v>944.02464699999996</c:v>
                </c:pt>
                <c:pt idx="18" formatCode="_-* #,##0_-;\-* #,##0_-;_-* &quot;-&quot;??_-;_-@_-">
                  <c:v>473.80706900000001</c:v>
                </c:pt>
                <c:pt idx="19" formatCode="_-* #,##0_-;\-* #,##0_-;_-* &quot;-&quot;??_-;_-@_-">
                  <c:v>339.73345999999765</c:v>
                </c:pt>
                <c:pt idx="20" formatCode="_-* #,##0_-;\-* #,##0_-;_-* &quot;-&quot;??_-;_-@_-">
                  <c:v>362.04660899999999</c:v>
                </c:pt>
                <c:pt idx="21" formatCode="_-* #,##0_-;\-* #,##0_-;_-* &quot;-&quot;??_-;_-@_-">
                  <c:v>169.71175099999911</c:v>
                </c:pt>
                <c:pt idx="22" formatCode="_-* #,##0_-;\-* #,##0_-;_-* &quot;-&quot;??_-;_-@_-">
                  <c:v>138.94464099999999</c:v>
                </c:pt>
                <c:pt idx="23" formatCode="_-* #,##0_-;\-* #,##0_-;_-* &quot;-&quot;??_-;_-@_-">
                  <c:v>144.12833300000088</c:v>
                </c:pt>
                <c:pt idx="24" formatCode="_-* #,##0_-;\-* #,##0_-;_-* &quot;-&quot;??_-;_-@_-">
                  <c:v>100.50166000000044</c:v>
                </c:pt>
                <c:pt idx="25" formatCode="_-* #,##0_-;\-* #,##0_-;_-* &quot;-&quot;??_-;_-@_-">
                  <c:v>0</c:v>
                </c:pt>
                <c:pt idx="26" formatCode="_-* #,##0_-;\-* #,##0_-;_-* &quot;-&quot;??_-;_-@_-">
                  <c:v>0</c:v>
                </c:pt>
              </c:numCache>
            </c:numRef>
          </c:val>
        </c:ser>
        <c:ser>
          <c:idx val="2"/>
          <c:order val="1"/>
          <c:tx>
            <c:strRef>
              <c:f>ESC13_2018!$D$2</c:f>
              <c:strCache>
                <c:ptCount val="1"/>
                <c:pt idx="0">
                  <c:v>Baja</c:v>
                </c:pt>
              </c:strCache>
            </c:strRef>
          </c:tx>
          <c:invertIfNegative val="0"/>
          <c:cat>
            <c:strRef>
              <c:f>ESC13_2018!$H$11:$H$37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ESC13_2018!$J$11:$J$37</c:f>
              <c:numCache>
                <c:formatCode>General</c:formatCode>
                <c:ptCount val="27"/>
                <c:pt idx="12" formatCode="_-* #,##0_-;\-* #,##0_-;_-* &quot;-&quot;??_-;_-@_-">
                  <c:v>0</c:v>
                </c:pt>
                <c:pt idx="13" formatCode="_-* #,##0_-;\-* #,##0_-;_-* &quot;-&quot;??_-;_-@_-">
                  <c:v>0</c:v>
                </c:pt>
                <c:pt idx="14" formatCode="_-* #,##0_-;\-* #,##0_-;_-* &quot;-&quot;??_-;_-@_-">
                  <c:v>0</c:v>
                </c:pt>
                <c:pt idx="15" formatCode="_-* #,##0_-;\-* #,##0_-;_-* &quot;-&quot;??_-;_-@_-">
                  <c:v>570.44157499999949</c:v>
                </c:pt>
                <c:pt idx="16" formatCode="_-* #,##0_-;\-* #,##0_-;_-* &quot;-&quot;??_-;_-@_-">
                  <c:v>0</c:v>
                </c:pt>
                <c:pt idx="17" formatCode="_-* #,##0_-;\-* #,##0_-;_-* &quot;-&quot;??_-;_-@_-">
                  <c:v>466.97941899999893</c:v>
                </c:pt>
                <c:pt idx="18" formatCode="_-* #,##0_-;\-* #,##0_-;_-* &quot;-&quot;??_-;_-@_-">
                  <c:v>383.18534599999964</c:v>
                </c:pt>
                <c:pt idx="19" formatCode="_-* #,##0_-;\-* #,##0_-;_-* &quot;-&quot;??_-;_-@_-">
                  <c:v>505.84835500000003</c:v>
                </c:pt>
                <c:pt idx="20" formatCode="_-* #,##0_-;\-* #,##0_-;_-* &quot;-&quot;??_-;_-@_-">
                  <c:v>2519.3867030000001</c:v>
                </c:pt>
                <c:pt idx="21" formatCode="_-* #,##0_-;\-* #,##0_-;_-* &quot;-&quot;??_-;_-@_-">
                  <c:v>603.08489600000053</c:v>
                </c:pt>
                <c:pt idx="22" formatCode="_-* #,##0_-;\-* #,##0_-;_-* &quot;-&quot;??_-;_-@_-">
                  <c:v>1929.931484</c:v>
                </c:pt>
                <c:pt idx="23" formatCode="_-* #,##0_-;\-* #,##0_-;_-* &quot;-&quot;??_-;_-@_-">
                  <c:v>1505.2333429999906</c:v>
                </c:pt>
                <c:pt idx="24" formatCode="_-* #,##0_-;\-* #,##0_-;_-* &quot;-&quot;??_-;_-@_-">
                  <c:v>697.77434300000482</c:v>
                </c:pt>
                <c:pt idx="25" formatCode="_-* #,##0_-;\-* #,##0_-;_-* &quot;-&quot;??_-;_-@_-">
                  <c:v>1751.1537559999999</c:v>
                </c:pt>
                <c:pt idx="26" formatCode="_-* #,##0_-;\-* #,##0_-;_-* &quot;-&quot;??_-;_-@_-">
                  <c:v>1622.590931</c:v>
                </c:pt>
              </c:numCache>
            </c:numRef>
          </c:val>
        </c:ser>
        <c:dLbls>
          <c:showLegendKey val="0"/>
          <c:showVal val="0"/>
          <c:showCatName val="0"/>
          <c:showSerName val="0"/>
          <c:showPercent val="0"/>
          <c:showBubbleSize val="0"/>
        </c:dLbls>
        <c:gapWidth val="150"/>
        <c:axId val="397644544"/>
        <c:axId val="397646080"/>
      </c:barChart>
      <c:lineChart>
        <c:grouping val="standard"/>
        <c:varyColors val="0"/>
        <c:ser>
          <c:idx val="0"/>
          <c:order val="2"/>
          <c:tx>
            <c:strRef>
              <c:f>ESC13_2018!$E$2</c:f>
              <c:strCache>
                <c:ptCount val="1"/>
                <c:pt idx="0">
                  <c:v>Carga</c:v>
                </c:pt>
              </c:strCache>
            </c:strRef>
          </c:tx>
          <c:marker>
            <c:symbol val="none"/>
          </c:marker>
          <c:cat>
            <c:strRef>
              <c:f>ESC13_2018!$H$11:$H$37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ESC13_2018!$K$11:$K$37</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2369.5585570000012</c:v>
                </c:pt>
                <c:pt idx="13">
                  <c:v>3210.9793120000254</c:v>
                </c:pt>
                <c:pt idx="14">
                  <c:v>3587.6621130000012</c:v>
                </c:pt>
                <c:pt idx="15">
                  <c:v>8995.937302999997</c:v>
                </c:pt>
                <c:pt idx="16">
                  <c:v>9312.2704049999993</c:v>
                </c:pt>
                <c:pt idx="17">
                  <c:v>9789.3156329999274</c:v>
                </c:pt>
                <c:pt idx="18">
                  <c:v>9879.9373560000004</c:v>
                </c:pt>
                <c:pt idx="19">
                  <c:v>9713.8224609999997</c:v>
                </c:pt>
                <c:pt idx="20">
                  <c:v>7556.4823670000005</c:v>
                </c:pt>
                <c:pt idx="21">
                  <c:v>7123.1092220000282</c:v>
                </c:pt>
                <c:pt idx="22">
                  <c:v>5332.122379000034</c:v>
                </c:pt>
                <c:pt idx="23">
                  <c:v>3971.0173690000001</c:v>
                </c:pt>
                <c:pt idx="24">
                  <c:v>3373.7446859999723</c:v>
                </c:pt>
                <c:pt idx="25">
                  <c:v>1622.5909299999998</c:v>
                </c:pt>
                <c:pt idx="26">
                  <c:v>0</c:v>
                </c:pt>
              </c:numCache>
            </c:numRef>
          </c:val>
          <c:smooth val="0"/>
        </c:ser>
        <c:dLbls>
          <c:showLegendKey val="0"/>
          <c:showVal val="0"/>
          <c:showCatName val="0"/>
          <c:showSerName val="0"/>
          <c:showPercent val="0"/>
          <c:showBubbleSize val="0"/>
        </c:dLbls>
        <c:marker val="1"/>
        <c:smooth val="0"/>
        <c:axId val="397644544"/>
        <c:axId val="397646080"/>
      </c:lineChart>
      <c:catAx>
        <c:axId val="397644544"/>
        <c:scaling>
          <c:orientation val="minMax"/>
        </c:scaling>
        <c:delete val="0"/>
        <c:axPos val="b"/>
        <c:majorTickMark val="out"/>
        <c:minorTickMark val="none"/>
        <c:tickLblPos val="nextTo"/>
        <c:txPr>
          <a:bodyPr rot="-5400000" vert="horz"/>
          <a:lstStyle/>
          <a:p>
            <a:pPr>
              <a:defRPr sz="900" b="0"/>
            </a:pPr>
            <a:endParaRPr lang="en-US"/>
          </a:p>
        </c:txPr>
        <c:crossAx val="397646080"/>
        <c:crosses val="autoZero"/>
        <c:auto val="1"/>
        <c:lblAlgn val="ctr"/>
        <c:lblOffset val="100"/>
        <c:noMultiLvlLbl val="0"/>
      </c:catAx>
      <c:valAx>
        <c:axId val="397646080"/>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4880916936163068E-2"/>
              <c:y val="0.38961384521593573"/>
            </c:manualLayout>
          </c:layout>
          <c:overlay val="0"/>
        </c:title>
        <c:numFmt formatCode="General" sourceLinked="1"/>
        <c:majorTickMark val="out"/>
        <c:minorTickMark val="none"/>
        <c:tickLblPos val="nextTo"/>
        <c:txPr>
          <a:bodyPr/>
          <a:lstStyle/>
          <a:p>
            <a:pPr>
              <a:defRPr sz="900" b="0"/>
            </a:pPr>
            <a:endParaRPr lang="en-US"/>
          </a:p>
        </c:txPr>
        <c:crossAx val="397644544"/>
        <c:crosses val="autoZero"/>
        <c:crossBetween val="between"/>
        <c:majorUnit val="2500"/>
      </c:valAx>
    </c:plotArea>
    <c:legend>
      <c:legendPos val="r"/>
      <c:layout>
        <c:manualLayout>
          <c:xMode val="edge"/>
          <c:yMode val="edge"/>
          <c:x val="0.8584810977192"/>
          <c:y val="0.13021830927044792"/>
          <c:w val="0.11203952686043959"/>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0.10579555964263267"/>
          <c:y val="0.10107182155271092"/>
          <c:w val="0.87244701938751346"/>
          <c:h val="0.64534016292880658"/>
        </c:manualLayout>
      </c:layout>
      <c:barChart>
        <c:barDir val="col"/>
        <c:grouping val="clustered"/>
        <c:varyColors val="0"/>
        <c:ser>
          <c:idx val="1"/>
          <c:order val="0"/>
          <c:tx>
            <c:strRef>
              <c:f>ESC13_2018!$C$2</c:f>
              <c:strCache>
                <c:ptCount val="1"/>
                <c:pt idx="0">
                  <c:v>Sube</c:v>
                </c:pt>
              </c:strCache>
            </c:strRef>
          </c:tx>
          <c:invertIfNegative val="0"/>
          <c:cat>
            <c:strRef>
              <c:f>ESC13_2018!$B$44:$B$70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ESC13_2018!$C$44:$C$70</c:f>
              <c:numCache>
                <c:formatCode>_-* #,##0_-;\-* #,##0_-;_-* "-"??_-;_-@_-</c:formatCode>
                <c:ptCount val="27"/>
                <c:pt idx="0">
                  <c:v>1170.4524839999999</c:v>
                </c:pt>
                <c:pt idx="1">
                  <c:v>2069.524183</c:v>
                </c:pt>
                <c:pt idx="2">
                  <c:v>825.71656099999996</c:v>
                </c:pt>
                <c:pt idx="3">
                  <c:v>647.36558899999739</c:v>
                </c:pt>
                <c:pt idx="4">
                  <c:v>1915.681178999992</c:v>
                </c:pt>
                <c:pt idx="5">
                  <c:v>1022.8155179999974</c:v>
                </c:pt>
                <c:pt idx="6">
                  <c:v>1886.6517979999999</c:v>
                </c:pt>
                <c:pt idx="7">
                  <c:v>1005.730058</c:v>
                </c:pt>
                <c:pt idx="8">
                  <c:v>386.31455999999969</c:v>
                </c:pt>
                <c:pt idx="9">
                  <c:v>313.63933899999893</c:v>
                </c:pt>
                <c:pt idx="10">
                  <c:v>0</c:v>
                </c:pt>
                <c:pt idx="11">
                  <c:v>177.99788599999999</c:v>
                </c:pt>
                <c:pt idx="12">
                  <c:v>0</c:v>
                </c:pt>
                <c:pt idx="13">
                  <c:v>0</c:v>
                </c:pt>
                <c:pt idx="14">
                  <c:v>0</c:v>
                </c:pt>
              </c:numCache>
            </c:numRef>
          </c:val>
        </c:ser>
        <c:ser>
          <c:idx val="2"/>
          <c:order val="1"/>
          <c:tx>
            <c:strRef>
              <c:f>ESC13_2018!$D$2</c:f>
              <c:strCache>
                <c:ptCount val="1"/>
                <c:pt idx="0">
                  <c:v>Baja</c:v>
                </c:pt>
              </c:strCache>
            </c:strRef>
          </c:tx>
          <c:invertIfNegative val="0"/>
          <c:cat>
            <c:strRef>
              <c:f>ESC13_2018!$B$44:$B$70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ESC13_2018!$D$44:$D$70</c:f>
              <c:numCache>
                <c:formatCode>_-* #,##0_-;\-* #,##0_-;_-* "-"??_-;_-@_-</c:formatCode>
                <c:ptCount val="27"/>
                <c:pt idx="0">
                  <c:v>0</c:v>
                </c:pt>
                <c:pt idx="1">
                  <c:v>0</c:v>
                </c:pt>
                <c:pt idx="2">
                  <c:v>53.138499000000003</c:v>
                </c:pt>
                <c:pt idx="3">
                  <c:v>242.5772</c:v>
                </c:pt>
                <c:pt idx="4">
                  <c:v>30.119039999999988</c:v>
                </c:pt>
                <c:pt idx="5">
                  <c:v>113.29255900000022</c:v>
                </c:pt>
                <c:pt idx="6">
                  <c:v>201.82591100000027</c:v>
                </c:pt>
                <c:pt idx="7">
                  <c:v>593.75192899999797</c:v>
                </c:pt>
                <c:pt idx="8">
                  <c:v>348.41092999999893</c:v>
                </c:pt>
                <c:pt idx="9">
                  <c:v>609.55719299999748</c:v>
                </c:pt>
                <c:pt idx="10">
                  <c:v>313.28191899999706</c:v>
                </c:pt>
                <c:pt idx="11">
                  <c:v>5726.0970529999995</c:v>
                </c:pt>
                <c:pt idx="12">
                  <c:v>493.77331999999706</c:v>
                </c:pt>
                <c:pt idx="13">
                  <c:v>1257.8092489999908</c:v>
                </c:pt>
                <c:pt idx="14">
                  <c:v>1438.2543519999999</c:v>
                </c:pt>
              </c:numCache>
            </c:numRef>
          </c:val>
        </c:ser>
        <c:dLbls>
          <c:showLegendKey val="0"/>
          <c:showVal val="0"/>
          <c:showCatName val="0"/>
          <c:showSerName val="0"/>
          <c:showPercent val="0"/>
          <c:showBubbleSize val="0"/>
        </c:dLbls>
        <c:gapWidth val="150"/>
        <c:axId val="397660928"/>
        <c:axId val="397662464"/>
      </c:barChart>
      <c:lineChart>
        <c:grouping val="standard"/>
        <c:varyColors val="0"/>
        <c:ser>
          <c:idx val="0"/>
          <c:order val="2"/>
          <c:tx>
            <c:strRef>
              <c:f>ESC13_2018!$E$2</c:f>
              <c:strCache>
                <c:ptCount val="1"/>
                <c:pt idx="0">
                  <c:v>Carga</c:v>
                </c:pt>
              </c:strCache>
            </c:strRef>
          </c:tx>
          <c:marker>
            <c:symbol val="none"/>
          </c:marker>
          <c:cat>
            <c:strRef>
              <c:f>ESC13_2018!$B$44:$B$70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ESC13_2018!$E$44:$E$70</c:f>
              <c:numCache>
                <c:formatCode>_-* #,##0_-;\-* #,##0_-;_-* "-"??_-;_-@_-</c:formatCode>
                <c:ptCount val="27"/>
                <c:pt idx="0">
                  <c:v>1170.4524839999999</c:v>
                </c:pt>
                <c:pt idx="1">
                  <c:v>3239.9766669999999</c:v>
                </c:pt>
                <c:pt idx="2">
                  <c:v>4012.554729</c:v>
                </c:pt>
                <c:pt idx="3">
                  <c:v>4417.3431180000007</c:v>
                </c:pt>
                <c:pt idx="4">
                  <c:v>6302.9052569999994</c:v>
                </c:pt>
                <c:pt idx="5">
                  <c:v>7212.4282160000012</c:v>
                </c:pt>
                <c:pt idx="6">
                  <c:v>8897.2541030000011</c:v>
                </c:pt>
                <c:pt idx="7">
                  <c:v>9309.2322320000148</c:v>
                </c:pt>
                <c:pt idx="8">
                  <c:v>9347.1358620000028</c:v>
                </c:pt>
                <c:pt idx="9">
                  <c:v>9051.2180079999998</c:v>
                </c:pt>
                <c:pt idx="10">
                  <c:v>8737.9360889999971</c:v>
                </c:pt>
                <c:pt idx="11">
                  <c:v>3189.8369219999977</c:v>
                </c:pt>
                <c:pt idx="12">
                  <c:v>2696.0636019999947</c:v>
                </c:pt>
                <c:pt idx="13">
                  <c:v>1438.2543529999948</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397660928"/>
        <c:axId val="397662464"/>
      </c:lineChart>
      <c:catAx>
        <c:axId val="397660928"/>
        <c:scaling>
          <c:orientation val="minMax"/>
        </c:scaling>
        <c:delete val="0"/>
        <c:axPos val="b"/>
        <c:majorTickMark val="out"/>
        <c:minorTickMark val="none"/>
        <c:tickLblPos val="nextTo"/>
        <c:txPr>
          <a:bodyPr rot="-5400000" vert="horz"/>
          <a:lstStyle/>
          <a:p>
            <a:pPr>
              <a:defRPr sz="900" b="0"/>
            </a:pPr>
            <a:endParaRPr lang="en-US"/>
          </a:p>
        </c:txPr>
        <c:crossAx val="397662464"/>
        <c:crosses val="autoZero"/>
        <c:auto val="1"/>
        <c:lblAlgn val="ctr"/>
        <c:lblOffset val="100"/>
        <c:noMultiLvlLbl val="0"/>
      </c:catAx>
      <c:valAx>
        <c:axId val="397662464"/>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0947456728849191E-2"/>
              <c:y val="0.38443487665340664"/>
            </c:manualLayout>
          </c:layout>
          <c:overlay val="0"/>
        </c:title>
        <c:numFmt formatCode="_-* #,##0_-;\-* #,##0_-;_-* &quot;-&quot;??_-;_-@_-" sourceLinked="1"/>
        <c:majorTickMark val="out"/>
        <c:minorTickMark val="none"/>
        <c:tickLblPos val="nextTo"/>
        <c:txPr>
          <a:bodyPr/>
          <a:lstStyle/>
          <a:p>
            <a:pPr>
              <a:defRPr sz="900" b="0"/>
            </a:pPr>
            <a:endParaRPr lang="en-US"/>
          </a:p>
        </c:txPr>
        <c:crossAx val="397660928"/>
        <c:crosses val="autoZero"/>
        <c:crossBetween val="between"/>
        <c:majorUnit val="2500"/>
      </c:valAx>
    </c:plotArea>
    <c:legend>
      <c:legendPos val="r"/>
      <c:layout>
        <c:manualLayout>
          <c:xMode val="edge"/>
          <c:yMode val="edge"/>
          <c:x val="0.86747394927506749"/>
          <c:y val="0.12807324745169421"/>
          <c:w val="9.8089788938770572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0.10579555964263267"/>
          <c:y val="0.14200745951359259"/>
          <c:w val="0.87244701938751346"/>
          <c:h val="0.5985469851644406"/>
        </c:manualLayout>
      </c:layout>
      <c:barChart>
        <c:barDir val="col"/>
        <c:grouping val="clustered"/>
        <c:varyColors val="0"/>
        <c:ser>
          <c:idx val="1"/>
          <c:order val="0"/>
          <c:tx>
            <c:strRef>
              <c:f>ESC13_2018!$I$2</c:f>
              <c:strCache>
                <c:ptCount val="1"/>
                <c:pt idx="0">
                  <c:v>Sube</c:v>
                </c:pt>
              </c:strCache>
            </c:strRef>
          </c:tx>
          <c:invertIfNegative val="0"/>
          <c:cat>
            <c:strRef>
              <c:f>ESC13_2018!$H$52:$H$78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ESC13_2018!$I$52:$I$78</c:f>
              <c:numCache>
                <c:formatCode>General</c:formatCode>
                <c:ptCount val="27"/>
                <c:pt idx="12" formatCode="_-* #,##0_-;\-* #,##0_-;_-* &quot;-&quot;??_-;_-@_-">
                  <c:v>3894.2714219999998</c:v>
                </c:pt>
                <c:pt idx="13" formatCode="_-* #,##0_-;\-* #,##0_-;_-* &quot;-&quot;??_-;_-@_-">
                  <c:v>780.09541400000001</c:v>
                </c:pt>
                <c:pt idx="14" formatCode="_-* #,##0_-;\-* #,##0_-;_-* &quot;-&quot;??_-;_-@_-">
                  <c:v>625.25432999999998</c:v>
                </c:pt>
                <c:pt idx="15" formatCode="_-* #,##0_-;\-* #,##0_-;_-* &quot;-&quot;??_-;_-@_-">
                  <c:v>4421.5005620000002</c:v>
                </c:pt>
                <c:pt idx="16" formatCode="_-* #,##0_-;\-* #,##0_-;_-* &quot;-&quot;??_-;_-@_-">
                  <c:v>226.41569299999998</c:v>
                </c:pt>
                <c:pt idx="17" formatCode="_-* #,##0_-;\-* #,##0_-;_-* &quot;-&quot;??_-;_-@_-">
                  <c:v>653.990183</c:v>
                </c:pt>
                <c:pt idx="18" formatCode="_-* #,##0_-;\-* #,##0_-;_-* &quot;-&quot;??_-;_-@_-">
                  <c:v>263.87203899999969</c:v>
                </c:pt>
                <c:pt idx="19" formatCode="_-* #,##0_-;\-* #,##0_-;_-* &quot;-&quot;??_-;_-@_-">
                  <c:v>373.55248100000216</c:v>
                </c:pt>
                <c:pt idx="20" formatCode="_-* #,##0_-;\-* #,##0_-;_-* &quot;-&quot;??_-;_-@_-">
                  <c:v>410.29053099999823</c:v>
                </c:pt>
                <c:pt idx="21" formatCode="_-* #,##0_-;\-* #,##0_-;_-* &quot;-&quot;??_-;_-@_-">
                  <c:v>146.03812000000067</c:v>
                </c:pt>
                <c:pt idx="22" formatCode="_-* #,##0_-;\-* #,##0_-;_-* &quot;-&quot;??_-;_-@_-">
                  <c:v>384.00066399999997</c:v>
                </c:pt>
                <c:pt idx="23" formatCode="_-* #,##0_-;\-* #,##0_-;_-* &quot;-&quot;??_-;_-@_-">
                  <c:v>207.90919499999998</c:v>
                </c:pt>
                <c:pt idx="24" formatCode="_-* #,##0_-;\-* #,##0_-;_-* &quot;-&quot;??_-;_-@_-">
                  <c:v>150.54363199999995</c:v>
                </c:pt>
                <c:pt idx="25" formatCode="_-* #,##0_-;\-* #,##0_-;_-* &quot;-&quot;??_-;_-@_-">
                  <c:v>0</c:v>
                </c:pt>
                <c:pt idx="26" formatCode="_-* #,##0_-;\-* #,##0_-;_-* &quot;-&quot;??_-;_-@_-">
                  <c:v>0</c:v>
                </c:pt>
              </c:numCache>
            </c:numRef>
          </c:val>
        </c:ser>
        <c:ser>
          <c:idx val="2"/>
          <c:order val="1"/>
          <c:tx>
            <c:strRef>
              <c:f>ESC13_2018!$D$2</c:f>
              <c:strCache>
                <c:ptCount val="1"/>
                <c:pt idx="0">
                  <c:v>Baja</c:v>
                </c:pt>
              </c:strCache>
            </c:strRef>
          </c:tx>
          <c:invertIfNegative val="0"/>
          <c:cat>
            <c:strRef>
              <c:f>ESC13_2018!$H$52:$H$78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ESC13_2018!$J$52:$J$78</c:f>
              <c:numCache>
                <c:formatCode>General</c:formatCode>
                <c:ptCount val="27"/>
                <c:pt idx="12" formatCode="_-* #,##0_-;\-* #,##0_-;_-* &quot;-&quot;??_-;_-@_-">
                  <c:v>0</c:v>
                </c:pt>
                <c:pt idx="13" formatCode="_-* #,##0_-;\-* #,##0_-;_-* &quot;-&quot;??_-;_-@_-">
                  <c:v>0</c:v>
                </c:pt>
                <c:pt idx="14" formatCode="_-* #,##0_-;\-* #,##0_-;_-* &quot;-&quot;??_-;_-@_-">
                  <c:v>0</c:v>
                </c:pt>
                <c:pt idx="15" formatCode="_-* #,##0_-;\-* #,##0_-;_-* &quot;-&quot;??_-;_-@_-">
                  <c:v>636.81222699999341</c:v>
                </c:pt>
                <c:pt idx="16" formatCode="_-* #,##0_-;\-* #,##0_-;_-* &quot;-&quot;??_-;_-@_-">
                  <c:v>0</c:v>
                </c:pt>
                <c:pt idx="17" formatCode="_-* #,##0_-;\-* #,##0_-;_-* &quot;-&quot;??_-;_-@_-">
                  <c:v>181.32007400000001</c:v>
                </c:pt>
                <c:pt idx="18" formatCode="_-* #,##0_-;\-* #,##0_-;_-* &quot;-&quot;??_-;_-@_-">
                  <c:v>310.22037199999869</c:v>
                </c:pt>
                <c:pt idx="19" formatCode="_-* #,##0_-;\-* #,##0_-;_-* &quot;-&quot;??_-;_-@_-">
                  <c:v>274.78727899999899</c:v>
                </c:pt>
                <c:pt idx="20" formatCode="_-* #,##0_-;\-* #,##0_-;_-* &quot;-&quot;??_-;_-@_-">
                  <c:v>1199.8223939999998</c:v>
                </c:pt>
                <c:pt idx="21" formatCode="_-* #,##0_-;\-* #,##0_-;_-* &quot;-&quot;??_-;_-@_-">
                  <c:v>565.94700699999748</c:v>
                </c:pt>
                <c:pt idx="22" formatCode="_-* #,##0_-;\-* #,##0_-;_-* &quot;-&quot;??_-;_-@_-">
                  <c:v>1072.4669090000011</c:v>
                </c:pt>
                <c:pt idx="23" formatCode="_-* #,##0_-;\-* #,##0_-;_-* &quot;-&quot;??_-;_-@_-">
                  <c:v>683.09397600000352</c:v>
                </c:pt>
                <c:pt idx="24" formatCode="_-* #,##0_-;\-* #,##0_-;_-* &quot;-&quot;??_-;_-@_-">
                  <c:v>1100.2303059999999</c:v>
                </c:pt>
                <c:pt idx="25" formatCode="_-* #,##0_-;\-* #,##0_-;_-* &quot;-&quot;??_-;_-@_-">
                  <c:v>3509.7040989999987</c:v>
                </c:pt>
                <c:pt idx="26" formatCode="_-* #,##0_-;\-* #,##0_-;_-* &quot;-&quot;??_-;_-@_-">
                  <c:v>3003.3296209999999</c:v>
                </c:pt>
              </c:numCache>
            </c:numRef>
          </c:val>
        </c:ser>
        <c:dLbls>
          <c:showLegendKey val="0"/>
          <c:showVal val="0"/>
          <c:showCatName val="0"/>
          <c:showSerName val="0"/>
          <c:showPercent val="0"/>
          <c:showBubbleSize val="0"/>
        </c:dLbls>
        <c:gapWidth val="150"/>
        <c:axId val="397849344"/>
        <c:axId val="397850880"/>
      </c:barChart>
      <c:lineChart>
        <c:grouping val="standard"/>
        <c:varyColors val="0"/>
        <c:ser>
          <c:idx val="0"/>
          <c:order val="2"/>
          <c:tx>
            <c:strRef>
              <c:f>ESC13_2018!$E$2</c:f>
              <c:strCache>
                <c:ptCount val="1"/>
                <c:pt idx="0">
                  <c:v>Carga</c:v>
                </c:pt>
              </c:strCache>
            </c:strRef>
          </c:tx>
          <c:marker>
            <c:symbol val="none"/>
          </c:marker>
          <c:cat>
            <c:strRef>
              <c:f>ESC13_2018!$H$52:$H$78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ESC13_2018!$K$52:$K$78</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3894.2714219999998</c:v>
                </c:pt>
                <c:pt idx="13">
                  <c:v>4674.3668360000311</c:v>
                </c:pt>
                <c:pt idx="14">
                  <c:v>5299.6211660000517</c:v>
                </c:pt>
                <c:pt idx="15">
                  <c:v>9084.309500999987</c:v>
                </c:pt>
                <c:pt idx="16">
                  <c:v>9310.7251939999387</c:v>
                </c:pt>
                <c:pt idx="17">
                  <c:v>9783.395302999983</c:v>
                </c:pt>
                <c:pt idx="18">
                  <c:v>9737.0469700000012</c:v>
                </c:pt>
                <c:pt idx="19">
                  <c:v>9835.8121720000017</c:v>
                </c:pt>
                <c:pt idx="20">
                  <c:v>9046.2803090000016</c:v>
                </c:pt>
                <c:pt idx="21">
                  <c:v>8626.3714220000002</c:v>
                </c:pt>
                <c:pt idx="22">
                  <c:v>7937.9051770000005</c:v>
                </c:pt>
                <c:pt idx="23">
                  <c:v>7462.7203960000024</c:v>
                </c:pt>
                <c:pt idx="24">
                  <c:v>6513.0337219999992</c:v>
                </c:pt>
                <c:pt idx="25">
                  <c:v>3003.3296230000001</c:v>
                </c:pt>
                <c:pt idx="26">
                  <c:v>0</c:v>
                </c:pt>
              </c:numCache>
            </c:numRef>
          </c:val>
          <c:smooth val="0"/>
        </c:ser>
        <c:dLbls>
          <c:showLegendKey val="0"/>
          <c:showVal val="0"/>
          <c:showCatName val="0"/>
          <c:showSerName val="0"/>
          <c:showPercent val="0"/>
          <c:showBubbleSize val="0"/>
        </c:dLbls>
        <c:marker val="1"/>
        <c:smooth val="0"/>
        <c:axId val="397849344"/>
        <c:axId val="397850880"/>
      </c:lineChart>
      <c:catAx>
        <c:axId val="397849344"/>
        <c:scaling>
          <c:orientation val="minMax"/>
        </c:scaling>
        <c:delete val="0"/>
        <c:axPos val="b"/>
        <c:majorTickMark val="out"/>
        <c:minorTickMark val="none"/>
        <c:tickLblPos val="nextTo"/>
        <c:txPr>
          <a:bodyPr rot="-5400000" vert="horz"/>
          <a:lstStyle/>
          <a:p>
            <a:pPr>
              <a:defRPr sz="900" b="0"/>
            </a:pPr>
            <a:endParaRPr lang="en-US"/>
          </a:p>
        </c:txPr>
        <c:crossAx val="397850880"/>
        <c:crosses val="autoZero"/>
        <c:auto val="1"/>
        <c:lblAlgn val="ctr"/>
        <c:lblOffset val="100"/>
        <c:noMultiLvlLbl val="0"/>
      </c:catAx>
      <c:valAx>
        <c:axId val="397850880"/>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716943932734598E-2"/>
              <c:y val="0.38443487665340664"/>
            </c:manualLayout>
          </c:layout>
          <c:overlay val="0"/>
        </c:title>
        <c:numFmt formatCode="General" sourceLinked="1"/>
        <c:majorTickMark val="out"/>
        <c:minorTickMark val="none"/>
        <c:tickLblPos val="nextTo"/>
        <c:txPr>
          <a:bodyPr/>
          <a:lstStyle/>
          <a:p>
            <a:pPr>
              <a:defRPr sz="900" b="0"/>
            </a:pPr>
            <a:endParaRPr lang="en-US"/>
          </a:p>
        </c:txPr>
        <c:crossAx val="397849344"/>
        <c:crosses val="autoZero"/>
        <c:crossBetween val="between"/>
        <c:majorUnit val="2500"/>
      </c:valAx>
    </c:plotArea>
    <c:legend>
      <c:legendPos val="r"/>
      <c:layout>
        <c:manualLayout>
          <c:xMode val="edge"/>
          <c:yMode val="edge"/>
          <c:x val="0.87271220354277812"/>
          <c:y val="0.16683038248662577"/>
          <c:w val="9.5051594286663765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HV</a:t>
            </a:r>
          </a:p>
        </c:rich>
      </c:tx>
      <c:overlay val="1"/>
    </c:title>
    <c:autoTitleDeleted val="0"/>
    <c:plotArea>
      <c:layout>
        <c:manualLayout>
          <c:layoutTarget val="inner"/>
          <c:xMode val="edge"/>
          <c:yMode val="edge"/>
          <c:x val="0.10582578384023844"/>
          <c:y val="0.14200745951359259"/>
          <c:w val="0.87241675094476656"/>
          <c:h val="0.58982325313151862"/>
        </c:manualLayout>
      </c:layout>
      <c:barChart>
        <c:barDir val="col"/>
        <c:grouping val="clustered"/>
        <c:varyColors val="0"/>
        <c:ser>
          <c:idx val="1"/>
          <c:order val="0"/>
          <c:tx>
            <c:strRef>
              <c:f>ESC13_2018!$C$2</c:f>
              <c:strCache>
                <c:ptCount val="1"/>
                <c:pt idx="0">
                  <c:v>Sube</c:v>
                </c:pt>
              </c:strCache>
            </c:strRef>
          </c:tx>
          <c:invertIfNegative val="0"/>
          <c:cat>
            <c:strRef>
              <c:f>ESC13_2018!$B$85:$B$111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ESC13_2018!$C$85:$C$111</c:f>
              <c:numCache>
                <c:formatCode>_-* #,##0_-;\-* #,##0_-;_-* "-"??_-;_-@_-</c:formatCode>
                <c:ptCount val="27"/>
                <c:pt idx="0">
                  <c:v>1901.2386520000011</c:v>
                </c:pt>
                <c:pt idx="1">
                  <c:v>1844.6663879999999</c:v>
                </c:pt>
                <c:pt idx="2">
                  <c:v>582.44583999999998</c:v>
                </c:pt>
                <c:pt idx="3">
                  <c:v>325.61664999999999</c:v>
                </c:pt>
                <c:pt idx="4">
                  <c:v>871.56002999999748</c:v>
                </c:pt>
                <c:pt idx="5">
                  <c:v>500.646209</c:v>
                </c:pt>
                <c:pt idx="6">
                  <c:v>1209.773164</c:v>
                </c:pt>
                <c:pt idx="7">
                  <c:v>456.57101199999869</c:v>
                </c:pt>
                <c:pt idx="8">
                  <c:v>153.08408399999999</c:v>
                </c:pt>
                <c:pt idx="9">
                  <c:v>132.16485999999998</c:v>
                </c:pt>
                <c:pt idx="10">
                  <c:v>0</c:v>
                </c:pt>
                <c:pt idx="11">
                  <c:v>163.08434700000117</c:v>
                </c:pt>
                <c:pt idx="12">
                  <c:v>0</c:v>
                </c:pt>
                <c:pt idx="13">
                  <c:v>0</c:v>
                </c:pt>
                <c:pt idx="14">
                  <c:v>0</c:v>
                </c:pt>
              </c:numCache>
            </c:numRef>
          </c:val>
        </c:ser>
        <c:ser>
          <c:idx val="2"/>
          <c:order val="1"/>
          <c:tx>
            <c:strRef>
              <c:f>ESC13_2018!$D$2</c:f>
              <c:strCache>
                <c:ptCount val="1"/>
                <c:pt idx="0">
                  <c:v>Baja</c:v>
                </c:pt>
              </c:strCache>
            </c:strRef>
          </c:tx>
          <c:invertIfNegative val="0"/>
          <c:cat>
            <c:strRef>
              <c:f>ESC13_2018!$B$85:$B$111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ESC13_2018!$D$85:$D$111</c:f>
              <c:numCache>
                <c:formatCode>_-* #,##0_-;\-* #,##0_-;_-* "-"??_-;_-@_-</c:formatCode>
                <c:ptCount val="27"/>
                <c:pt idx="0">
                  <c:v>0</c:v>
                </c:pt>
                <c:pt idx="1">
                  <c:v>0</c:v>
                </c:pt>
                <c:pt idx="2">
                  <c:v>65.638228999999981</c:v>
                </c:pt>
                <c:pt idx="3">
                  <c:v>262.00688200000002</c:v>
                </c:pt>
                <c:pt idx="4">
                  <c:v>156.82659100000001</c:v>
                </c:pt>
                <c:pt idx="5">
                  <c:v>118.7025</c:v>
                </c:pt>
                <c:pt idx="6">
                  <c:v>226.42434000000088</c:v>
                </c:pt>
                <c:pt idx="7">
                  <c:v>323.46116899999788</c:v>
                </c:pt>
                <c:pt idx="8">
                  <c:v>169.815834</c:v>
                </c:pt>
                <c:pt idx="9">
                  <c:v>464.89163199999899</c:v>
                </c:pt>
                <c:pt idx="10">
                  <c:v>234.17459199999911</c:v>
                </c:pt>
                <c:pt idx="11">
                  <c:v>3147.9183580000022</c:v>
                </c:pt>
                <c:pt idx="12">
                  <c:v>541.95457599999997</c:v>
                </c:pt>
                <c:pt idx="13">
                  <c:v>1129.2471650000011</c:v>
                </c:pt>
                <c:pt idx="14">
                  <c:v>1299.7893670000001</c:v>
                </c:pt>
              </c:numCache>
            </c:numRef>
          </c:val>
        </c:ser>
        <c:dLbls>
          <c:showLegendKey val="0"/>
          <c:showVal val="0"/>
          <c:showCatName val="0"/>
          <c:showSerName val="0"/>
          <c:showPercent val="0"/>
          <c:showBubbleSize val="0"/>
        </c:dLbls>
        <c:gapWidth val="150"/>
        <c:axId val="397898880"/>
        <c:axId val="397900416"/>
      </c:barChart>
      <c:lineChart>
        <c:grouping val="standard"/>
        <c:varyColors val="0"/>
        <c:ser>
          <c:idx val="0"/>
          <c:order val="2"/>
          <c:tx>
            <c:strRef>
              <c:f>ESC13_2018!$E$2</c:f>
              <c:strCache>
                <c:ptCount val="1"/>
                <c:pt idx="0">
                  <c:v>Carga</c:v>
                </c:pt>
              </c:strCache>
            </c:strRef>
          </c:tx>
          <c:marker>
            <c:symbol val="none"/>
          </c:marker>
          <c:cat>
            <c:strRef>
              <c:f>ESC13_2018!$B$85:$B$111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ESC13_2018!$E$85:$E$111</c:f>
              <c:numCache>
                <c:formatCode>_-* #,##0_-;\-* #,##0_-;_-* "-"??_-;_-@_-</c:formatCode>
                <c:ptCount val="27"/>
                <c:pt idx="0">
                  <c:v>1901.2386520000011</c:v>
                </c:pt>
                <c:pt idx="1">
                  <c:v>3745.9050400000001</c:v>
                </c:pt>
                <c:pt idx="2">
                  <c:v>4262.7126510000044</c:v>
                </c:pt>
                <c:pt idx="3">
                  <c:v>4326.3224190000301</c:v>
                </c:pt>
                <c:pt idx="4">
                  <c:v>5041.0558579999997</c:v>
                </c:pt>
                <c:pt idx="5">
                  <c:v>5422.9995670000008</c:v>
                </c:pt>
                <c:pt idx="6">
                  <c:v>6406.3483909999995</c:v>
                </c:pt>
                <c:pt idx="7">
                  <c:v>6539.4582340000024</c:v>
                </c:pt>
                <c:pt idx="8">
                  <c:v>6522.7264840000034</c:v>
                </c:pt>
                <c:pt idx="9">
                  <c:v>6189.9997119999998</c:v>
                </c:pt>
                <c:pt idx="10">
                  <c:v>5955.8251200000341</c:v>
                </c:pt>
                <c:pt idx="11">
                  <c:v>2970.991109000016</c:v>
                </c:pt>
                <c:pt idx="12">
                  <c:v>2429.0365330000022</c:v>
                </c:pt>
                <c:pt idx="13">
                  <c:v>1299.7893680000004</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397898880"/>
        <c:axId val="397900416"/>
      </c:lineChart>
      <c:catAx>
        <c:axId val="397898880"/>
        <c:scaling>
          <c:orientation val="minMax"/>
        </c:scaling>
        <c:delete val="0"/>
        <c:axPos val="b"/>
        <c:majorTickMark val="out"/>
        <c:minorTickMark val="none"/>
        <c:tickLblPos val="nextTo"/>
        <c:txPr>
          <a:bodyPr rot="-5400000" vert="horz"/>
          <a:lstStyle/>
          <a:p>
            <a:pPr>
              <a:defRPr sz="900" b="0"/>
            </a:pPr>
            <a:endParaRPr lang="en-US"/>
          </a:p>
        </c:txPr>
        <c:crossAx val="397900416"/>
        <c:crosses val="autoZero"/>
        <c:auto val="1"/>
        <c:lblAlgn val="ctr"/>
        <c:lblOffset val="100"/>
        <c:noMultiLvlLbl val="0"/>
      </c:catAx>
      <c:valAx>
        <c:axId val="397900416"/>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9.8081992807069768E-3"/>
              <c:y val="0.38637917431190227"/>
            </c:manualLayout>
          </c:layout>
          <c:overlay val="0"/>
        </c:title>
        <c:numFmt formatCode="_-* #,##0_-;\-* #,##0_-;_-* &quot;-&quot;??_-;_-@_-" sourceLinked="1"/>
        <c:majorTickMark val="out"/>
        <c:minorTickMark val="none"/>
        <c:tickLblPos val="nextTo"/>
        <c:txPr>
          <a:bodyPr/>
          <a:lstStyle/>
          <a:p>
            <a:pPr>
              <a:defRPr sz="900" b="0"/>
            </a:pPr>
            <a:endParaRPr lang="en-US"/>
          </a:p>
        </c:txPr>
        <c:crossAx val="397898880"/>
        <c:crosses val="autoZero"/>
        <c:crossBetween val="between"/>
        <c:majorUnit val="2500"/>
      </c:valAx>
      <c:spPr>
        <a:ln>
          <a:prstDash val="sysDot"/>
        </a:ln>
      </c:spPr>
    </c:plotArea>
    <c:legend>
      <c:legendPos val="r"/>
      <c:layout>
        <c:manualLayout>
          <c:xMode val="edge"/>
          <c:yMode val="edge"/>
          <c:x val="0.86968986577352891"/>
          <c:y val="0.17098693067197254"/>
          <c:w val="0.10726702620265403"/>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HV</a:t>
            </a:r>
          </a:p>
        </c:rich>
      </c:tx>
      <c:overlay val="1"/>
    </c:title>
    <c:autoTitleDeleted val="0"/>
    <c:plotArea>
      <c:layout>
        <c:manualLayout>
          <c:layoutTarget val="inner"/>
          <c:xMode val="edge"/>
          <c:yMode val="edge"/>
          <c:x val="0.10582578384023844"/>
          <c:y val="0.14200745951359262"/>
          <c:w val="0.87241675094476656"/>
          <c:h val="0.61069045801872412"/>
        </c:manualLayout>
      </c:layout>
      <c:barChart>
        <c:barDir val="col"/>
        <c:grouping val="clustered"/>
        <c:varyColors val="0"/>
        <c:ser>
          <c:idx val="1"/>
          <c:order val="0"/>
          <c:tx>
            <c:strRef>
              <c:f>ESC13_2018!$I$2</c:f>
              <c:strCache>
                <c:ptCount val="1"/>
                <c:pt idx="0">
                  <c:v>Sube</c:v>
                </c:pt>
              </c:strCache>
            </c:strRef>
          </c:tx>
          <c:invertIfNegative val="0"/>
          <c:cat>
            <c:strRef>
              <c:f>ESC13_2018!$H$93:$H$119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ESC13_2018!$I$93:$I$119</c:f>
              <c:numCache>
                <c:formatCode>General</c:formatCode>
                <c:ptCount val="27"/>
                <c:pt idx="12" formatCode="_-* #,##0_-;\-* #,##0_-;_-* &quot;-&quot;??_-;_-@_-">
                  <c:v>1796.1413309999884</c:v>
                </c:pt>
                <c:pt idx="13" formatCode="_-* #,##0_-;\-* #,##0_-;_-* &quot;-&quot;??_-;_-@_-">
                  <c:v>431.17349999999999</c:v>
                </c:pt>
                <c:pt idx="14" formatCode="_-* #,##0_-;\-* #,##0_-;_-* &quot;-&quot;??_-;_-@_-">
                  <c:v>389.70167799999899</c:v>
                </c:pt>
                <c:pt idx="15" formatCode="_-* #,##0_-;\-* #,##0_-;_-* &quot;-&quot;??_-;_-@_-">
                  <c:v>2431.8210790000012</c:v>
                </c:pt>
                <c:pt idx="16" formatCode="_-* #,##0_-;\-* #,##0_-;_-* &quot;-&quot;??_-;_-@_-">
                  <c:v>147.06960999999998</c:v>
                </c:pt>
                <c:pt idx="17" formatCode="_-* #,##0_-;\-* #,##0_-;_-* &quot;-&quot;??_-;_-@_-">
                  <c:v>271.20997999999969</c:v>
                </c:pt>
                <c:pt idx="18" formatCode="_-* #,##0_-;\-* #,##0_-;_-* &quot;-&quot;??_-;_-@_-">
                  <c:v>155.26349499999998</c:v>
                </c:pt>
                <c:pt idx="19" formatCode="_-* #,##0_-;\-* #,##0_-;_-* &quot;-&quot;??_-;_-@_-">
                  <c:v>255.92001000000027</c:v>
                </c:pt>
                <c:pt idx="20" formatCode="_-* #,##0_-;\-* #,##0_-;_-* &quot;-&quot;??_-;_-@_-">
                  <c:v>243.007621</c:v>
                </c:pt>
                <c:pt idx="21" formatCode="_-* #,##0_-;\-* #,##0_-;_-* &quot;-&quot;??_-;_-@_-">
                  <c:v>122.8485</c:v>
                </c:pt>
                <c:pt idx="22" formatCode="_-* #,##0_-;\-* #,##0_-;_-* &quot;-&quot;??_-;_-@_-">
                  <c:v>151.83746900000088</c:v>
                </c:pt>
                <c:pt idx="23" formatCode="_-* #,##0_-;\-* #,##0_-;_-* &quot;-&quot;??_-;_-@_-">
                  <c:v>131.11511899999999</c:v>
                </c:pt>
                <c:pt idx="24" formatCode="_-* #,##0_-;\-* #,##0_-;_-* &quot;-&quot;??_-;_-@_-">
                  <c:v>121.778299</c:v>
                </c:pt>
                <c:pt idx="25" formatCode="_-* #,##0_-;\-* #,##0_-;_-* &quot;-&quot;??_-;_-@_-">
                  <c:v>0</c:v>
                </c:pt>
                <c:pt idx="26" formatCode="_-* #,##0_-;\-* #,##0_-;_-* &quot;-&quot;??_-;_-@_-">
                  <c:v>0</c:v>
                </c:pt>
              </c:numCache>
            </c:numRef>
          </c:val>
        </c:ser>
        <c:ser>
          <c:idx val="2"/>
          <c:order val="1"/>
          <c:tx>
            <c:strRef>
              <c:f>ESC13_2018!$D$2</c:f>
              <c:strCache>
                <c:ptCount val="1"/>
                <c:pt idx="0">
                  <c:v>Baja</c:v>
                </c:pt>
              </c:strCache>
            </c:strRef>
          </c:tx>
          <c:invertIfNegative val="0"/>
          <c:cat>
            <c:strRef>
              <c:f>ESC13_2018!$H$93:$H$119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ESC13_2018!$J$93:$J$119</c:f>
              <c:numCache>
                <c:formatCode>General</c:formatCode>
                <c:ptCount val="27"/>
                <c:pt idx="12" formatCode="_-* #,##0_-;\-* #,##0_-;_-* &quot;-&quot;??_-;_-@_-">
                  <c:v>0</c:v>
                </c:pt>
                <c:pt idx="13" formatCode="_-* #,##0_-;\-* #,##0_-;_-* &quot;-&quot;??_-;_-@_-">
                  <c:v>0</c:v>
                </c:pt>
                <c:pt idx="14" formatCode="_-* #,##0_-;\-* #,##0_-;_-* &quot;-&quot;??_-;_-@_-">
                  <c:v>0</c:v>
                </c:pt>
                <c:pt idx="15" formatCode="_-* #,##0_-;\-* #,##0_-;_-* &quot;-&quot;??_-;_-@_-">
                  <c:v>257.99792099999894</c:v>
                </c:pt>
                <c:pt idx="16" formatCode="_-* #,##0_-;\-* #,##0_-;_-* &quot;-&quot;??_-;_-@_-">
                  <c:v>0</c:v>
                </c:pt>
                <c:pt idx="17" formatCode="_-* #,##0_-;\-* #,##0_-;_-* &quot;-&quot;??_-;_-@_-">
                  <c:v>137.25439</c:v>
                </c:pt>
                <c:pt idx="18" formatCode="_-* #,##0_-;\-* #,##0_-;_-* &quot;-&quot;??_-;_-@_-">
                  <c:v>169.60436099999998</c:v>
                </c:pt>
                <c:pt idx="19" formatCode="_-* #,##0_-;\-* #,##0_-;_-* &quot;-&quot;??_-;_-@_-">
                  <c:v>126.107136</c:v>
                </c:pt>
                <c:pt idx="20" formatCode="_-* #,##0_-;\-* #,##0_-;_-* &quot;-&quot;??_-;_-@_-">
                  <c:v>585.45149199999946</c:v>
                </c:pt>
                <c:pt idx="21" formatCode="_-* #,##0_-;\-* #,##0_-;_-* &quot;-&quot;??_-;_-@_-">
                  <c:v>395.39093000000003</c:v>
                </c:pt>
                <c:pt idx="22" formatCode="_-* #,##0_-;\-* #,##0_-;_-* &quot;-&quot;??_-;_-@_-">
                  <c:v>966.22101299999997</c:v>
                </c:pt>
                <c:pt idx="23" formatCode="_-* #,##0_-;\-* #,##0_-;_-* &quot;-&quot;??_-;_-@_-">
                  <c:v>430.74622699999969</c:v>
                </c:pt>
                <c:pt idx="24" formatCode="_-* #,##0_-;\-* #,##0_-;_-* &quot;-&quot;??_-;_-@_-">
                  <c:v>700.22312799999997</c:v>
                </c:pt>
                <c:pt idx="25" formatCode="_-* #,##0_-;\-* #,##0_-;_-* &quot;-&quot;??_-;_-@_-">
                  <c:v>1494.296458</c:v>
                </c:pt>
                <c:pt idx="26" formatCode="_-* #,##0_-;\-* #,##0_-;_-* &quot;-&quot;??_-;_-@_-">
                  <c:v>1385.5946359999998</c:v>
                </c:pt>
              </c:numCache>
            </c:numRef>
          </c:val>
        </c:ser>
        <c:dLbls>
          <c:showLegendKey val="0"/>
          <c:showVal val="0"/>
          <c:showCatName val="0"/>
          <c:showSerName val="0"/>
          <c:showPercent val="0"/>
          <c:showBubbleSize val="0"/>
        </c:dLbls>
        <c:gapWidth val="150"/>
        <c:axId val="397935744"/>
        <c:axId val="397937280"/>
      </c:barChart>
      <c:lineChart>
        <c:grouping val="standard"/>
        <c:varyColors val="0"/>
        <c:ser>
          <c:idx val="0"/>
          <c:order val="2"/>
          <c:tx>
            <c:strRef>
              <c:f>ESC13_2018!$E$2</c:f>
              <c:strCache>
                <c:ptCount val="1"/>
                <c:pt idx="0">
                  <c:v>Carga</c:v>
                </c:pt>
              </c:strCache>
            </c:strRef>
          </c:tx>
          <c:marker>
            <c:symbol val="none"/>
          </c:marker>
          <c:cat>
            <c:strRef>
              <c:f>ESC13_2018!$H$93:$H$119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ESC13_2018!$K$93:$K$119</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1796.1413309999884</c:v>
                </c:pt>
                <c:pt idx="13">
                  <c:v>2227.3148310000001</c:v>
                </c:pt>
                <c:pt idx="14">
                  <c:v>2617.016509</c:v>
                </c:pt>
                <c:pt idx="15">
                  <c:v>4790.8396670000002</c:v>
                </c:pt>
                <c:pt idx="16">
                  <c:v>4937.9092770000007</c:v>
                </c:pt>
                <c:pt idx="17">
                  <c:v>5071.8648670000002</c:v>
                </c:pt>
                <c:pt idx="18">
                  <c:v>5057.5240010000034</c:v>
                </c:pt>
                <c:pt idx="19">
                  <c:v>5187.3368750000009</c:v>
                </c:pt>
                <c:pt idx="20">
                  <c:v>4844.8930040000014</c:v>
                </c:pt>
                <c:pt idx="21">
                  <c:v>4572.3505740000282</c:v>
                </c:pt>
                <c:pt idx="22">
                  <c:v>3757.9670300000002</c:v>
                </c:pt>
                <c:pt idx="23">
                  <c:v>3458.3359220000193</c:v>
                </c:pt>
                <c:pt idx="24">
                  <c:v>2879.891093000017</c:v>
                </c:pt>
                <c:pt idx="25">
                  <c:v>1385.5946350000002</c:v>
                </c:pt>
                <c:pt idx="26">
                  <c:v>0</c:v>
                </c:pt>
              </c:numCache>
            </c:numRef>
          </c:val>
          <c:smooth val="0"/>
        </c:ser>
        <c:dLbls>
          <c:showLegendKey val="0"/>
          <c:showVal val="0"/>
          <c:showCatName val="0"/>
          <c:showSerName val="0"/>
          <c:showPercent val="0"/>
          <c:showBubbleSize val="0"/>
        </c:dLbls>
        <c:marker val="1"/>
        <c:smooth val="0"/>
        <c:axId val="397935744"/>
        <c:axId val="397937280"/>
      </c:lineChart>
      <c:catAx>
        <c:axId val="397935744"/>
        <c:scaling>
          <c:orientation val="minMax"/>
        </c:scaling>
        <c:delete val="0"/>
        <c:axPos val="b"/>
        <c:majorTickMark val="out"/>
        <c:minorTickMark val="none"/>
        <c:tickLblPos val="nextTo"/>
        <c:txPr>
          <a:bodyPr rot="-5400000" vert="horz"/>
          <a:lstStyle/>
          <a:p>
            <a:pPr>
              <a:defRPr sz="900" b="0"/>
            </a:pPr>
            <a:endParaRPr lang="en-US"/>
          </a:p>
        </c:txPr>
        <c:crossAx val="397937280"/>
        <c:crosses val="autoZero"/>
        <c:auto val="1"/>
        <c:lblAlgn val="ctr"/>
        <c:lblOffset val="100"/>
        <c:noMultiLvlLbl val="0"/>
      </c:catAx>
      <c:valAx>
        <c:axId val="397937280"/>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3798910757587209E-2"/>
              <c:y val="0.38443501723870332"/>
            </c:manualLayout>
          </c:layout>
          <c:overlay val="0"/>
        </c:title>
        <c:numFmt formatCode="General" sourceLinked="1"/>
        <c:majorTickMark val="out"/>
        <c:minorTickMark val="none"/>
        <c:tickLblPos val="nextTo"/>
        <c:txPr>
          <a:bodyPr/>
          <a:lstStyle/>
          <a:p>
            <a:pPr>
              <a:defRPr sz="900" b="0"/>
            </a:pPr>
            <a:endParaRPr lang="en-US"/>
          </a:p>
        </c:txPr>
        <c:crossAx val="397935744"/>
        <c:crosses val="autoZero"/>
        <c:crossBetween val="between"/>
        <c:majorUnit val="2500"/>
      </c:valAx>
    </c:plotArea>
    <c:legend>
      <c:legendPos val="r"/>
      <c:layout>
        <c:manualLayout>
          <c:xMode val="edge"/>
          <c:yMode val="edge"/>
          <c:x val="0.86657104700771515"/>
          <c:y val="0.17098693067197254"/>
          <c:w val="0.10878828434782289"/>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HPM</a:t>
            </a:r>
          </a:p>
        </c:rich>
      </c:tx>
      <c:overlay val="1"/>
    </c:title>
    <c:autoTitleDeleted val="0"/>
    <c:plotArea>
      <c:layout>
        <c:manualLayout>
          <c:layoutTarget val="inner"/>
          <c:xMode val="edge"/>
          <c:yMode val="edge"/>
          <c:x val="0.11027973710334911"/>
          <c:y val="0.14200745951359248"/>
          <c:w val="0.86796293263616264"/>
          <c:h val="0.58489762365220854"/>
        </c:manualLayout>
      </c:layout>
      <c:barChart>
        <c:barDir val="col"/>
        <c:grouping val="clustered"/>
        <c:varyColors val="0"/>
        <c:ser>
          <c:idx val="1"/>
          <c:order val="0"/>
          <c:tx>
            <c:strRef>
              <c:f>ESC23_2020!$C$2</c:f>
              <c:strCache>
                <c:ptCount val="1"/>
                <c:pt idx="0">
                  <c:v>Sube</c:v>
                </c:pt>
              </c:strCache>
            </c:strRef>
          </c:tx>
          <c:invertIfNegative val="0"/>
          <c:cat>
            <c:strRef>
              <c:f>ESC23_2020!$B$3:$B$29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ESC23_2020!$C$3:$C$29</c:f>
              <c:numCache>
                <c:formatCode>_-* #,##0_-;\-* #,##0_-;_-* "-"??_-;_-@_-</c:formatCode>
                <c:ptCount val="27"/>
                <c:pt idx="0">
                  <c:v>1929.7032959999999</c:v>
                </c:pt>
                <c:pt idx="1">
                  <c:v>5365.8855140000014</c:v>
                </c:pt>
                <c:pt idx="2">
                  <c:v>1184.640459</c:v>
                </c:pt>
                <c:pt idx="3">
                  <c:v>357.86395299999964</c:v>
                </c:pt>
                <c:pt idx="4">
                  <c:v>1951.0728159999999</c:v>
                </c:pt>
                <c:pt idx="5">
                  <c:v>2473.7636659999839</c:v>
                </c:pt>
                <c:pt idx="6">
                  <c:v>4353.9584290000003</c:v>
                </c:pt>
                <c:pt idx="7">
                  <c:v>2173.2627269999998</c:v>
                </c:pt>
                <c:pt idx="8">
                  <c:v>593.98225099999797</c:v>
                </c:pt>
                <c:pt idx="9">
                  <c:v>1263.685416999992</c:v>
                </c:pt>
                <c:pt idx="10">
                  <c:v>1267.9867610000085</c:v>
                </c:pt>
                <c:pt idx="11">
                  <c:v>14727.738283999999</c:v>
                </c:pt>
                <c:pt idx="12">
                  <c:v>313.10528200000078</c:v>
                </c:pt>
                <c:pt idx="13">
                  <c:v>414.78003999999805</c:v>
                </c:pt>
                <c:pt idx="14">
                  <c:v>374.63648499999999</c:v>
                </c:pt>
                <c:pt idx="15">
                  <c:v>471.50639599999869</c:v>
                </c:pt>
                <c:pt idx="16">
                  <c:v>301.86346900000001</c:v>
                </c:pt>
                <c:pt idx="17">
                  <c:v>0</c:v>
                </c:pt>
                <c:pt idx="18">
                  <c:v>16.10454</c:v>
                </c:pt>
                <c:pt idx="19">
                  <c:v>43.014760999999993</c:v>
                </c:pt>
                <c:pt idx="20">
                  <c:v>12.357800000000006</c:v>
                </c:pt>
                <c:pt idx="21">
                  <c:v>0</c:v>
                </c:pt>
                <c:pt idx="22">
                  <c:v>276.14930099999998</c:v>
                </c:pt>
                <c:pt idx="23">
                  <c:v>0</c:v>
                </c:pt>
                <c:pt idx="24">
                  <c:v>0</c:v>
                </c:pt>
                <c:pt idx="25">
                  <c:v>0</c:v>
                </c:pt>
                <c:pt idx="26">
                  <c:v>0</c:v>
                </c:pt>
              </c:numCache>
            </c:numRef>
          </c:val>
        </c:ser>
        <c:ser>
          <c:idx val="2"/>
          <c:order val="1"/>
          <c:tx>
            <c:strRef>
              <c:f>ESC23_2020!$D$2</c:f>
              <c:strCache>
                <c:ptCount val="1"/>
                <c:pt idx="0">
                  <c:v>Baja</c:v>
                </c:pt>
              </c:strCache>
            </c:strRef>
          </c:tx>
          <c:invertIfNegative val="0"/>
          <c:cat>
            <c:strRef>
              <c:f>ESC23_2020!$B$3:$B$29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ESC23_2020!$D$3:$D$29</c:f>
              <c:numCache>
                <c:formatCode>_-* #,##0_-;\-* #,##0_-;_-* "-"??_-;_-@_-</c:formatCode>
                <c:ptCount val="27"/>
                <c:pt idx="0">
                  <c:v>0</c:v>
                </c:pt>
                <c:pt idx="1">
                  <c:v>0</c:v>
                </c:pt>
                <c:pt idx="2">
                  <c:v>108.77603000000001</c:v>
                </c:pt>
                <c:pt idx="3">
                  <c:v>627.50417300000004</c:v>
                </c:pt>
                <c:pt idx="4">
                  <c:v>257.71602599999869</c:v>
                </c:pt>
                <c:pt idx="5">
                  <c:v>58.736170000000222</c:v>
                </c:pt>
                <c:pt idx="6">
                  <c:v>342.45709099999999</c:v>
                </c:pt>
                <c:pt idx="7">
                  <c:v>308.87613099999805</c:v>
                </c:pt>
                <c:pt idx="8">
                  <c:v>366.83874999999864</c:v>
                </c:pt>
                <c:pt idx="9">
                  <c:v>1164.783637</c:v>
                </c:pt>
                <c:pt idx="10">
                  <c:v>479.55398100000002</c:v>
                </c:pt>
                <c:pt idx="11">
                  <c:v>6671.0439920000008</c:v>
                </c:pt>
                <c:pt idx="12">
                  <c:v>1144.9179170000011</c:v>
                </c:pt>
                <c:pt idx="13">
                  <c:v>1625.445498</c:v>
                </c:pt>
                <c:pt idx="14">
                  <c:v>2055.7589429999998</c:v>
                </c:pt>
                <c:pt idx="15">
                  <c:v>551.75230799999997</c:v>
                </c:pt>
                <c:pt idx="16">
                  <c:v>1299.8263079999999</c:v>
                </c:pt>
                <c:pt idx="17">
                  <c:v>537.70314000000053</c:v>
                </c:pt>
                <c:pt idx="18">
                  <c:v>1791.843652</c:v>
                </c:pt>
                <c:pt idx="19">
                  <c:v>4260.0366470000008</c:v>
                </c:pt>
                <c:pt idx="20">
                  <c:v>4587.5009190000001</c:v>
                </c:pt>
                <c:pt idx="21">
                  <c:v>99.457049999999995</c:v>
                </c:pt>
                <c:pt idx="22">
                  <c:v>3655.5098609999868</c:v>
                </c:pt>
                <c:pt idx="23">
                  <c:v>1845.5170149999999</c:v>
                </c:pt>
                <c:pt idx="24">
                  <c:v>3447.5710790000012</c:v>
                </c:pt>
                <c:pt idx="25">
                  <c:v>1937.8466730000011</c:v>
                </c:pt>
                <c:pt idx="26">
                  <c:v>640.08865500000002</c:v>
                </c:pt>
              </c:numCache>
            </c:numRef>
          </c:val>
        </c:ser>
        <c:dLbls>
          <c:showLegendKey val="0"/>
          <c:showVal val="0"/>
          <c:showCatName val="0"/>
          <c:showSerName val="0"/>
          <c:showPercent val="0"/>
          <c:showBubbleSize val="0"/>
        </c:dLbls>
        <c:gapWidth val="150"/>
        <c:axId val="398001664"/>
        <c:axId val="398003200"/>
      </c:barChart>
      <c:lineChart>
        <c:grouping val="standard"/>
        <c:varyColors val="0"/>
        <c:ser>
          <c:idx val="0"/>
          <c:order val="2"/>
          <c:tx>
            <c:strRef>
              <c:f>ESC23_2020!$E$2</c:f>
              <c:strCache>
                <c:ptCount val="1"/>
                <c:pt idx="0">
                  <c:v>Carga</c:v>
                </c:pt>
              </c:strCache>
            </c:strRef>
          </c:tx>
          <c:marker>
            <c:symbol val="none"/>
          </c:marker>
          <c:cat>
            <c:strRef>
              <c:f>ESC23_2020!$B$3:$B$29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ESC23_2020!$E$3:$E$29</c:f>
              <c:numCache>
                <c:formatCode>_-* #,##0_-;\-* #,##0_-;_-* "-"??_-;_-@_-</c:formatCode>
                <c:ptCount val="27"/>
                <c:pt idx="0">
                  <c:v>1929.7032959999999</c:v>
                </c:pt>
                <c:pt idx="1">
                  <c:v>7295.5888099999993</c:v>
                </c:pt>
                <c:pt idx="2">
                  <c:v>8371.4532389999931</c:v>
                </c:pt>
                <c:pt idx="3">
                  <c:v>8101.8130189999983</c:v>
                </c:pt>
                <c:pt idx="4">
                  <c:v>9795.1698089999991</c:v>
                </c:pt>
                <c:pt idx="5">
                  <c:v>12210.197304999991</c:v>
                </c:pt>
                <c:pt idx="6">
                  <c:v>16221.698643</c:v>
                </c:pt>
                <c:pt idx="7">
                  <c:v>18086.085239</c:v>
                </c:pt>
                <c:pt idx="8">
                  <c:v>18313.22874000002</c:v>
                </c:pt>
                <c:pt idx="9">
                  <c:v>18412.130519999839</c:v>
                </c:pt>
                <c:pt idx="10">
                  <c:v>19200.563300000005</c:v>
                </c:pt>
                <c:pt idx="11">
                  <c:v>27257.257592000005</c:v>
                </c:pt>
                <c:pt idx="12">
                  <c:v>26425.444957000003</c:v>
                </c:pt>
                <c:pt idx="13">
                  <c:v>25214.779499000004</c:v>
                </c:pt>
                <c:pt idx="14">
                  <c:v>23533.657041000002</c:v>
                </c:pt>
                <c:pt idx="15">
                  <c:v>23453.411129000004</c:v>
                </c:pt>
                <c:pt idx="16">
                  <c:v>22455.448290000029</c:v>
                </c:pt>
                <c:pt idx="17">
                  <c:v>21917.745150000021</c:v>
                </c:pt>
                <c:pt idx="18">
                  <c:v>20142.006038000003</c:v>
                </c:pt>
                <c:pt idx="19">
                  <c:v>15924.984152000006</c:v>
                </c:pt>
                <c:pt idx="20">
                  <c:v>11349.841033000001</c:v>
                </c:pt>
                <c:pt idx="21">
                  <c:v>11250.383982999991</c:v>
                </c:pt>
                <c:pt idx="22">
                  <c:v>7871.0234230000024</c:v>
                </c:pt>
                <c:pt idx="23">
                  <c:v>6025.5064079999993</c:v>
                </c:pt>
                <c:pt idx="24">
                  <c:v>2577.9353290000022</c:v>
                </c:pt>
                <c:pt idx="25">
                  <c:v>640.08865599999945</c:v>
                </c:pt>
                <c:pt idx="26">
                  <c:v>0</c:v>
                </c:pt>
              </c:numCache>
            </c:numRef>
          </c:val>
          <c:smooth val="0"/>
        </c:ser>
        <c:dLbls>
          <c:showLegendKey val="0"/>
          <c:showVal val="0"/>
          <c:showCatName val="0"/>
          <c:showSerName val="0"/>
          <c:showPercent val="0"/>
          <c:showBubbleSize val="0"/>
        </c:dLbls>
        <c:marker val="1"/>
        <c:smooth val="0"/>
        <c:axId val="398001664"/>
        <c:axId val="398003200"/>
      </c:lineChart>
      <c:catAx>
        <c:axId val="398001664"/>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003200"/>
        <c:crosses val="autoZero"/>
        <c:auto val="1"/>
        <c:lblAlgn val="ctr"/>
        <c:lblOffset val="100"/>
        <c:noMultiLvlLbl val="0"/>
      </c:catAx>
      <c:valAx>
        <c:axId val="398003200"/>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5.9991801029082139E-3"/>
              <c:y val="0.38249683095036541"/>
            </c:manualLayout>
          </c:layout>
          <c:overlay val="0"/>
        </c:title>
        <c:numFmt formatCode="_-* #,##0_-;\-* #,##0_-;_-* &quot;-&quot;??_-;_-@_-" sourceLinked="1"/>
        <c:majorTickMark val="out"/>
        <c:minorTickMark val="none"/>
        <c:tickLblPos val="nextTo"/>
        <c:txPr>
          <a:bodyPr/>
          <a:lstStyle/>
          <a:p>
            <a:pPr>
              <a:defRPr sz="900" b="0"/>
            </a:pPr>
            <a:endParaRPr lang="en-US"/>
          </a:p>
        </c:txPr>
        <c:crossAx val="398001664"/>
        <c:crosses val="autoZero"/>
        <c:crossBetween val="between"/>
        <c:majorUnit val="2500"/>
      </c:valAx>
    </c:plotArea>
    <c:legend>
      <c:legendPos val="r"/>
      <c:layout>
        <c:manualLayout>
          <c:xMode val="edge"/>
          <c:yMode val="edge"/>
          <c:x val="0.8778014591878196"/>
          <c:y val="0.16904271403005003"/>
          <c:w val="8.8902059511361001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0.10725014936225447"/>
          <c:y val="0.1420074595135925"/>
          <c:w val="0.8709925203772575"/>
          <c:h val="0.57791975825579101"/>
        </c:manualLayout>
      </c:layout>
      <c:barChart>
        <c:barDir val="col"/>
        <c:grouping val="clustered"/>
        <c:varyColors val="0"/>
        <c:ser>
          <c:idx val="1"/>
          <c:order val="0"/>
          <c:tx>
            <c:strRef>
              <c:f>ESC23_2020!$I$2</c:f>
              <c:strCache>
                <c:ptCount val="1"/>
                <c:pt idx="0">
                  <c:v>Sube</c:v>
                </c:pt>
              </c:strCache>
            </c:strRef>
          </c:tx>
          <c:invertIfNegative val="0"/>
          <c:cat>
            <c:strRef>
              <c:f>ESC23_2020!$H$11:$H$37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ESC23_2020!$I$11:$I$37</c:f>
              <c:numCache>
                <c:formatCode>_-* #,##0_-;\-* #,##0_-;_-* "-"??_-;_-@_-</c:formatCode>
                <c:ptCount val="27"/>
                <c:pt idx="0">
                  <c:v>1052.309898</c:v>
                </c:pt>
                <c:pt idx="1">
                  <c:v>745.35279799999796</c:v>
                </c:pt>
                <c:pt idx="2">
                  <c:v>1072.0548839999999</c:v>
                </c:pt>
                <c:pt idx="3">
                  <c:v>921.96599899999796</c:v>
                </c:pt>
                <c:pt idx="4">
                  <c:v>5674.0865570000005</c:v>
                </c:pt>
                <c:pt idx="5">
                  <c:v>37.622170000000295</c:v>
                </c:pt>
                <c:pt idx="6">
                  <c:v>1192.7313219999999</c:v>
                </c:pt>
                <c:pt idx="7">
                  <c:v>612.30754299999796</c:v>
                </c:pt>
                <c:pt idx="8">
                  <c:v>314.50461100000001</c:v>
                </c:pt>
                <c:pt idx="9">
                  <c:v>868.92916899999796</c:v>
                </c:pt>
                <c:pt idx="10">
                  <c:v>843.49952799999949</c:v>
                </c:pt>
                <c:pt idx="11">
                  <c:v>255.598161</c:v>
                </c:pt>
                <c:pt idx="12">
                  <c:v>1156.4627009999999</c:v>
                </c:pt>
                <c:pt idx="13">
                  <c:v>421.75010899999899</c:v>
                </c:pt>
                <c:pt idx="14">
                  <c:v>185.91664499999999</c:v>
                </c:pt>
                <c:pt idx="15">
                  <c:v>5662.9840029999996</c:v>
                </c:pt>
                <c:pt idx="16">
                  <c:v>261.97371299999764</c:v>
                </c:pt>
                <c:pt idx="17">
                  <c:v>767.63345400000003</c:v>
                </c:pt>
                <c:pt idx="18">
                  <c:v>427.56403899999964</c:v>
                </c:pt>
                <c:pt idx="19">
                  <c:v>276.387291</c:v>
                </c:pt>
                <c:pt idx="20">
                  <c:v>302.488928999998</c:v>
                </c:pt>
                <c:pt idx="21">
                  <c:v>167.51007799999999</c:v>
                </c:pt>
                <c:pt idx="22">
                  <c:v>126.47671</c:v>
                </c:pt>
                <c:pt idx="23">
                  <c:v>118.41035900000041</c:v>
                </c:pt>
                <c:pt idx="24">
                  <c:v>105.78466899999999</c:v>
                </c:pt>
                <c:pt idx="25">
                  <c:v>0</c:v>
                </c:pt>
                <c:pt idx="26">
                  <c:v>0</c:v>
                </c:pt>
              </c:numCache>
            </c:numRef>
          </c:val>
        </c:ser>
        <c:ser>
          <c:idx val="2"/>
          <c:order val="1"/>
          <c:tx>
            <c:strRef>
              <c:f>ESC23_2020!$D$2</c:f>
              <c:strCache>
                <c:ptCount val="1"/>
                <c:pt idx="0">
                  <c:v>Baja</c:v>
                </c:pt>
              </c:strCache>
            </c:strRef>
          </c:tx>
          <c:invertIfNegative val="0"/>
          <c:cat>
            <c:strRef>
              <c:f>ESC23_2020!$H$11:$H$37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ESC23_2020!$J$11:$J$37</c:f>
              <c:numCache>
                <c:formatCode>_-* #,##0_-;\-* #,##0_-;_-* "-"??_-;_-@_-</c:formatCode>
                <c:ptCount val="27"/>
                <c:pt idx="0">
                  <c:v>0</c:v>
                </c:pt>
                <c:pt idx="1">
                  <c:v>0</c:v>
                </c:pt>
                <c:pt idx="2">
                  <c:v>0</c:v>
                </c:pt>
                <c:pt idx="3">
                  <c:v>0</c:v>
                </c:pt>
                <c:pt idx="4">
                  <c:v>368.42765799999893</c:v>
                </c:pt>
                <c:pt idx="5">
                  <c:v>0</c:v>
                </c:pt>
                <c:pt idx="6">
                  <c:v>41.2498</c:v>
                </c:pt>
                <c:pt idx="7">
                  <c:v>198.94504000000001</c:v>
                </c:pt>
                <c:pt idx="8">
                  <c:v>20.462329999999771</c:v>
                </c:pt>
                <c:pt idx="9">
                  <c:v>1.2682</c:v>
                </c:pt>
                <c:pt idx="10">
                  <c:v>313.49003499999776</c:v>
                </c:pt>
                <c:pt idx="11">
                  <c:v>631.17009499999995</c:v>
                </c:pt>
                <c:pt idx="12">
                  <c:v>732.86396599999796</c:v>
                </c:pt>
                <c:pt idx="13">
                  <c:v>810.00113299999998</c:v>
                </c:pt>
                <c:pt idx="14">
                  <c:v>193.38964600000082</c:v>
                </c:pt>
                <c:pt idx="15">
                  <c:v>6351.2332469999992</c:v>
                </c:pt>
                <c:pt idx="16">
                  <c:v>171.74619999999999</c:v>
                </c:pt>
                <c:pt idx="17">
                  <c:v>698.93672399999946</c:v>
                </c:pt>
                <c:pt idx="18">
                  <c:v>373.827271</c:v>
                </c:pt>
                <c:pt idx="19">
                  <c:v>467.69113999999735</c:v>
                </c:pt>
                <c:pt idx="20">
                  <c:v>3794.9736140000132</c:v>
                </c:pt>
                <c:pt idx="21">
                  <c:v>697.62476800000002</c:v>
                </c:pt>
                <c:pt idx="22">
                  <c:v>1963.2083</c:v>
                </c:pt>
                <c:pt idx="23">
                  <c:v>1776.3648339999932</c:v>
                </c:pt>
                <c:pt idx="24">
                  <c:v>651.20476000000053</c:v>
                </c:pt>
                <c:pt idx="25">
                  <c:v>1776.1913059999924</c:v>
                </c:pt>
                <c:pt idx="26">
                  <c:v>1538.0352730000011</c:v>
                </c:pt>
              </c:numCache>
            </c:numRef>
          </c:val>
        </c:ser>
        <c:dLbls>
          <c:showLegendKey val="0"/>
          <c:showVal val="0"/>
          <c:showCatName val="0"/>
          <c:showSerName val="0"/>
          <c:showPercent val="0"/>
          <c:showBubbleSize val="0"/>
        </c:dLbls>
        <c:gapWidth val="150"/>
        <c:axId val="398034432"/>
        <c:axId val="398035968"/>
      </c:barChart>
      <c:lineChart>
        <c:grouping val="standard"/>
        <c:varyColors val="0"/>
        <c:ser>
          <c:idx val="0"/>
          <c:order val="2"/>
          <c:tx>
            <c:strRef>
              <c:f>ESC23_2020!$E$2</c:f>
              <c:strCache>
                <c:ptCount val="1"/>
                <c:pt idx="0">
                  <c:v>Carga</c:v>
                </c:pt>
              </c:strCache>
            </c:strRef>
          </c:tx>
          <c:marker>
            <c:symbol val="none"/>
          </c:marker>
          <c:cat>
            <c:strRef>
              <c:f>ESC23_2020!$H$11:$H$37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ESC23_2020!$K$11:$K$37</c:f>
              <c:numCache>
                <c:formatCode>_-* #,##0_-;\-* #,##0_-;_-* "-"??_-;_-@_-</c:formatCode>
                <c:ptCount val="27"/>
                <c:pt idx="0">
                  <c:v>1052.309898</c:v>
                </c:pt>
                <c:pt idx="1">
                  <c:v>1797.6626959999999</c:v>
                </c:pt>
                <c:pt idx="2">
                  <c:v>2869.7175799999995</c:v>
                </c:pt>
                <c:pt idx="3">
                  <c:v>3791.6835789999996</c:v>
                </c:pt>
                <c:pt idx="4">
                  <c:v>9097.3424779999987</c:v>
                </c:pt>
                <c:pt idx="5">
                  <c:v>9134.9646479999992</c:v>
                </c:pt>
                <c:pt idx="6">
                  <c:v>10286.446169999987</c:v>
                </c:pt>
                <c:pt idx="7">
                  <c:v>10699.808672999989</c:v>
                </c:pt>
                <c:pt idx="8">
                  <c:v>10993.850953999925</c:v>
                </c:pt>
                <c:pt idx="9">
                  <c:v>11861.511922999995</c:v>
                </c:pt>
                <c:pt idx="10">
                  <c:v>12391.521416000012</c:v>
                </c:pt>
                <c:pt idx="11">
                  <c:v>12015.949482000016</c:v>
                </c:pt>
                <c:pt idx="12">
                  <c:v>12439.54821700001</c:v>
                </c:pt>
                <c:pt idx="13">
                  <c:v>12051.297192999999</c:v>
                </c:pt>
                <c:pt idx="14">
                  <c:v>12043.824192</c:v>
                </c:pt>
                <c:pt idx="15">
                  <c:v>11355.574947999998</c:v>
                </c:pt>
                <c:pt idx="16">
                  <c:v>11445.802460999997</c:v>
                </c:pt>
                <c:pt idx="17">
                  <c:v>11514.499190999983</c:v>
                </c:pt>
                <c:pt idx="18">
                  <c:v>11568.235959</c:v>
                </c:pt>
                <c:pt idx="19">
                  <c:v>11376.93211</c:v>
                </c:pt>
                <c:pt idx="20">
                  <c:v>7884.4474249999994</c:v>
                </c:pt>
                <c:pt idx="21">
                  <c:v>7354.332735</c:v>
                </c:pt>
                <c:pt idx="22">
                  <c:v>5517.6011450000024</c:v>
                </c:pt>
                <c:pt idx="23">
                  <c:v>3859.6466699999751</c:v>
                </c:pt>
                <c:pt idx="24">
                  <c:v>3314.2265789999988</c:v>
                </c:pt>
                <c:pt idx="25">
                  <c:v>1538.0352729999993</c:v>
                </c:pt>
                <c:pt idx="26">
                  <c:v>0</c:v>
                </c:pt>
              </c:numCache>
            </c:numRef>
          </c:val>
          <c:smooth val="0"/>
        </c:ser>
        <c:dLbls>
          <c:showLegendKey val="0"/>
          <c:showVal val="0"/>
          <c:showCatName val="0"/>
          <c:showSerName val="0"/>
          <c:showPercent val="0"/>
          <c:showBubbleSize val="0"/>
        </c:dLbls>
        <c:marker val="1"/>
        <c:smooth val="0"/>
        <c:axId val="398034432"/>
        <c:axId val="398035968"/>
      </c:lineChart>
      <c:catAx>
        <c:axId val="398034432"/>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035968"/>
        <c:crosses val="autoZero"/>
        <c:auto val="1"/>
        <c:lblAlgn val="ctr"/>
        <c:lblOffset val="100"/>
        <c:noMultiLvlLbl val="0"/>
      </c:catAx>
      <c:valAx>
        <c:axId val="398035968"/>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689915387471277E-2"/>
              <c:y val="0.39218751645328981"/>
            </c:manualLayout>
          </c:layout>
          <c:overlay val="0"/>
        </c:title>
        <c:numFmt formatCode="_-* #,##0_-;\-* #,##0_-;_-* &quot;-&quot;??_-;_-@_-" sourceLinked="1"/>
        <c:majorTickMark val="out"/>
        <c:minorTickMark val="none"/>
        <c:tickLblPos val="nextTo"/>
        <c:txPr>
          <a:bodyPr/>
          <a:lstStyle/>
          <a:p>
            <a:pPr>
              <a:defRPr sz="900" b="0"/>
            </a:pPr>
            <a:endParaRPr lang="en-US"/>
          </a:p>
        </c:txPr>
        <c:crossAx val="398034432"/>
        <c:crosses val="autoZero"/>
        <c:crossBetween val="between"/>
        <c:majorUnit val="2500"/>
      </c:valAx>
    </c:plotArea>
    <c:legend>
      <c:legendPos val="r"/>
      <c:layout>
        <c:manualLayout>
          <c:xMode val="edge"/>
          <c:yMode val="edge"/>
          <c:x val="0.86265352048233901"/>
          <c:y val="0.16904271403005003"/>
          <c:w val="0.10404999821683714"/>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0.10728236382184976"/>
          <c:y val="0.1420074595135925"/>
          <c:w val="0.87096025932791321"/>
          <c:h val="0.57313323529808213"/>
        </c:manualLayout>
      </c:layout>
      <c:barChart>
        <c:barDir val="col"/>
        <c:grouping val="clustered"/>
        <c:varyColors val="0"/>
        <c:ser>
          <c:idx val="1"/>
          <c:order val="0"/>
          <c:tx>
            <c:strRef>
              <c:f>ESC23_2020!$C$2</c:f>
              <c:strCache>
                <c:ptCount val="1"/>
                <c:pt idx="0">
                  <c:v>Sube</c:v>
                </c:pt>
              </c:strCache>
            </c:strRef>
          </c:tx>
          <c:invertIfNegative val="0"/>
          <c:cat>
            <c:strRef>
              <c:f>ESC23_2020!$B$44:$B$70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ESC23_2020!$C$44:$C$70</c:f>
              <c:numCache>
                <c:formatCode>_-* #,##0_-;\-* #,##0_-;_-* "-"??_-;_-@_-</c:formatCode>
                <c:ptCount val="27"/>
                <c:pt idx="0">
                  <c:v>1843.2866950000011</c:v>
                </c:pt>
                <c:pt idx="1">
                  <c:v>2044.4170100000001</c:v>
                </c:pt>
                <c:pt idx="2">
                  <c:v>800.88794699999949</c:v>
                </c:pt>
                <c:pt idx="3">
                  <c:v>511.21115999999705</c:v>
                </c:pt>
                <c:pt idx="4">
                  <c:v>2111.8214020000146</c:v>
                </c:pt>
                <c:pt idx="5">
                  <c:v>1265.9158200000011</c:v>
                </c:pt>
                <c:pt idx="6">
                  <c:v>2547.0950370000146</c:v>
                </c:pt>
                <c:pt idx="7">
                  <c:v>1410.8062090000001</c:v>
                </c:pt>
                <c:pt idx="8">
                  <c:v>549.54787099999999</c:v>
                </c:pt>
                <c:pt idx="9">
                  <c:v>651.09208000000001</c:v>
                </c:pt>
                <c:pt idx="10">
                  <c:v>175.46450899999999</c:v>
                </c:pt>
                <c:pt idx="11">
                  <c:v>5005.9613040000004</c:v>
                </c:pt>
                <c:pt idx="12">
                  <c:v>174.64390899999998</c:v>
                </c:pt>
                <c:pt idx="13">
                  <c:v>296.399652</c:v>
                </c:pt>
                <c:pt idx="14">
                  <c:v>635.55015299999798</c:v>
                </c:pt>
                <c:pt idx="15">
                  <c:v>511.90010799999823</c:v>
                </c:pt>
                <c:pt idx="16">
                  <c:v>79.956490000000002</c:v>
                </c:pt>
                <c:pt idx="17">
                  <c:v>6.6992799999999999</c:v>
                </c:pt>
                <c:pt idx="18">
                  <c:v>20.198599999999889</c:v>
                </c:pt>
                <c:pt idx="19">
                  <c:v>48.719370000000012</c:v>
                </c:pt>
                <c:pt idx="20">
                  <c:v>34.518340000000002</c:v>
                </c:pt>
                <c:pt idx="21">
                  <c:v>0</c:v>
                </c:pt>
                <c:pt idx="22">
                  <c:v>143.98739900000112</c:v>
                </c:pt>
                <c:pt idx="23">
                  <c:v>0</c:v>
                </c:pt>
                <c:pt idx="24">
                  <c:v>0</c:v>
                </c:pt>
                <c:pt idx="25">
                  <c:v>0</c:v>
                </c:pt>
                <c:pt idx="26">
                  <c:v>0</c:v>
                </c:pt>
              </c:numCache>
            </c:numRef>
          </c:val>
        </c:ser>
        <c:ser>
          <c:idx val="2"/>
          <c:order val="1"/>
          <c:tx>
            <c:strRef>
              <c:f>ESC23_2020!$D$2</c:f>
              <c:strCache>
                <c:ptCount val="1"/>
                <c:pt idx="0">
                  <c:v>Baja</c:v>
                </c:pt>
              </c:strCache>
            </c:strRef>
          </c:tx>
          <c:invertIfNegative val="0"/>
          <c:cat>
            <c:strRef>
              <c:f>ESC23_2020!$B$44:$B$70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ESC23_2020!$D$44:$D$70</c:f>
              <c:numCache>
                <c:formatCode>_-* #,##0_-;\-* #,##0_-;_-* "-"??_-;_-@_-</c:formatCode>
                <c:ptCount val="27"/>
                <c:pt idx="0">
                  <c:v>0</c:v>
                </c:pt>
                <c:pt idx="1">
                  <c:v>0</c:v>
                </c:pt>
                <c:pt idx="2">
                  <c:v>54.187980999999994</c:v>
                </c:pt>
                <c:pt idx="3">
                  <c:v>113.45253099999998</c:v>
                </c:pt>
                <c:pt idx="4">
                  <c:v>4.7773700000000003</c:v>
                </c:pt>
                <c:pt idx="5">
                  <c:v>108.11823200000001</c:v>
                </c:pt>
                <c:pt idx="6">
                  <c:v>142.46640000000082</c:v>
                </c:pt>
                <c:pt idx="7">
                  <c:v>225.514149</c:v>
                </c:pt>
                <c:pt idx="8">
                  <c:v>286.38325699999899</c:v>
                </c:pt>
                <c:pt idx="9">
                  <c:v>612.81863799999996</c:v>
                </c:pt>
                <c:pt idx="10">
                  <c:v>215.32083100000082</c:v>
                </c:pt>
                <c:pt idx="11">
                  <c:v>5454.8009310000034</c:v>
                </c:pt>
                <c:pt idx="12">
                  <c:v>146.65784000000082</c:v>
                </c:pt>
                <c:pt idx="13">
                  <c:v>487.30521899999923</c:v>
                </c:pt>
                <c:pt idx="14">
                  <c:v>496.22135099999764</c:v>
                </c:pt>
                <c:pt idx="15">
                  <c:v>331.76412099999999</c:v>
                </c:pt>
                <c:pt idx="16">
                  <c:v>371.16057499999999</c:v>
                </c:pt>
                <c:pt idx="17">
                  <c:v>271.76960000000008</c:v>
                </c:pt>
                <c:pt idx="18">
                  <c:v>258.79712099999864</c:v>
                </c:pt>
                <c:pt idx="19">
                  <c:v>631.87917200000004</c:v>
                </c:pt>
                <c:pt idx="20">
                  <c:v>1929.070549</c:v>
                </c:pt>
                <c:pt idx="21">
                  <c:v>26.159150000000118</c:v>
                </c:pt>
                <c:pt idx="22">
                  <c:v>4339.2117280000002</c:v>
                </c:pt>
                <c:pt idx="23">
                  <c:v>1220.213084</c:v>
                </c:pt>
                <c:pt idx="24">
                  <c:v>1566.0369920000001</c:v>
                </c:pt>
                <c:pt idx="25">
                  <c:v>1061.9452309999999</c:v>
                </c:pt>
                <c:pt idx="26">
                  <c:v>514.04828999999938</c:v>
                </c:pt>
              </c:numCache>
            </c:numRef>
          </c:val>
        </c:ser>
        <c:dLbls>
          <c:showLegendKey val="0"/>
          <c:showVal val="0"/>
          <c:showCatName val="0"/>
          <c:showSerName val="0"/>
          <c:showPercent val="0"/>
          <c:showBubbleSize val="0"/>
        </c:dLbls>
        <c:gapWidth val="150"/>
        <c:axId val="398075392"/>
        <c:axId val="398076928"/>
      </c:barChart>
      <c:lineChart>
        <c:grouping val="standard"/>
        <c:varyColors val="0"/>
        <c:ser>
          <c:idx val="0"/>
          <c:order val="2"/>
          <c:tx>
            <c:strRef>
              <c:f>ESC23_2020!$E$2</c:f>
              <c:strCache>
                <c:ptCount val="1"/>
                <c:pt idx="0">
                  <c:v>Carga</c:v>
                </c:pt>
              </c:strCache>
            </c:strRef>
          </c:tx>
          <c:marker>
            <c:symbol val="none"/>
          </c:marker>
          <c:cat>
            <c:strRef>
              <c:f>ESC23_2020!$B$44:$B$70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ESC23_2020!$E$44:$E$70</c:f>
              <c:numCache>
                <c:formatCode>_-* #,##0_-;\-* #,##0_-;_-* "-"??_-;_-@_-</c:formatCode>
                <c:ptCount val="27"/>
                <c:pt idx="0">
                  <c:v>1843.2866950000011</c:v>
                </c:pt>
                <c:pt idx="1">
                  <c:v>3887.7037049999999</c:v>
                </c:pt>
                <c:pt idx="2">
                  <c:v>4634.403671</c:v>
                </c:pt>
                <c:pt idx="3">
                  <c:v>5032.1623000000054</c:v>
                </c:pt>
                <c:pt idx="4">
                  <c:v>7139.2063320000007</c:v>
                </c:pt>
                <c:pt idx="5">
                  <c:v>8297.003919999981</c:v>
                </c:pt>
                <c:pt idx="6">
                  <c:v>10701.632557000057</c:v>
                </c:pt>
                <c:pt idx="7">
                  <c:v>11886.924616999999</c:v>
                </c:pt>
                <c:pt idx="8">
                  <c:v>12150.089231</c:v>
                </c:pt>
                <c:pt idx="9">
                  <c:v>12188.362672999991</c:v>
                </c:pt>
                <c:pt idx="10">
                  <c:v>12148.506351</c:v>
                </c:pt>
                <c:pt idx="11">
                  <c:v>11699.666724000001</c:v>
                </c:pt>
                <c:pt idx="12">
                  <c:v>11727.652793000001</c:v>
                </c:pt>
                <c:pt idx="13">
                  <c:v>11536.74722600001</c:v>
                </c:pt>
                <c:pt idx="14">
                  <c:v>11676.076028000001</c:v>
                </c:pt>
                <c:pt idx="15">
                  <c:v>11856.212015000006</c:v>
                </c:pt>
                <c:pt idx="16">
                  <c:v>11565.007929999938</c:v>
                </c:pt>
                <c:pt idx="17">
                  <c:v>11299.937610000003</c:v>
                </c:pt>
                <c:pt idx="18">
                  <c:v>11061.339089000003</c:v>
                </c:pt>
                <c:pt idx="19">
                  <c:v>10478.179287000004</c:v>
                </c:pt>
                <c:pt idx="20">
                  <c:v>8583.6270780000068</c:v>
                </c:pt>
                <c:pt idx="21">
                  <c:v>8557.4679279999309</c:v>
                </c:pt>
                <c:pt idx="22">
                  <c:v>4362.2435990000031</c:v>
                </c:pt>
                <c:pt idx="23">
                  <c:v>3142.0305150000072</c:v>
                </c:pt>
                <c:pt idx="24">
                  <c:v>1575.9935230000031</c:v>
                </c:pt>
                <c:pt idx="25">
                  <c:v>514.0482920000029</c:v>
                </c:pt>
                <c:pt idx="26">
                  <c:v>0</c:v>
                </c:pt>
              </c:numCache>
            </c:numRef>
          </c:val>
          <c:smooth val="0"/>
        </c:ser>
        <c:dLbls>
          <c:showLegendKey val="0"/>
          <c:showVal val="0"/>
          <c:showCatName val="0"/>
          <c:showSerName val="0"/>
          <c:showPercent val="0"/>
          <c:showBubbleSize val="0"/>
        </c:dLbls>
        <c:marker val="1"/>
        <c:smooth val="0"/>
        <c:axId val="398075392"/>
        <c:axId val="398076928"/>
      </c:lineChart>
      <c:catAx>
        <c:axId val="398075392"/>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076928"/>
        <c:crosses val="autoZero"/>
        <c:auto val="1"/>
        <c:lblAlgn val="ctr"/>
        <c:lblOffset val="100"/>
        <c:noMultiLvlLbl val="0"/>
      </c:catAx>
      <c:valAx>
        <c:axId val="398076928"/>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3200209774887688E-2"/>
              <c:y val="0.38443492129644352"/>
            </c:manualLayout>
          </c:layout>
          <c:overlay val="0"/>
        </c:title>
        <c:numFmt formatCode="_-* #,##0_-;\-* #,##0_-;_-* &quot;-&quot;??_-;_-@_-" sourceLinked="1"/>
        <c:majorTickMark val="out"/>
        <c:minorTickMark val="none"/>
        <c:tickLblPos val="nextTo"/>
        <c:txPr>
          <a:bodyPr/>
          <a:lstStyle/>
          <a:p>
            <a:pPr>
              <a:defRPr sz="900" b="0"/>
            </a:pPr>
            <a:endParaRPr lang="en-US"/>
          </a:p>
        </c:txPr>
        <c:crossAx val="398075392"/>
        <c:crosses val="autoZero"/>
        <c:crossBetween val="between"/>
        <c:majorUnit val="2500"/>
      </c:valAx>
    </c:plotArea>
    <c:legend>
      <c:legendPos val="r"/>
      <c:layout>
        <c:manualLayout>
          <c:xMode val="edge"/>
          <c:yMode val="edge"/>
          <c:x val="0.8595616895778756"/>
          <c:y val="0.16904271403005003"/>
          <c:w val="0.10714189732257236"/>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0.10576542118509591"/>
          <c:y val="0.14200745951359253"/>
          <c:w val="0.87247720196466749"/>
          <c:h val="0.60790302350833714"/>
        </c:manualLayout>
      </c:layout>
      <c:barChart>
        <c:barDir val="col"/>
        <c:grouping val="clustered"/>
        <c:varyColors val="0"/>
        <c:ser>
          <c:idx val="1"/>
          <c:order val="0"/>
          <c:tx>
            <c:strRef>
              <c:f>ESC23_2020!$I$2</c:f>
              <c:strCache>
                <c:ptCount val="1"/>
                <c:pt idx="0">
                  <c:v>Sube</c:v>
                </c:pt>
              </c:strCache>
            </c:strRef>
          </c:tx>
          <c:invertIfNegative val="0"/>
          <c:cat>
            <c:strRef>
              <c:f>ESC23_2020!$H$52:$H$78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ESC23_2020!$I$52:$I$78</c:f>
              <c:numCache>
                <c:formatCode>_-* #,##0_-;\-* #,##0_-;_-* "-"??_-;_-@_-</c:formatCode>
                <c:ptCount val="27"/>
                <c:pt idx="0">
                  <c:v>936.04244799999947</c:v>
                </c:pt>
                <c:pt idx="1">
                  <c:v>494.97957099999923</c:v>
                </c:pt>
                <c:pt idx="2">
                  <c:v>2670.4468320000001</c:v>
                </c:pt>
                <c:pt idx="3">
                  <c:v>563.76439000000005</c:v>
                </c:pt>
                <c:pt idx="4">
                  <c:v>3936.6514520000146</c:v>
                </c:pt>
                <c:pt idx="5">
                  <c:v>98.868329000000003</c:v>
                </c:pt>
                <c:pt idx="6">
                  <c:v>2152.9566949999999</c:v>
                </c:pt>
                <c:pt idx="7">
                  <c:v>923.58703100000002</c:v>
                </c:pt>
                <c:pt idx="8">
                  <c:v>458.89823099999899</c:v>
                </c:pt>
                <c:pt idx="9">
                  <c:v>606.54242099999749</c:v>
                </c:pt>
                <c:pt idx="10">
                  <c:v>764.14509799999996</c:v>
                </c:pt>
                <c:pt idx="11">
                  <c:v>613.71374100000355</c:v>
                </c:pt>
                <c:pt idx="12">
                  <c:v>2378.6873820000001</c:v>
                </c:pt>
                <c:pt idx="13">
                  <c:v>638.15786899999796</c:v>
                </c:pt>
                <c:pt idx="14">
                  <c:v>395.53781899999899</c:v>
                </c:pt>
                <c:pt idx="15">
                  <c:v>4022.0301740000132</c:v>
                </c:pt>
                <c:pt idx="16">
                  <c:v>182.52556099999998</c:v>
                </c:pt>
                <c:pt idx="17">
                  <c:v>589.0308</c:v>
                </c:pt>
                <c:pt idx="18">
                  <c:v>259.70672999999869</c:v>
                </c:pt>
                <c:pt idx="19">
                  <c:v>232.85532100000091</c:v>
                </c:pt>
                <c:pt idx="20">
                  <c:v>250.442103</c:v>
                </c:pt>
                <c:pt idx="21">
                  <c:v>146.07172199999999</c:v>
                </c:pt>
                <c:pt idx="22">
                  <c:v>333.69428900000008</c:v>
                </c:pt>
                <c:pt idx="23">
                  <c:v>132.05014000000082</c:v>
                </c:pt>
                <c:pt idx="24">
                  <c:v>146.42629100000067</c:v>
                </c:pt>
                <c:pt idx="25">
                  <c:v>0</c:v>
                </c:pt>
                <c:pt idx="26">
                  <c:v>0</c:v>
                </c:pt>
              </c:numCache>
            </c:numRef>
          </c:val>
        </c:ser>
        <c:ser>
          <c:idx val="2"/>
          <c:order val="1"/>
          <c:tx>
            <c:strRef>
              <c:f>ESC23_2020!$D$2</c:f>
              <c:strCache>
                <c:ptCount val="1"/>
                <c:pt idx="0">
                  <c:v>Baja</c:v>
                </c:pt>
              </c:strCache>
            </c:strRef>
          </c:tx>
          <c:invertIfNegative val="0"/>
          <c:cat>
            <c:strRef>
              <c:f>ESC23_2020!$H$52:$H$78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ESC23_2020!$J$52:$J$78</c:f>
              <c:numCache>
                <c:formatCode>_-* #,##0_-;\-* #,##0_-;_-* "-"??_-;_-@_-</c:formatCode>
                <c:ptCount val="27"/>
                <c:pt idx="0">
                  <c:v>0</c:v>
                </c:pt>
                <c:pt idx="1">
                  <c:v>0</c:v>
                </c:pt>
                <c:pt idx="2">
                  <c:v>0</c:v>
                </c:pt>
                <c:pt idx="3">
                  <c:v>0</c:v>
                </c:pt>
                <c:pt idx="4">
                  <c:v>194.52397299999998</c:v>
                </c:pt>
                <c:pt idx="5">
                  <c:v>0</c:v>
                </c:pt>
                <c:pt idx="6">
                  <c:v>10.587540000000002</c:v>
                </c:pt>
                <c:pt idx="7">
                  <c:v>75.995609000000456</c:v>
                </c:pt>
                <c:pt idx="8">
                  <c:v>15.780105000000001</c:v>
                </c:pt>
                <c:pt idx="9">
                  <c:v>11.247329999999998</c:v>
                </c:pt>
                <c:pt idx="10">
                  <c:v>42.448030000000003</c:v>
                </c:pt>
                <c:pt idx="11">
                  <c:v>67.594229000000709</c:v>
                </c:pt>
                <c:pt idx="12">
                  <c:v>171.09414700000067</c:v>
                </c:pt>
                <c:pt idx="13">
                  <c:v>479.76326899999964</c:v>
                </c:pt>
                <c:pt idx="14">
                  <c:v>47.345766999999995</c:v>
                </c:pt>
                <c:pt idx="15">
                  <c:v>9868.4782720000003</c:v>
                </c:pt>
                <c:pt idx="16">
                  <c:v>302.97030399999869</c:v>
                </c:pt>
                <c:pt idx="17">
                  <c:v>427.10840899999999</c:v>
                </c:pt>
                <c:pt idx="18">
                  <c:v>288.31579099999999</c:v>
                </c:pt>
                <c:pt idx="19">
                  <c:v>399.55625799999899</c:v>
                </c:pt>
                <c:pt idx="20">
                  <c:v>1727.321383</c:v>
                </c:pt>
                <c:pt idx="21">
                  <c:v>584.66328499999997</c:v>
                </c:pt>
                <c:pt idx="22">
                  <c:v>1144.7356460000001</c:v>
                </c:pt>
                <c:pt idx="23">
                  <c:v>760.32607899999948</c:v>
                </c:pt>
                <c:pt idx="24">
                  <c:v>1018.4241029999994</c:v>
                </c:pt>
                <c:pt idx="25">
                  <c:v>3350.0260020000001</c:v>
                </c:pt>
                <c:pt idx="26">
                  <c:v>2939.5069079999998</c:v>
                </c:pt>
              </c:numCache>
            </c:numRef>
          </c:val>
        </c:ser>
        <c:dLbls>
          <c:showLegendKey val="0"/>
          <c:showVal val="0"/>
          <c:showCatName val="0"/>
          <c:showSerName val="0"/>
          <c:showPercent val="0"/>
          <c:showBubbleSize val="0"/>
        </c:dLbls>
        <c:gapWidth val="150"/>
        <c:axId val="398149120"/>
        <c:axId val="398150656"/>
      </c:barChart>
      <c:lineChart>
        <c:grouping val="standard"/>
        <c:varyColors val="0"/>
        <c:ser>
          <c:idx val="0"/>
          <c:order val="2"/>
          <c:tx>
            <c:strRef>
              <c:f>ESC23_2020!$E$2</c:f>
              <c:strCache>
                <c:ptCount val="1"/>
                <c:pt idx="0">
                  <c:v>Carga</c:v>
                </c:pt>
              </c:strCache>
            </c:strRef>
          </c:tx>
          <c:marker>
            <c:symbol val="none"/>
          </c:marker>
          <c:cat>
            <c:strRef>
              <c:f>ESC23_2020!$H$52:$H$78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ESC23_2020!$K$52:$K$78</c:f>
              <c:numCache>
                <c:formatCode>_-* #,##0_-;\-* #,##0_-;_-* "-"??_-;_-@_-</c:formatCode>
                <c:ptCount val="27"/>
                <c:pt idx="0">
                  <c:v>936.04244799999947</c:v>
                </c:pt>
                <c:pt idx="1">
                  <c:v>1431.022019</c:v>
                </c:pt>
                <c:pt idx="2">
                  <c:v>4101.4688509999996</c:v>
                </c:pt>
                <c:pt idx="3">
                  <c:v>4665.2332409999999</c:v>
                </c:pt>
                <c:pt idx="4">
                  <c:v>8407.3607199999424</c:v>
                </c:pt>
                <c:pt idx="5">
                  <c:v>8506.2290490000069</c:v>
                </c:pt>
                <c:pt idx="6">
                  <c:v>10648.598204000002</c:v>
                </c:pt>
                <c:pt idx="7">
                  <c:v>11496.189626000001</c:v>
                </c:pt>
                <c:pt idx="8">
                  <c:v>11939.307752000002</c:v>
                </c:pt>
                <c:pt idx="9">
                  <c:v>12534.602843000002</c:v>
                </c:pt>
                <c:pt idx="10">
                  <c:v>13256.299911000002</c:v>
                </c:pt>
                <c:pt idx="11">
                  <c:v>13802.419423000001</c:v>
                </c:pt>
                <c:pt idx="12">
                  <c:v>16010.012658000012</c:v>
                </c:pt>
                <c:pt idx="13">
                  <c:v>16168.407258000008</c:v>
                </c:pt>
                <c:pt idx="14">
                  <c:v>16516.599309999896</c:v>
                </c:pt>
                <c:pt idx="15">
                  <c:v>10670.151212000004</c:v>
                </c:pt>
                <c:pt idx="16">
                  <c:v>10549.706469000004</c:v>
                </c:pt>
                <c:pt idx="17">
                  <c:v>10711.628860000004</c:v>
                </c:pt>
                <c:pt idx="18">
                  <c:v>10683.019799000005</c:v>
                </c:pt>
                <c:pt idx="19">
                  <c:v>10516.318862000004</c:v>
                </c:pt>
                <c:pt idx="20">
                  <c:v>9039.4395820000027</c:v>
                </c:pt>
                <c:pt idx="21">
                  <c:v>8600.8480189999991</c:v>
                </c:pt>
                <c:pt idx="22">
                  <c:v>7789.8066620000054</c:v>
                </c:pt>
                <c:pt idx="23">
                  <c:v>7161.5307230000035</c:v>
                </c:pt>
                <c:pt idx="24">
                  <c:v>6289.532911000003</c:v>
                </c:pt>
                <c:pt idx="25">
                  <c:v>2939.5069089999997</c:v>
                </c:pt>
                <c:pt idx="26">
                  <c:v>0</c:v>
                </c:pt>
              </c:numCache>
            </c:numRef>
          </c:val>
          <c:smooth val="0"/>
        </c:ser>
        <c:dLbls>
          <c:showLegendKey val="0"/>
          <c:showVal val="0"/>
          <c:showCatName val="0"/>
          <c:showSerName val="0"/>
          <c:showPercent val="0"/>
          <c:showBubbleSize val="0"/>
        </c:dLbls>
        <c:marker val="1"/>
        <c:smooth val="0"/>
        <c:axId val="398149120"/>
        <c:axId val="398150656"/>
      </c:lineChart>
      <c:catAx>
        <c:axId val="398149120"/>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150656"/>
        <c:crosses val="autoZero"/>
        <c:auto val="1"/>
        <c:lblAlgn val="ctr"/>
        <c:lblOffset val="100"/>
        <c:noMultiLvlLbl val="0"/>
      </c:catAx>
      <c:valAx>
        <c:axId val="398150656"/>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3.3813487483372101E-3"/>
              <c:y val="0.38443485452308535"/>
            </c:manualLayout>
          </c:layout>
          <c:overlay val="0"/>
        </c:title>
        <c:numFmt formatCode="_-* #,##0_-;\-* #,##0_-;_-* &quot;-&quot;??_-;_-@_-" sourceLinked="1"/>
        <c:majorTickMark val="out"/>
        <c:minorTickMark val="none"/>
        <c:tickLblPos val="nextTo"/>
        <c:txPr>
          <a:bodyPr/>
          <a:lstStyle/>
          <a:p>
            <a:pPr>
              <a:defRPr sz="900" b="0"/>
            </a:pPr>
            <a:endParaRPr lang="en-US"/>
          </a:p>
        </c:txPr>
        <c:crossAx val="398149120"/>
        <c:crosses val="autoZero"/>
        <c:crossBetween val="between"/>
        <c:majorUnit val="2500"/>
      </c:valAx>
    </c:plotArea>
    <c:legend>
      <c:legendPos val="r"/>
      <c:layout>
        <c:manualLayout>
          <c:xMode val="edge"/>
          <c:yMode val="edge"/>
          <c:x val="0.86866334539840262"/>
          <c:y val="0.16904271403005003"/>
          <c:w val="9.8040241502045544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HV</a:t>
            </a:r>
          </a:p>
        </c:rich>
      </c:tx>
      <c:overlay val="1"/>
    </c:title>
    <c:autoTitleDeleted val="0"/>
    <c:plotArea>
      <c:layout>
        <c:manualLayout>
          <c:layoutTarget val="inner"/>
          <c:xMode val="edge"/>
          <c:yMode val="edge"/>
          <c:x val="0.10886830013057665"/>
          <c:y val="0.14200745951359253"/>
          <c:w val="0.86937423465443409"/>
          <c:h val="0.60326845843033061"/>
        </c:manualLayout>
      </c:layout>
      <c:barChart>
        <c:barDir val="col"/>
        <c:grouping val="clustered"/>
        <c:varyColors val="0"/>
        <c:ser>
          <c:idx val="1"/>
          <c:order val="0"/>
          <c:tx>
            <c:strRef>
              <c:f>ESC23_2020!$C$2</c:f>
              <c:strCache>
                <c:ptCount val="1"/>
                <c:pt idx="0">
                  <c:v>Sube</c:v>
                </c:pt>
              </c:strCache>
            </c:strRef>
          </c:tx>
          <c:invertIfNegative val="0"/>
          <c:cat>
            <c:strRef>
              <c:f>ESC23_2020!$B$85:$B$111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ESC23_2020!$C$85:$C$111</c:f>
              <c:numCache>
                <c:formatCode>_-* #,##0_-;\-* #,##0_-;_-* "-"??_-;_-@_-</c:formatCode>
                <c:ptCount val="27"/>
                <c:pt idx="0">
                  <c:v>2095.3174620000132</c:v>
                </c:pt>
                <c:pt idx="1">
                  <c:v>1797.636352</c:v>
                </c:pt>
                <c:pt idx="2">
                  <c:v>553.73360200000002</c:v>
                </c:pt>
                <c:pt idx="3">
                  <c:v>262.31616899999869</c:v>
                </c:pt>
                <c:pt idx="4">
                  <c:v>1036.7882709999999</c:v>
                </c:pt>
                <c:pt idx="5">
                  <c:v>704.60103200000003</c:v>
                </c:pt>
                <c:pt idx="6">
                  <c:v>2060.0555520000198</c:v>
                </c:pt>
                <c:pt idx="7">
                  <c:v>668.48419100000001</c:v>
                </c:pt>
                <c:pt idx="8">
                  <c:v>205.77985999999902</c:v>
                </c:pt>
                <c:pt idx="9">
                  <c:v>290.08099600000003</c:v>
                </c:pt>
                <c:pt idx="10">
                  <c:v>295.80197899999899</c:v>
                </c:pt>
                <c:pt idx="11">
                  <c:v>4847.8556100000014</c:v>
                </c:pt>
                <c:pt idx="12">
                  <c:v>52.870520000000006</c:v>
                </c:pt>
                <c:pt idx="13">
                  <c:v>117.58421900000052</c:v>
                </c:pt>
                <c:pt idx="14">
                  <c:v>345.71976100000001</c:v>
                </c:pt>
                <c:pt idx="15">
                  <c:v>284.94764800000002</c:v>
                </c:pt>
                <c:pt idx="16">
                  <c:v>12.768790000000001</c:v>
                </c:pt>
                <c:pt idx="17">
                  <c:v>0</c:v>
                </c:pt>
                <c:pt idx="18">
                  <c:v>0.45264000000000004</c:v>
                </c:pt>
                <c:pt idx="19">
                  <c:v>14.415050000000004</c:v>
                </c:pt>
                <c:pt idx="20">
                  <c:v>14.246859999999998</c:v>
                </c:pt>
                <c:pt idx="21">
                  <c:v>0</c:v>
                </c:pt>
                <c:pt idx="22">
                  <c:v>34.691360000000003</c:v>
                </c:pt>
                <c:pt idx="23">
                  <c:v>0</c:v>
                </c:pt>
                <c:pt idx="24">
                  <c:v>0</c:v>
                </c:pt>
                <c:pt idx="25">
                  <c:v>0</c:v>
                </c:pt>
                <c:pt idx="26">
                  <c:v>0</c:v>
                </c:pt>
              </c:numCache>
            </c:numRef>
          </c:val>
        </c:ser>
        <c:ser>
          <c:idx val="2"/>
          <c:order val="1"/>
          <c:tx>
            <c:strRef>
              <c:f>ESC23_2020!$D$2</c:f>
              <c:strCache>
                <c:ptCount val="1"/>
                <c:pt idx="0">
                  <c:v>Baja</c:v>
                </c:pt>
              </c:strCache>
            </c:strRef>
          </c:tx>
          <c:invertIfNegative val="0"/>
          <c:cat>
            <c:strRef>
              <c:f>ESC23_2020!$B$85:$B$111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ESC23_2020!$D$85:$D$111</c:f>
              <c:numCache>
                <c:formatCode>_-* #,##0_-;\-* #,##0_-;_-* "-"??_-;_-@_-</c:formatCode>
                <c:ptCount val="27"/>
                <c:pt idx="0">
                  <c:v>0</c:v>
                </c:pt>
                <c:pt idx="1">
                  <c:v>0</c:v>
                </c:pt>
                <c:pt idx="2">
                  <c:v>67.820139999999981</c:v>
                </c:pt>
                <c:pt idx="3">
                  <c:v>214.36308099999999</c:v>
                </c:pt>
                <c:pt idx="4">
                  <c:v>103.048551</c:v>
                </c:pt>
                <c:pt idx="5">
                  <c:v>120.826926</c:v>
                </c:pt>
                <c:pt idx="6">
                  <c:v>191.21937199999917</c:v>
                </c:pt>
                <c:pt idx="7">
                  <c:v>103.64678199999985</c:v>
                </c:pt>
                <c:pt idx="8">
                  <c:v>158.24684499999998</c:v>
                </c:pt>
                <c:pt idx="9">
                  <c:v>420.35790500000002</c:v>
                </c:pt>
                <c:pt idx="10">
                  <c:v>118.042749</c:v>
                </c:pt>
                <c:pt idx="11">
                  <c:v>2943.0951310000146</c:v>
                </c:pt>
                <c:pt idx="12">
                  <c:v>262.04861099999999</c:v>
                </c:pt>
                <c:pt idx="13">
                  <c:v>553.82032799999797</c:v>
                </c:pt>
                <c:pt idx="14">
                  <c:v>674.44940699999938</c:v>
                </c:pt>
                <c:pt idx="15">
                  <c:v>227.04516999999998</c:v>
                </c:pt>
                <c:pt idx="16">
                  <c:v>437.87877399999923</c:v>
                </c:pt>
                <c:pt idx="17">
                  <c:v>298.86183299999999</c:v>
                </c:pt>
                <c:pt idx="18">
                  <c:v>344.57574399999999</c:v>
                </c:pt>
                <c:pt idx="19">
                  <c:v>836.19446800000003</c:v>
                </c:pt>
                <c:pt idx="20">
                  <c:v>1695.7252820000001</c:v>
                </c:pt>
                <c:pt idx="21">
                  <c:v>28.641705000000005</c:v>
                </c:pt>
                <c:pt idx="22">
                  <c:v>2587.4180879999999</c:v>
                </c:pt>
                <c:pt idx="23">
                  <c:v>739.53639599999997</c:v>
                </c:pt>
                <c:pt idx="24">
                  <c:v>1389.1453590000001</c:v>
                </c:pt>
                <c:pt idx="25">
                  <c:v>761.82250399999748</c:v>
                </c:pt>
                <c:pt idx="26">
                  <c:v>418.31677299999899</c:v>
                </c:pt>
              </c:numCache>
            </c:numRef>
          </c:val>
        </c:ser>
        <c:dLbls>
          <c:showLegendKey val="0"/>
          <c:showVal val="0"/>
          <c:showCatName val="0"/>
          <c:showSerName val="0"/>
          <c:showPercent val="0"/>
          <c:showBubbleSize val="0"/>
        </c:dLbls>
        <c:gapWidth val="150"/>
        <c:axId val="398202368"/>
        <c:axId val="398203904"/>
      </c:barChart>
      <c:lineChart>
        <c:grouping val="standard"/>
        <c:varyColors val="0"/>
        <c:ser>
          <c:idx val="0"/>
          <c:order val="2"/>
          <c:tx>
            <c:strRef>
              <c:f>ESC23_2020!$E$2</c:f>
              <c:strCache>
                <c:ptCount val="1"/>
                <c:pt idx="0">
                  <c:v>Carga</c:v>
                </c:pt>
              </c:strCache>
            </c:strRef>
          </c:tx>
          <c:marker>
            <c:symbol val="none"/>
          </c:marker>
          <c:cat>
            <c:strRef>
              <c:f>ESC23_2020!$B$85:$B$111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ESC23_2020!$E$85:$E$111</c:f>
              <c:numCache>
                <c:formatCode>_-* #,##0_-;\-* #,##0_-;_-* "-"??_-;_-@_-</c:formatCode>
                <c:ptCount val="27"/>
                <c:pt idx="0">
                  <c:v>2095.3174620000132</c:v>
                </c:pt>
                <c:pt idx="1">
                  <c:v>3892.9538140000022</c:v>
                </c:pt>
                <c:pt idx="2">
                  <c:v>4378.8672760000054</c:v>
                </c:pt>
                <c:pt idx="3">
                  <c:v>4426.8203640000283</c:v>
                </c:pt>
                <c:pt idx="4">
                  <c:v>5360.5600840000034</c:v>
                </c:pt>
                <c:pt idx="5">
                  <c:v>5944.3341900000005</c:v>
                </c:pt>
                <c:pt idx="6">
                  <c:v>7813.1703700000007</c:v>
                </c:pt>
                <c:pt idx="7">
                  <c:v>8378.0077789999996</c:v>
                </c:pt>
                <c:pt idx="8">
                  <c:v>8425.5407940000005</c:v>
                </c:pt>
                <c:pt idx="9">
                  <c:v>8295.2638850000003</c:v>
                </c:pt>
                <c:pt idx="10">
                  <c:v>8473.023115</c:v>
                </c:pt>
                <c:pt idx="11">
                  <c:v>10377.783593999999</c:v>
                </c:pt>
                <c:pt idx="12">
                  <c:v>10168.605502999999</c:v>
                </c:pt>
                <c:pt idx="13">
                  <c:v>9732.3693939999011</c:v>
                </c:pt>
                <c:pt idx="14">
                  <c:v>9403.6397480000651</c:v>
                </c:pt>
                <c:pt idx="15">
                  <c:v>9461.5422259999996</c:v>
                </c:pt>
                <c:pt idx="16">
                  <c:v>9036.4322420000517</c:v>
                </c:pt>
                <c:pt idx="17">
                  <c:v>8737.5704089999981</c:v>
                </c:pt>
                <c:pt idx="18">
                  <c:v>8393.447304999987</c:v>
                </c:pt>
                <c:pt idx="19">
                  <c:v>7571.6678870000005</c:v>
                </c:pt>
                <c:pt idx="20">
                  <c:v>5890.1894650000013</c:v>
                </c:pt>
                <c:pt idx="21">
                  <c:v>5861.5477599999977</c:v>
                </c:pt>
                <c:pt idx="22">
                  <c:v>3308.8210319999976</c:v>
                </c:pt>
                <c:pt idx="23">
                  <c:v>2569.2846359999812</c:v>
                </c:pt>
                <c:pt idx="24">
                  <c:v>1180.1392769999948</c:v>
                </c:pt>
                <c:pt idx="25">
                  <c:v>418.31677299999723</c:v>
                </c:pt>
                <c:pt idx="26">
                  <c:v>0</c:v>
                </c:pt>
              </c:numCache>
            </c:numRef>
          </c:val>
          <c:smooth val="0"/>
        </c:ser>
        <c:dLbls>
          <c:showLegendKey val="0"/>
          <c:showVal val="0"/>
          <c:showCatName val="0"/>
          <c:showSerName val="0"/>
          <c:showPercent val="0"/>
          <c:showBubbleSize val="0"/>
        </c:dLbls>
        <c:marker val="1"/>
        <c:smooth val="0"/>
        <c:axId val="398202368"/>
        <c:axId val="398203904"/>
      </c:lineChart>
      <c:catAx>
        <c:axId val="398202368"/>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203904"/>
        <c:crosses val="autoZero"/>
        <c:auto val="1"/>
        <c:lblAlgn val="ctr"/>
        <c:lblOffset val="100"/>
        <c:noMultiLvlLbl val="0"/>
      </c:catAx>
      <c:valAx>
        <c:axId val="398203904"/>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058369781555219E-2"/>
              <c:y val="0.3844349835965295"/>
            </c:manualLayout>
          </c:layout>
          <c:overlay val="0"/>
        </c:title>
        <c:numFmt formatCode="_-* #,##0_-;\-* #,##0_-;_-* &quot;-&quot;??_-;_-@_-" sourceLinked="1"/>
        <c:majorTickMark val="out"/>
        <c:minorTickMark val="none"/>
        <c:tickLblPos val="nextTo"/>
        <c:txPr>
          <a:bodyPr/>
          <a:lstStyle/>
          <a:p>
            <a:pPr>
              <a:defRPr sz="900" b="0"/>
            </a:pPr>
            <a:endParaRPr lang="en-US"/>
          </a:p>
        </c:txPr>
        <c:crossAx val="398202368"/>
        <c:crosses val="autoZero"/>
        <c:crossBetween val="between"/>
        <c:majorUnit val="2500"/>
      </c:valAx>
    </c:plotArea>
    <c:legend>
      <c:legendPos val="r"/>
      <c:layout>
        <c:manualLayout>
          <c:xMode val="edge"/>
          <c:yMode val="edge"/>
          <c:x val="0.8685640149619932"/>
          <c:y val="0.16904271403005003"/>
          <c:w val="9.8139477331637248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49810830033205"/>
          <c:y val="0.16628203563170374"/>
          <c:w val="0.7188367835634657"/>
          <c:h val="0.65045749489647164"/>
        </c:manualLayout>
      </c:layout>
      <c:lineChart>
        <c:grouping val="standard"/>
        <c:varyColors val="0"/>
        <c:ser>
          <c:idx val="0"/>
          <c:order val="0"/>
          <c:tx>
            <c:strRef>
              <c:f>Resumen!$A$78</c:f>
              <c:strCache>
                <c:ptCount val="1"/>
                <c:pt idx="0">
                  <c:v>Tasa de motorizaciòn [veh/1000 hab]</c:v>
                </c:pt>
              </c:strCache>
            </c:strRef>
          </c:tx>
          <c:spPr>
            <a:ln w="38100"/>
          </c:spPr>
          <c:marker>
            <c:symbol val="none"/>
          </c:marker>
          <c:cat>
            <c:numRef>
              <c:f>Resumen!$C$75:$M$75</c:f>
              <c:numCache>
                <c:formatCode>General</c:formatCode>
                <c:ptCount val="11"/>
                <c:pt idx="0">
                  <c:v>2002</c:v>
                </c:pt>
                <c:pt idx="1">
                  <c:v>2003</c:v>
                </c:pt>
                <c:pt idx="2">
                  <c:v>2004</c:v>
                </c:pt>
                <c:pt idx="3">
                  <c:v>2005</c:v>
                </c:pt>
                <c:pt idx="4">
                  <c:v>2006</c:v>
                </c:pt>
                <c:pt idx="5">
                  <c:v>2007</c:v>
                </c:pt>
                <c:pt idx="6">
                  <c:v>2008</c:v>
                </c:pt>
                <c:pt idx="7">
                  <c:v>2009</c:v>
                </c:pt>
                <c:pt idx="8">
                  <c:v>2010</c:v>
                </c:pt>
                <c:pt idx="9">
                  <c:v>2011</c:v>
                </c:pt>
                <c:pt idx="10">
                  <c:v>2012</c:v>
                </c:pt>
              </c:numCache>
            </c:numRef>
          </c:cat>
          <c:val>
            <c:numRef>
              <c:f>Resumen!$C$78:$M$78</c:f>
              <c:numCache>
                <c:formatCode>0.00</c:formatCode>
                <c:ptCount val="11"/>
                <c:pt idx="0">
                  <c:v>102.91236326209822</c:v>
                </c:pt>
                <c:pt idx="1">
                  <c:v>103.77379419156235</c:v>
                </c:pt>
                <c:pt idx="2">
                  <c:v>103.84194882632308</c:v>
                </c:pt>
                <c:pt idx="3">
                  <c:v>104.31927373367252</c:v>
                </c:pt>
                <c:pt idx="4">
                  <c:v>105.80792926253822</c:v>
                </c:pt>
                <c:pt idx="5">
                  <c:v>109.30244691992255</c:v>
                </c:pt>
                <c:pt idx="6">
                  <c:v>116.63402428835992</c:v>
                </c:pt>
                <c:pt idx="7">
                  <c:v>122.63116740472606</c:v>
                </c:pt>
                <c:pt idx="8">
                  <c:v>130.49158201228246</c:v>
                </c:pt>
                <c:pt idx="9">
                  <c:v>138.37955035088933</c:v>
                </c:pt>
                <c:pt idx="10">
                  <c:v>140.60473505079321</c:v>
                </c:pt>
              </c:numCache>
            </c:numRef>
          </c:val>
          <c:smooth val="1"/>
        </c:ser>
        <c:dLbls>
          <c:showLegendKey val="0"/>
          <c:showVal val="0"/>
          <c:showCatName val="0"/>
          <c:showSerName val="0"/>
          <c:showPercent val="0"/>
          <c:showBubbleSize val="0"/>
        </c:dLbls>
        <c:marker val="1"/>
        <c:smooth val="0"/>
        <c:axId val="214980480"/>
        <c:axId val="214982656"/>
      </c:lineChart>
      <c:catAx>
        <c:axId val="214980480"/>
        <c:scaling>
          <c:orientation val="minMax"/>
        </c:scaling>
        <c:delete val="0"/>
        <c:axPos val="b"/>
        <c:title>
          <c:tx>
            <c:rich>
              <a:bodyPr/>
              <a:lstStyle/>
              <a:p>
                <a:pPr>
                  <a:defRPr lang="es-MX" sz="1000"/>
                </a:pPr>
                <a:r>
                  <a:rPr lang="it-IT" sz="1000" b="1" i="0" baseline="0"/>
                  <a:t>año</a:t>
                </a:r>
              </a:p>
            </c:rich>
          </c:tx>
          <c:overlay val="0"/>
        </c:title>
        <c:numFmt formatCode="General" sourceLinked="1"/>
        <c:majorTickMark val="out"/>
        <c:minorTickMark val="none"/>
        <c:tickLblPos val="nextTo"/>
        <c:txPr>
          <a:bodyPr/>
          <a:lstStyle/>
          <a:p>
            <a:pPr>
              <a:defRPr lang="es-MX"/>
            </a:pPr>
            <a:endParaRPr lang="en-US"/>
          </a:p>
        </c:txPr>
        <c:crossAx val="214982656"/>
        <c:crosses val="autoZero"/>
        <c:auto val="1"/>
        <c:lblAlgn val="ctr"/>
        <c:lblOffset val="100"/>
        <c:noMultiLvlLbl val="0"/>
      </c:catAx>
      <c:valAx>
        <c:axId val="214982656"/>
        <c:scaling>
          <c:orientation val="minMax"/>
          <c:max val="160"/>
          <c:min val="40"/>
        </c:scaling>
        <c:delete val="0"/>
        <c:axPos val="l"/>
        <c:majorGridlines/>
        <c:title>
          <c:tx>
            <c:rich>
              <a:bodyPr rot="0" vert="horz"/>
              <a:lstStyle/>
              <a:p>
                <a:pPr algn="l">
                  <a:defRPr lang="es-MX"/>
                </a:pPr>
                <a:r>
                  <a:rPr lang="it-IT"/>
                  <a:t>n° de vehiculos/ 1000 habitantes</a:t>
                </a:r>
              </a:p>
            </c:rich>
          </c:tx>
          <c:layout>
            <c:manualLayout>
              <c:xMode val="edge"/>
              <c:yMode val="edge"/>
              <c:x val="3.4437041523657595E-3"/>
              <c:y val="3.9636590505965612E-3"/>
            </c:manualLayout>
          </c:layout>
          <c:overlay val="0"/>
        </c:title>
        <c:numFmt formatCode="0.00" sourceLinked="1"/>
        <c:majorTickMark val="out"/>
        <c:minorTickMark val="none"/>
        <c:tickLblPos val="nextTo"/>
        <c:txPr>
          <a:bodyPr/>
          <a:lstStyle/>
          <a:p>
            <a:pPr>
              <a:defRPr lang="es-MX"/>
            </a:pPr>
            <a:endParaRPr lang="en-US"/>
          </a:p>
        </c:txPr>
        <c:crossAx val="214980480"/>
        <c:crosses val="autoZero"/>
        <c:crossBetween val="between"/>
      </c:valAx>
    </c:plotArea>
    <c:legend>
      <c:legendPos val="r"/>
      <c:layout>
        <c:manualLayout>
          <c:xMode val="edge"/>
          <c:yMode val="edge"/>
          <c:x val="0.78395097993830409"/>
          <c:y val="0.54583462848150488"/>
          <c:w val="0.19698893597680694"/>
          <c:h val="0.24467621166539791"/>
        </c:manualLayout>
      </c:layout>
      <c:overlay val="0"/>
      <c:spPr>
        <a:solidFill>
          <a:schemeClr val="bg1"/>
        </a:solidFill>
      </c:spPr>
      <c:txPr>
        <a:bodyPr/>
        <a:lstStyle/>
        <a:p>
          <a:pPr>
            <a:defRPr lang="es-MX" b="1"/>
          </a:pPr>
          <a:endParaRPr lang="en-US"/>
        </a:p>
      </c:txPr>
    </c:legend>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HV</a:t>
            </a:r>
          </a:p>
        </c:rich>
      </c:tx>
      <c:overlay val="1"/>
    </c:title>
    <c:autoTitleDeleted val="0"/>
    <c:plotArea>
      <c:layout>
        <c:manualLayout>
          <c:layoutTarget val="inner"/>
          <c:xMode val="edge"/>
          <c:yMode val="edge"/>
          <c:x val="0.10579555964263261"/>
          <c:y val="0.14200745951359256"/>
          <c:w val="0.87244701938751323"/>
          <c:h val="0.60346719199632892"/>
        </c:manualLayout>
      </c:layout>
      <c:barChart>
        <c:barDir val="col"/>
        <c:grouping val="clustered"/>
        <c:varyColors val="0"/>
        <c:ser>
          <c:idx val="1"/>
          <c:order val="0"/>
          <c:tx>
            <c:strRef>
              <c:f>ESC23_2020!$I$2</c:f>
              <c:strCache>
                <c:ptCount val="1"/>
                <c:pt idx="0">
                  <c:v>Sube</c:v>
                </c:pt>
              </c:strCache>
            </c:strRef>
          </c:tx>
          <c:invertIfNegative val="0"/>
          <c:cat>
            <c:strRef>
              <c:f>ESC23_2020!$H$93:$H$119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ESC23_2020!$I$93:$I$119</c:f>
              <c:numCache>
                <c:formatCode>_-* #,##0_-;\-* #,##0_-;_-* "-"??_-;_-@_-</c:formatCode>
                <c:ptCount val="27"/>
                <c:pt idx="0">
                  <c:v>531.51957500000003</c:v>
                </c:pt>
                <c:pt idx="1">
                  <c:v>328.48854499999823</c:v>
                </c:pt>
                <c:pt idx="2">
                  <c:v>1080.901235</c:v>
                </c:pt>
                <c:pt idx="3">
                  <c:v>238.97658099999998</c:v>
                </c:pt>
                <c:pt idx="4">
                  <c:v>2364.6587960000002</c:v>
                </c:pt>
                <c:pt idx="5">
                  <c:v>29.094750000000001</c:v>
                </c:pt>
                <c:pt idx="6">
                  <c:v>1585.5108690000011</c:v>
                </c:pt>
                <c:pt idx="7">
                  <c:v>562.13922299999797</c:v>
                </c:pt>
                <c:pt idx="8">
                  <c:v>292.43288999999999</c:v>
                </c:pt>
                <c:pt idx="9">
                  <c:v>254.31140000000067</c:v>
                </c:pt>
                <c:pt idx="10">
                  <c:v>418.75455899999969</c:v>
                </c:pt>
                <c:pt idx="11">
                  <c:v>227.494879</c:v>
                </c:pt>
                <c:pt idx="12">
                  <c:v>972.04930400000001</c:v>
                </c:pt>
                <c:pt idx="13">
                  <c:v>330.02315899999746</c:v>
                </c:pt>
                <c:pt idx="14">
                  <c:v>221.29314600000001</c:v>
                </c:pt>
                <c:pt idx="15">
                  <c:v>2090.5969439999999</c:v>
                </c:pt>
                <c:pt idx="16">
                  <c:v>101.149455</c:v>
                </c:pt>
                <c:pt idx="17">
                  <c:v>265.29146999999864</c:v>
                </c:pt>
                <c:pt idx="18">
                  <c:v>137.98537000000007</c:v>
                </c:pt>
                <c:pt idx="19">
                  <c:v>167.49889900000082</c:v>
                </c:pt>
                <c:pt idx="20">
                  <c:v>193.52361099999999</c:v>
                </c:pt>
                <c:pt idx="21">
                  <c:v>125.76454099999999</c:v>
                </c:pt>
                <c:pt idx="22">
                  <c:v>129.30609100000001</c:v>
                </c:pt>
                <c:pt idx="23">
                  <c:v>109.39337999999998</c:v>
                </c:pt>
                <c:pt idx="24">
                  <c:v>23.97784</c:v>
                </c:pt>
                <c:pt idx="25">
                  <c:v>0</c:v>
                </c:pt>
                <c:pt idx="26">
                  <c:v>0</c:v>
                </c:pt>
              </c:numCache>
            </c:numRef>
          </c:val>
        </c:ser>
        <c:ser>
          <c:idx val="2"/>
          <c:order val="1"/>
          <c:tx>
            <c:strRef>
              <c:f>ESC23_2020!$D$2</c:f>
              <c:strCache>
                <c:ptCount val="1"/>
                <c:pt idx="0">
                  <c:v>Baja</c:v>
                </c:pt>
              </c:strCache>
            </c:strRef>
          </c:tx>
          <c:invertIfNegative val="0"/>
          <c:cat>
            <c:strRef>
              <c:f>ESC23_2020!$H$93:$H$119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ESC23_2020!$J$93:$J$119</c:f>
              <c:numCache>
                <c:formatCode>_-* #,##0_-;\-* #,##0_-;_-* "-"??_-;_-@_-</c:formatCode>
                <c:ptCount val="27"/>
                <c:pt idx="0">
                  <c:v>0</c:v>
                </c:pt>
                <c:pt idx="1">
                  <c:v>0</c:v>
                </c:pt>
                <c:pt idx="2">
                  <c:v>0</c:v>
                </c:pt>
                <c:pt idx="3">
                  <c:v>0</c:v>
                </c:pt>
                <c:pt idx="4">
                  <c:v>46.792899000000013</c:v>
                </c:pt>
                <c:pt idx="5">
                  <c:v>0</c:v>
                </c:pt>
                <c:pt idx="6">
                  <c:v>1.6811700000000001</c:v>
                </c:pt>
                <c:pt idx="7">
                  <c:v>23.601965000000199</c:v>
                </c:pt>
                <c:pt idx="8">
                  <c:v>1.1965300000000001</c:v>
                </c:pt>
                <c:pt idx="9">
                  <c:v>0.68447000000000002</c:v>
                </c:pt>
                <c:pt idx="10">
                  <c:v>11.82212</c:v>
                </c:pt>
                <c:pt idx="11">
                  <c:v>60.083448999999995</c:v>
                </c:pt>
                <c:pt idx="12">
                  <c:v>96.062770999999557</c:v>
                </c:pt>
                <c:pt idx="13">
                  <c:v>222.40786700000001</c:v>
                </c:pt>
                <c:pt idx="14">
                  <c:v>35.062279000000011</c:v>
                </c:pt>
                <c:pt idx="15">
                  <c:v>4415.7514380000002</c:v>
                </c:pt>
                <c:pt idx="16">
                  <c:v>201.68509599999999</c:v>
                </c:pt>
                <c:pt idx="17">
                  <c:v>333.43818499999765</c:v>
                </c:pt>
                <c:pt idx="18">
                  <c:v>194.611345</c:v>
                </c:pt>
                <c:pt idx="19">
                  <c:v>231.85768000000004</c:v>
                </c:pt>
                <c:pt idx="20">
                  <c:v>1458.0379029999999</c:v>
                </c:pt>
                <c:pt idx="21">
                  <c:v>454.33021499999899</c:v>
                </c:pt>
                <c:pt idx="22">
                  <c:v>988.60499600000003</c:v>
                </c:pt>
                <c:pt idx="23">
                  <c:v>669.95304199999998</c:v>
                </c:pt>
                <c:pt idx="24">
                  <c:v>669.06325899999797</c:v>
                </c:pt>
                <c:pt idx="25">
                  <c:v>1423.1206500000001</c:v>
                </c:pt>
                <c:pt idx="26">
                  <c:v>1242.287182</c:v>
                </c:pt>
              </c:numCache>
            </c:numRef>
          </c:val>
        </c:ser>
        <c:dLbls>
          <c:showLegendKey val="0"/>
          <c:showVal val="0"/>
          <c:showCatName val="0"/>
          <c:showSerName val="0"/>
          <c:showPercent val="0"/>
          <c:showBubbleSize val="0"/>
        </c:dLbls>
        <c:gapWidth val="150"/>
        <c:axId val="398255616"/>
        <c:axId val="398257152"/>
      </c:barChart>
      <c:lineChart>
        <c:grouping val="standard"/>
        <c:varyColors val="0"/>
        <c:ser>
          <c:idx val="0"/>
          <c:order val="2"/>
          <c:tx>
            <c:strRef>
              <c:f>ESC23_2020!$E$2</c:f>
              <c:strCache>
                <c:ptCount val="1"/>
                <c:pt idx="0">
                  <c:v>Carga</c:v>
                </c:pt>
              </c:strCache>
            </c:strRef>
          </c:tx>
          <c:marker>
            <c:symbol val="none"/>
          </c:marker>
          <c:cat>
            <c:strRef>
              <c:f>ESC23_2020!$H$93:$H$119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ESC23_2020!$K$93:$K$119</c:f>
              <c:numCache>
                <c:formatCode>_-* #,##0_-;\-* #,##0_-;_-* "-"??_-;_-@_-</c:formatCode>
                <c:ptCount val="27"/>
                <c:pt idx="0">
                  <c:v>531.51957500000003</c:v>
                </c:pt>
                <c:pt idx="1">
                  <c:v>860.00811999999996</c:v>
                </c:pt>
                <c:pt idx="2">
                  <c:v>1940.9093550000011</c:v>
                </c:pt>
                <c:pt idx="3">
                  <c:v>2179.885936000016</c:v>
                </c:pt>
                <c:pt idx="4">
                  <c:v>4497.7518330000003</c:v>
                </c:pt>
                <c:pt idx="5">
                  <c:v>4526.8465830000014</c:v>
                </c:pt>
                <c:pt idx="6">
                  <c:v>6110.6762820000004</c:v>
                </c:pt>
                <c:pt idx="7">
                  <c:v>6649.2135400000006</c:v>
                </c:pt>
                <c:pt idx="8">
                  <c:v>6940.4499000000005</c:v>
                </c:pt>
                <c:pt idx="9">
                  <c:v>7194.07683</c:v>
                </c:pt>
                <c:pt idx="10">
                  <c:v>7601.0092690000292</c:v>
                </c:pt>
                <c:pt idx="11">
                  <c:v>7768.4206990000293</c:v>
                </c:pt>
                <c:pt idx="12">
                  <c:v>8644.407231999985</c:v>
                </c:pt>
                <c:pt idx="13">
                  <c:v>8752.022524</c:v>
                </c:pt>
                <c:pt idx="14">
                  <c:v>8938.2533910000002</c:v>
                </c:pt>
                <c:pt idx="15">
                  <c:v>6613.0988969999989</c:v>
                </c:pt>
                <c:pt idx="16">
                  <c:v>6512.5632560000004</c:v>
                </c:pt>
                <c:pt idx="17">
                  <c:v>6444.4165410000014</c:v>
                </c:pt>
                <c:pt idx="18">
                  <c:v>6387.7905660000024</c:v>
                </c:pt>
                <c:pt idx="19">
                  <c:v>6323.4317849999989</c:v>
                </c:pt>
                <c:pt idx="20">
                  <c:v>5058.917492999999</c:v>
                </c:pt>
                <c:pt idx="21">
                  <c:v>4730.3518190000004</c:v>
                </c:pt>
                <c:pt idx="22">
                  <c:v>3871.0529140000012</c:v>
                </c:pt>
                <c:pt idx="23">
                  <c:v>3310.4932520000166</c:v>
                </c:pt>
                <c:pt idx="24">
                  <c:v>2665.4078330000002</c:v>
                </c:pt>
                <c:pt idx="25">
                  <c:v>1242.2871829999988</c:v>
                </c:pt>
                <c:pt idx="26">
                  <c:v>0</c:v>
                </c:pt>
              </c:numCache>
            </c:numRef>
          </c:val>
          <c:smooth val="0"/>
        </c:ser>
        <c:dLbls>
          <c:showLegendKey val="0"/>
          <c:showVal val="0"/>
          <c:showCatName val="0"/>
          <c:showSerName val="0"/>
          <c:showPercent val="0"/>
          <c:showBubbleSize val="0"/>
        </c:dLbls>
        <c:marker val="1"/>
        <c:smooth val="0"/>
        <c:axId val="398255616"/>
        <c:axId val="398257152"/>
      </c:lineChart>
      <c:catAx>
        <c:axId val="398255616"/>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398257152"/>
        <c:crosses val="autoZero"/>
        <c:auto val="1"/>
        <c:lblAlgn val="ctr"/>
        <c:lblOffset val="100"/>
        <c:noMultiLvlLbl val="0"/>
      </c:catAx>
      <c:valAx>
        <c:axId val="398257152"/>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3.3512243924448018E-3"/>
              <c:y val="0.38443496292410129"/>
            </c:manualLayout>
          </c:layout>
          <c:overlay val="0"/>
        </c:title>
        <c:numFmt formatCode="_-* #,##0_-;\-* #,##0_-;_-* &quot;-&quot;??_-;_-@_-" sourceLinked="1"/>
        <c:majorTickMark val="out"/>
        <c:minorTickMark val="none"/>
        <c:tickLblPos val="nextTo"/>
        <c:txPr>
          <a:bodyPr/>
          <a:lstStyle/>
          <a:p>
            <a:pPr>
              <a:defRPr sz="900" b="0"/>
            </a:pPr>
            <a:endParaRPr lang="en-US"/>
          </a:p>
        </c:txPr>
        <c:crossAx val="398255616"/>
        <c:crosses val="autoZero"/>
        <c:crossBetween val="between"/>
        <c:majorUnit val="2500"/>
      </c:valAx>
    </c:plotArea>
    <c:legend>
      <c:legendPos val="r"/>
      <c:layout>
        <c:manualLayout>
          <c:xMode val="edge"/>
          <c:yMode val="edge"/>
          <c:x val="0.87165194537756663"/>
          <c:y val="0.15875959690178573"/>
          <c:w val="9.5051594286663751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HPM</a:t>
            </a:r>
          </a:p>
        </c:rich>
      </c:tx>
      <c:overlay val="1"/>
    </c:title>
    <c:autoTitleDeleted val="0"/>
    <c:plotArea>
      <c:layout>
        <c:manualLayout>
          <c:layoutTarget val="inner"/>
          <c:xMode val="edge"/>
          <c:yMode val="edge"/>
          <c:x val="0.10579555964263261"/>
          <c:y val="0.14200745951359253"/>
          <c:w val="0.87244701938751323"/>
          <c:h val="0.59281049483026382"/>
        </c:manualLayout>
      </c:layout>
      <c:barChart>
        <c:barDir val="col"/>
        <c:grouping val="clustered"/>
        <c:varyColors val="0"/>
        <c:ser>
          <c:idx val="1"/>
          <c:order val="0"/>
          <c:tx>
            <c:strRef>
              <c:f>ESC33_2030!$C$2</c:f>
              <c:strCache>
                <c:ptCount val="1"/>
                <c:pt idx="0">
                  <c:v>Sube</c:v>
                </c:pt>
              </c:strCache>
            </c:strRef>
          </c:tx>
          <c:invertIfNegative val="0"/>
          <c:cat>
            <c:strRef>
              <c:f>ESC33_2030!$B$3:$B$29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ESC33_2030!$C$3:$C$29</c:f>
              <c:numCache>
                <c:formatCode>_-* #,##0_-;\-* #,##0_-;_-* "-"??_-;_-@_-</c:formatCode>
                <c:ptCount val="27"/>
                <c:pt idx="0">
                  <c:v>1731.53405</c:v>
                </c:pt>
                <c:pt idx="1">
                  <c:v>5046.1306860000004</c:v>
                </c:pt>
                <c:pt idx="2">
                  <c:v>1278.6014779999998</c:v>
                </c:pt>
                <c:pt idx="3">
                  <c:v>487.17251899999923</c:v>
                </c:pt>
                <c:pt idx="4">
                  <c:v>2193.3170010000022</c:v>
                </c:pt>
                <c:pt idx="5">
                  <c:v>2836.3882159999998</c:v>
                </c:pt>
                <c:pt idx="6">
                  <c:v>4478.6101010000293</c:v>
                </c:pt>
                <c:pt idx="7">
                  <c:v>1797.343163</c:v>
                </c:pt>
                <c:pt idx="8">
                  <c:v>681.476989</c:v>
                </c:pt>
                <c:pt idx="9">
                  <c:v>1467.664571</c:v>
                </c:pt>
                <c:pt idx="10">
                  <c:v>944.58834000000354</c:v>
                </c:pt>
                <c:pt idx="11">
                  <c:v>18874.570557999832</c:v>
                </c:pt>
                <c:pt idx="12">
                  <c:v>273.32705399999969</c:v>
                </c:pt>
                <c:pt idx="13">
                  <c:v>415.23654799999764</c:v>
                </c:pt>
                <c:pt idx="14">
                  <c:v>366.42356199999864</c:v>
                </c:pt>
                <c:pt idx="15">
                  <c:v>431.57270399999999</c:v>
                </c:pt>
                <c:pt idx="16">
                  <c:v>269.24822</c:v>
                </c:pt>
                <c:pt idx="17">
                  <c:v>0</c:v>
                </c:pt>
                <c:pt idx="18">
                  <c:v>4.5250599999999945</c:v>
                </c:pt>
                <c:pt idx="19">
                  <c:v>27.140269</c:v>
                </c:pt>
                <c:pt idx="20">
                  <c:v>4.2770599999999996</c:v>
                </c:pt>
                <c:pt idx="21">
                  <c:v>0</c:v>
                </c:pt>
                <c:pt idx="22">
                  <c:v>330.43597699999788</c:v>
                </c:pt>
                <c:pt idx="23">
                  <c:v>0</c:v>
                </c:pt>
                <c:pt idx="24">
                  <c:v>0</c:v>
                </c:pt>
                <c:pt idx="25">
                  <c:v>0</c:v>
                </c:pt>
                <c:pt idx="26">
                  <c:v>0</c:v>
                </c:pt>
              </c:numCache>
            </c:numRef>
          </c:val>
        </c:ser>
        <c:ser>
          <c:idx val="2"/>
          <c:order val="1"/>
          <c:tx>
            <c:strRef>
              <c:f>ESC33_2030!$D$2</c:f>
              <c:strCache>
                <c:ptCount val="1"/>
                <c:pt idx="0">
                  <c:v>Baja</c:v>
                </c:pt>
              </c:strCache>
            </c:strRef>
          </c:tx>
          <c:invertIfNegative val="0"/>
          <c:cat>
            <c:strRef>
              <c:f>ESC33_2030!$B$3:$B$29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ESC33_2030!$D$3:$D$29</c:f>
              <c:numCache>
                <c:formatCode>_-* #,##0_-;\-* #,##0_-;_-* "-"??_-;_-@_-</c:formatCode>
                <c:ptCount val="27"/>
                <c:pt idx="0">
                  <c:v>0</c:v>
                </c:pt>
                <c:pt idx="1">
                  <c:v>0</c:v>
                </c:pt>
                <c:pt idx="2">
                  <c:v>0</c:v>
                </c:pt>
                <c:pt idx="3">
                  <c:v>221.80403200000001</c:v>
                </c:pt>
                <c:pt idx="4">
                  <c:v>251.77328099999932</c:v>
                </c:pt>
                <c:pt idx="5">
                  <c:v>80.147450000000006</c:v>
                </c:pt>
                <c:pt idx="6">
                  <c:v>344.29414199999923</c:v>
                </c:pt>
                <c:pt idx="7">
                  <c:v>169.77293900000001</c:v>
                </c:pt>
                <c:pt idx="8">
                  <c:v>364.92444399999999</c:v>
                </c:pt>
                <c:pt idx="9">
                  <c:v>846.72519299999999</c:v>
                </c:pt>
                <c:pt idx="10">
                  <c:v>475.92203599999863</c:v>
                </c:pt>
                <c:pt idx="11">
                  <c:v>7378.2541440000014</c:v>
                </c:pt>
                <c:pt idx="12">
                  <c:v>1222.6414019999931</c:v>
                </c:pt>
                <c:pt idx="13">
                  <c:v>1478.6936149999917</c:v>
                </c:pt>
                <c:pt idx="14">
                  <c:v>3465.4535390000146</c:v>
                </c:pt>
                <c:pt idx="15">
                  <c:v>619.05932099999939</c:v>
                </c:pt>
                <c:pt idx="16">
                  <c:v>1162.6908519999999</c:v>
                </c:pt>
                <c:pt idx="17">
                  <c:v>583.71637900000053</c:v>
                </c:pt>
                <c:pt idx="18">
                  <c:v>1967.801608</c:v>
                </c:pt>
                <c:pt idx="19">
                  <c:v>4712.6829930000322</c:v>
                </c:pt>
                <c:pt idx="20">
                  <c:v>5281.3238519999995</c:v>
                </c:pt>
                <c:pt idx="21">
                  <c:v>118.92388099999998</c:v>
                </c:pt>
                <c:pt idx="22">
                  <c:v>4212.1725800000004</c:v>
                </c:pt>
                <c:pt idx="23">
                  <c:v>2025.909208</c:v>
                </c:pt>
                <c:pt idx="24">
                  <c:v>3220.7527449999998</c:v>
                </c:pt>
                <c:pt idx="25">
                  <c:v>3039.7146579999999</c:v>
                </c:pt>
                <c:pt idx="26">
                  <c:v>694.42983400000003</c:v>
                </c:pt>
              </c:numCache>
            </c:numRef>
          </c:val>
        </c:ser>
        <c:dLbls>
          <c:showLegendKey val="0"/>
          <c:showVal val="0"/>
          <c:showCatName val="0"/>
          <c:showSerName val="0"/>
          <c:showPercent val="0"/>
          <c:showBubbleSize val="0"/>
        </c:dLbls>
        <c:gapWidth val="150"/>
        <c:axId val="398296576"/>
        <c:axId val="398298112"/>
      </c:barChart>
      <c:lineChart>
        <c:grouping val="standard"/>
        <c:varyColors val="0"/>
        <c:ser>
          <c:idx val="0"/>
          <c:order val="2"/>
          <c:tx>
            <c:strRef>
              <c:f>ESC33_2030!$E$2</c:f>
              <c:strCache>
                <c:ptCount val="1"/>
                <c:pt idx="0">
                  <c:v>Carga</c:v>
                </c:pt>
              </c:strCache>
            </c:strRef>
          </c:tx>
          <c:marker>
            <c:symbol val="none"/>
          </c:marker>
          <c:cat>
            <c:strRef>
              <c:f>ESC33_2030!$B$3:$B$29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ESC33_2030!$E$3:$E$29</c:f>
              <c:numCache>
                <c:formatCode>_-* #,##0_-;\-* #,##0_-;_-* "-"??_-;_-@_-</c:formatCode>
                <c:ptCount val="27"/>
                <c:pt idx="0">
                  <c:v>1731.53405</c:v>
                </c:pt>
                <c:pt idx="1">
                  <c:v>6777.6647360000024</c:v>
                </c:pt>
                <c:pt idx="2">
                  <c:v>8056.2662140000302</c:v>
                </c:pt>
                <c:pt idx="3">
                  <c:v>8321.6347010000536</c:v>
                </c:pt>
                <c:pt idx="4">
                  <c:v>10263.178421000002</c:v>
                </c:pt>
                <c:pt idx="5">
                  <c:v>13019.419187</c:v>
                </c:pt>
                <c:pt idx="6">
                  <c:v>17153.735145999999</c:v>
                </c:pt>
                <c:pt idx="7">
                  <c:v>18781.305370000002</c:v>
                </c:pt>
                <c:pt idx="8">
                  <c:v>19097.857915000001</c:v>
                </c:pt>
                <c:pt idx="9">
                  <c:v>19718.797293000021</c:v>
                </c:pt>
                <c:pt idx="10">
                  <c:v>20187.463597000005</c:v>
                </c:pt>
                <c:pt idx="11">
                  <c:v>31683.780011000021</c:v>
                </c:pt>
                <c:pt idx="12">
                  <c:v>30734.465663000021</c:v>
                </c:pt>
                <c:pt idx="13">
                  <c:v>29671.008596000003</c:v>
                </c:pt>
                <c:pt idx="14">
                  <c:v>26571.978619000001</c:v>
                </c:pt>
                <c:pt idx="15">
                  <c:v>26384.492001999999</c:v>
                </c:pt>
                <c:pt idx="16">
                  <c:v>25491.049369999873</c:v>
                </c:pt>
                <c:pt idx="17">
                  <c:v>24907.332990999996</c:v>
                </c:pt>
                <c:pt idx="18">
                  <c:v>22944.056442999998</c:v>
                </c:pt>
                <c:pt idx="19">
                  <c:v>18258.513718999897</c:v>
                </c:pt>
                <c:pt idx="20">
                  <c:v>12981.466926999921</c:v>
                </c:pt>
                <c:pt idx="21">
                  <c:v>12862.543046000052</c:v>
                </c:pt>
                <c:pt idx="22">
                  <c:v>8980.8064429999922</c:v>
                </c:pt>
                <c:pt idx="23">
                  <c:v>6954.8972350000004</c:v>
                </c:pt>
                <c:pt idx="24">
                  <c:v>3734.1444899999683</c:v>
                </c:pt>
                <c:pt idx="25">
                  <c:v>694.42983199999253</c:v>
                </c:pt>
                <c:pt idx="26">
                  <c:v>0</c:v>
                </c:pt>
              </c:numCache>
            </c:numRef>
          </c:val>
          <c:smooth val="0"/>
        </c:ser>
        <c:dLbls>
          <c:showLegendKey val="0"/>
          <c:showVal val="0"/>
          <c:showCatName val="0"/>
          <c:showSerName val="0"/>
          <c:showPercent val="0"/>
          <c:showBubbleSize val="0"/>
        </c:dLbls>
        <c:marker val="1"/>
        <c:smooth val="0"/>
        <c:axId val="398296576"/>
        <c:axId val="398298112"/>
      </c:lineChart>
      <c:catAx>
        <c:axId val="398296576"/>
        <c:scaling>
          <c:orientation val="minMax"/>
        </c:scaling>
        <c:delete val="0"/>
        <c:axPos val="b"/>
        <c:majorTickMark val="out"/>
        <c:minorTickMark val="none"/>
        <c:tickLblPos val="nextTo"/>
        <c:txPr>
          <a:bodyPr rot="-5400000" vert="horz"/>
          <a:lstStyle/>
          <a:p>
            <a:pPr>
              <a:defRPr b="0"/>
            </a:pPr>
            <a:endParaRPr lang="en-US"/>
          </a:p>
        </c:txPr>
        <c:crossAx val="398298112"/>
        <c:crosses val="autoZero"/>
        <c:auto val="1"/>
        <c:lblAlgn val="ctr"/>
        <c:lblOffset val="100"/>
        <c:noMultiLvlLbl val="0"/>
      </c:catAx>
      <c:valAx>
        <c:axId val="398298112"/>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9.7746897948904725E-3"/>
              <c:y val="0.38831121680556202"/>
            </c:manualLayout>
          </c:layout>
          <c:overlay val="0"/>
        </c:title>
        <c:numFmt formatCode="_-* #,##0_-;\-* #,##0_-;_-* &quot;-&quot;??_-;_-@_-" sourceLinked="1"/>
        <c:majorTickMark val="out"/>
        <c:minorTickMark val="none"/>
        <c:tickLblPos val="nextTo"/>
        <c:txPr>
          <a:bodyPr/>
          <a:lstStyle/>
          <a:p>
            <a:pPr>
              <a:defRPr sz="900" b="0"/>
            </a:pPr>
            <a:endParaRPr lang="en-US"/>
          </a:p>
        </c:txPr>
        <c:crossAx val="398296576"/>
        <c:crosses val="autoZero"/>
        <c:crossBetween val="between"/>
        <c:majorUnit val="2500"/>
      </c:valAx>
    </c:plotArea>
    <c:legend>
      <c:legendPos val="r"/>
      <c:layout>
        <c:manualLayout>
          <c:xMode val="edge"/>
          <c:yMode val="edge"/>
          <c:x val="0.87545471247913886"/>
          <c:y val="0.15353748206257781"/>
          <c:w val="9.353249696061032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0.10579555964263261"/>
          <c:y val="0.14200745951359256"/>
          <c:w val="0.87244701938751323"/>
          <c:h val="0.59255865737275659"/>
        </c:manualLayout>
      </c:layout>
      <c:barChart>
        <c:barDir val="col"/>
        <c:grouping val="clustered"/>
        <c:varyColors val="0"/>
        <c:ser>
          <c:idx val="1"/>
          <c:order val="0"/>
          <c:tx>
            <c:strRef>
              <c:f>ESC33_2030!$I$2</c:f>
              <c:strCache>
                <c:ptCount val="1"/>
                <c:pt idx="0">
                  <c:v>Sube</c:v>
                </c:pt>
              </c:strCache>
            </c:strRef>
          </c:tx>
          <c:invertIfNegative val="0"/>
          <c:cat>
            <c:strRef>
              <c:f>ESC33_2030!$H$11:$H$37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ESC33_2030!$I$11:$I$37</c:f>
              <c:numCache>
                <c:formatCode>_-* #,##0_-;\-* #,##0_-;_-* "-"??_-;_-@_-</c:formatCode>
                <c:ptCount val="27"/>
                <c:pt idx="0">
                  <c:v>1119.5544089999894</c:v>
                </c:pt>
                <c:pt idx="1">
                  <c:v>778.41304300000002</c:v>
                </c:pt>
                <c:pt idx="2">
                  <c:v>1168.3315259999999</c:v>
                </c:pt>
                <c:pt idx="3">
                  <c:v>1024.8628570000001</c:v>
                </c:pt>
                <c:pt idx="4">
                  <c:v>6231.9933769999998</c:v>
                </c:pt>
                <c:pt idx="5">
                  <c:v>48.793010000000244</c:v>
                </c:pt>
                <c:pt idx="6">
                  <c:v>1293.2349419999998</c:v>
                </c:pt>
                <c:pt idx="7">
                  <c:v>966.87280999999996</c:v>
                </c:pt>
                <c:pt idx="8">
                  <c:v>355.06256300000001</c:v>
                </c:pt>
                <c:pt idx="9">
                  <c:v>1034.5262090000001</c:v>
                </c:pt>
                <c:pt idx="10">
                  <c:v>1093.9930859999999</c:v>
                </c:pt>
                <c:pt idx="11">
                  <c:v>311.45857199999864</c:v>
                </c:pt>
                <c:pt idx="12">
                  <c:v>1057.6777139999999</c:v>
                </c:pt>
                <c:pt idx="13">
                  <c:v>430.81644</c:v>
                </c:pt>
                <c:pt idx="14">
                  <c:v>215.12364999999997</c:v>
                </c:pt>
                <c:pt idx="15">
                  <c:v>6965.9156080000002</c:v>
                </c:pt>
                <c:pt idx="16">
                  <c:v>234.865711</c:v>
                </c:pt>
                <c:pt idx="17">
                  <c:v>837.57520199999999</c:v>
                </c:pt>
                <c:pt idx="18">
                  <c:v>464.77218099999999</c:v>
                </c:pt>
                <c:pt idx="19">
                  <c:v>230.84488999999999</c:v>
                </c:pt>
                <c:pt idx="20">
                  <c:v>152.109398</c:v>
                </c:pt>
                <c:pt idx="21">
                  <c:v>158.20984999999999</c:v>
                </c:pt>
                <c:pt idx="22">
                  <c:v>66.954138999999998</c:v>
                </c:pt>
                <c:pt idx="23">
                  <c:v>73.775120000000001</c:v>
                </c:pt>
                <c:pt idx="24">
                  <c:v>0</c:v>
                </c:pt>
                <c:pt idx="25">
                  <c:v>0</c:v>
                </c:pt>
                <c:pt idx="26">
                  <c:v>0</c:v>
                </c:pt>
              </c:numCache>
            </c:numRef>
          </c:val>
        </c:ser>
        <c:ser>
          <c:idx val="2"/>
          <c:order val="1"/>
          <c:tx>
            <c:strRef>
              <c:f>ESC33_2030!$D$2</c:f>
              <c:strCache>
                <c:ptCount val="1"/>
                <c:pt idx="0">
                  <c:v>Baja</c:v>
                </c:pt>
              </c:strCache>
            </c:strRef>
          </c:tx>
          <c:invertIfNegative val="0"/>
          <c:cat>
            <c:strRef>
              <c:f>ESC33_2030!$H$11:$H$37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ESC33_2030!$J$11:$J$37</c:f>
              <c:numCache>
                <c:formatCode>_-* #,##0_-;\-* #,##0_-;_-* "-"??_-;_-@_-</c:formatCode>
                <c:ptCount val="27"/>
                <c:pt idx="0">
                  <c:v>0</c:v>
                </c:pt>
                <c:pt idx="1">
                  <c:v>0</c:v>
                </c:pt>
                <c:pt idx="2">
                  <c:v>0</c:v>
                </c:pt>
                <c:pt idx="3">
                  <c:v>0</c:v>
                </c:pt>
                <c:pt idx="4">
                  <c:v>341.42117199999723</c:v>
                </c:pt>
                <c:pt idx="5">
                  <c:v>0</c:v>
                </c:pt>
                <c:pt idx="6">
                  <c:v>39.192280000000011</c:v>
                </c:pt>
                <c:pt idx="7">
                  <c:v>180.00890000000001</c:v>
                </c:pt>
                <c:pt idx="8">
                  <c:v>23.557749999999889</c:v>
                </c:pt>
                <c:pt idx="9">
                  <c:v>0</c:v>
                </c:pt>
                <c:pt idx="10">
                  <c:v>295.29914799999864</c:v>
                </c:pt>
                <c:pt idx="11">
                  <c:v>623.38214799999946</c:v>
                </c:pt>
                <c:pt idx="12">
                  <c:v>876.56210999999746</c:v>
                </c:pt>
                <c:pt idx="13">
                  <c:v>700.65603199999998</c:v>
                </c:pt>
                <c:pt idx="14">
                  <c:v>178.64065999999917</c:v>
                </c:pt>
                <c:pt idx="15">
                  <c:v>7475.7268920000006</c:v>
                </c:pt>
                <c:pt idx="16">
                  <c:v>200.41694200000001</c:v>
                </c:pt>
                <c:pt idx="17">
                  <c:v>817.21067700000003</c:v>
                </c:pt>
                <c:pt idx="18">
                  <c:v>435.65576499999997</c:v>
                </c:pt>
                <c:pt idx="19">
                  <c:v>524.81798099999946</c:v>
                </c:pt>
                <c:pt idx="20">
                  <c:v>4565.9363300000005</c:v>
                </c:pt>
                <c:pt idx="21">
                  <c:v>788.52917500000001</c:v>
                </c:pt>
                <c:pt idx="22">
                  <c:v>2041.302531</c:v>
                </c:pt>
                <c:pt idx="23">
                  <c:v>2241.0537530000161</c:v>
                </c:pt>
                <c:pt idx="24">
                  <c:v>661.97725299999797</c:v>
                </c:pt>
                <c:pt idx="25">
                  <c:v>1788.0504859999999</c:v>
                </c:pt>
                <c:pt idx="26">
                  <c:v>1516.3383239999998</c:v>
                </c:pt>
              </c:numCache>
            </c:numRef>
          </c:val>
        </c:ser>
        <c:dLbls>
          <c:showLegendKey val="0"/>
          <c:showVal val="0"/>
          <c:showCatName val="0"/>
          <c:showSerName val="0"/>
          <c:showPercent val="0"/>
          <c:showBubbleSize val="0"/>
        </c:dLbls>
        <c:gapWidth val="150"/>
        <c:axId val="398345728"/>
        <c:axId val="398347264"/>
      </c:barChart>
      <c:lineChart>
        <c:grouping val="standard"/>
        <c:varyColors val="0"/>
        <c:ser>
          <c:idx val="0"/>
          <c:order val="2"/>
          <c:tx>
            <c:strRef>
              <c:f>ESC33_2030!$E$2</c:f>
              <c:strCache>
                <c:ptCount val="1"/>
                <c:pt idx="0">
                  <c:v>Carga</c:v>
                </c:pt>
              </c:strCache>
            </c:strRef>
          </c:tx>
          <c:marker>
            <c:symbol val="none"/>
          </c:marker>
          <c:cat>
            <c:strRef>
              <c:f>ESC33_2030!$H$11:$H$37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ESC33_2030!$K$11:$K$37</c:f>
              <c:numCache>
                <c:formatCode>_-* #,##0_-;\-* #,##0_-;_-* "-"??_-;_-@_-</c:formatCode>
                <c:ptCount val="27"/>
                <c:pt idx="0">
                  <c:v>1119.5544089999894</c:v>
                </c:pt>
                <c:pt idx="1">
                  <c:v>1897.9674520000001</c:v>
                </c:pt>
                <c:pt idx="2">
                  <c:v>3066.2989779999998</c:v>
                </c:pt>
                <c:pt idx="3">
                  <c:v>4091.1618349999999</c:v>
                </c:pt>
                <c:pt idx="4">
                  <c:v>9981.7340399999994</c:v>
                </c:pt>
                <c:pt idx="5">
                  <c:v>10030.527049999999</c:v>
                </c:pt>
                <c:pt idx="6">
                  <c:v>11284.569712</c:v>
                </c:pt>
                <c:pt idx="7">
                  <c:v>12071.433622</c:v>
                </c:pt>
                <c:pt idx="8">
                  <c:v>12402.938435</c:v>
                </c:pt>
                <c:pt idx="9">
                  <c:v>13437.464644</c:v>
                </c:pt>
                <c:pt idx="10">
                  <c:v>14236.158582</c:v>
                </c:pt>
                <c:pt idx="11">
                  <c:v>13924.235005999999</c:v>
                </c:pt>
                <c:pt idx="12">
                  <c:v>14105.350609999923</c:v>
                </c:pt>
                <c:pt idx="13">
                  <c:v>13835.511017999997</c:v>
                </c:pt>
                <c:pt idx="14">
                  <c:v>13871.994007999998</c:v>
                </c:pt>
                <c:pt idx="15">
                  <c:v>13362.182723999997</c:v>
                </c:pt>
                <c:pt idx="16">
                  <c:v>13396.631493000004</c:v>
                </c:pt>
                <c:pt idx="17">
                  <c:v>13416.996017999993</c:v>
                </c:pt>
                <c:pt idx="18">
                  <c:v>13446.112433999999</c:v>
                </c:pt>
                <c:pt idx="19">
                  <c:v>13152.139343000004</c:v>
                </c:pt>
                <c:pt idx="20">
                  <c:v>8738.312410999999</c:v>
                </c:pt>
                <c:pt idx="21">
                  <c:v>8107.9930859999986</c:v>
                </c:pt>
                <c:pt idx="22">
                  <c:v>6133.6446940000351</c:v>
                </c:pt>
                <c:pt idx="23">
                  <c:v>3966.3660609999988</c:v>
                </c:pt>
                <c:pt idx="24">
                  <c:v>3304.3888079999988</c:v>
                </c:pt>
                <c:pt idx="25">
                  <c:v>1516.3383219999978</c:v>
                </c:pt>
                <c:pt idx="26">
                  <c:v>0</c:v>
                </c:pt>
              </c:numCache>
            </c:numRef>
          </c:val>
          <c:smooth val="0"/>
        </c:ser>
        <c:dLbls>
          <c:showLegendKey val="0"/>
          <c:showVal val="0"/>
          <c:showCatName val="0"/>
          <c:showSerName val="0"/>
          <c:showPercent val="0"/>
          <c:showBubbleSize val="0"/>
        </c:dLbls>
        <c:marker val="1"/>
        <c:smooth val="0"/>
        <c:axId val="398345728"/>
        <c:axId val="398347264"/>
      </c:lineChart>
      <c:catAx>
        <c:axId val="398345728"/>
        <c:scaling>
          <c:orientation val="minMax"/>
        </c:scaling>
        <c:delete val="0"/>
        <c:axPos val="b"/>
        <c:majorTickMark val="out"/>
        <c:minorTickMark val="none"/>
        <c:tickLblPos val="nextTo"/>
        <c:txPr>
          <a:bodyPr rot="-5400000" vert="horz"/>
          <a:lstStyle/>
          <a:p>
            <a:pPr>
              <a:defRPr sz="900" b="0"/>
            </a:pPr>
            <a:endParaRPr lang="en-US"/>
          </a:p>
        </c:txPr>
        <c:crossAx val="398347264"/>
        <c:crosses val="autoZero"/>
        <c:auto val="1"/>
        <c:lblAlgn val="ctr"/>
        <c:lblOffset val="100"/>
        <c:noMultiLvlLbl val="0"/>
      </c:catAx>
      <c:valAx>
        <c:axId val="398347264"/>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4858766787678326E-2"/>
              <c:y val="0.38443491715783396"/>
            </c:manualLayout>
          </c:layout>
          <c:overlay val="0"/>
        </c:title>
        <c:numFmt formatCode="_-* #,##0_-;\-* #,##0_-;_-* &quot;-&quot;??_-;_-@_-" sourceLinked="1"/>
        <c:majorTickMark val="out"/>
        <c:minorTickMark val="none"/>
        <c:tickLblPos val="nextTo"/>
        <c:txPr>
          <a:bodyPr/>
          <a:lstStyle/>
          <a:p>
            <a:pPr>
              <a:defRPr sz="900" b="0"/>
            </a:pPr>
            <a:endParaRPr lang="en-US"/>
          </a:p>
        </c:txPr>
        <c:crossAx val="398345728"/>
        <c:crosses val="autoZero"/>
        <c:crossBetween val="between"/>
        <c:majorUnit val="2500"/>
      </c:valAx>
    </c:plotArea>
    <c:legend>
      <c:legendPos val="r"/>
      <c:layout>
        <c:manualLayout>
          <c:xMode val="edge"/>
          <c:yMode val="edge"/>
          <c:x val="0.86253736142123882"/>
          <c:y val="0.16904271403005003"/>
          <c:w val="0.10416617824298664"/>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0.10741222222996366"/>
          <c:y val="0.14200745951359256"/>
          <c:w val="0.87083046132415765"/>
          <c:h val="0.5853293048662157"/>
        </c:manualLayout>
      </c:layout>
      <c:barChart>
        <c:barDir val="col"/>
        <c:grouping val="clustered"/>
        <c:varyColors val="0"/>
        <c:ser>
          <c:idx val="1"/>
          <c:order val="0"/>
          <c:tx>
            <c:strRef>
              <c:f>ESC33_2030!$C$2</c:f>
              <c:strCache>
                <c:ptCount val="1"/>
                <c:pt idx="0">
                  <c:v>Sube</c:v>
                </c:pt>
              </c:strCache>
            </c:strRef>
          </c:tx>
          <c:invertIfNegative val="0"/>
          <c:cat>
            <c:strRef>
              <c:f>ESC33_2030!$B$44:$B$70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ESC33_2030!$C$44:$C$70</c:f>
              <c:numCache>
                <c:formatCode>_-* #,##0_-;\-* #,##0_-;_-* "-"??_-;_-@_-</c:formatCode>
                <c:ptCount val="27"/>
                <c:pt idx="0">
                  <c:v>2149.9728409999998</c:v>
                </c:pt>
                <c:pt idx="1">
                  <c:v>2223.8106940000002</c:v>
                </c:pt>
                <c:pt idx="2">
                  <c:v>790.69594099999995</c:v>
                </c:pt>
                <c:pt idx="3">
                  <c:v>578.59152899999947</c:v>
                </c:pt>
                <c:pt idx="4">
                  <c:v>2374.1976639999998</c:v>
                </c:pt>
                <c:pt idx="5">
                  <c:v>1629.1605479999998</c:v>
                </c:pt>
                <c:pt idx="6">
                  <c:v>3335.810472000016</c:v>
                </c:pt>
                <c:pt idx="7">
                  <c:v>1614.088338999991</c:v>
                </c:pt>
                <c:pt idx="8">
                  <c:v>653.45717899999738</c:v>
                </c:pt>
                <c:pt idx="9">
                  <c:v>763.75560099999996</c:v>
                </c:pt>
                <c:pt idx="10">
                  <c:v>103.35569</c:v>
                </c:pt>
                <c:pt idx="11">
                  <c:v>6700.8352240000322</c:v>
                </c:pt>
                <c:pt idx="12">
                  <c:v>240.82921000000007</c:v>
                </c:pt>
                <c:pt idx="13">
                  <c:v>316.80127299999964</c:v>
                </c:pt>
                <c:pt idx="14">
                  <c:v>709.00220799999749</c:v>
                </c:pt>
                <c:pt idx="15">
                  <c:v>550.64825999999948</c:v>
                </c:pt>
                <c:pt idx="16">
                  <c:v>95.328488999999294</c:v>
                </c:pt>
                <c:pt idx="17">
                  <c:v>8.1874200000000013</c:v>
                </c:pt>
                <c:pt idx="18">
                  <c:v>17.283569999999859</c:v>
                </c:pt>
                <c:pt idx="19">
                  <c:v>64.478610000000003</c:v>
                </c:pt>
                <c:pt idx="20">
                  <c:v>32.319449999999996</c:v>
                </c:pt>
                <c:pt idx="21">
                  <c:v>0</c:v>
                </c:pt>
                <c:pt idx="22">
                  <c:v>187.72249900000082</c:v>
                </c:pt>
                <c:pt idx="23">
                  <c:v>0</c:v>
                </c:pt>
                <c:pt idx="24">
                  <c:v>0</c:v>
                </c:pt>
                <c:pt idx="25">
                  <c:v>0</c:v>
                </c:pt>
                <c:pt idx="26">
                  <c:v>0</c:v>
                </c:pt>
              </c:numCache>
            </c:numRef>
          </c:val>
        </c:ser>
        <c:ser>
          <c:idx val="2"/>
          <c:order val="1"/>
          <c:tx>
            <c:strRef>
              <c:f>ESC33_2030!$D$2</c:f>
              <c:strCache>
                <c:ptCount val="1"/>
                <c:pt idx="0">
                  <c:v>Baja</c:v>
                </c:pt>
              </c:strCache>
            </c:strRef>
          </c:tx>
          <c:invertIfNegative val="0"/>
          <c:cat>
            <c:strRef>
              <c:f>ESC33_2030!$B$44:$B$70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ESC33_2030!$D$44:$D$70</c:f>
              <c:numCache>
                <c:formatCode>_-* #,##0_-;\-* #,##0_-;_-* "-"??_-;_-@_-</c:formatCode>
                <c:ptCount val="27"/>
                <c:pt idx="0">
                  <c:v>0</c:v>
                </c:pt>
                <c:pt idx="1">
                  <c:v>0</c:v>
                </c:pt>
                <c:pt idx="2">
                  <c:v>0</c:v>
                </c:pt>
                <c:pt idx="3">
                  <c:v>30.595490999999893</c:v>
                </c:pt>
                <c:pt idx="4">
                  <c:v>37.691200000000002</c:v>
                </c:pt>
                <c:pt idx="5">
                  <c:v>74.04034</c:v>
                </c:pt>
                <c:pt idx="6">
                  <c:v>126.98737199999998</c:v>
                </c:pt>
                <c:pt idx="7">
                  <c:v>237.34755699999999</c:v>
                </c:pt>
                <c:pt idx="8">
                  <c:v>307.59448099999997</c:v>
                </c:pt>
                <c:pt idx="9">
                  <c:v>569.60595000000001</c:v>
                </c:pt>
                <c:pt idx="10">
                  <c:v>225.129413</c:v>
                </c:pt>
                <c:pt idx="11">
                  <c:v>7064.1254430000054</c:v>
                </c:pt>
                <c:pt idx="12">
                  <c:v>170.03100000000001</c:v>
                </c:pt>
                <c:pt idx="13">
                  <c:v>498.95021000000003</c:v>
                </c:pt>
                <c:pt idx="14">
                  <c:v>523.14360899999997</c:v>
                </c:pt>
                <c:pt idx="15">
                  <c:v>304.89965100000001</c:v>
                </c:pt>
                <c:pt idx="16">
                  <c:v>567.91383499999995</c:v>
                </c:pt>
                <c:pt idx="17">
                  <c:v>339.30241000000001</c:v>
                </c:pt>
                <c:pt idx="18">
                  <c:v>279.64327200000002</c:v>
                </c:pt>
                <c:pt idx="19">
                  <c:v>1170.4407309999999</c:v>
                </c:pt>
                <c:pt idx="20">
                  <c:v>2041.3215029999999</c:v>
                </c:pt>
                <c:pt idx="21">
                  <c:v>33.026330000000229</c:v>
                </c:pt>
                <c:pt idx="22">
                  <c:v>5319.7142750000003</c:v>
                </c:pt>
                <c:pt idx="23">
                  <c:v>1366.0056960000011</c:v>
                </c:pt>
                <c:pt idx="24">
                  <c:v>1400.042029</c:v>
                </c:pt>
                <c:pt idx="25">
                  <c:v>1824.032964</c:v>
                </c:pt>
                <c:pt idx="26">
                  <c:v>628.74794799999938</c:v>
                </c:pt>
              </c:numCache>
            </c:numRef>
          </c:val>
        </c:ser>
        <c:dLbls>
          <c:showLegendKey val="0"/>
          <c:showVal val="0"/>
          <c:showCatName val="0"/>
          <c:showSerName val="0"/>
          <c:showPercent val="0"/>
          <c:showBubbleSize val="0"/>
        </c:dLbls>
        <c:gapWidth val="150"/>
        <c:axId val="398382592"/>
        <c:axId val="398384128"/>
      </c:barChart>
      <c:lineChart>
        <c:grouping val="standard"/>
        <c:varyColors val="0"/>
        <c:ser>
          <c:idx val="0"/>
          <c:order val="2"/>
          <c:tx>
            <c:strRef>
              <c:f>ESC33_2030!$E$2</c:f>
              <c:strCache>
                <c:ptCount val="1"/>
                <c:pt idx="0">
                  <c:v>Carga</c:v>
                </c:pt>
              </c:strCache>
            </c:strRef>
          </c:tx>
          <c:marker>
            <c:symbol val="none"/>
          </c:marker>
          <c:cat>
            <c:strRef>
              <c:f>ESC33_2030!$B$44:$B$70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ESC33_2030!$E$44:$E$70</c:f>
              <c:numCache>
                <c:formatCode>_-* #,##0_-;\-* #,##0_-;_-* "-"??_-;_-@_-</c:formatCode>
                <c:ptCount val="27"/>
                <c:pt idx="0">
                  <c:v>2149.9728409999998</c:v>
                </c:pt>
                <c:pt idx="1">
                  <c:v>4373.7835350000005</c:v>
                </c:pt>
                <c:pt idx="2">
                  <c:v>5164.4794759999995</c:v>
                </c:pt>
                <c:pt idx="3">
                  <c:v>5712.4755139999997</c:v>
                </c:pt>
                <c:pt idx="4">
                  <c:v>8048.9819779999989</c:v>
                </c:pt>
                <c:pt idx="5">
                  <c:v>9604.1021860000001</c:v>
                </c:pt>
                <c:pt idx="6">
                  <c:v>12812.925286000002</c:v>
                </c:pt>
                <c:pt idx="7">
                  <c:v>14189.666068000002</c:v>
                </c:pt>
                <c:pt idx="8">
                  <c:v>14535.52876600001</c:v>
                </c:pt>
                <c:pt idx="9">
                  <c:v>14729.678417000006</c:v>
                </c:pt>
                <c:pt idx="10">
                  <c:v>14607.904694000003</c:v>
                </c:pt>
                <c:pt idx="11">
                  <c:v>14244.614475000059</c:v>
                </c:pt>
                <c:pt idx="12">
                  <c:v>14315.412685000005</c:v>
                </c:pt>
                <c:pt idx="13">
                  <c:v>14133.263748000074</c:v>
                </c:pt>
                <c:pt idx="14">
                  <c:v>14319.122347000055</c:v>
                </c:pt>
                <c:pt idx="15">
                  <c:v>14564.870956000001</c:v>
                </c:pt>
                <c:pt idx="16">
                  <c:v>14092.285610000003</c:v>
                </c:pt>
                <c:pt idx="17">
                  <c:v>13761.170620000003</c:v>
                </c:pt>
                <c:pt idx="18">
                  <c:v>13498.810918000003</c:v>
                </c:pt>
                <c:pt idx="19">
                  <c:v>12392.848797000002</c:v>
                </c:pt>
                <c:pt idx="20">
                  <c:v>10383.846744000004</c:v>
                </c:pt>
                <c:pt idx="21">
                  <c:v>10350.820414000003</c:v>
                </c:pt>
                <c:pt idx="22">
                  <c:v>5218.8286380000054</c:v>
                </c:pt>
                <c:pt idx="23">
                  <c:v>3852.8229420000025</c:v>
                </c:pt>
                <c:pt idx="24">
                  <c:v>2452.7809130000023</c:v>
                </c:pt>
                <c:pt idx="25">
                  <c:v>628.74794900000234</c:v>
                </c:pt>
                <c:pt idx="26">
                  <c:v>0</c:v>
                </c:pt>
              </c:numCache>
            </c:numRef>
          </c:val>
          <c:smooth val="0"/>
        </c:ser>
        <c:dLbls>
          <c:showLegendKey val="0"/>
          <c:showVal val="0"/>
          <c:showCatName val="0"/>
          <c:showSerName val="0"/>
          <c:showPercent val="0"/>
          <c:showBubbleSize val="0"/>
        </c:dLbls>
        <c:marker val="1"/>
        <c:smooth val="0"/>
        <c:axId val="398382592"/>
        <c:axId val="398384128"/>
      </c:lineChart>
      <c:catAx>
        <c:axId val="398382592"/>
        <c:scaling>
          <c:orientation val="minMax"/>
        </c:scaling>
        <c:delete val="0"/>
        <c:axPos val="b"/>
        <c:majorTickMark val="out"/>
        <c:minorTickMark val="none"/>
        <c:tickLblPos val="nextTo"/>
        <c:txPr>
          <a:bodyPr rot="-5400000" vert="horz"/>
          <a:lstStyle/>
          <a:p>
            <a:pPr>
              <a:defRPr sz="900" b="0"/>
            </a:pPr>
            <a:endParaRPr lang="en-US"/>
          </a:p>
        </c:txPr>
        <c:crossAx val="398384128"/>
        <c:crosses val="autoZero"/>
        <c:auto val="1"/>
        <c:lblAlgn val="ctr"/>
        <c:lblOffset val="100"/>
        <c:noMultiLvlLbl val="0"/>
      </c:catAx>
      <c:valAx>
        <c:axId val="398384128"/>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0916529788222948E-2"/>
              <c:y val="0.38638367490739212"/>
            </c:manualLayout>
          </c:layout>
          <c:overlay val="0"/>
        </c:title>
        <c:numFmt formatCode="_-* #,##0_-;\-* #,##0_-;_-* &quot;-&quot;??_-;_-@_-" sourceLinked="1"/>
        <c:majorTickMark val="out"/>
        <c:minorTickMark val="none"/>
        <c:tickLblPos val="nextTo"/>
        <c:txPr>
          <a:bodyPr/>
          <a:lstStyle/>
          <a:p>
            <a:pPr>
              <a:defRPr sz="900" b="0"/>
            </a:pPr>
            <a:endParaRPr lang="en-US"/>
          </a:p>
        </c:txPr>
        <c:crossAx val="398382592"/>
        <c:crosses val="autoZero"/>
        <c:crossBetween val="between"/>
        <c:majorUnit val="2500"/>
      </c:valAx>
    </c:plotArea>
    <c:legend>
      <c:legendPos val="r"/>
      <c:layout>
        <c:manualLayout>
          <c:xMode val="edge"/>
          <c:yMode val="edge"/>
          <c:x val="0.86693862361228002"/>
          <c:y val="0.16904271403005003"/>
          <c:w val="9.9765009786655062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0.10741222222996366"/>
          <c:y val="0.14200745951359259"/>
          <c:w val="0.87083046132415765"/>
          <c:h val="0.61712287906888597"/>
        </c:manualLayout>
      </c:layout>
      <c:barChart>
        <c:barDir val="col"/>
        <c:grouping val="clustered"/>
        <c:varyColors val="0"/>
        <c:ser>
          <c:idx val="1"/>
          <c:order val="0"/>
          <c:tx>
            <c:strRef>
              <c:f>ESC33_2030!$I$2</c:f>
              <c:strCache>
                <c:ptCount val="1"/>
                <c:pt idx="0">
                  <c:v>Sube</c:v>
                </c:pt>
              </c:strCache>
            </c:strRef>
          </c:tx>
          <c:invertIfNegative val="0"/>
          <c:cat>
            <c:strRef>
              <c:f>ESC33_2030!$H$52:$H$78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ESC33_2030!$I$52:$I$78</c:f>
              <c:numCache>
                <c:formatCode>_-* #,##0_-;\-* #,##0_-;_-* "-"??_-;_-@_-</c:formatCode>
                <c:ptCount val="27"/>
                <c:pt idx="0">
                  <c:v>1321.934964</c:v>
                </c:pt>
                <c:pt idx="1">
                  <c:v>640.74722299999746</c:v>
                </c:pt>
                <c:pt idx="2">
                  <c:v>3188.2250439999998</c:v>
                </c:pt>
                <c:pt idx="3">
                  <c:v>637.30560099999946</c:v>
                </c:pt>
                <c:pt idx="4">
                  <c:v>4699.4295040000034</c:v>
                </c:pt>
                <c:pt idx="5">
                  <c:v>137.93985999999998</c:v>
                </c:pt>
                <c:pt idx="6">
                  <c:v>2506.4206389999999</c:v>
                </c:pt>
                <c:pt idx="7">
                  <c:v>1193.2868100000001</c:v>
                </c:pt>
                <c:pt idx="8">
                  <c:v>533.39841899999999</c:v>
                </c:pt>
                <c:pt idx="9">
                  <c:v>731.41469899999947</c:v>
                </c:pt>
                <c:pt idx="10">
                  <c:v>932.20834100000354</c:v>
                </c:pt>
                <c:pt idx="11">
                  <c:v>780.86304299999949</c:v>
                </c:pt>
                <c:pt idx="12">
                  <c:v>3238.7887649999825</c:v>
                </c:pt>
                <c:pt idx="13">
                  <c:v>775.02912399999946</c:v>
                </c:pt>
                <c:pt idx="14">
                  <c:v>534.92126499999574</c:v>
                </c:pt>
                <c:pt idx="15">
                  <c:v>4574.2426300000034</c:v>
                </c:pt>
                <c:pt idx="16">
                  <c:v>209.42869100000001</c:v>
                </c:pt>
                <c:pt idx="17">
                  <c:v>629.26215599999796</c:v>
                </c:pt>
                <c:pt idx="18">
                  <c:v>284.74692999999894</c:v>
                </c:pt>
                <c:pt idx="19">
                  <c:v>178.52142900000112</c:v>
                </c:pt>
                <c:pt idx="20">
                  <c:v>131.83492000000001</c:v>
                </c:pt>
                <c:pt idx="21">
                  <c:v>157.07007099999998</c:v>
                </c:pt>
                <c:pt idx="22">
                  <c:v>256.65558099999998</c:v>
                </c:pt>
                <c:pt idx="23">
                  <c:v>152.00073</c:v>
                </c:pt>
                <c:pt idx="24">
                  <c:v>0</c:v>
                </c:pt>
                <c:pt idx="25">
                  <c:v>0</c:v>
                </c:pt>
                <c:pt idx="26">
                  <c:v>0</c:v>
                </c:pt>
              </c:numCache>
            </c:numRef>
          </c:val>
        </c:ser>
        <c:ser>
          <c:idx val="2"/>
          <c:order val="1"/>
          <c:tx>
            <c:strRef>
              <c:f>ESC33_2030!$D$2</c:f>
              <c:strCache>
                <c:ptCount val="1"/>
                <c:pt idx="0">
                  <c:v>Baja</c:v>
                </c:pt>
              </c:strCache>
            </c:strRef>
          </c:tx>
          <c:invertIfNegative val="0"/>
          <c:cat>
            <c:strRef>
              <c:f>ESC33_2030!$H$52:$H$78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ESC33_2030!$J$52:$J$78</c:f>
              <c:numCache>
                <c:formatCode>_-* #,##0_-;\-* #,##0_-;_-* "-"??_-;_-@_-</c:formatCode>
                <c:ptCount val="27"/>
                <c:pt idx="0">
                  <c:v>0</c:v>
                </c:pt>
                <c:pt idx="1">
                  <c:v>0</c:v>
                </c:pt>
                <c:pt idx="2">
                  <c:v>0</c:v>
                </c:pt>
                <c:pt idx="3">
                  <c:v>0</c:v>
                </c:pt>
                <c:pt idx="4">
                  <c:v>204.41296700000001</c:v>
                </c:pt>
                <c:pt idx="5">
                  <c:v>0</c:v>
                </c:pt>
                <c:pt idx="6">
                  <c:v>13.086550000000004</c:v>
                </c:pt>
                <c:pt idx="7">
                  <c:v>69.903679999999994</c:v>
                </c:pt>
                <c:pt idx="8">
                  <c:v>15.947800000000001</c:v>
                </c:pt>
                <c:pt idx="9">
                  <c:v>0</c:v>
                </c:pt>
                <c:pt idx="10">
                  <c:v>41.613840999999994</c:v>
                </c:pt>
                <c:pt idx="11">
                  <c:v>38.632399000000063</c:v>
                </c:pt>
                <c:pt idx="12">
                  <c:v>165.18957999999998</c:v>
                </c:pt>
                <c:pt idx="13">
                  <c:v>515.504009</c:v>
                </c:pt>
                <c:pt idx="14">
                  <c:v>50.468399000000012</c:v>
                </c:pt>
                <c:pt idx="15">
                  <c:v>12929.900764</c:v>
                </c:pt>
                <c:pt idx="16">
                  <c:v>360.74739</c:v>
                </c:pt>
                <c:pt idx="17">
                  <c:v>490.33820299999923</c:v>
                </c:pt>
                <c:pt idx="18">
                  <c:v>314.36080099999998</c:v>
                </c:pt>
                <c:pt idx="19">
                  <c:v>442.79790699999899</c:v>
                </c:pt>
                <c:pt idx="20">
                  <c:v>2210.5722580000001</c:v>
                </c:pt>
                <c:pt idx="21">
                  <c:v>629.69833800000436</c:v>
                </c:pt>
                <c:pt idx="22">
                  <c:v>1276.9275030000085</c:v>
                </c:pt>
                <c:pt idx="23">
                  <c:v>931.25487800000053</c:v>
                </c:pt>
                <c:pt idx="24">
                  <c:v>1101.2657130000011</c:v>
                </c:pt>
                <c:pt idx="25">
                  <c:v>3584.8650180000022</c:v>
                </c:pt>
                <c:pt idx="26">
                  <c:v>3038.1884419999769</c:v>
                </c:pt>
              </c:numCache>
            </c:numRef>
          </c:val>
        </c:ser>
        <c:dLbls>
          <c:showLegendKey val="0"/>
          <c:showVal val="0"/>
          <c:showCatName val="0"/>
          <c:showSerName val="0"/>
          <c:showPercent val="0"/>
          <c:showBubbleSize val="0"/>
        </c:dLbls>
        <c:gapWidth val="150"/>
        <c:axId val="398444032"/>
        <c:axId val="398445568"/>
      </c:barChart>
      <c:lineChart>
        <c:grouping val="standard"/>
        <c:varyColors val="0"/>
        <c:ser>
          <c:idx val="0"/>
          <c:order val="2"/>
          <c:tx>
            <c:strRef>
              <c:f>ESC33_2030!$E$2</c:f>
              <c:strCache>
                <c:ptCount val="1"/>
                <c:pt idx="0">
                  <c:v>Carga</c:v>
                </c:pt>
              </c:strCache>
            </c:strRef>
          </c:tx>
          <c:marker>
            <c:symbol val="none"/>
          </c:marker>
          <c:cat>
            <c:strRef>
              <c:f>ESC33_2030!$H$52:$H$78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ESC33_2030!$K$52:$K$78</c:f>
              <c:numCache>
                <c:formatCode>_-* #,##0_-;\-* #,##0_-;_-* "-"??_-;_-@_-</c:formatCode>
                <c:ptCount val="27"/>
                <c:pt idx="0">
                  <c:v>1321.934964</c:v>
                </c:pt>
                <c:pt idx="1">
                  <c:v>1962.682186999991</c:v>
                </c:pt>
                <c:pt idx="2">
                  <c:v>5150.9072309999992</c:v>
                </c:pt>
                <c:pt idx="3">
                  <c:v>5788.2128320000002</c:v>
                </c:pt>
                <c:pt idx="4">
                  <c:v>10283.229369000002</c:v>
                </c:pt>
                <c:pt idx="5">
                  <c:v>10421.169228999999</c:v>
                </c:pt>
                <c:pt idx="6">
                  <c:v>12914.503317999999</c:v>
                </c:pt>
                <c:pt idx="7">
                  <c:v>14037.886447999999</c:v>
                </c:pt>
                <c:pt idx="8">
                  <c:v>14555.337066999999</c:v>
                </c:pt>
                <c:pt idx="9">
                  <c:v>15286.751765999999</c:v>
                </c:pt>
                <c:pt idx="10">
                  <c:v>16177.346265999999</c:v>
                </c:pt>
                <c:pt idx="11">
                  <c:v>16919.57691</c:v>
                </c:pt>
                <c:pt idx="12">
                  <c:v>19993.176095000021</c:v>
                </c:pt>
                <c:pt idx="13">
                  <c:v>20252.701210000003</c:v>
                </c:pt>
                <c:pt idx="14">
                  <c:v>20737.154075999992</c:v>
                </c:pt>
                <c:pt idx="15">
                  <c:v>12381.495942000003</c:v>
                </c:pt>
                <c:pt idx="16">
                  <c:v>12230.177243000002</c:v>
                </c:pt>
                <c:pt idx="17">
                  <c:v>12369.101196000003</c:v>
                </c:pt>
                <c:pt idx="18">
                  <c:v>12339.487324999944</c:v>
                </c:pt>
                <c:pt idx="19">
                  <c:v>12075.210847000018</c:v>
                </c:pt>
                <c:pt idx="20">
                  <c:v>9996.4735090000013</c:v>
                </c:pt>
                <c:pt idx="21">
                  <c:v>9523.8452420000049</c:v>
                </c:pt>
                <c:pt idx="22">
                  <c:v>8503.5733200000032</c:v>
                </c:pt>
                <c:pt idx="23">
                  <c:v>7724.3191720000032</c:v>
                </c:pt>
                <c:pt idx="24">
                  <c:v>6623.0534590000025</c:v>
                </c:pt>
                <c:pt idx="25">
                  <c:v>3038.1884409999852</c:v>
                </c:pt>
                <c:pt idx="26">
                  <c:v>0</c:v>
                </c:pt>
              </c:numCache>
            </c:numRef>
          </c:val>
          <c:smooth val="0"/>
        </c:ser>
        <c:dLbls>
          <c:showLegendKey val="0"/>
          <c:showVal val="0"/>
          <c:showCatName val="0"/>
          <c:showSerName val="0"/>
          <c:showPercent val="0"/>
          <c:showBubbleSize val="0"/>
        </c:dLbls>
        <c:marker val="1"/>
        <c:smooth val="0"/>
        <c:axId val="398444032"/>
        <c:axId val="398445568"/>
      </c:lineChart>
      <c:catAx>
        <c:axId val="398444032"/>
        <c:scaling>
          <c:orientation val="minMax"/>
        </c:scaling>
        <c:delete val="0"/>
        <c:axPos val="b"/>
        <c:majorTickMark val="out"/>
        <c:minorTickMark val="none"/>
        <c:tickLblPos val="nextTo"/>
        <c:txPr>
          <a:bodyPr rot="-5400000" vert="horz"/>
          <a:lstStyle/>
          <a:p>
            <a:pPr>
              <a:defRPr sz="900" b="0"/>
            </a:pPr>
            <a:endParaRPr lang="en-US"/>
          </a:p>
        </c:txPr>
        <c:crossAx val="398445568"/>
        <c:crosses val="autoZero"/>
        <c:auto val="1"/>
        <c:lblAlgn val="ctr"/>
        <c:lblOffset val="100"/>
        <c:noMultiLvlLbl val="0"/>
      </c:catAx>
      <c:valAx>
        <c:axId val="398445568"/>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689915387471277E-2"/>
              <c:y val="0.37469115324169794"/>
            </c:manualLayout>
          </c:layout>
          <c:overlay val="0"/>
        </c:title>
        <c:numFmt formatCode="_-* #,##0_-;\-* #,##0_-;_-* &quot;-&quot;??_-;_-@_-" sourceLinked="1"/>
        <c:majorTickMark val="out"/>
        <c:minorTickMark val="none"/>
        <c:tickLblPos val="nextTo"/>
        <c:txPr>
          <a:bodyPr/>
          <a:lstStyle/>
          <a:p>
            <a:pPr>
              <a:defRPr sz="900" b="0"/>
            </a:pPr>
            <a:endParaRPr lang="en-US"/>
          </a:p>
        </c:txPr>
        <c:crossAx val="398444032"/>
        <c:crosses val="autoZero"/>
        <c:crossBetween val="between"/>
        <c:majorUnit val="2500"/>
      </c:valAx>
    </c:plotArea>
    <c:legend>
      <c:legendPos val="r"/>
      <c:layout>
        <c:manualLayout>
          <c:xMode val="edge"/>
          <c:yMode val="edge"/>
          <c:x val="0.86541302515122875"/>
          <c:y val="0.16904271403005003"/>
          <c:w val="0.10129060824769813"/>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it-IT" b="1"/>
              <a:t>Linea 2 - SENTIDO Este - Oeste HV</a:t>
            </a:r>
          </a:p>
        </c:rich>
      </c:tx>
      <c:layout>
        <c:manualLayout>
          <c:xMode val="edge"/>
          <c:yMode val="edge"/>
          <c:x val="0.3387698164513282"/>
          <c:y val="2.5831988341027012E-2"/>
        </c:manualLayout>
      </c:layout>
      <c:overlay val="1"/>
    </c:title>
    <c:autoTitleDeleted val="0"/>
    <c:plotArea>
      <c:layout>
        <c:manualLayout>
          <c:layoutTarget val="inner"/>
          <c:xMode val="edge"/>
          <c:yMode val="edge"/>
          <c:x val="0.10744488541485846"/>
          <c:y val="0.14200745951359259"/>
          <c:w val="0.87079775385382474"/>
          <c:h val="0.60326845843033061"/>
        </c:manualLayout>
      </c:layout>
      <c:barChart>
        <c:barDir val="col"/>
        <c:grouping val="clustered"/>
        <c:varyColors val="0"/>
        <c:ser>
          <c:idx val="1"/>
          <c:order val="0"/>
          <c:tx>
            <c:strRef>
              <c:f>ESC33_2030!$C$2</c:f>
              <c:strCache>
                <c:ptCount val="1"/>
                <c:pt idx="0">
                  <c:v>Sube</c:v>
                </c:pt>
              </c:strCache>
            </c:strRef>
          </c:tx>
          <c:invertIfNegative val="0"/>
          <c:cat>
            <c:strRef>
              <c:f>ESC33_2030!$B$85:$B$111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ESC33_2030!$C$85:$C$111</c:f>
              <c:numCache>
                <c:formatCode>_-* #,##0_-;\-* #,##0_-;_-* "-"??_-;_-@_-</c:formatCode>
                <c:ptCount val="27"/>
                <c:pt idx="0">
                  <c:v>2442.7917819999998</c:v>
                </c:pt>
                <c:pt idx="1">
                  <c:v>2065.267469999982</c:v>
                </c:pt>
                <c:pt idx="2">
                  <c:v>613.76174000000003</c:v>
                </c:pt>
                <c:pt idx="3">
                  <c:v>338.69358099999999</c:v>
                </c:pt>
                <c:pt idx="4">
                  <c:v>1214.4529210000001</c:v>
                </c:pt>
                <c:pt idx="5">
                  <c:v>909.44220099999552</c:v>
                </c:pt>
                <c:pt idx="6">
                  <c:v>2457.7063879999987</c:v>
                </c:pt>
                <c:pt idx="7">
                  <c:v>728.67048400000351</c:v>
                </c:pt>
                <c:pt idx="8">
                  <c:v>260.779</c:v>
                </c:pt>
                <c:pt idx="9">
                  <c:v>439.92863899999764</c:v>
                </c:pt>
                <c:pt idx="10">
                  <c:v>354.830961</c:v>
                </c:pt>
                <c:pt idx="11">
                  <c:v>6462.8502600000293</c:v>
                </c:pt>
                <c:pt idx="12">
                  <c:v>63.345200000000006</c:v>
                </c:pt>
                <c:pt idx="13">
                  <c:v>132.30485000000002</c:v>
                </c:pt>
                <c:pt idx="14">
                  <c:v>308.92184099999969</c:v>
                </c:pt>
                <c:pt idx="15">
                  <c:v>287.09942999999993</c:v>
                </c:pt>
                <c:pt idx="16">
                  <c:v>4.2712600000000478</c:v>
                </c:pt>
                <c:pt idx="17">
                  <c:v>0</c:v>
                </c:pt>
                <c:pt idx="18">
                  <c:v>0.62436000000000003</c:v>
                </c:pt>
                <c:pt idx="19">
                  <c:v>15.316000000000004</c:v>
                </c:pt>
                <c:pt idx="20">
                  <c:v>4.7579599999999855</c:v>
                </c:pt>
                <c:pt idx="21">
                  <c:v>0</c:v>
                </c:pt>
                <c:pt idx="22">
                  <c:v>41.325019000000012</c:v>
                </c:pt>
                <c:pt idx="23">
                  <c:v>0</c:v>
                </c:pt>
                <c:pt idx="24">
                  <c:v>0</c:v>
                </c:pt>
                <c:pt idx="25">
                  <c:v>0</c:v>
                </c:pt>
                <c:pt idx="26">
                  <c:v>0</c:v>
                </c:pt>
              </c:numCache>
            </c:numRef>
          </c:val>
        </c:ser>
        <c:ser>
          <c:idx val="2"/>
          <c:order val="1"/>
          <c:tx>
            <c:strRef>
              <c:f>ESC33_2030!$D$2</c:f>
              <c:strCache>
                <c:ptCount val="1"/>
                <c:pt idx="0">
                  <c:v>Baja</c:v>
                </c:pt>
              </c:strCache>
            </c:strRef>
          </c:tx>
          <c:invertIfNegative val="0"/>
          <c:cat>
            <c:strRef>
              <c:f>ESC33_2030!$B$85:$B$111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ESC33_2030!$D$85:$D$111</c:f>
              <c:numCache>
                <c:formatCode>_-* #,##0_-;\-* #,##0_-;_-* "-"??_-;_-@_-</c:formatCode>
                <c:ptCount val="27"/>
                <c:pt idx="0">
                  <c:v>0</c:v>
                </c:pt>
                <c:pt idx="1">
                  <c:v>0</c:v>
                </c:pt>
                <c:pt idx="2">
                  <c:v>0</c:v>
                </c:pt>
                <c:pt idx="3">
                  <c:v>125.171121</c:v>
                </c:pt>
                <c:pt idx="4">
                  <c:v>121.853161</c:v>
                </c:pt>
                <c:pt idx="5">
                  <c:v>132.43735000000001</c:v>
                </c:pt>
                <c:pt idx="6">
                  <c:v>239.85848300000106</c:v>
                </c:pt>
                <c:pt idx="7">
                  <c:v>97.363220000000027</c:v>
                </c:pt>
                <c:pt idx="8">
                  <c:v>174.13860099999999</c:v>
                </c:pt>
                <c:pt idx="9">
                  <c:v>374.48843899999764</c:v>
                </c:pt>
                <c:pt idx="10">
                  <c:v>137.89490000000001</c:v>
                </c:pt>
                <c:pt idx="11">
                  <c:v>3699.447674</c:v>
                </c:pt>
                <c:pt idx="12">
                  <c:v>313.35655000000003</c:v>
                </c:pt>
                <c:pt idx="13">
                  <c:v>550.65681599999948</c:v>
                </c:pt>
                <c:pt idx="14">
                  <c:v>926.93491799999947</c:v>
                </c:pt>
                <c:pt idx="15">
                  <c:v>283.14927100000193</c:v>
                </c:pt>
                <c:pt idx="16">
                  <c:v>554.08237400000053</c:v>
                </c:pt>
                <c:pt idx="17">
                  <c:v>355.64939399999997</c:v>
                </c:pt>
                <c:pt idx="18">
                  <c:v>431.32820599999923</c:v>
                </c:pt>
                <c:pt idx="19">
                  <c:v>1070.3195570000073</c:v>
                </c:pt>
                <c:pt idx="20">
                  <c:v>1986.8794779999998</c:v>
                </c:pt>
                <c:pt idx="21">
                  <c:v>41.638300000000214</c:v>
                </c:pt>
                <c:pt idx="22">
                  <c:v>3480.7283599999987</c:v>
                </c:pt>
                <c:pt idx="23">
                  <c:v>844.67778300000055</c:v>
                </c:pt>
                <c:pt idx="24">
                  <c:v>1275.5598379999999</c:v>
                </c:pt>
                <c:pt idx="25">
                  <c:v>1418.7868800000001</c:v>
                </c:pt>
                <c:pt idx="26">
                  <c:v>510.74067100000002</c:v>
                </c:pt>
              </c:numCache>
            </c:numRef>
          </c:val>
        </c:ser>
        <c:dLbls>
          <c:showLegendKey val="0"/>
          <c:showVal val="0"/>
          <c:showCatName val="0"/>
          <c:showSerName val="0"/>
          <c:showPercent val="0"/>
          <c:showBubbleSize val="0"/>
        </c:dLbls>
        <c:gapWidth val="150"/>
        <c:axId val="398497664"/>
        <c:axId val="398499200"/>
      </c:barChart>
      <c:lineChart>
        <c:grouping val="standard"/>
        <c:varyColors val="0"/>
        <c:ser>
          <c:idx val="0"/>
          <c:order val="2"/>
          <c:tx>
            <c:strRef>
              <c:f>ESC33_2030!$E$2</c:f>
              <c:strCache>
                <c:ptCount val="1"/>
                <c:pt idx="0">
                  <c:v>Carga</c:v>
                </c:pt>
              </c:strCache>
            </c:strRef>
          </c:tx>
          <c:marker>
            <c:symbol val="none"/>
          </c:marker>
          <c:cat>
            <c:strRef>
              <c:f>ESC33_2030!$B$85:$B$111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ESC33_2030!$E$85:$E$111</c:f>
              <c:numCache>
                <c:formatCode>_-* #,##0_-;\-* #,##0_-;_-* "-"??_-;_-@_-</c:formatCode>
                <c:ptCount val="27"/>
                <c:pt idx="0">
                  <c:v>2442.7917819999998</c:v>
                </c:pt>
                <c:pt idx="1">
                  <c:v>4508.059252</c:v>
                </c:pt>
                <c:pt idx="2">
                  <c:v>5121.8209920000008</c:v>
                </c:pt>
                <c:pt idx="3">
                  <c:v>5335.3434519999983</c:v>
                </c:pt>
                <c:pt idx="4">
                  <c:v>6427.9432119999983</c:v>
                </c:pt>
                <c:pt idx="5">
                  <c:v>7204.948062999998</c:v>
                </c:pt>
                <c:pt idx="6">
                  <c:v>9422.7959679999931</c:v>
                </c:pt>
                <c:pt idx="7">
                  <c:v>10054.103231999999</c:v>
                </c:pt>
                <c:pt idx="8">
                  <c:v>10140.743630999999</c:v>
                </c:pt>
                <c:pt idx="9">
                  <c:v>10206.183830999997</c:v>
                </c:pt>
                <c:pt idx="10">
                  <c:v>10423.119891999999</c:v>
                </c:pt>
                <c:pt idx="11">
                  <c:v>13186.522478000057</c:v>
                </c:pt>
                <c:pt idx="12">
                  <c:v>12936.511127999995</c:v>
                </c:pt>
                <c:pt idx="13">
                  <c:v>12518.159161999993</c:v>
                </c:pt>
                <c:pt idx="14">
                  <c:v>11900.146084999997</c:v>
                </c:pt>
                <c:pt idx="15">
                  <c:v>11904.096243999997</c:v>
                </c:pt>
                <c:pt idx="16">
                  <c:v>11354.28512999994</c:v>
                </c:pt>
                <c:pt idx="17">
                  <c:v>10998.635735999997</c:v>
                </c:pt>
                <c:pt idx="18">
                  <c:v>10567.931889999993</c:v>
                </c:pt>
                <c:pt idx="19">
                  <c:v>9512.9283329999871</c:v>
                </c:pt>
                <c:pt idx="20">
                  <c:v>7530.8068150000008</c:v>
                </c:pt>
                <c:pt idx="21">
                  <c:v>7489.1685150000003</c:v>
                </c:pt>
                <c:pt idx="22">
                  <c:v>4049.7651739999974</c:v>
                </c:pt>
                <c:pt idx="23">
                  <c:v>3205.0873909999973</c:v>
                </c:pt>
                <c:pt idx="24">
                  <c:v>1929.5275529999981</c:v>
                </c:pt>
                <c:pt idx="25">
                  <c:v>510.74067299999734</c:v>
                </c:pt>
                <c:pt idx="26">
                  <c:v>0</c:v>
                </c:pt>
              </c:numCache>
            </c:numRef>
          </c:val>
          <c:smooth val="0"/>
        </c:ser>
        <c:dLbls>
          <c:showLegendKey val="0"/>
          <c:showVal val="0"/>
          <c:showCatName val="0"/>
          <c:showSerName val="0"/>
          <c:showPercent val="0"/>
          <c:showBubbleSize val="0"/>
        </c:dLbls>
        <c:marker val="1"/>
        <c:smooth val="0"/>
        <c:axId val="398497664"/>
        <c:axId val="398499200"/>
      </c:lineChart>
      <c:catAx>
        <c:axId val="398497664"/>
        <c:scaling>
          <c:orientation val="minMax"/>
        </c:scaling>
        <c:delete val="0"/>
        <c:axPos val="b"/>
        <c:majorTickMark val="out"/>
        <c:minorTickMark val="none"/>
        <c:tickLblPos val="nextTo"/>
        <c:txPr>
          <a:bodyPr rot="-5400000" vert="horz"/>
          <a:lstStyle/>
          <a:p>
            <a:pPr>
              <a:defRPr/>
            </a:pPr>
            <a:endParaRPr lang="en-US"/>
          </a:p>
        </c:txPr>
        <c:crossAx val="398499200"/>
        <c:crosses val="autoZero"/>
        <c:auto val="1"/>
        <c:lblAlgn val="ctr"/>
        <c:lblOffset val="100"/>
        <c:noMultiLvlLbl val="0"/>
      </c:catAx>
      <c:valAx>
        <c:axId val="398499200"/>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9.7746897948904725E-3"/>
              <c:y val="0.3844349835965295"/>
            </c:manualLayout>
          </c:layout>
          <c:overlay val="0"/>
        </c:title>
        <c:numFmt formatCode="_-* #,##0_-;\-* #,##0_-;_-* &quot;-&quot;??_-;_-@_-" sourceLinked="1"/>
        <c:majorTickMark val="out"/>
        <c:minorTickMark val="none"/>
        <c:tickLblPos val="nextTo"/>
        <c:crossAx val="398497664"/>
        <c:crosses val="autoZero"/>
        <c:crossBetween val="between"/>
        <c:majorUnit val="2500"/>
      </c:valAx>
    </c:plotArea>
    <c:legend>
      <c:legendPos val="r"/>
      <c:layout>
        <c:manualLayout>
          <c:xMode val="edge"/>
          <c:yMode val="edge"/>
          <c:x val="0.86953992354133602"/>
          <c:y val="0.15737024238414596"/>
          <c:w val="0.10287285989302908"/>
          <c:h val="9.9001651984391426E-2"/>
        </c:manualLayout>
      </c:layout>
      <c:overlay val="0"/>
      <c:spPr>
        <a:solidFill>
          <a:sysClr val="window" lastClr="FFFFFF"/>
        </a:solidFill>
      </c:spPr>
    </c:legend>
    <c:plotVisOnly val="1"/>
    <c:dispBlanksAs val="gap"/>
    <c:showDLblsOverMax val="0"/>
  </c:chart>
  <c:spPr>
    <a:ln>
      <a:noFill/>
    </a:ln>
  </c:spPr>
  <c:txPr>
    <a:bodyPr/>
    <a:lstStyle/>
    <a:p>
      <a:pPr>
        <a:defRPr sz="900" b="0">
          <a:latin typeface="Arial" pitchFamily="34" charset="0"/>
          <a:cs typeface="Arial" pitchFamily="34" charset="0"/>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HV</a:t>
            </a:r>
          </a:p>
        </c:rich>
      </c:tx>
      <c:overlay val="1"/>
    </c:title>
    <c:autoTitleDeleted val="0"/>
    <c:plotArea>
      <c:layout>
        <c:manualLayout>
          <c:layoutTarget val="inner"/>
          <c:xMode val="edge"/>
          <c:yMode val="edge"/>
          <c:x val="0.10438932975905495"/>
          <c:y val="0.14200745951359262"/>
          <c:w val="0.87385330950962303"/>
          <c:h val="0.61712287906888597"/>
        </c:manualLayout>
      </c:layout>
      <c:barChart>
        <c:barDir val="col"/>
        <c:grouping val="clustered"/>
        <c:varyColors val="0"/>
        <c:ser>
          <c:idx val="1"/>
          <c:order val="0"/>
          <c:tx>
            <c:strRef>
              <c:f>ESC33_2030!$I$2</c:f>
              <c:strCache>
                <c:ptCount val="1"/>
                <c:pt idx="0">
                  <c:v>Sube</c:v>
                </c:pt>
              </c:strCache>
            </c:strRef>
          </c:tx>
          <c:invertIfNegative val="0"/>
          <c:cat>
            <c:strRef>
              <c:f>ESC33_2030!$H$93:$H$119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ESC33_2030!$I$93:$I$119</c:f>
              <c:numCache>
                <c:formatCode>_-* #,##0_-;\-* #,##0_-;_-* "-"??_-;_-@_-</c:formatCode>
                <c:ptCount val="27"/>
                <c:pt idx="0">
                  <c:v>680.26020799999947</c:v>
                </c:pt>
                <c:pt idx="1">
                  <c:v>387.00531499999869</c:v>
                </c:pt>
                <c:pt idx="2">
                  <c:v>1386.7667560000011</c:v>
                </c:pt>
                <c:pt idx="3">
                  <c:v>279.66962100000222</c:v>
                </c:pt>
                <c:pt idx="4">
                  <c:v>3265.3978440000001</c:v>
                </c:pt>
                <c:pt idx="5">
                  <c:v>43.195320000000244</c:v>
                </c:pt>
                <c:pt idx="6">
                  <c:v>1934.3294469999894</c:v>
                </c:pt>
                <c:pt idx="7">
                  <c:v>719.52616299999738</c:v>
                </c:pt>
                <c:pt idx="8">
                  <c:v>359.36150999999899</c:v>
                </c:pt>
                <c:pt idx="9">
                  <c:v>316.93404899999899</c:v>
                </c:pt>
                <c:pt idx="10">
                  <c:v>517.79915900000003</c:v>
                </c:pt>
                <c:pt idx="11">
                  <c:v>310.77602599999869</c:v>
                </c:pt>
                <c:pt idx="12">
                  <c:v>1469.3644739999932</c:v>
                </c:pt>
                <c:pt idx="13">
                  <c:v>338.74545000000001</c:v>
                </c:pt>
                <c:pt idx="14">
                  <c:v>224.285225</c:v>
                </c:pt>
                <c:pt idx="15">
                  <c:v>2555.5285649999987</c:v>
                </c:pt>
                <c:pt idx="16">
                  <c:v>120.70356500000022</c:v>
                </c:pt>
                <c:pt idx="17">
                  <c:v>298.86579</c:v>
                </c:pt>
                <c:pt idx="18">
                  <c:v>167.93364</c:v>
                </c:pt>
                <c:pt idx="19">
                  <c:v>136.44051099999999</c:v>
                </c:pt>
                <c:pt idx="20">
                  <c:v>77.521749999999983</c:v>
                </c:pt>
                <c:pt idx="21">
                  <c:v>134.33966099999998</c:v>
                </c:pt>
                <c:pt idx="22">
                  <c:v>92.433999000000227</c:v>
                </c:pt>
                <c:pt idx="23">
                  <c:v>116.57401900000002</c:v>
                </c:pt>
                <c:pt idx="24">
                  <c:v>0</c:v>
                </c:pt>
                <c:pt idx="25">
                  <c:v>0</c:v>
                </c:pt>
                <c:pt idx="26">
                  <c:v>0</c:v>
                </c:pt>
              </c:numCache>
            </c:numRef>
          </c:val>
        </c:ser>
        <c:ser>
          <c:idx val="2"/>
          <c:order val="1"/>
          <c:tx>
            <c:strRef>
              <c:f>ESC33_2030!$D$2</c:f>
              <c:strCache>
                <c:ptCount val="1"/>
                <c:pt idx="0">
                  <c:v>Baja</c:v>
                </c:pt>
              </c:strCache>
            </c:strRef>
          </c:tx>
          <c:invertIfNegative val="0"/>
          <c:cat>
            <c:strRef>
              <c:f>ESC33_2030!$H$93:$H$119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ESC33_2030!$J$93:$J$119</c:f>
              <c:numCache>
                <c:formatCode>_-* #,##0_-;\-* #,##0_-;_-* "-"??_-;_-@_-</c:formatCode>
                <c:ptCount val="27"/>
                <c:pt idx="0">
                  <c:v>0</c:v>
                </c:pt>
                <c:pt idx="1">
                  <c:v>0</c:v>
                </c:pt>
                <c:pt idx="2">
                  <c:v>0</c:v>
                </c:pt>
                <c:pt idx="3">
                  <c:v>0</c:v>
                </c:pt>
                <c:pt idx="4">
                  <c:v>52.614889999999995</c:v>
                </c:pt>
                <c:pt idx="5">
                  <c:v>0</c:v>
                </c:pt>
                <c:pt idx="6">
                  <c:v>2.2498300000000002</c:v>
                </c:pt>
                <c:pt idx="7">
                  <c:v>16.928604999999859</c:v>
                </c:pt>
                <c:pt idx="8">
                  <c:v>0.24218999999999999</c:v>
                </c:pt>
                <c:pt idx="9">
                  <c:v>0.89115</c:v>
                </c:pt>
                <c:pt idx="10">
                  <c:v>12.054550000000004</c:v>
                </c:pt>
                <c:pt idx="11">
                  <c:v>43.251330000000003</c:v>
                </c:pt>
                <c:pt idx="12">
                  <c:v>91.635929999999988</c:v>
                </c:pt>
                <c:pt idx="13">
                  <c:v>186.991782</c:v>
                </c:pt>
                <c:pt idx="14">
                  <c:v>33.659368000000001</c:v>
                </c:pt>
                <c:pt idx="15">
                  <c:v>6218.9612920000054</c:v>
                </c:pt>
                <c:pt idx="16">
                  <c:v>208.05853300000001</c:v>
                </c:pt>
                <c:pt idx="17">
                  <c:v>401.14382899999998</c:v>
                </c:pt>
                <c:pt idx="18">
                  <c:v>209.38324000000082</c:v>
                </c:pt>
                <c:pt idx="19">
                  <c:v>270.35279600000001</c:v>
                </c:pt>
                <c:pt idx="20">
                  <c:v>1899.028996</c:v>
                </c:pt>
                <c:pt idx="21">
                  <c:v>564.34703699999739</c:v>
                </c:pt>
                <c:pt idx="22">
                  <c:v>1107.562598</c:v>
                </c:pt>
                <c:pt idx="23">
                  <c:v>902.31243099999949</c:v>
                </c:pt>
                <c:pt idx="24">
                  <c:v>734.83565199999748</c:v>
                </c:pt>
                <c:pt idx="25">
                  <c:v>1638.872775</c:v>
                </c:pt>
                <c:pt idx="26">
                  <c:v>1338.379265</c:v>
                </c:pt>
              </c:numCache>
            </c:numRef>
          </c:val>
        </c:ser>
        <c:dLbls>
          <c:showLegendKey val="0"/>
          <c:showVal val="0"/>
          <c:showCatName val="0"/>
          <c:showSerName val="0"/>
          <c:showPercent val="0"/>
          <c:showBubbleSize val="0"/>
        </c:dLbls>
        <c:gapWidth val="150"/>
        <c:axId val="398563200"/>
        <c:axId val="398564736"/>
      </c:barChart>
      <c:lineChart>
        <c:grouping val="standard"/>
        <c:varyColors val="0"/>
        <c:ser>
          <c:idx val="0"/>
          <c:order val="2"/>
          <c:tx>
            <c:strRef>
              <c:f>ESC33_2030!$E$2</c:f>
              <c:strCache>
                <c:ptCount val="1"/>
                <c:pt idx="0">
                  <c:v>Carga</c:v>
                </c:pt>
              </c:strCache>
            </c:strRef>
          </c:tx>
          <c:marker>
            <c:symbol val="none"/>
          </c:marker>
          <c:cat>
            <c:strRef>
              <c:f>ESC33_2030!$H$93:$H$119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ESC33_2030!$K$93:$K$119</c:f>
              <c:numCache>
                <c:formatCode>_-* #,##0_-;\-* #,##0_-;_-* "-"??_-;_-@_-</c:formatCode>
                <c:ptCount val="27"/>
                <c:pt idx="0">
                  <c:v>680.26020799999947</c:v>
                </c:pt>
                <c:pt idx="1">
                  <c:v>1067.2655230000073</c:v>
                </c:pt>
                <c:pt idx="2">
                  <c:v>2454.032279</c:v>
                </c:pt>
                <c:pt idx="3">
                  <c:v>2733.7019</c:v>
                </c:pt>
                <c:pt idx="4">
                  <c:v>5946.4848539999975</c:v>
                </c:pt>
                <c:pt idx="5">
                  <c:v>5989.6801740000283</c:v>
                </c:pt>
                <c:pt idx="6">
                  <c:v>7921.7597910000004</c:v>
                </c:pt>
                <c:pt idx="7">
                  <c:v>8624.357348999989</c:v>
                </c:pt>
                <c:pt idx="8">
                  <c:v>8983.4766689999851</c:v>
                </c:pt>
                <c:pt idx="9">
                  <c:v>9299.5195680000088</c:v>
                </c:pt>
                <c:pt idx="10">
                  <c:v>9805.2641770000009</c:v>
                </c:pt>
                <c:pt idx="11">
                  <c:v>10072.788873000001</c:v>
                </c:pt>
                <c:pt idx="12">
                  <c:v>11450.517417000006</c:v>
                </c:pt>
                <c:pt idx="13">
                  <c:v>11602.271085000002</c:v>
                </c:pt>
                <c:pt idx="14">
                  <c:v>11792.896942000001</c:v>
                </c:pt>
                <c:pt idx="15">
                  <c:v>8129.4642150000018</c:v>
                </c:pt>
                <c:pt idx="16">
                  <c:v>8042.1092470000012</c:v>
                </c:pt>
                <c:pt idx="17">
                  <c:v>7939.8312080000023</c:v>
                </c:pt>
                <c:pt idx="18">
                  <c:v>7898.3816080000024</c:v>
                </c:pt>
                <c:pt idx="19">
                  <c:v>7764.4693230000021</c:v>
                </c:pt>
                <c:pt idx="20">
                  <c:v>5942.962077000002</c:v>
                </c:pt>
                <c:pt idx="21">
                  <c:v>5512.9547010000015</c:v>
                </c:pt>
                <c:pt idx="22">
                  <c:v>4497.8261020000054</c:v>
                </c:pt>
                <c:pt idx="23">
                  <c:v>3712.0876900000017</c:v>
                </c:pt>
                <c:pt idx="24">
                  <c:v>2977.2520380000024</c:v>
                </c:pt>
                <c:pt idx="25">
                  <c:v>1338.3792630000023</c:v>
                </c:pt>
                <c:pt idx="26">
                  <c:v>0</c:v>
                </c:pt>
              </c:numCache>
            </c:numRef>
          </c:val>
          <c:smooth val="0"/>
        </c:ser>
        <c:dLbls>
          <c:showLegendKey val="0"/>
          <c:showVal val="0"/>
          <c:showCatName val="0"/>
          <c:showSerName val="0"/>
          <c:showPercent val="0"/>
          <c:showBubbleSize val="0"/>
        </c:dLbls>
        <c:marker val="1"/>
        <c:smooth val="0"/>
        <c:axId val="398563200"/>
        <c:axId val="398564736"/>
      </c:lineChart>
      <c:catAx>
        <c:axId val="398563200"/>
        <c:scaling>
          <c:orientation val="minMax"/>
        </c:scaling>
        <c:delete val="0"/>
        <c:axPos val="b"/>
        <c:majorTickMark val="out"/>
        <c:minorTickMark val="none"/>
        <c:tickLblPos val="nextTo"/>
        <c:txPr>
          <a:bodyPr rot="-5400000" vert="horz"/>
          <a:lstStyle/>
          <a:p>
            <a:pPr>
              <a:defRPr sz="900" b="0"/>
            </a:pPr>
            <a:endParaRPr lang="en-US"/>
          </a:p>
        </c:txPr>
        <c:crossAx val="398564736"/>
        <c:crosses val="autoZero"/>
        <c:auto val="1"/>
        <c:lblAlgn val="ctr"/>
        <c:lblOffset val="100"/>
        <c:noMultiLvlLbl val="0"/>
      </c:catAx>
      <c:valAx>
        <c:axId val="398564736"/>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0521063987264229E-2"/>
              <c:y val="0.3844349835965295"/>
            </c:manualLayout>
          </c:layout>
          <c:overlay val="0"/>
        </c:title>
        <c:numFmt formatCode="_-* #,##0_-;\-* #,##0_-;_-* &quot;-&quot;??_-;_-@_-" sourceLinked="1"/>
        <c:majorTickMark val="out"/>
        <c:minorTickMark val="none"/>
        <c:tickLblPos val="nextTo"/>
        <c:txPr>
          <a:bodyPr/>
          <a:lstStyle/>
          <a:p>
            <a:pPr>
              <a:defRPr sz="900" b="0"/>
            </a:pPr>
            <a:endParaRPr lang="en-US"/>
          </a:p>
        </c:txPr>
        <c:crossAx val="398563200"/>
        <c:crosses val="autoZero"/>
        <c:crossBetween val="between"/>
        <c:majorUnit val="2500"/>
      </c:valAx>
    </c:plotArea>
    <c:legend>
      <c:legendPos val="r"/>
      <c:layout>
        <c:manualLayout>
          <c:xMode val="edge"/>
          <c:yMode val="edge"/>
          <c:x val="0.86688640201946088"/>
          <c:y val="0.16904271403005003"/>
          <c:w val="9.9817304237225665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a:t>Linea 2</a:t>
            </a:r>
            <a:r>
              <a:rPr lang="it-IT" sz="1200" baseline="0"/>
              <a:t> - SENTIDO </a:t>
            </a:r>
            <a:r>
              <a:rPr lang="it-IT" sz="1200"/>
              <a:t>Este - Oeste HPM</a:t>
            </a:r>
          </a:p>
        </c:rich>
      </c:tx>
      <c:overlay val="1"/>
    </c:title>
    <c:autoTitleDeleted val="0"/>
    <c:plotArea>
      <c:layout>
        <c:manualLayout>
          <c:layoutTarget val="inner"/>
          <c:xMode val="edge"/>
          <c:yMode val="edge"/>
          <c:x val="0.10731465696868639"/>
          <c:y val="0.14200745951359256"/>
          <c:w val="0.87092792206145575"/>
          <c:h val="0.59306022815354709"/>
        </c:manualLayout>
      </c:layout>
      <c:barChart>
        <c:barDir val="col"/>
        <c:grouping val="clustered"/>
        <c:varyColors val="0"/>
        <c:ser>
          <c:idx val="1"/>
          <c:order val="0"/>
          <c:tx>
            <c:strRef>
              <c:f>ESC34_2030!$C$2</c:f>
              <c:strCache>
                <c:ptCount val="1"/>
                <c:pt idx="0">
                  <c:v>Sube</c:v>
                </c:pt>
              </c:strCache>
            </c:strRef>
          </c:tx>
          <c:invertIfNegative val="0"/>
          <c:cat>
            <c:strRef>
              <c:f>ESC34_2030!$B$3:$B$29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ESC34_2030!$C$3:$C$29</c:f>
              <c:numCache>
                <c:formatCode>_-* #,##0_-;\-* #,##0_-;_-* "-"??_-;_-@_-</c:formatCode>
                <c:ptCount val="27"/>
                <c:pt idx="0">
                  <c:v>2011.09772</c:v>
                </c:pt>
                <c:pt idx="1">
                  <c:v>5799.5105020000001</c:v>
                </c:pt>
                <c:pt idx="2">
                  <c:v>1336.3929069999922</c:v>
                </c:pt>
                <c:pt idx="3">
                  <c:v>490.30729000000002</c:v>
                </c:pt>
                <c:pt idx="4">
                  <c:v>2287.2453099999998</c:v>
                </c:pt>
                <c:pt idx="5">
                  <c:v>2149.731310000016</c:v>
                </c:pt>
                <c:pt idx="6">
                  <c:v>6484.1244670000024</c:v>
                </c:pt>
                <c:pt idx="7">
                  <c:v>2496.232845999984</c:v>
                </c:pt>
                <c:pt idx="8">
                  <c:v>837.67042000000004</c:v>
                </c:pt>
                <c:pt idx="9">
                  <c:v>1989.3600590000001</c:v>
                </c:pt>
                <c:pt idx="10">
                  <c:v>1173.7428910000001</c:v>
                </c:pt>
                <c:pt idx="11">
                  <c:v>27816.889556999809</c:v>
                </c:pt>
                <c:pt idx="12">
                  <c:v>744.92365400000006</c:v>
                </c:pt>
                <c:pt idx="13">
                  <c:v>1649.2535459999999</c:v>
                </c:pt>
                <c:pt idx="14">
                  <c:v>7933.4836829999995</c:v>
                </c:pt>
                <c:pt idx="15">
                  <c:v>441.29900399999963</c:v>
                </c:pt>
                <c:pt idx="16">
                  <c:v>333.41674999999788</c:v>
                </c:pt>
                <c:pt idx="17">
                  <c:v>52.017125</c:v>
                </c:pt>
                <c:pt idx="18">
                  <c:v>126.16559799999995</c:v>
                </c:pt>
                <c:pt idx="19">
                  <c:v>198.60425199999995</c:v>
                </c:pt>
                <c:pt idx="20">
                  <c:v>183.25617600000001</c:v>
                </c:pt>
                <c:pt idx="21">
                  <c:v>26.808800000000005</c:v>
                </c:pt>
                <c:pt idx="22">
                  <c:v>737.74421799999948</c:v>
                </c:pt>
                <c:pt idx="23">
                  <c:v>0</c:v>
                </c:pt>
                <c:pt idx="24">
                  <c:v>0</c:v>
                </c:pt>
                <c:pt idx="25">
                  <c:v>0</c:v>
                </c:pt>
                <c:pt idx="26">
                  <c:v>0</c:v>
                </c:pt>
              </c:numCache>
            </c:numRef>
          </c:val>
        </c:ser>
        <c:ser>
          <c:idx val="2"/>
          <c:order val="1"/>
          <c:tx>
            <c:strRef>
              <c:f>ESC34_2030!$D$2</c:f>
              <c:strCache>
                <c:ptCount val="1"/>
                <c:pt idx="0">
                  <c:v>Baja</c:v>
                </c:pt>
              </c:strCache>
            </c:strRef>
          </c:tx>
          <c:invertIfNegative val="0"/>
          <c:cat>
            <c:strRef>
              <c:f>ESC34_2030!$B$3:$B$29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ESC34_2030!$D$3:$D$29</c:f>
              <c:numCache>
                <c:formatCode>_-* #,##0_-;\-* #,##0_-;_-* "-"??_-;_-@_-</c:formatCode>
                <c:ptCount val="27"/>
                <c:pt idx="0">
                  <c:v>0</c:v>
                </c:pt>
                <c:pt idx="1">
                  <c:v>0</c:v>
                </c:pt>
                <c:pt idx="2">
                  <c:v>0</c:v>
                </c:pt>
                <c:pt idx="3">
                  <c:v>249.37552199999999</c:v>
                </c:pt>
                <c:pt idx="4">
                  <c:v>251.77328099999932</c:v>
                </c:pt>
                <c:pt idx="5">
                  <c:v>80.147450000000006</c:v>
                </c:pt>
                <c:pt idx="6">
                  <c:v>338.11860200000001</c:v>
                </c:pt>
                <c:pt idx="7">
                  <c:v>221.04078099999998</c:v>
                </c:pt>
                <c:pt idx="8">
                  <c:v>364.92444399999999</c:v>
                </c:pt>
                <c:pt idx="9">
                  <c:v>761.81513099999938</c:v>
                </c:pt>
                <c:pt idx="10">
                  <c:v>475.92203599999863</c:v>
                </c:pt>
                <c:pt idx="11">
                  <c:v>5362.0882730000003</c:v>
                </c:pt>
                <c:pt idx="12">
                  <c:v>748.53356299999996</c:v>
                </c:pt>
                <c:pt idx="13">
                  <c:v>529.26059899999996</c:v>
                </c:pt>
                <c:pt idx="14">
                  <c:v>23913.958405000118</c:v>
                </c:pt>
                <c:pt idx="15">
                  <c:v>353.11955999999969</c:v>
                </c:pt>
                <c:pt idx="16">
                  <c:v>1710.9279530000085</c:v>
                </c:pt>
                <c:pt idx="17">
                  <c:v>520.78059299999995</c:v>
                </c:pt>
                <c:pt idx="18">
                  <c:v>2056.7347409999998</c:v>
                </c:pt>
                <c:pt idx="19">
                  <c:v>3547.4292110000001</c:v>
                </c:pt>
                <c:pt idx="20">
                  <c:v>5200.7730789999996</c:v>
                </c:pt>
                <c:pt idx="21">
                  <c:v>117.732811</c:v>
                </c:pt>
                <c:pt idx="22">
                  <c:v>9727.285493999987</c:v>
                </c:pt>
                <c:pt idx="23">
                  <c:v>2423.9878520000002</c:v>
                </c:pt>
                <c:pt idx="24">
                  <c:v>3802.8690259999998</c:v>
                </c:pt>
                <c:pt idx="25">
                  <c:v>3643.8335040000161</c:v>
                </c:pt>
                <c:pt idx="26">
                  <c:v>896.84617299999798</c:v>
                </c:pt>
              </c:numCache>
            </c:numRef>
          </c:val>
        </c:ser>
        <c:dLbls>
          <c:showLegendKey val="0"/>
          <c:showVal val="0"/>
          <c:showCatName val="0"/>
          <c:showSerName val="0"/>
          <c:showPercent val="0"/>
          <c:showBubbleSize val="0"/>
        </c:dLbls>
        <c:gapWidth val="150"/>
        <c:axId val="398612352"/>
        <c:axId val="398613888"/>
      </c:barChart>
      <c:lineChart>
        <c:grouping val="standard"/>
        <c:varyColors val="0"/>
        <c:ser>
          <c:idx val="0"/>
          <c:order val="2"/>
          <c:tx>
            <c:strRef>
              <c:f>ESC34_2030!$E$2</c:f>
              <c:strCache>
                <c:ptCount val="1"/>
                <c:pt idx="0">
                  <c:v>Carga</c:v>
                </c:pt>
              </c:strCache>
            </c:strRef>
          </c:tx>
          <c:marker>
            <c:symbol val="none"/>
          </c:marker>
          <c:cat>
            <c:strRef>
              <c:f>ESC34_2030!$B$3:$B$29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ESC34_2030!$E$3:$E$29</c:f>
              <c:numCache>
                <c:formatCode>_-* #,##0_-;\-* #,##0_-;_-* "-"??_-;_-@_-</c:formatCode>
                <c:ptCount val="27"/>
                <c:pt idx="0">
                  <c:v>2011.09772</c:v>
                </c:pt>
                <c:pt idx="1">
                  <c:v>7810.6082220000044</c:v>
                </c:pt>
                <c:pt idx="2">
                  <c:v>9147.0011289999911</c:v>
                </c:pt>
                <c:pt idx="3">
                  <c:v>9387.9328970000006</c:v>
                </c:pt>
                <c:pt idx="4">
                  <c:v>11423.404926000001</c:v>
                </c:pt>
                <c:pt idx="5">
                  <c:v>13492.988786000002</c:v>
                </c:pt>
                <c:pt idx="6">
                  <c:v>19638.994651000005</c:v>
                </c:pt>
                <c:pt idx="7">
                  <c:v>21914.186716000004</c:v>
                </c:pt>
                <c:pt idx="8">
                  <c:v>22386.932692000009</c:v>
                </c:pt>
                <c:pt idx="9">
                  <c:v>23614.477620000001</c:v>
                </c:pt>
                <c:pt idx="10">
                  <c:v>24312.298475000021</c:v>
                </c:pt>
                <c:pt idx="11">
                  <c:v>46767.099759000004</c:v>
                </c:pt>
                <c:pt idx="12">
                  <c:v>46763.489850000013</c:v>
                </c:pt>
                <c:pt idx="13">
                  <c:v>47883.482797000011</c:v>
                </c:pt>
                <c:pt idx="14">
                  <c:v>31903.008075000005</c:v>
                </c:pt>
                <c:pt idx="15">
                  <c:v>31991.187519000003</c:v>
                </c:pt>
                <c:pt idx="16">
                  <c:v>30613.676315999997</c:v>
                </c:pt>
                <c:pt idx="17">
                  <c:v>30144.912848000004</c:v>
                </c:pt>
                <c:pt idx="18">
                  <c:v>28214.343705000021</c:v>
                </c:pt>
                <c:pt idx="19">
                  <c:v>24865.518746000002</c:v>
                </c:pt>
                <c:pt idx="20">
                  <c:v>19848.001843000005</c:v>
                </c:pt>
                <c:pt idx="21">
                  <c:v>19757.077832000021</c:v>
                </c:pt>
                <c:pt idx="22">
                  <c:v>10767.536556000006</c:v>
                </c:pt>
                <c:pt idx="23">
                  <c:v>8343.5487040000025</c:v>
                </c:pt>
                <c:pt idx="24">
                  <c:v>4540.6796780000022</c:v>
                </c:pt>
                <c:pt idx="25">
                  <c:v>896.84617400000207</c:v>
                </c:pt>
                <c:pt idx="26">
                  <c:v>0</c:v>
                </c:pt>
              </c:numCache>
            </c:numRef>
          </c:val>
          <c:smooth val="0"/>
        </c:ser>
        <c:dLbls>
          <c:showLegendKey val="0"/>
          <c:showVal val="0"/>
          <c:showCatName val="0"/>
          <c:showSerName val="0"/>
          <c:showPercent val="0"/>
          <c:showBubbleSize val="0"/>
        </c:dLbls>
        <c:marker val="1"/>
        <c:smooth val="0"/>
        <c:axId val="398612352"/>
        <c:axId val="398613888"/>
      </c:lineChart>
      <c:catAx>
        <c:axId val="398612352"/>
        <c:scaling>
          <c:orientation val="minMax"/>
        </c:scaling>
        <c:delete val="0"/>
        <c:axPos val="b"/>
        <c:majorTickMark val="out"/>
        <c:minorTickMark val="none"/>
        <c:tickLblPos val="nextTo"/>
        <c:txPr>
          <a:bodyPr rot="-5400000" vert="horz"/>
          <a:lstStyle/>
          <a:p>
            <a:pPr>
              <a:defRPr sz="900" b="0"/>
            </a:pPr>
            <a:endParaRPr lang="en-US"/>
          </a:p>
        </c:txPr>
        <c:crossAx val="398613888"/>
        <c:crosses val="autoZero"/>
        <c:auto val="1"/>
        <c:lblAlgn val="ctr"/>
        <c:lblOffset val="100"/>
        <c:noMultiLvlLbl val="0"/>
      </c:catAx>
      <c:valAx>
        <c:axId val="398613888"/>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3200209774887688E-2"/>
              <c:y val="0.38443491715783396"/>
            </c:manualLayout>
          </c:layout>
          <c:overlay val="0"/>
        </c:title>
        <c:numFmt formatCode="_-* #,##0_-;\-* #,##0_-;_-* &quot;-&quot;??_-;_-@_-" sourceLinked="1"/>
        <c:majorTickMark val="out"/>
        <c:minorTickMark val="none"/>
        <c:tickLblPos val="nextTo"/>
        <c:txPr>
          <a:bodyPr/>
          <a:lstStyle/>
          <a:p>
            <a:pPr>
              <a:defRPr sz="900" b="0"/>
            </a:pPr>
            <a:endParaRPr lang="en-US"/>
          </a:p>
        </c:txPr>
        <c:crossAx val="398612352"/>
        <c:crosses val="autoZero"/>
        <c:crossBetween val="between"/>
        <c:majorUnit val="2500"/>
      </c:valAx>
    </c:plotArea>
    <c:legend>
      <c:legendPos val="r"/>
      <c:layout>
        <c:manualLayout>
          <c:xMode val="edge"/>
          <c:yMode val="edge"/>
          <c:x val="0.87317104270362378"/>
          <c:y val="0.16904271403005003"/>
          <c:w val="9.353249696061032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0.10579555964263261"/>
          <c:y val="0.14200745951359259"/>
          <c:w val="0.87244701938751323"/>
          <c:h val="0.60079115144088091"/>
        </c:manualLayout>
      </c:layout>
      <c:barChart>
        <c:barDir val="col"/>
        <c:grouping val="clustered"/>
        <c:varyColors val="0"/>
        <c:ser>
          <c:idx val="1"/>
          <c:order val="0"/>
          <c:tx>
            <c:strRef>
              <c:f>ESC34_2030!$I$2</c:f>
              <c:strCache>
                <c:ptCount val="1"/>
                <c:pt idx="0">
                  <c:v>Sube</c:v>
                </c:pt>
              </c:strCache>
            </c:strRef>
          </c:tx>
          <c:invertIfNegative val="0"/>
          <c:cat>
            <c:strRef>
              <c:f>ESC34_2030!$H$11:$H$37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ESC34_2030!$I$11:$I$37</c:f>
              <c:numCache>
                <c:formatCode>_-* #,##0_-;\-* #,##0_-;_-* "-"??_-;_-@_-</c:formatCode>
                <c:ptCount val="27"/>
                <c:pt idx="0">
                  <c:v>2082.5128</c:v>
                </c:pt>
                <c:pt idx="1">
                  <c:v>1277.179529</c:v>
                </c:pt>
                <c:pt idx="2">
                  <c:v>2361.404188</c:v>
                </c:pt>
                <c:pt idx="3">
                  <c:v>1503.9108570000085</c:v>
                </c:pt>
                <c:pt idx="4">
                  <c:v>11222.331894000001</c:v>
                </c:pt>
                <c:pt idx="5">
                  <c:v>47.670010000000012</c:v>
                </c:pt>
                <c:pt idx="6">
                  <c:v>1132.872916999992</c:v>
                </c:pt>
                <c:pt idx="7">
                  <c:v>878.883691</c:v>
                </c:pt>
                <c:pt idx="8">
                  <c:v>442.759615</c:v>
                </c:pt>
                <c:pt idx="9">
                  <c:v>1111.6134809999908</c:v>
                </c:pt>
                <c:pt idx="10">
                  <c:v>1895.608469</c:v>
                </c:pt>
                <c:pt idx="11">
                  <c:v>217.400882</c:v>
                </c:pt>
                <c:pt idx="12">
                  <c:v>11137.969375000001</c:v>
                </c:pt>
                <c:pt idx="13">
                  <c:v>206.35696000000004</c:v>
                </c:pt>
                <c:pt idx="14">
                  <c:v>160.40550999999999</c:v>
                </c:pt>
                <c:pt idx="15">
                  <c:v>6144.9790599999997</c:v>
                </c:pt>
                <c:pt idx="16">
                  <c:v>211.78285199999999</c:v>
                </c:pt>
                <c:pt idx="17">
                  <c:v>847.99887200000353</c:v>
                </c:pt>
                <c:pt idx="18">
                  <c:v>466.11924100000078</c:v>
                </c:pt>
                <c:pt idx="19">
                  <c:v>228.24524</c:v>
                </c:pt>
                <c:pt idx="20">
                  <c:v>152.109398</c:v>
                </c:pt>
                <c:pt idx="21">
                  <c:v>158.20984999999999</c:v>
                </c:pt>
                <c:pt idx="22">
                  <c:v>66.954138999999998</c:v>
                </c:pt>
                <c:pt idx="23">
                  <c:v>73.775120000000001</c:v>
                </c:pt>
                <c:pt idx="24">
                  <c:v>0</c:v>
                </c:pt>
                <c:pt idx="25">
                  <c:v>0</c:v>
                </c:pt>
                <c:pt idx="26">
                  <c:v>0</c:v>
                </c:pt>
              </c:numCache>
            </c:numRef>
          </c:val>
        </c:ser>
        <c:ser>
          <c:idx val="2"/>
          <c:order val="1"/>
          <c:tx>
            <c:strRef>
              <c:f>ESC34_2030!$D$2</c:f>
              <c:strCache>
                <c:ptCount val="1"/>
                <c:pt idx="0">
                  <c:v>Baja</c:v>
                </c:pt>
              </c:strCache>
            </c:strRef>
          </c:tx>
          <c:invertIfNegative val="0"/>
          <c:cat>
            <c:strRef>
              <c:f>ESC34_2030!$H$11:$H$37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ESC34_2030!$J$11:$J$37</c:f>
              <c:numCache>
                <c:formatCode>_-* #,##0_-;\-* #,##0_-;_-* "-"??_-;_-@_-</c:formatCode>
                <c:ptCount val="27"/>
                <c:pt idx="0">
                  <c:v>0</c:v>
                </c:pt>
                <c:pt idx="1">
                  <c:v>0</c:v>
                </c:pt>
                <c:pt idx="2">
                  <c:v>0</c:v>
                </c:pt>
                <c:pt idx="3">
                  <c:v>0</c:v>
                </c:pt>
                <c:pt idx="4">
                  <c:v>1863.2342919999999</c:v>
                </c:pt>
                <c:pt idx="5">
                  <c:v>4.2298200000000001</c:v>
                </c:pt>
                <c:pt idx="6">
                  <c:v>227.36135800000082</c:v>
                </c:pt>
                <c:pt idx="7">
                  <c:v>292.37836899999894</c:v>
                </c:pt>
                <c:pt idx="8">
                  <c:v>206.43782900000082</c:v>
                </c:pt>
                <c:pt idx="9">
                  <c:v>0</c:v>
                </c:pt>
                <c:pt idx="10">
                  <c:v>263.20174799999899</c:v>
                </c:pt>
                <c:pt idx="11">
                  <c:v>367.19435399999969</c:v>
                </c:pt>
                <c:pt idx="12">
                  <c:v>11051.301302</c:v>
                </c:pt>
                <c:pt idx="13">
                  <c:v>1187.273864</c:v>
                </c:pt>
                <c:pt idx="14">
                  <c:v>621.19438500000354</c:v>
                </c:pt>
                <c:pt idx="15">
                  <c:v>10845.667611999987</c:v>
                </c:pt>
                <c:pt idx="16">
                  <c:v>383.57974100000001</c:v>
                </c:pt>
                <c:pt idx="17">
                  <c:v>1098.4443289999924</c:v>
                </c:pt>
                <c:pt idx="18">
                  <c:v>515.93208099999947</c:v>
                </c:pt>
                <c:pt idx="19">
                  <c:v>729.41966199999797</c:v>
                </c:pt>
                <c:pt idx="20">
                  <c:v>5122.1542870000003</c:v>
                </c:pt>
                <c:pt idx="21">
                  <c:v>902.133062</c:v>
                </c:pt>
                <c:pt idx="22">
                  <c:v>2227.6466219999802</c:v>
                </c:pt>
                <c:pt idx="23">
                  <c:v>1487.2523189999924</c:v>
                </c:pt>
                <c:pt idx="24">
                  <c:v>721.78479500000435</c:v>
                </c:pt>
                <c:pt idx="25">
                  <c:v>2197.0599809999999</c:v>
                </c:pt>
                <c:pt idx="26">
                  <c:v>1714.1721369999884</c:v>
                </c:pt>
              </c:numCache>
            </c:numRef>
          </c:val>
        </c:ser>
        <c:dLbls>
          <c:showLegendKey val="0"/>
          <c:showVal val="0"/>
          <c:showCatName val="0"/>
          <c:showSerName val="0"/>
          <c:showPercent val="0"/>
          <c:showBubbleSize val="0"/>
        </c:dLbls>
        <c:gapWidth val="150"/>
        <c:axId val="398669696"/>
        <c:axId val="398671232"/>
      </c:barChart>
      <c:lineChart>
        <c:grouping val="standard"/>
        <c:varyColors val="0"/>
        <c:ser>
          <c:idx val="0"/>
          <c:order val="2"/>
          <c:tx>
            <c:strRef>
              <c:f>ESC34_2030!$E$2</c:f>
              <c:strCache>
                <c:ptCount val="1"/>
                <c:pt idx="0">
                  <c:v>Carga</c:v>
                </c:pt>
              </c:strCache>
            </c:strRef>
          </c:tx>
          <c:marker>
            <c:symbol val="none"/>
          </c:marker>
          <c:cat>
            <c:strRef>
              <c:f>ESC34_2030!$H$11:$H$37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ESC34_2030!$K$11:$K$37</c:f>
              <c:numCache>
                <c:formatCode>_-* #,##0_-;\-* #,##0_-;_-* "-"??_-;_-@_-</c:formatCode>
                <c:ptCount val="27"/>
                <c:pt idx="0">
                  <c:v>2082.5128</c:v>
                </c:pt>
                <c:pt idx="1">
                  <c:v>3359.692329</c:v>
                </c:pt>
                <c:pt idx="2">
                  <c:v>5721.0965170000009</c:v>
                </c:pt>
                <c:pt idx="3">
                  <c:v>7225.0073739999998</c:v>
                </c:pt>
                <c:pt idx="4">
                  <c:v>16584.104975999897</c:v>
                </c:pt>
                <c:pt idx="5">
                  <c:v>16627.545166</c:v>
                </c:pt>
                <c:pt idx="6">
                  <c:v>17533.056725000009</c:v>
                </c:pt>
                <c:pt idx="7">
                  <c:v>18119.562046999996</c:v>
                </c:pt>
                <c:pt idx="8">
                  <c:v>18355.883833000025</c:v>
                </c:pt>
                <c:pt idx="9">
                  <c:v>19467.497314000029</c:v>
                </c:pt>
                <c:pt idx="10">
                  <c:v>21099.904035000021</c:v>
                </c:pt>
                <c:pt idx="11">
                  <c:v>20950.110562999813</c:v>
                </c:pt>
                <c:pt idx="12">
                  <c:v>21036.778636000003</c:v>
                </c:pt>
                <c:pt idx="13">
                  <c:v>20055.861732000005</c:v>
                </c:pt>
                <c:pt idx="14">
                  <c:v>19595.072857000006</c:v>
                </c:pt>
                <c:pt idx="15">
                  <c:v>14894.384305000005</c:v>
                </c:pt>
                <c:pt idx="16">
                  <c:v>14722.587416000006</c:v>
                </c:pt>
                <c:pt idx="17">
                  <c:v>14472.141959000006</c:v>
                </c:pt>
                <c:pt idx="18">
                  <c:v>14422.329118999995</c:v>
                </c:pt>
                <c:pt idx="19">
                  <c:v>13921.154697000005</c:v>
                </c:pt>
                <c:pt idx="20">
                  <c:v>8951.1098080000047</c:v>
                </c:pt>
                <c:pt idx="21">
                  <c:v>8207.1865960000032</c:v>
                </c:pt>
                <c:pt idx="22">
                  <c:v>6046.4941130000025</c:v>
                </c:pt>
                <c:pt idx="23">
                  <c:v>4633.0169140000044</c:v>
                </c:pt>
                <c:pt idx="24">
                  <c:v>3911.2321190000025</c:v>
                </c:pt>
                <c:pt idx="25">
                  <c:v>1714.172137999994</c:v>
                </c:pt>
                <c:pt idx="26">
                  <c:v>0</c:v>
                </c:pt>
              </c:numCache>
            </c:numRef>
          </c:val>
          <c:smooth val="0"/>
        </c:ser>
        <c:dLbls>
          <c:showLegendKey val="0"/>
          <c:showVal val="0"/>
          <c:showCatName val="0"/>
          <c:showSerName val="0"/>
          <c:showPercent val="0"/>
          <c:showBubbleSize val="0"/>
        </c:dLbls>
        <c:marker val="1"/>
        <c:smooth val="0"/>
        <c:axId val="398669696"/>
        <c:axId val="398671232"/>
      </c:lineChart>
      <c:catAx>
        <c:axId val="398669696"/>
        <c:scaling>
          <c:orientation val="minMax"/>
        </c:scaling>
        <c:delete val="0"/>
        <c:axPos val="b"/>
        <c:majorTickMark val="out"/>
        <c:minorTickMark val="none"/>
        <c:tickLblPos val="nextTo"/>
        <c:txPr>
          <a:bodyPr rot="-5400000" vert="horz"/>
          <a:lstStyle/>
          <a:p>
            <a:pPr>
              <a:defRPr sz="900" b="0"/>
            </a:pPr>
            <a:endParaRPr lang="en-US"/>
          </a:p>
        </c:txPr>
        <c:crossAx val="398671232"/>
        <c:crosses val="autoZero"/>
        <c:auto val="1"/>
        <c:lblAlgn val="ctr"/>
        <c:lblOffset val="100"/>
        <c:noMultiLvlLbl val="0"/>
      </c:catAx>
      <c:valAx>
        <c:axId val="398671232"/>
        <c:scaling>
          <c:orientation val="minMax"/>
          <c:max val="50000"/>
          <c:min val="0"/>
        </c:scaling>
        <c:delete val="0"/>
        <c:axPos val="l"/>
        <c:majorGridlines>
          <c:spPr>
            <a:ln>
              <a:solidFill>
                <a:sysClr val="windowText" lastClr="000000">
                  <a:tint val="75000"/>
                  <a:shade val="95000"/>
                  <a:satMod val="105000"/>
                </a:sysClr>
              </a:solidFill>
              <a:prstDash val="sysDot"/>
            </a:ln>
          </c:spPr>
        </c:majorGridlines>
        <c:title>
          <c:tx>
            <c:rich>
              <a:bodyPr rot="-5400000" vert="horz"/>
              <a:lstStyle/>
              <a:p>
                <a:pPr>
                  <a:defRPr/>
                </a:pPr>
                <a:r>
                  <a:rPr lang="it-IT"/>
                  <a:t>VIAJEROS</a:t>
                </a:r>
              </a:p>
            </c:rich>
          </c:tx>
          <c:layout>
            <c:manualLayout>
              <c:xMode val="edge"/>
              <c:yMode val="edge"/>
              <c:x val="1.2689915387471277E-2"/>
              <c:y val="0.38443491715783396"/>
            </c:manualLayout>
          </c:layout>
          <c:overlay val="0"/>
        </c:title>
        <c:numFmt formatCode="_-* #,##0_-;\-* #,##0_-;_-* &quot;-&quot;??_-;_-@_-" sourceLinked="1"/>
        <c:majorTickMark val="out"/>
        <c:minorTickMark val="none"/>
        <c:tickLblPos val="nextTo"/>
        <c:txPr>
          <a:bodyPr/>
          <a:lstStyle/>
          <a:p>
            <a:pPr>
              <a:defRPr b="0"/>
            </a:pPr>
            <a:endParaRPr lang="en-US"/>
          </a:p>
        </c:txPr>
        <c:crossAx val="398669696"/>
        <c:crosses val="autoZero"/>
        <c:crossBetween val="between"/>
        <c:majorUnit val="2500"/>
      </c:valAx>
    </c:plotArea>
    <c:legend>
      <c:legendPos val="r"/>
      <c:layout>
        <c:manualLayout>
          <c:xMode val="edge"/>
          <c:yMode val="edge"/>
          <c:x val="0.86253736142123882"/>
          <c:y val="0.16904271403005003"/>
          <c:w val="0.10416617824298664"/>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0.10594769138730455"/>
          <c:y val="0.14200745951359259"/>
          <c:w val="0.87229490084812134"/>
          <c:h val="0.58776926542571417"/>
        </c:manualLayout>
      </c:layout>
      <c:barChart>
        <c:barDir val="col"/>
        <c:grouping val="clustered"/>
        <c:varyColors val="0"/>
        <c:ser>
          <c:idx val="1"/>
          <c:order val="0"/>
          <c:tx>
            <c:strRef>
              <c:f>ESC34_2030!$C$2</c:f>
              <c:strCache>
                <c:ptCount val="1"/>
                <c:pt idx="0">
                  <c:v>Sube</c:v>
                </c:pt>
              </c:strCache>
            </c:strRef>
          </c:tx>
          <c:invertIfNegative val="0"/>
          <c:cat>
            <c:strRef>
              <c:f>ESC34_2030!$B$44:$B$70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ESC34_2030!$C$44:$C$70</c:f>
              <c:numCache>
                <c:formatCode>_-* #,##0_-;\-* #,##0_-;_-* "-"??_-;_-@_-</c:formatCode>
                <c:ptCount val="27"/>
                <c:pt idx="0">
                  <c:v>2583.8828699999854</c:v>
                </c:pt>
                <c:pt idx="1">
                  <c:v>2622.284267999984</c:v>
                </c:pt>
                <c:pt idx="2">
                  <c:v>851.55115199999796</c:v>
                </c:pt>
                <c:pt idx="3">
                  <c:v>650.75717999999949</c:v>
                </c:pt>
                <c:pt idx="4">
                  <c:v>2607.7301259999999</c:v>
                </c:pt>
                <c:pt idx="5">
                  <c:v>1288.6643089999873</c:v>
                </c:pt>
                <c:pt idx="6">
                  <c:v>4516.5804610000014</c:v>
                </c:pt>
                <c:pt idx="7">
                  <c:v>1988.7697989999999</c:v>
                </c:pt>
                <c:pt idx="8">
                  <c:v>810.844739</c:v>
                </c:pt>
                <c:pt idx="9">
                  <c:v>1203.5468940000001</c:v>
                </c:pt>
                <c:pt idx="10">
                  <c:v>234.69873000000001</c:v>
                </c:pt>
                <c:pt idx="11">
                  <c:v>10598.893883999985</c:v>
                </c:pt>
                <c:pt idx="12">
                  <c:v>537.50858400000004</c:v>
                </c:pt>
                <c:pt idx="13">
                  <c:v>752.16105299999947</c:v>
                </c:pt>
                <c:pt idx="14">
                  <c:v>9812.518910999981</c:v>
                </c:pt>
                <c:pt idx="15">
                  <c:v>543.87976000000003</c:v>
                </c:pt>
                <c:pt idx="16">
                  <c:v>128.16301899999999</c:v>
                </c:pt>
                <c:pt idx="17">
                  <c:v>42.725180000000236</c:v>
                </c:pt>
                <c:pt idx="18">
                  <c:v>127.44015600000041</c:v>
                </c:pt>
                <c:pt idx="19">
                  <c:v>224.48525100000001</c:v>
                </c:pt>
                <c:pt idx="20">
                  <c:v>243.96046600000082</c:v>
                </c:pt>
                <c:pt idx="21">
                  <c:v>8.0186300000000017</c:v>
                </c:pt>
                <c:pt idx="22">
                  <c:v>1234.61457</c:v>
                </c:pt>
                <c:pt idx="23">
                  <c:v>0</c:v>
                </c:pt>
                <c:pt idx="24">
                  <c:v>0</c:v>
                </c:pt>
                <c:pt idx="25">
                  <c:v>0</c:v>
                </c:pt>
                <c:pt idx="26">
                  <c:v>0</c:v>
                </c:pt>
              </c:numCache>
            </c:numRef>
          </c:val>
        </c:ser>
        <c:ser>
          <c:idx val="2"/>
          <c:order val="1"/>
          <c:tx>
            <c:strRef>
              <c:f>ESC34_2030!$D$2</c:f>
              <c:strCache>
                <c:ptCount val="1"/>
                <c:pt idx="0">
                  <c:v>Baja</c:v>
                </c:pt>
              </c:strCache>
            </c:strRef>
          </c:tx>
          <c:invertIfNegative val="0"/>
          <c:cat>
            <c:strRef>
              <c:f>ESC34_2030!$B$44:$B$70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ESC34_2030!$D$44:$D$70</c:f>
              <c:numCache>
                <c:formatCode>_-* #,##0_-;\-* #,##0_-;_-* "-"??_-;_-@_-</c:formatCode>
                <c:ptCount val="27"/>
                <c:pt idx="0">
                  <c:v>0</c:v>
                </c:pt>
                <c:pt idx="1">
                  <c:v>0</c:v>
                </c:pt>
                <c:pt idx="2">
                  <c:v>0</c:v>
                </c:pt>
                <c:pt idx="3">
                  <c:v>30.595490999999893</c:v>
                </c:pt>
                <c:pt idx="4">
                  <c:v>37.691200000000002</c:v>
                </c:pt>
                <c:pt idx="5">
                  <c:v>74.04034</c:v>
                </c:pt>
                <c:pt idx="6">
                  <c:v>126.98737199999998</c:v>
                </c:pt>
                <c:pt idx="7">
                  <c:v>234.95850700000082</c:v>
                </c:pt>
                <c:pt idx="8">
                  <c:v>300.07634199999899</c:v>
                </c:pt>
                <c:pt idx="9">
                  <c:v>537.01816099999996</c:v>
                </c:pt>
                <c:pt idx="10">
                  <c:v>225.129413</c:v>
                </c:pt>
                <c:pt idx="11">
                  <c:v>6529.6497850000005</c:v>
                </c:pt>
                <c:pt idx="12">
                  <c:v>150.07914</c:v>
                </c:pt>
                <c:pt idx="13">
                  <c:v>306.95827000000003</c:v>
                </c:pt>
                <c:pt idx="14">
                  <c:v>10955.984601</c:v>
                </c:pt>
                <c:pt idx="15">
                  <c:v>173.93014000000082</c:v>
                </c:pt>
                <c:pt idx="16">
                  <c:v>1088.4925029999999</c:v>
                </c:pt>
                <c:pt idx="17">
                  <c:v>347.93001599999758</c:v>
                </c:pt>
                <c:pt idx="18">
                  <c:v>371.178742</c:v>
                </c:pt>
                <c:pt idx="19">
                  <c:v>788.50825699999996</c:v>
                </c:pt>
                <c:pt idx="20">
                  <c:v>1723.9430600000001</c:v>
                </c:pt>
                <c:pt idx="21">
                  <c:v>64.556775999999758</c:v>
                </c:pt>
                <c:pt idx="22">
                  <c:v>10453.738660000006</c:v>
                </c:pt>
                <c:pt idx="23">
                  <c:v>2605.497429</c:v>
                </c:pt>
                <c:pt idx="24">
                  <c:v>2708.04297</c:v>
                </c:pt>
                <c:pt idx="25">
                  <c:v>2761.0710770000146</c:v>
                </c:pt>
                <c:pt idx="26">
                  <c:v>1017.621739</c:v>
                </c:pt>
              </c:numCache>
            </c:numRef>
          </c:val>
        </c:ser>
        <c:dLbls>
          <c:showLegendKey val="0"/>
          <c:showVal val="0"/>
          <c:showCatName val="0"/>
          <c:showSerName val="0"/>
          <c:showPercent val="0"/>
          <c:showBubbleSize val="0"/>
        </c:dLbls>
        <c:gapWidth val="150"/>
        <c:axId val="398723328"/>
        <c:axId val="398745600"/>
      </c:barChart>
      <c:lineChart>
        <c:grouping val="standard"/>
        <c:varyColors val="0"/>
        <c:ser>
          <c:idx val="0"/>
          <c:order val="2"/>
          <c:tx>
            <c:strRef>
              <c:f>ESC34_2030!$E$2</c:f>
              <c:strCache>
                <c:ptCount val="1"/>
                <c:pt idx="0">
                  <c:v>Carga</c:v>
                </c:pt>
              </c:strCache>
            </c:strRef>
          </c:tx>
          <c:marker>
            <c:symbol val="none"/>
          </c:marker>
          <c:cat>
            <c:strRef>
              <c:f>ESC34_2030!$B$44:$B$70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ESC34_2030!$E$44:$E$70</c:f>
              <c:numCache>
                <c:formatCode>_-* #,##0_-;\-* #,##0_-;_-* "-"??_-;_-@_-</c:formatCode>
                <c:ptCount val="27"/>
                <c:pt idx="0">
                  <c:v>2583.8828699999854</c:v>
                </c:pt>
                <c:pt idx="1">
                  <c:v>5206.1671380000034</c:v>
                </c:pt>
                <c:pt idx="2">
                  <c:v>6057.7182900000034</c:v>
                </c:pt>
                <c:pt idx="3">
                  <c:v>6677.8799789999994</c:v>
                </c:pt>
                <c:pt idx="4">
                  <c:v>9247.9189049999422</c:v>
                </c:pt>
                <c:pt idx="5">
                  <c:v>10462.542874000002</c:v>
                </c:pt>
                <c:pt idx="6">
                  <c:v>14852.135963000001</c:v>
                </c:pt>
                <c:pt idx="7">
                  <c:v>16605.947255000021</c:v>
                </c:pt>
                <c:pt idx="8">
                  <c:v>17116.715652000003</c:v>
                </c:pt>
                <c:pt idx="9">
                  <c:v>17783.244385000125</c:v>
                </c:pt>
                <c:pt idx="10">
                  <c:v>17792.813702000003</c:v>
                </c:pt>
                <c:pt idx="11">
                  <c:v>21862.057801000021</c:v>
                </c:pt>
                <c:pt idx="12">
                  <c:v>22249.487245000029</c:v>
                </c:pt>
                <c:pt idx="13">
                  <c:v>22694.690027999892</c:v>
                </c:pt>
                <c:pt idx="14">
                  <c:v>21551.224338</c:v>
                </c:pt>
                <c:pt idx="15">
                  <c:v>21921.173957999832</c:v>
                </c:pt>
                <c:pt idx="16">
                  <c:v>20960.844473999998</c:v>
                </c:pt>
                <c:pt idx="17">
                  <c:v>20655.639637999775</c:v>
                </c:pt>
                <c:pt idx="18">
                  <c:v>20411.901052000001</c:v>
                </c:pt>
                <c:pt idx="19">
                  <c:v>19847.878045999998</c:v>
                </c:pt>
                <c:pt idx="20">
                  <c:v>18367.895451999997</c:v>
                </c:pt>
                <c:pt idx="21">
                  <c:v>18311.357305999994</c:v>
                </c:pt>
                <c:pt idx="22">
                  <c:v>9092.2332159999969</c:v>
                </c:pt>
                <c:pt idx="23">
                  <c:v>6486.7357869999905</c:v>
                </c:pt>
                <c:pt idx="24">
                  <c:v>3778.6928169999951</c:v>
                </c:pt>
                <c:pt idx="25">
                  <c:v>1017.621739999995</c:v>
                </c:pt>
                <c:pt idx="26">
                  <c:v>0</c:v>
                </c:pt>
              </c:numCache>
            </c:numRef>
          </c:val>
          <c:smooth val="0"/>
        </c:ser>
        <c:dLbls>
          <c:showLegendKey val="0"/>
          <c:showVal val="0"/>
          <c:showCatName val="0"/>
          <c:showSerName val="0"/>
          <c:showPercent val="0"/>
          <c:showBubbleSize val="0"/>
        </c:dLbls>
        <c:marker val="1"/>
        <c:smooth val="0"/>
        <c:axId val="398723328"/>
        <c:axId val="398745600"/>
      </c:lineChart>
      <c:catAx>
        <c:axId val="398723328"/>
        <c:scaling>
          <c:orientation val="minMax"/>
        </c:scaling>
        <c:delete val="0"/>
        <c:axPos val="b"/>
        <c:majorTickMark val="out"/>
        <c:minorTickMark val="none"/>
        <c:tickLblPos val="nextTo"/>
        <c:txPr>
          <a:bodyPr rot="-5400000" vert="horz"/>
          <a:lstStyle/>
          <a:p>
            <a:pPr>
              <a:defRPr sz="900" b="0"/>
            </a:pPr>
            <a:endParaRPr lang="en-US"/>
          </a:p>
        </c:txPr>
        <c:crossAx val="398745600"/>
        <c:crosses val="autoZero"/>
        <c:auto val="1"/>
        <c:lblAlgn val="ctr"/>
        <c:lblOffset val="100"/>
        <c:noMultiLvlLbl val="0"/>
      </c:catAx>
      <c:valAx>
        <c:axId val="398745600"/>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4342049768219981E-2"/>
              <c:y val="0.38638367490739212"/>
            </c:manualLayout>
          </c:layout>
          <c:overlay val="0"/>
        </c:title>
        <c:numFmt formatCode="_-* #,##0_-;\-* #,##0_-;_-* &quot;-&quot;??_-;_-@_-" sourceLinked="1"/>
        <c:majorTickMark val="out"/>
        <c:minorTickMark val="none"/>
        <c:tickLblPos val="nextTo"/>
        <c:txPr>
          <a:bodyPr/>
          <a:lstStyle/>
          <a:p>
            <a:pPr>
              <a:defRPr sz="900" b="0"/>
            </a:pPr>
            <a:endParaRPr lang="en-US"/>
          </a:p>
        </c:txPr>
        <c:crossAx val="398723328"/>
        <c:crosses val="autoZero"/>
        <c:crossBetween val="between"/>
        <c:majorUnit val="2500"/>
      </c:valAx>
    </c:plotArea>
    <c:legend>
      <c:legendPos val="r"/>
      <c:layout>
        <c:manualLayout>
          <c:xMode val="edge"/>
          <c:yMode val="edge"/>
          <c:x val="0.86989382172984464"/>
          <c:y val="0.16904271403005003"/>
          <c:w val="9.6809833112291743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17605642694318"/>
          <c:y val="3.1244168474822209E-2"/>
          <c:w val="0.58529465484371912"/>
          <c:h val="0.85503097746832835"/>
        </c:manualLayout>
      </c:layout>
      <c:scatterChart>
        <c:scatterStyle val="lineMarker"/>
        <c:varyColors val="0"/>
        <c:ser>
          <c:idx val="0"/>
          <c:order val="0"/>
          <c:tx>
            <c:strRef>
              <c:f>PRIVADO!$C$2</c:f>
              <c:strCache>
                <c:ptCount val="1"/>
                <c:pt idx="0">
                  <c:v>De 09 de Octubre a Fernando Wiesse</c:v>
                </c:pt>
              </c:strCache>
            </c:strRef>
          </c:tx>
          <c:spPr>
            <a:ln w="28575">
              <a:noFill/>
            </a:ln>
          </c:spPr>
          <c:xVal>
            <c:numRef>
              <c:f>PRIVADO!$D$2:$D$6</c:f>
              <c:numCache>
                <c:formatCode>hh:mm</c:formatCode>
                <c:ptCount val="5"/>
                <c:pt idx="0">
                  <c:v>0.33055555555555582</c:v>
                </c:pt>
                <c:pt idx="1">
                  <c:v>0.36250000000000032</c:v>
                </c:pt>
                <c:pt idx="2">
                  <c:v>0.70972222222222225</c:v>
                </c:pt>
                <c:pt idx="3">
                  <c:v>0.74097222222222225</c:v>
                </c:pt>
                <c:pt idx="4">
                  <c:v>0.77777777777779611</c:v>
                </c:pt>
              </c:numCache>
            </c:numRef>
          </c:xVal>
          <c:yVal>
            <c:numRef>
              <c:f>PRIVADO!$F$2:$F$6</c:f>
              <c:numCache>
                <c:formatCode>hh:mm</c:formatCode>
                <c:ptCount val="5"/>
                <c:pt idx="0">
                  <c:v>1.5277777777777841E-2</c:v>
                </c:pt>
                <c:pt idx="1">
                  <c:v>1.4583333333333401E-2</c:v>
                </c:pt>
                <c:pt idx="2">
                  <c:v>1.5277777777777725E-2</c:v>
                </c:pt>
                <c:pt idx="3">
                  <c:v>1.6666666666666621E-2</c:v>
                </c:pt>
                <c:pt idx="4">
                  <c:v>1.597222222222228E-2</c:v>
                </c:pt>
              </c:numCache>
            </c:numRef>
          </c:yVal>
          <c:smooth val="0"/>
        </c:ser>
        <c:ser>
          <c:idx val="1"/>
          <c:order val="1"/>
          <c:tx>
            <c:strRef>
              <c:f>PRIVADO!$C$7</c:f>
              <c:strCache>
                <c:ptCount val="1"/>
                <c:pt idx="0">
                  <c:v>De Carretera Central a Guardia Chalaca</c:v>
                </c:pt>
              </c:strCache>
            </c:strRef>
          </c:tx>
          <c:spPr>
            <a:ln w="28575">
              <a:noFill/>
            </a:ln>
          </c:spPr>
          <c:xVal>
            <c:numRef>
              <c:f>PRIVADO!$D$7:$D$12</c:f>
              <c:numCache>
                <c:formatCode>hh:mm</c:formatCode>
                <c:ptCount val="6"/>
                <c:pt idx="0">
                  <c:v>0.38680555555556489</c:v>
                </c:pt>
                <c:pt idx="1">
                  <c:v>0.50138888888888888</c:v>
                </c:pt>
                <c:pt idx="2">
                  <c:v>0.77916666666666667</c:v>
                </c:pt>
                <c:pt idx="3">
                  <c:v>0.26319444444444445</c:v>
                </c:pt>
                <c:pt idx="4">
                  <c:v>0.32916666666668165</c:v>
                </c:pt>
                <c:pt idx="5">
                  <c:v>0.75763888888890063</c:v>
                </c:pt>
              </c:numCache>
            </c:numRef>
          </c:xVal>
          <c:yVal>
            <c:numRef>
              <c:f>PRIVADO!$F$7:$F$12</c:f>
              <c:numCache>
                <c:formatCode>hh:mm</c:formatCode>
                <c:ptCount val="6"/>
                <c:pt idx="0">
                  <c:v>5.4166666666666904E-2</c:v>
                </c:pt>
                <c:pt idx="1">
                  <c:v>2.0833333333333412E-2</c:v>
                </c:pt>
                <c:pt idx="2">
                  <c:v>6.1805555555555475E-2</c:v>
                </c:pt>
                <c:pt idx="3">
                  <c:v>1.1111111111111101E-2</c:v>
                </c:pt>
                <c:pt idx="4">
                  <c:v>6.0416666666666834E-2</c:v>
                </c:pt>
                <c:pt idx="5">
                  <c:v>6.3888888888888884E-2</c:v>
                </c:pt>
              </c:numCache>
            </c:numRef>
          </c:yVal>
          <c:smooth val="0"/>
        </c:ser>
        <c:ser>
          <c:idx val="2"/>
          <c:order val="2"/>
          <c:tx>
            <c:strRef>
              <c:f>PRIVADO!$C$13</c:f>
              <c:strCache>
                <c:ptCount val="1"/>
                <c:pt idx="0">
                  <c:v>De Estación de Villa El Salvador a Estación Grau</c:v>
                </c:pt>
              </c:strCache>
            </c:strRef>
          </c:tx>
          <c:spPr>
            <a:ln w="28575">
              <a:noFill/>
            </a:ln>
          </c:spPr>
          <c:xVal>
            <c:numRef>
              <c:f>PRIVADO!$D$13:$D$19</c:f>
              <c:numCache>
                <c:formatCode>hh:mm</c:formatCode>
                <c:ptCount val="7"/>
                <c:pt idx="0">
                  <c:v>0.32013888888890013</c:v>
                </c:pt>
                <c:pt idx="1">
                  <c:v>0.69444444444444464</c:v>
                </c:pt>
                <c:pt idx="2">
                  <c:v>0.79722222222222217</c:v>
                </c:pt>
                <c:pt idx="3">
                  <c:v>0.28402777777779215</c:v>
                </c:pt>
                <c:pt idx="4">
                  <c:v>0.37986111111111132</c:v>
                </c:pt>
                <c:pt idx="5">
                  <c:v>0.74236111111111114</c:v>
                </c:pt>
                <c:pt idx="6">
                  <c:v>0.30208333333333331</c:v>
                </c:pt>
              </c:numCache>
            </c:numRef>
          </c:xVal>
          <c:yVal>
            <c:numRef>
              <c:f>PRIVADO!$F$13:$F$19</c:f>
              <c:numCache>
                <c:formatCode>hh:mm</c:formatCode>
                <c:ptCount val="7"/>
                <c:pt idx="0">
                  <c:v>5.8333333333334923E-2</c:v>
                </c:pt>
                <c:pt idx="1">
                  <c:v>4.7222222222222172E-2</c:v>
                </c:pt>
                <c:pt idx="2">
                  <c:v>5.8333333333334923E-2</c:v>
                </c:pt>
                <c:pt idx="3">
                  <c:v>3.4722222222222265E-2</c:v>
                </c:pt>
                <c:pt idx="4">
                  <c:v>4.6527777777777696E-2</c:v>
                </c:pt>
                <c:pt idx="5">
                  <c:v>5.4166666666666904E-2</c:v>
                </c:pt>
                <c:pt idx="6">
                  <c:v>2.8472222222222242E-2</c:v>
                </c:pt>
              </c:numCache>
            </c:numRef>
          </c:yVal>
          <c:smooth val="0"/>
        </c:ser>
        <c:ser>
          <c:idx val="3"/>
          <c:order val="3"/>
          <c:tx>
            <c:strRef>
              <c:f>PRIVADO!$C$16</c:f>
              <c:strCache>
                <c:ptCount val="1"/>
                <c:pt idx="0">
                  <c:v>De Estación Grau a Estación Villa El Salvador</c:v>
                </c:pt>
              </c:strCache>
            </c:strRef>
          </c:tx>
          <c:spPr>
            <a:ln w="28575">
              <a:noFill/>
            </a:ln>
          </c:spPr>
          <c:marker>
            <c:symbol val="triangle"/>
            <c:size val="7"/>
            <c:spPr>
              <a:solidFill>
                <a:srgbClr val="FF0000"/>
              </a:solidFill>
              <a:ln>
                <a:noFill/>
              </a:ln>
            </c:spPr>
          </c:marker>
          <c:xVal>
            <c:numRef>
              <c:f>PRIVADO!$D$16:$D$19</c:f>
              <c:numCache>
                <c:formatCode>hh:mm</c:formatCode>
                <c:ptCount val="4"/>
                <c:pt idx="0">
                  <c:v>0.28402777777779215</c:v>
                </c:pt>
                <c:pt idx="1">
                  <c:v>0.37986111111111132</c:v>
                </c:pt>
                <c:pt idx="2">
                  <c:v>0.74236111111111114</c:v>
                </c:pt>
                <c:pt idx="3">
                  <c:v>0.30208333333333331</c:v>
                </c:pt>
              </c:numCache>
            </c:numRef>
          </c:xVal>
          <c:yVal>
            <c:numRef>
              <c:f>PRIVADO!$F$16:$F$19</c:f>
              <c:numCache>
                <c:formatCode>hh:mm</c:formatCode>
                <c:ptCount val="4"/>
                <c:pt idx="0">
                  <c:v>3.4722222222222265E-2</c:v>
                </c:pt>
                <c:pt idx="1">
                  <c:v>4.6527777777777696E-2</c:v>
                </c:pt>
                <c:pt idx="2">
                  <c:v>5.4166666666666904E-2</c:v>
                </c:pt>
                <c:pt idx="3">
                  <c:v>2.8472222222222242E-2</c:v>
                </c:pt>
              </c:numCache>
            </c:numRef>
          </c:yVal>
          <c:smooth val="0"/>
        </c:ser>
        <c:ser>
          <c:idx val="4"/>
          <c:order val="4"/>
          <c:tx>
            <c:strRef>
              <c:f>PRIVADO!$C$20</c:f>
              <c:strCache>
                <c:ptCount val="1"/>
                <c:pt idx="0">
                  <c:v>De Estación Matellini a Estación Naranjal</c:v>
                </c:pt>
              </c:strCache>
            </c:strRef>
          </c:tx>
          <c:spPr>
            <a:ln w="28575">
              <a:noFill/>
            </a:ln>
          </c:spPr>
          <c:marker>
            <c:symbol val="star"/>
            <c:size val="7"/>
            <c:spPr>
              <a:solidFill>
                <a:srgbClr val="1F497D">
                  <a:lumMod val="60000"/>
                  <a:lumOff val="40000"/>
                </a:srgbClr>
              </a:solidFill>
            </c:spPr>
          </c:marker>
          <c:xVal>
            <c:numRef>
              <c:f>PRIVADO!$D$20:$D$25</c:f>
              <c:numCache>
                <c:formatCode>hh:mm</c:formatCode>
                <c:ptCount val="6"/>
                <c:pt idx="0">
                  <c:v>0.36388888888890958</c:v>
                </c:pt>
                <c:pt idx="1">
                  <c:v>0.6875</c:v>
                </c:pt>
                <c:pt idx="2">
                  <c:v>0.30138888888890958</c:v>
                </c:pt>
                <c:pt idx="3">
                  <c:v>0.26805555555555555</c:v>
                </c:pt>
                <c:pt idx="4">
                  <c:v>0.2784722222222315</c:v>
                </c:pt>
                <c:pt idx="5">
                  <c:v>0.82847222222222217</c:v>
                </c:pt>
              </c:numCache>
            </c:numRef>
          </c:xVal>
          <c:yVal>
            <c:numRef>
              <c:f>PRIVADO!$F$20:$F$25</c:f>
              <c:numCache>
                <c:formatCode>hh:mm</c:formatCode>
                <c:ptCount val="6"/>
                <c:pt idx="0">
                  <c:v>4.0277777777777767E-2</c:v>
                </c:pt>
                <c:pt idx="1">
                  <c:v>4.3055555555555375E-2</c:v>
                </c:pt>
                <c:pt idx="2">
                  <c:v>3.4722222222222224E-2</c:v>
                </c:pt>
                <c:pt idx="3">
                  <c:v>2.7777777777779698E-2</c:v>
                </c:pt>
                <c:pt idx="4">
                  <c:v>2.9861111111111251E-2</c:v>
                </c:pt>
                <c:pt idx="5">
                  <c:v>2.6388888888888878E-2</c:v>
                </c:pt>
              </c:numCache>
            </c:numRef>
          </c:yVal>
          <c:smooth val="0"/>
        </c:ser>
        <c:ser>
          <c:idx val="5"/>
          <c:order val="5"/>
          <c:tx>
            <c:strRef>
              <c:f>PRIVADO!$C$26</c:f>
              <c:strCache>
                <c:ptCount val="1"/>
                <c:pt idx="0">
                  <c:v>De Estación Naranjal a Estación Matellini</c:v>
                </c:pt>
              </c:strCache>
            </c:strRef>
          </c:tx>
          <c:spPr>
            <a:ln w="28575">
              <a:noFill/>
            </a:ln>
          </c:spPr>
          <c:xVal>
            <c:numRef>
              <c:f>PRIVADO!$D$26:$D$31</c:f>
              <c:numCache>
                <c:formatCode>hh:mm</c:formatCode>
                <c:ptCount val="6"/>
                <c:pt idx="0">
                  <c:v>0.40486111111111112</c:v>
                </c:pt>
                <c:pt idx="1">
                  <c:v>0.73125000000000062</c:v>
                </c:pt>
                <c:pt idx="2">
                  <c:v>0.3097222222222315</c:v>
                </c:pt>
                <c:pt idx="3">
                  <c:v>0.26875000000000004</c:v>
                </c:pt>
                <c:pt idx="4">
                  <c:v>0.33680555555556624</c:v>
                </c:pt>
                <c:pt idx="5">
                  <c:v>0.72361111111111165</c:v>
                </c:pt>
              </c:numCache>
            </c:numRef>
          </c:xVal>
          <c:yVal>
            <c:numRef>
              <c:f>PRIVADO!$F$26:$F$31</c:f>
              <c:numCache>
                <c:formatCode>hh:mm</c:formatCode>
                <c:ptCount val="6"/>
                <c:pt idx="0">
                  <c:v>2.7083333333333452E-2</c:v>
                </c:pt>
                <c:pt idx="1">
                  <c:v>9.6527777777777754E-2</c:v>
                </c:pt>
                <c:pt idx="2">
                  <c:v>5.2777777777777792E-2</c:v>
                </c:pt>
                <c:pt idx="3">
                  <c:v>3.1944444444444449E-2</c:v>
                </c:pt>
                <c:pt idx="4">
                  <c:v>1.9444444444444445E-2</c:v>
                </c:pt>
                <c:pt idx="5">
                  <c:v>4.4444444444444502E-2</c:v>
                </c:pt>
              </c:numCache>
            </c:numRef>
          </c:yVal>
          <c:smooth val="0"/>
        </c:ser>
        <c:ser>
          <c:idx val="6"/>
          <c:order val="6"/>
          <c:tx>
            <c:strRef>
              <c:f>PRIVADO!$C$32</c:f>
              <c:strCache>
                <c:ptCount val="1"/>
                <c:pt idx="0">
                  <c:v>De Faucett a Javier Prado</c:v>
                </c:pt>
              </c:strCache>
            </c:strRef>
          </c:tx>
          <c:spPr>
            <a:ln w="28575">
              <a:noFill/>
            </a:ln>
          </c:spPr>
          <c:marker>
            <c:symbol val="square"/>
            <c:size val="7"/>
            <c:spPr>
              <a:solidFill>
                <a:schemeClr val="tx2">
                  <a:lumMod val="50000"/>
                </a:schemeClr>
              </a:solidFill>
              <a:ln>
                <a:noFill/>
              </a:ln>
            </c:spPr>
          </c:marker>
          <c:xVal>
            <c:numRef>
              <c:f>PRIVADO!$D$32:$D$37</c:f>
              <c:numCache>
                <c:formatCode>hh:mm</c:formatCode>
                <c:ptCount val="6"/>
                <c:pt idx="0">
                  <c:v>0.38194444444445608</c:v>
                </c:pt>
                <c:pt idx="1">
                  <c:v>0.73055555555555562</c:v>
                </c:pt>
                <c:pt idx="2">
                  <c:v>0.28125</c:v>
                </c:pt>
                <c:pt idx="3">
                  <c:v>0.34166666666667556</c:v>
                </c:pt>
                <c:pt idx="4">
                  <c:v>0.69097222222222221</c:v>
                </c:pt>
                <c:pt idx="5">
                  <c:v>0.8125</c:v>
                </c:pt>
              </c:numCache>
            </c:numRef>
          </c:xVal>
          <c:yVal>
            <c:numRef>
              <c:f>PRIVADO!$F$32:$F$37</c:f>
              <c:numCache>
                <c:formatCode>hh:mm</c:formatCode>
                <c:ptCount val="6"/>
                <c:pt idx="0">
                  <c:v>2.9861111111111251E-2</c:v>
                </c:pt>
                <c:pt idx="1">
                  <c:v>6.3888888888888773E-2</c:v>
                </c:pt>
                <c:pt idx="2">
                  <c:v>5.5555555555555358E-3</c:v>
                </c:pt>
                <c:pt idx="3">
                  <c:v>7.3611111111111183E-2</c:v>
                </c:pt>
                <c:pt idx="4">
                  <c:v>6.5277777777777768E-2</c:v>
                </c:pt>
                <c:pt idx="5">
                  <c:v>3.472222222222221E-2</c:v>
                </c:pt>
              </c:numCache>
            </c:numRef>
          </c:yVal>
          <c:smooth val="0"/>
        </c:ser>
        <c:ser>
          <c:idx val="7"/>
          <c:order val="7"/>
          <c:tx>
            <c:strRef>
              <c:f>PRIVADO!$C$38</c:f>
              <c:strCache>
                <c:ptCount val="1"/>
                <c:pt idx="0">
                  <c:v>De Fernando Wiesse a 09 de Octubre </c:v>
                </c:pt>
              </c:strCache>
            </c:strRef>
          </c:tx>
          <c:spPr>
            <a:ln w="28575">
              <a:noFill/>
            </a:ln>
          </c:spPr>
          <c:marker>
            <c:symbol val="square"/>
            <c:size val="7"/>
            <c:spPr>
              <a:solidFill>
                <a:srgbClr val="00B050"/>
              </a:solidFill>
              <a:ln>
                <a:noFill/>
              </a:ln>
            </c:spPr>
          </c:marker>
          <c:xVal>
            <c:numRef>
              <c:f>PRIVADO!$D$38:$D$42</c:f>
              <c:numCache>
                <c:formatCode>hh:mm</c:formatCode>
                <c:ptCount val="5"/>
                <c:pt idx="0">
                  <c:v>0.34583333333333333</c:v>
                </c:pt>
                <c:pt idx="1">
                  <c:v>0.37708333333333338</c:v>
                </c:pt>
                <c:pt idx="2">
                  <c:v>0.72500000000000064</c:v>
                </c:pt>
                <c:pt idx="3">
                  <c:v>0.75763888888890063</c:v>
                </c:pt>
                <c:pt idx="4">
                  <c:v>0.34375</c:v>
                </c:pt>
              </c:numCache>
            </c:numRef>
          </c:xVal>
          <c:yVal>
            <c:numRef>
              <c:f>PRIVADO!$F$38:$F$42</c:f>
              <c:numCache>
                <c:formatCode>hh:mm</c:formatCode>
                <c:ptCount val="5"/>
                <c:pt idx="0">
                  <c:v>1.6666666666666621E-2</c:v>
                </c:pt>
                <c:pt idx="1">
                  <c:v>9.0277777777777457E-3</c:v>
                </c:pt>
                <c:pt idx="2">
                  <c:v>1.597222222222228E-2</c:v>
                </c:pt>
                <c:pt idx="3">
                  <c:v>2.0138888888888932E-2</c:v>
                </c:pt>
                <c:pt idx="4">
                  <c:v>1.3888888888889407E-2</c:v>
                </c:pt>
              </c:numCache>
            </c:numRef>
          </c:yVal>
          <c:smooth val="0"/>
        </c:ser>
        <c:ser>
          <c:idx val="8"/>
          <c:order val="8"/>
          <c:tx>
            <c:strRef>
              <c:f>PRIVADO!$C$43</c:f>
              <c:strCache>
                <c:ptCount val="1"/>
                <c:pt idx="0">
                  <c:v>De Guardia Chalaca a Carretera Central</c:v>
                </c:pt>
              </c:strCache>
            </c:strRef>
          </c:tx>
          <c:spPr>
            <a:ln w="28575">
              <a:noFill/>
            </a:ln>
          </c:spPr>
          <c:marker>
            <c:symbol val="square"/>
            <c:size val="7"/>
            <c:spPr>
              <a:solidFill>
                <a:schemeClr val="tx2">
                  <a:lumMod val="60000"/>
                  <a:lumOff val="40000"/>
                </a:schemeClr>
              </a:solidFill>
              <a:ln>
                <a:noFill/>
              </a:ln>
            </c:spPr>
          </c:marker>
          <c:xVal>
            <c:numRef>
              <c:f>PRIVADO!$D$43:$D$49</c:f>
              <c:numCache>
                <c:formatCode>hh:mm</c:formatCode>
                <c:ptCount val="7"/>
                <c:pt idx="0">
                  <c:v>0.44166666666666682</c:v>
                </c:pt>
                <c:pt idx="1">
                  <c:v>0.69652777777777752</c:v>
                </c:pt>
                <c:pt idx="2">
                  <c:v>0.84166666666666667</c:v>
                </c:pt>
                <c:pt idx="3">
                  <c:v>0.27708333333333335</c:v>
                </c:pt>
                <c:pt idx="4">
                  <c:v>0.38958333333334338</c:v>
                </c:pt>
                <c:pt idx="5">
                  <c:v>0.68888888888889765</c:v>
                </c:pt>
                <c:pt idx="6">
                  <c:v>0.8222222222222223</c:v>
                </c:pt>
              </c:numCache>
            </c:numRef>
          </c:xVal>
          <c:yVal>
            <c:numRef>
              <c:f>PRIVADO!$F$43:$F$49</c:f>
              <c:numCache>
                <c:formatCode>hh:mm</c:formatCode>
                <c:ptCount val="7"/>
                <c:pt idx="0">
                  <c:v>5.8333333333334923E-2</c:v>
                </c:pt>
                <c:pt idx="1">
                  <c:v>6.8055555555555647E-2</c:v>
                </c:pt>
                <c:pt idx="2">
                  <c:v>1.0416666666666631E-2</c:v>
                </c:pt>
                <c:pt idx="3">
                  <c:v>3.8888888888888862E-2</c:v>
                </c:pt>
                <c:pt idx="4">
                  <c:v>1.8750000000000065E-2</c:v>
                </c:pt>
                <c:pt idx="5">
                  <c:v>6.6666666666666541E-2</c:v>
                </c:pt>
                <c:pt idx="6">
                  <c:v>2.9861111111111012E-2</c:v>
                </c:pt>
              </c:numCache>
            </c:numRef>
          </c:yVal>
          <c:smooth val="0"/>
        </c:ser>
        <c:ser>
          <c:idx val="9"/>
          <c:order val="9"/>
          <c:tx>
            <c:strRef>
              <c:f>PRIVADO!$C$50</c:f>
              <c:strCache>
                <c:ptCount val="1"/>
                <c:pt idx="0">
                  <c:v>De Javier Prado a Faucett</c:v>
                </c:pt>
              </c:strCache>
            </c:strRef>
          </c:tx>
          <c:spPr>
            <a:ln w="28575">
              <a:noFill/>
            </a:ln>
          </c:spPr>
          <c:xVal>
            <c:numRef>
              <c:f>PRIVADO!$D$50:$D$55</c:f>
              <c:numCache>
                <c:formatCode>hh:mm</c:formatCode>
                <c:ptCount val="6"/>
                <c:pt idx="0">
                  <c:v>0.29444444444445356</c:v>
                </c:pt>
                <c:pt idx="1">
                  <c:v>0.6875</c:v>
                </c:pt>
                <c:pt idx="2">
                  <c:v>0.73055555555555562</c:v>
                </c:pt>
                <c:pt idx="3">
                  <c:v>0.2902777777777884</c:v>
                </c:pt>
                <c:pt idx="4">
                  <c:v>0.41666666666667668</c:v>
                </c:pt>
                <c:pt idx="5">
                  <c:v>0.75833333333333364</c:v>
                </c:pt>
              </c:numCache>
            </c:numRef>
          </c:xVal>
          <c:yVal>
            <c:numRef>
              <c:f>PRIVADO!$F$50:$F$55</c:f>
              <c:numCache>
                <c:formatCode>hh:mm</c:formatCode>
                <c:ptCount val="6"/>
                <c:pt idx="0">
                  <c:v>8.7500000000000008E-2</c:v>
                </c:pt>
                <c:pt idx="1">
                  <c:v>4.166666666666663E-2</c:v>
                </c:pt>
                <c:pt idx="2">
                  <c:v>6.3888888888888773E-2</c:v>
                </c:pt>
                <c:pt idx="3">
                  <c:v>4.5833333333334114E-2</c:v>
                </c:pt>
                <c:pt idx="4">
                  <c:v>2.9861111111111251E-2</c:v>
                </c:pt>
                <c:pt idx="5">
                  <c:v>5.2777777777777701E-2</c:v>
                </c:pt>
              </c:numCache>
            </c:numRef>
          </c:yVal>
          <c:smooth val="0"/>
        </c:ser>
        <c:ser>
          <c:idx val="10"/>
          <c:order val="10"/>
          <c:tx>
            <c:strRef>
              <c:f>PRIVADO!$C$56</c:f>
              <c:strCache>
                <c:ptCount val="1"/>
                <c:pt idx="0">
                  <c:v>De Panamericana Norte a Panamericana Sur</c:v>
                </c:pt>
              </c:strCache>
            </c:strRef>
          </c:tx>
          <c:spPr>
            <a:ln w="28575">
              <a:noFill/>
            </a:ln>
          </c:spPr>
          <c:xVal>
            <c:numRef>
              <c:f>PRIVADO!$D$56:$D$62</c:f>
              <c:numCache>
                <c:formatCode>hh:mm</c:formatCode>
                <c:ptCount val="7"/>
                <c:pt idx="0">
                  <c:v>0.27777777777778712</c:v>
                </c:pt>
                <c:pt idx="1">
                  <c:v>0.36180555555555582</c:v>
                </c:pt>
                <c:pt idx="2">
                  <c:v>0.7083333333333337</c:v>
                </c:pt>
                <c:pt idx="3">
                  <c:v>0.84722222222222221</c:v>
                </c:pt>
                <c:pt idx="4">
                  <c:v>0.27291666666667808</c:v>
                </c:pt>
                <c:pt idx="5">
                  <c:v>0.6875</c:v>
                </c:pt>
                <c:pt idx="6">
                  <c:v>0.7715277777777777</c:v>
                </c:pt>
              </c:numCache>
            </c:numRef>
          </c:xVal>
          <c:yVal>
            <c:numRef>
              <c:f>PRIVADO!$F$56:$F$62</c:f>
              <c:numCache>
                <c:formatCode>hh:mm</c:formatCode>
                <c:ptCount val="7"/>
                <c:pt idx="0">
                  <c:v>2.8472222222222242E-2</c:v>
                </c:pt>
                <c:pt idx="1">
                  <c:v>4.2361111111112112E-2</c:v>
                </c:pt>
                <c:pt idx="2">
                  <c:v>5.3472222222222324E-2</c:v>
                </c:pt>
                <c:pt idx="3">
                  <c:v>3.333333333333334E-2</c:v>
                </c:pt>
                <c:pt idx="4">
                  <c:v>2.7083333333333452E-2</c:v>
                </c:pt>
                <c:pt idx="5">
                  <c:v>3.7500000000000006E-2</c:v>
                </c:pt>
                <c:pt idx="6">
                  <c:v>4.1666666666666761E-2</c:v>
                </c:pt>
              </c:numCache>
            </c:numRef>
          </c:yVal>
          <c:smooth val="0"/>
        </c:ser>
        <c:ser>
          <c:idx val="11"/>
          <c:order val="11"/>
          <c:tx>
            <c:strRef>
              <c:f>PRIVADO!$C$63</c:f>
              <c:strCache>
                <c:ptCount val="1"/>
                <c:pt idx="0">
                  <c:v>De Panamericana Sur a Panamericana Norte</c:v>
                </c:pt>
              </c:strCache>
            </c:strRef>
          </c:tx>
          <c:spPr>
            <a:ln w="28575">
              <a:noFill/>
            </a:ln>
          </c:spPr>
          <c:xVal>
            <c:numRef>
              <c:f>PRIVADO!$D$63:$D$70</c:f>
              <c:numCache>
                <c:formatCode>hh:mm</c:formatCode>
                <c:ptCount val="8"/>
                <c:pt idx="0">
                  <c:v>0.30694444444445462</c:v>
                </c:pt>
                <c:pt idx="1">
                  <c:v>0.40694444444444638</c:v>
                </c:pt>
                <c:pt idx="2">
                  <c:v>0.76250000000000062</c:v>
                </c:pt>
                <c:pt idx="3">
                  <c:v>0.26388888888890544</c:v>
                </c:pt>
                <c:pt idx="4">
                  <c:v>0.29652777777779338</c:v>
                </c:pt>
                <c:pt idx="5">
                  <c:v>0.35972222222222588</c:v>
                </c:pt>
                <c:pt idx="6">
                  <c:v>0.72569444444447206</c:v>
                </c:pt>
                <c:pt idx="7">
                  <c:v>0.81527777777777777</c:v>
                </c:pt>
              </c:numCache>
            </c:numRef>
          </c:xVal>
          <c:yVal>
            <c:numRef>
              <c:f>PRIVADO!$F$63:$F$70</c:f>
              <c:numCache>
                <c:formatCode>hh:mm</c:formatCode>
                <c:ptCount val="8"/>
                <c:pt idx="0">
                  <c:v>5.4861111111112124E-2</c:v>
                </c:pt>
                <c:pt idx="1">
                  <c:v>2.9861111111111012E-2</c:v>
                </c:pt>
                <c:pt idx="2">
                  <c:v>7.0833333333334123E-2</c:v>
                </c:pt>
                <c:pt idx="3">
                  <c:v>6.9444444444446687E-3</c:v>
                </c:pt>
                <c:pt idx="4">
                  <c:v>5.902777777777779E-2</c:v>
                </c:pt>
                <c:pt idx="5">
                  <c:v>4.166666666666663E-2</c:v>
                </c:pt>
                <c:pt idx="6">
                  <c:v>4.5138888888888853E-2</c:v>
                </c:pt>
                <c:pt idx="7">
                  <c:v>3.8888888888888862E-2</c:v>
                </c:pt>
              </c:numCache>
            </c:numRef>
          </c:yVal>
          <c:smooth val="0"/>
        </c:ser>
        <c:dLbls>
          <c:showLegendKey val="0"/>
          <c:showVal val="0"/>
          <c:showCatName val="0"/>
          <c:showSerName val="0"/>
          <c:showPercent val="0"/>
          <c:showBubbleSize val="0"/>
        </c:dLbls>
        <c:axId val="215018112"/>
        <c:axId val="215024384"/>
      </c:scatterChart>
      <c:valAx>
        <c:axId val="215018112"/>
        <c:scaling>
          <c:orientation val="minMax"/>
        </c:scaling>
        <c:delete val="0"/>
        <c:axPos val="b"/>
        <c:title>
          <c:tx>
            <c:rich>
              <a:bodyPr/>
              <a:lstStyle/>
              <a:p>
                <a:pPr>
                  <a:defRPr lang="es-MX"/>
                </a:pPr>
                <a:r>
                  <a:rPr lang="it-IT"/>
                  <a:t>hora del dìa</a:t>
                </a:r>
              </a:p>
            </c:rich>
          </c:tx>
          <c:layout>
            <c:manualLayout>
              <c:xMode val="edge"/>
              <c:yMode val="edge"/>
              <c:x val="0.31917586630903588"/>
              <c:y val="0.94832887545630762"/>
            </c:manualLayout>
          </c:layout>
          <c:overlay val="0"/>
        </c:title>
        <c:numFmt formatCode="hh:mm" sourceLinked="1"/>
        <c:majorTickMark val="out"/>
        <c:minorTickMark val="none"/>
        <c:tickLblPos val="nextTo"/>
        <c:txPr>
          <a:bodyPr/>
          <a:lstStyle/>
          <a:p>
            <a:pPr>
              <a:defRPr lang="es-MX" b="1"/>
            </a:pPr>
            <a:endParaRPr lang="en-US"/>
          </a:p>
        </c:txPr>
        <c:crossAx val="215024384"/>
        <c:crosses val="autoZero"/>
        <c:crossBetween val="midCat"/>
      </c:valAx>
      <c:valAx>
        <c:axId val="215024384"/>
        <c:scaling>
          <c:orientation val="minMax"/>
        </c:scaling>
        <c:delete val="0"/>
        <c:axPos val="l"/>
        <c:majorGridlines/>
        <c:title>
          <c:tx>
            <c:rich>
              <a:bodyPr rot="-5400000" vert="horz"/>
              <a:lstStyle/>
              <a:p>
                <a:pPr>
                  <a:defRPr lang="es-MX"/>
                </a:pPr>
                <a:r>
                  <a:rPr lang="it-IT"/>
                  <a:t>Tiempo di viaje [h]</a:t>
                </a:r>
              </a:p>
            </c:rich>
          </c:tx>
          <c:layout>
            <c:manualLayout>
              <c:xMode val="edge"/>
              <c:yMode val="edge"/>
              <c:x val="2.1597781303526355E-4"/>
              <c:y val="0.35545916166421115"/>
            </c:manualLayout>
          </c:layout>
          <c:overlay val="0"/>
        </c:title>
        <c:numFmt formatCode="hh:mm" sourceLinked="1"/>
        <c:majorTickMark val="out"/>
        <c:minorTickMark val="none"/>
        <c:tickLblPos val="nextTo"/>
        <c:txPr>
          <a:bodyPr/>
          <a:lstStyle/>
          <a:p>
            <a:pPr>
              <a:defRPr lang="es-MX" b="1"/>
            </a:pPr>
            <a:endParaRPr lang="en-US"/>
          </a:p>
        </c:txPr>
        <c:crossAx val="215018112"/>
        <c:crosses val="autoZero"/>
        <c:crossBetween val="midCat"/>
      </c:valAx>
    </c:plotArea>
    <c:legend>
      <c:legendPos val="r"/>
      <c:layout>
        <c:manualLayout>
          <c:xMode val="edge"/>
          <c:yMode val="edge"/>
          <c:x val="0.76801238968592256"/>
          <c:y val="2.3051583898547338E-2"/>
          <c:w val="0.23198761031407686"/>
          <c:h val="0.95612650398898169"/>
        </c:manualLayout>
      </c:layout>
      <c:overlay val="0"/>
      <c:txPr>
        <a:bodyPr/>
        <a:lstStyle/>
        <a:p>
          <a:pPr>
            <a:defRPr lang="es-MX" sz="800"/>
          </a:pPr>
          <a:endParaRPr lang="en-US"/>
        </a:p>
      </c:txPr>
    </c:legend>
    <c:plotVisOnly val="1"/>
    <c:dispBlanksAs val="gap"/>
    <c:showDLblsOverMax val="0"/>
  </c:chart>
  <c:spPr>
    <a:ln>
      <a:noFill/>
    </a:ln>
  </c:spPr>
  <c:txPr>
    <a:bodyPr/>
    <a:lstStyle/>
    <a:p>
      <a:pPr>
        <a:defRPr>
          <a:latin typeface="Arial" pitchFamily="34" charset="0"/>
          <a:cs typeface="Arial" pitchFamily="34" charset="0"/>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0.10570526833839659"/>
          <c:y val="0.14200745951359262"/>
          <c:w val="0.87253732616122159"/>
          <c:h val="0.59293566309391954"/>
        </c:manualLayout>
      </c:layout>
      <c:barChart>
        <c:barDir val="col"/>
        <c:grouping val="clustered"/>
        <c:varyColors val="0"/>
        <c:ser>
          <c:idx val="1"/>
          <c:order val="0"/>
          <c:tx>
            <c:strRef>
              <c:f>ESC34_2030!$I$2</c:f>
              <c:strCache>
                <c:ptCount val="1"/>
                <c:pt idx="0">
                  <c:v>Sube</c:v>
                </c:pt>
              </c:strCache>
            </c:strRef>
          </c:tx>
          <c:invertIfNegative val="0"/>
          <c:cat>
            <c:strRef>
              <c:f>ESC34_2030!$H$52:$H$78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ESC34_2030!$I$52:$I$78</c:f>
              <c:numCache>
                <c:formatCode>_-* #,##0_-;\-* #,##0_-;_-* "-"??_-;_-@_-</c:formatCode>
                <c:ptCount val="27"/>
                <c:pt idx="0">
                  <c:v>1758.0034539999999</c:v>
                </c:pt>
                <c:pt idx="1">
                  <c:v>1003.4888070000005</c:v>
                </c:pt>
                <c:pt idx="2">
                  <c:v>4292.7565760000034</c:v>
                </c:pt>
                <c:pt idx="3">
                  <c:v>854.37493099999995</c:v>
                </c:pt>
                <c:pt idx="4">
                  <c:v>9092.095358999999</c:v>
                </c:pt>
                <c:pt idx="5">
                  <c:v>139.64218</c:v>
                </c:pt>
                <c:pt idx="6">
                  <c:v>2249.5725010000001</c:v>
                </c:pt>
                <c:pt idx="7">
                  <c:v>1077.7320399999999</c:v>
                </c:pt>
                <c:pt idx="8">
                  <c:v>670.01010499999938</c:v>
                </c:pt>
                <c:pt idx="9">
                  <c:v>683.95517999999947</c:v>
                </c:pt>
                <c:pt idx="10">
                  <c:v>1665.5329319999998</c:v>
                </c:pt>
                <c:pt idx="11">
                  <c:v>548.31105799999796</c:v>
                </c:pt>
                <c:pt idx="12">
                  <c:v>18668.720996</c:v>
                </c:pt>
                <c:pt idx="13">
                  <c:v>377.89212899999899</c:v>
                </c:pt>
                <c:pt idx="14">
                  <c:v>365.34697</c:v>
                </c:pt>
                <c:pt idx="15">
                  <c:v>3561.1097260000001</c:v>
                </c:pt>
                <c:pt idx="16">
                  <c:v>206.65771100000001</c:v>
                </c:pt>
                <c:pt idx="17">
                  <c:v>627.88534600000003</c:v>
                </c:pt>
                <c:pt idx="18">
                  <c:v>287.51042999999999</c:v>
                </c:pt>
                <c:pt idx="19">
                  <c:v>186.31747900000047</c:v>
                </c:pt>
                <c:pt idx="20">
                  <c:v>131.83492000000001</c:v>
                </c:pt>
                <c:pt idx="21">
                  <c:v>157.07007099999998</c:v>
                </c:pt>
                <c:pt idx="22">
                  <c:v>256.65558099999998</c:v>
                </c:pt>
                <c:pt idx="23">
                  <c:v>72.333709999999982</c:v>
                </c:pt>
                <c:pt idx="24">
                  <c:v>0</c:v>
                </c:pt>
                <c:pt idx="25">
                  <c:v>0</c:v>
                </c:pt>
                <c:pt idx="26">
                  <c:v>0</c:v>
                </c:pt>
              </c:numCache>
            </c:numRef>
          </c:val>
        </c:ser>
        <c:ser>
          <c:idx val="2"/>
          <c:order val="1"/>
          <c:tx>
            <c:strRef>
              <c:f>ESC34_2030!$D$2</c:f>
              <c:strCache>
                <c:ptCount val="1"/>
                <c:pt idx="0">
                  <c:v>Baja</c:v>
                </c:pt>
              </c:strCache>
            </c:strRef>
          </c:tx>
          <c:invertIfNegative val="0"/>
          <c:cat>
            <c:strRef>
              <c:f>ESC34_2030!$H$52:$H$78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ESC34_2030!$J$52:$J$78</c:f>
              <c:numCache>
                <c:formatCode>_-* #,##0_-;\-* #,##0_-;_-* "-"??_-;_-@_-</c:formatCode>
                <c:ptCount val="27"/>
                <c:pt idx="0">
                  <c:v>0</c:v>
                </c:pt>
                <c:pt idx="1">
                  <c:v>0</c:v>
                </c:pt>
                <c:pt idx="2">
                  <c:v>0</c:v>
                </c:pt>
                <c:pt idx="3">
                  <c:v>0</c:v>
                </c:pt>
                <c:pt idx="4">
                  <c:v>430.49096999999864</c:v>
                </c:pt>
                <c:pt idx="5">
                  <c:v>13.550145000000002</c:v>
                </c:pt>
                <c:pt idx="6">
                  <c:v>92.650845999999959</c:v>
                </c:pt>
                <c:pt idx="7">
                  <c:v>102.44227500000002</c:v>
                </c:pt>
                <c:pt idx="8">
                  <c:v>86.253720999999999</c:v>
                </c:pt>
                <c:pt idx="9">
                  <c:v>0</c:v>
                </c:pt>
                <c:pt idx="10">
                  <c:v>77.195139999999981</c:v>
                </c:pt>
                <c:pt idx="11">
                  <c:v>27.952629999999804</c:v>
                </c:pt>
                <c:pt idx="12">
                  <c:v>7389.6982200000293</c:v>
                </c:pt>
                <c:pt idx="13">
                  <c:v>603.07318000000055</c:v>
                </c:pt>
                <c:pt idx="14">
                  <c:v>284.39763499999964</c:v>
                </c:pt>
                <c:pt idx="15">
                  <c:v>21413.121001</c:v>
                </c:pt>
                <c:pt idx="16">
                  <c:v>754.35035899999946</c:v>
                </c:pt>
                <c:pt idx="17">
                  <c:v>1032.6969039999999</c:v>
                </c:pt>
                <c:pt idx="18">
                  <c:v>469.53196999999869</c:v>
                </c:pt>
                <c:pt idx="19">
                  <c:v>764.69941100000005</c:v>
                </c:pt>
                <c:pt idx="20">
                  <c:v>3309.8425830000001</c:v>
                </c:pt>
                <c:pt idx="21">
                  <c:v>798.29467100000352</c:v>
                </c:pt>
                <c:pt idx="22">
                  <c:v>1461.1727459999927</c:v>
                </c:pt>
                <c:pt idx="23">
                  <c:v>621.63369299999999</c:v>
                </c:pt>
                <c:pt idx="24">
                  <c:v>1200.9534119999998</c:v>
                </c:pt>
                <c:pt idx="25">
                  <c:v>4298.1753060000001</c:v>
                </c:pt>
                <c:pt idx="26">
                  <c:v>3702.6333740000132</c:v>
                </c:pt>
              </c:numCache>
            </c:numRef>
          </c:val>
        </c:ser>
        <c:dLbls>
          <c:showLegendKey val="0"/>
          <c:showVal val="0"/>
          <c:showCatName val="0"/>
          <c:showSerName val="0"/>
          <c:showPercent val="0"/>
          <c:showBubbleSize val="0"/>
        </c:dLbls>
        <c:gapWidth val="150"/>
        <c:axId val="398776576"/>
        <c:axId val="398778368"/>
      </c:barChart>
      <c:lineChart>
        <c:grouping val="standard"/>
        <c:varyColors val="0"/>
        <c:ser>
          <c:idx val="0"/>
          <c:order val="2"/>
          <c:tx>
            <c:strRef>
              <c:f>ESC34_2030!$E$2</c:f>
              <c:strCache>
                <c:ptCount val="1"/>
                <c:pt idx="0">
                  <c:v>Carga</c:v>
                </c:pt>
              </c:strCache>
            </c:strRef>
          </c:tx>
          <c:marker>
            <c:symbol val="none"/>
          </c:marker>
          <c:cat>
            <c:strRef>
              <c:f>ESC34_2030!$H$52:$H$78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ESC34_2030!$K$52:$K$78</c:f>
              <c:numCache>
                <c:formatCode>_-* #,##0_-;\-* #,##0_-;_-* "-"??_-;_-@_-</c:formatCode>
                <c:ptCount val="27"/>
                <c:pt idx="0">
                  <c:v>1758.0034539999999</c:v>
                </c:pt>
                <c:pt idx="1">
                  <c:v>2761.4922609999999</c:v>
                </c:pt>
                <c:pt idx="2">
                  <c:v>7054.2488369999992</c:v>
                </c:pt>
                <c:pt idx="3">
                  <c:v>7908.6237680000004</c:v>
                </c:pt>
                <c:pt idx="4">
                  <c:v>16570.228157000001</c:v>
                </c:pt>
                <c:pt idx="5">
                  <c:v>16696.320191999999</c:v>
                </c:pt>
                <c:pt idx="6">
                  <c:v>18853.241846999998</c:v>
                </c:pt>
                <c:pt idx="7">
                  <c:v>19828.531611999992</c:v>
                </c:pt>
                <c:pt idx="8">
                  <c:v>20412.287996000021</c:v>
                </c:pt>
                <c:pt idx="9">
                  <c:v>21096.243176</c:v>
                </c:pt>
                <c:pt idx="10">
                  <c:v>22684.580967999897</c:v>
                </c:pt>
                <c:pt idx="11">
                  <c:v>23204.939395999998</c:v>
                </c:pt>
                <c:pt idx="12">
                  <c:v>34483.962172</c:v>
                </c:pt>
                <c:pt idx="13">
                  <c:v>34258.781120999985</c:v>
                </c:pt>
                <c:pt idx="14">
                  <c:v>34339.730455999998</c:v>
                </c:pt>
                <c:pt idx="15">
                  <c:v>16487.719181</c:v>
                </c:pt>
                <c:pt idx="16">
                  <c:v>15940.026532999997</c:v>
                </c:pt>
                <c:pt idx="17">
                  <c:v>15535.214974999999</c:v>
                </c:pt>
                <c:pt idx="18">
                  <c:v>15353.193434999999</c:v>
                </c:pt>
                <c:pt idx="19">
                  <c:v>14774.811502999999</c:v>
                </c:pt>
                <c:pt idx="20">
                  <c:v>11596.803839999946</c:v>
                </c:pt>
                <c:pt idx="21">
                  <c:v>10955.579239999985</c:v>
                </c:pt>
                <c:pt idx="22">
                  <c:v>9751.0620749999871</c:v>
                </c:pt>
                <c:pt idx="23">
                  <c:v>9201.762091999999</c:v>
                </c:pt>
                <c:pt idx="24">
                  <c:v>8000.8086800000001</c:v>
                </c:pt>
                <c:pt idx="25">
                  <c:v>3702.6333740000123</c:v>
                </c:pt>
                <c:pt idx="26">
                  <c:v>0</c:v>
                </c:pt>
              </c:numCache>
            </c:numRef>
          </c:val>
          <c:smooth val="0"/>
        </c:ser>
        <c:dLbls>
          <c:showLegendKey val="0"/>
          <c:showVal val="0"/>
          <c:showCatName val="0"/>
          <c:showSerName val="0"/>
          <c:showPercent val="0"/>
          <c:showBubbleSize val="0"/>
        </c:dLbls>
        <c:marker val="1"/>
        <c:smooth val="0"/>
        <c:axId val="398776576"/>
        <c:axId val="398778368"/>
      </c:lineChart>
      <c:catAx>
        <c:axId val="398776576"/>
        <c:scaling>
          <c:orientation val="minMax"/>
        </c:scaling>
        <c:delete val="0"/>
        <c:axPos val="b"/>
        <c:majorTickMark val="out"/>
        <c:minorTickMark val="none"/>
        <c:tickLblPos val="nextTo"/>
        <c:txPr>
          <a:bodyPr rot="-5400000" vert="horz"/>
          <a:lstStyle/>
          <a:p>
            <a:pPr>
              <a:defRPr sz="900" b="0"/>
            </a:pPr>
            <a:endParaRPr lang="en-US"/>
          </a:p>
        </c:txPr>
        <c:crossAx val="398778368"/>
        <c:crosses val="autoZero"/>
        <c:auto val="1"/>
        <c:lblAlgn val="ctr"/>
        <c:lblOffset val="100"/>
        <c:noMultiLvlLbl val="0"/>
      </c:catAx>
      <c:valAx>
        <c:axId val="398778368"/>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1605489687367966E-2"/>
              <c:y val="0.38443492129644352"/>
            </c:manualLayout>
          </c:layout>
          <c:overlay val="0"/>
        </c:title>
        <c:numFmt formatCode="_-* #,##0_-;\-* #,##0_-;_-* &quot;-&quot;??_-;_-@_-" sourceLinked="1"/>
        <c:majorTickMark val="out"/>
        <c:minorTickMark val="none"/>
        <c:tickLblPos val="nextTo"/>
        <c:txPr>
          <a:bodyPr/>
          <a:lstStyle/>
          <a:p>
            <a:pPr>
              <a:defRPr sz="900" b="0"/>
            </a:pPr>
            <a:endParaRPr lang="en-US"/>
          </a:p>
        </c:txPr>
        <c:crossAx val="398776576"/>
        <c:crosses val="autoZero"/>
        <c:crossBetween val="between"/>
        <c:majorUnit val="2500"/>
      </c:valAx>
    </c:plotArea>
    <c:legend>
      <c:legendPos val="r"/>
      <c:layout>
        <c:manualLayout>
          <c:xMode val="edge"/>
          <c:yMode val="edge"/>
          <c:x val="0.86724935902888012"/>
          <c:y val="0.16904271403005003"/>
          <c:w val="9.9454206802548004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HV</a:t>
            </a:r>
          </a:p>
        </c:rich>
      </c:tx>
      <c:overlay val="1"/>
    </c:title>
    <c:autoTitleDeleted val="0"/>
    <c:plotArea>
      <c:layout>
        <c:manualLayout>
          <c:layoutTarget val="inner"/>
          <c:xMode val="edge"/>
          <c:yMode val="edge"/>
          <c:x val="0.10893782069100715"/>
          <c:y val="0.14200745951359262"/>
          <c:w val="0.8693048628631177"/>
          <c:h val="0.61375030970807365"/>
        </c:manualLayout>
      </c:layout>
      <c:barChart>
        <c:barDir val="col"/>
        <c:grouping val="clustered"/>
        <c:varyColors val="0"/>
        <c:ser>
          <c:idx val="1"/>
          <c:order val="0"/>
          <c:tx>
            <c:strRef>
              <c:f>ESC34_2030!$C$2</c:f>
              <c:strCache>
                <c:ptCount val="1"/>
                <c:pt idx="0">
                  <c:v>Sube</c:v>
                </c:pt>
              </c:strCache>
            </c:strRef>
          </c:tx>
          <c:invertIfNegative val="0"/>
          <c:cat>
            <c:strRef>
              <c:f>ESC34_2030!$B$85:$B$111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ESC34_2030!$C$85:$C$111</c:f>
              <c:numCache>
                <c:formatCode>_-* #,##0_-;\-* #,##0_-;_-* "-"??_-;_-@_-</c:formatCode>
                <c:ptCount val="27"/>
                <c:pt idx="0">
                  <c:v>3342.0719410000002</c:v>
                </c:pt>
                <c:pt idx="1">
                  <c:v>2404.676109</c:v>
                </c:pt>
                <c:pt idx="2">
                  <c:v>653.61046899999997</c:v>
                </c:pt>
                <c:pt idx="3">
                  <c:v>407.38176099999993</c:v>
                </c:pt>
                <c:pt idx="4">
                  <c:v>1326.5923899999998</c:v>
                </c:pt>
                <c:pt idx="5">
                  <c:v>652.64365099999998</c:v>
                </c:pt>
                <c:pt idx="6">
                  <c:v>3188.2081929999999</c:v>
                </c:pt>
                <c:pt idx="7">
                  <c:v>926.21399400000053</c:v>
                </c:pt>
                <c:pt idx="8">
                  <c:v>302.42394499999864</c:v>
                </c:pt>
                <c:pt idx="9">
                  <c:v>541.493559</c:v>
                </c:pt>
                <c:pt idx="10">
                  <c:v>529.16761599999552</c:v>
                </c:pt>
                <c:pt idx="11">
                  <c:v>8677.1284450000148</c:v>
                </c:pt>
                <c:pt idx="12">
                  <c:v>236.910325</c:v>
                </c:pt>
                <c:pt idx="13">
                  <c:v>428.31558100000001</c:v>
                </c:pt>
                <c:pt idx="14">
                  <c:v>5489.9111270000003</c:v>
                </c:pt>
                <c:pt idx="15">
                  <c:v>386.63318999999899</c:v>
                </c:pt>
                <c:pt idx="16">
                  <c:v>35.740900000000003</c:v>
                </c:pt>
                <c:pt idx="17">
                  <c:v>7.3585149999999597</c:v>
                </c:pt>
                <c:pt idx="18">
                  <c:v>50.671955000000011</c:v>
                </c:pt>
                <c:pt idx="19">
                  <c:v>70.948910000000026</c:v>
                </c:pt>
                <c:pt idx="20">
                  <c:v>198.77471499999908</c:v>
                </c:pt>
                <c:pt idx="21">
                  <c:v>4.6484899999999945</c:v>
                </c:pt>
                <c:pt idx="22">
                  <c:v>465.25556799999993</c:v>
                </c:pt>
                <c:pt idx="23">
                  <c:v>0</c:v>
                </c:pt>
                <c:pt idx="24">
                  <c:v>0</c:v>
                </c:pt>
                <c:pt idx="25">
                  <c:v>0</c:v>
                </c:pt>
                <c:pt idx="26">
                  <c:v>0</c:v>
                </c:pt>
              </c:numCache>
            </c:numRef>
          </c:val>
        </c:ser>
        <c:ser>
          <c:idx val="2"/>
          <c:order val="1"/>
          <c:tx>
            <c:strRef>
              <c:f>ESC34_2030!$D$2</c:f>
              <c:strCache>
                <c:ptCount val="1"/>
                <c:pt idx="0">
                  <c:v>Baja</c:v>
                </c:pt>
              </c:strCache>
            </c:strRef>
          </c:tx>
          <c:invertIfNegative val="0"/>
          <c:cat>
            <c:strRef>
              <c:f>ESC34_2030!$B$85:$B$111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ESC34_2030!$D$85:$D$111</c:f>
              <c:numCache>
                <c:formatCode>_-* #,##0_-;\-* #,##0_-;_-* "-"??_-;_-@_-</c:formatCode>
                <c:ptCount val="27"/>
                <c:pt idx="0">
                  <c:v>0</c:v>
                </c:pt>
                <c:pt idx="1">
                  <c:v>0</c:v>
                </c:pt>
                <c:pt idx="2">
                  <c:v>0</c:v>
                </c:pt>
                <c:pt idx="3">
                  <c:v>125.171121</c:v>
                </c:pt>
                <c:pt idx="4">
                  <c:v>121.853161</c:v>
                </c:pt>
                <c:pt idx="5">
                  <c:v>132.43735000000001</c:v>
                </c:pt>
                <c:pt idx="6">
                  <c:v>239.85848300000106</c:v>
                </c:pt>
                <c:pt idx="7">
                  <c:v>99.530010000000004</c:v>
                </c:pt>
                <c:pt idx="8">
                  <c:v>174.84873100000004</c:v>
                </c:pt>
                <c:pt idx="9">
                  <c:v>373.12439899999993</c:v>
                </c:pt>
                <c:pt idx="10">
                  <c:v>137.89490000000001</c:v>
                </c:pt>
                <c:pt idx="11">
                  <c:v>3155.587704</c:v>
                </c:pt>
                <c:pt idx="12">
                  <c:v>211.340259</c:v>
                </c:pt>
                <c:pt idx="13">
                  <c:v>234.39174100000082</c:v>
                </c:pt>
                <c:pt idx="14">
                  <c:v>8610.685031999983</c:v>
                </c:pt>
                <c:pt idx="15">
                  <c:v>182.46462499999998</c:v>
                </c:pt>
                <c:pt idx="16">
                  <c:v>931.44860899999946</c:v>
                </c:pt>
                <c:pt idx="17">
                  <c:v>418.02186699999999</c:v>
                </c:pt>
                <c:pt idx="18">
                  <c:v>482.64662099999998</c:v>
                </c:pt>
                <c:pt idx="19">
                  <c:v>1000.179601</c:v>
                </c:pt>
                <c:pt idx="20">
                  <c:v>1853.6069230000001</c:v>
                </c:pt>
                <c:pt idx="21">
                  <c:v>46.39452</c:v>
                </c:pt>
                <c:pt idx="22">
                  <c:v>6142.4275020000005</c:v>
                </c:pt>
                <c:pt idx="23">
                  <c:v>1363.3185530000073</c:v>
                </c:pt>
                <c:pt idx="24">
                  <c:v>1645.1771469999912</c:v>
                </c:pt>
                <c:pt idx="25">
                  <c:v>1851.2058340000001</c:v>
                </c:pt>
                <c:pt idx="26">
                  <c:v>793.16665499999749</c:v>
                </c:pt>
              </c:numCache>
            </c:numRef>
          </c:val>
        </c:ser>
        <c:dLbls>
          <c:showLegendKey val="0"/>
          <c:showVal val="0"/>
          <c:showCatName val="0"/>
          <c:showSerName val="0"/>
          <c:showPercent val="0"/>
          <c:showBubbleSize val="0"/>
        </c:dLbls>
        <c:gapWidth val="150"/>
        <c:axId val="398829824"/>
        <c:axId val="398839808"/>
      </c:barChart>
      <c:lineChart>
        <c:grouping val="standard"/>
        <c:varyColors val="0"/>
        <c:ser>
          <c:idx val="0"/>
          <c:order val="2"/>
          <c:tx>
            <c:strRef>
              <c:f>ESC34_2030!$E$2</c:f>
              <c:strCache>
                <c:ptCount val="1"/>
                <c:pt idx="0">
                  <c:v>Carga</c:v>
                </c:pt>
              </c:strCache>
            </c:strRef>
          </c:tx>
          <c:marker>
            <c:symbol val="none"/>
          </c:marker>
          <c:cat>
            <c:strRef>
              <c:f>ESC34_2030!$B$85:$B$111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ESC34_2030!$E$85:$E$111</c:f>
              <c:numCache>
                <c:formatCode>_-* #,##0_-;\-* #,##0_-;_-* "-"??_-;_-@_-</c:formatCode>
                <c:ptCount val="27"/>
                <c:pt idx="0">
                  <c:v>3342.0719410000002</c:v>
                </c:pt>
                <c:pt idx="1">
                  <c:v>5746.7480499999992</c:v>
                </c:pt>
                <c:pt idx="2">
                  <c:v>6400.3585190000003</c:v>
                </c:pt>
                <c:pt idx="3">
                  <c:v>6682.5691590000024</c:v>
                </c:pt>
                <c:pt idx="4">
                  <c:v>7887.3083879999995</c:v>
                </c:pt>
                <c:pt idx="5">
                  <c:v>8407.5146889999996</c:v>
                </c:pt>
                <c:pt idx="6">
                  <c:v>11355.864398999995</c:v>
                </c:pt>
                <c:pt idx="7">
                  <c:v>12182.548382999999</c:v>
                </c:pt>
                <c:pt idx="8">
                  <c:v>12310.123597000014</c:v>
                </c:pt>
                <c:pt idx="9">
                  <c:v>12478.492757000016</c:v>
                </c:pt>
                <c:pt idx="10">
                  <c:v>12869.765473000001</c:v>
                </c:pt>
                <c:pt idx="11">
                  <c:v>18391.306214</c:v>
                </c:pt>
                <c:pt idx="12">
                  <c:v>18416.87628</c:v>
                </c:pt>
                <c:pt idx="13">
                  <c:v>18610.80012</c:v>
                </c:pt>
                <c:pt idx="14">
                  <c:v>15490.026215</c:v>
                </c:pt>
                <c:pt idx="15">
                  <c:v>15694.194780000014</c:v>
                </c:pt>
                <c:pt idx="16">
                  <c:v>14798.487071</c:v>
                </c:pt>
                <c:pt idx="17">
                  <c:v>14387.823719</c:v>
                </c:pt>
                <c:pt idx="18">
                  <c:v>13955.849053</c:v>
                </c:pt>
                <c:pt idx="19">
                  <c:v>13026.618361999999</c:v>
                </c:pt>
                <c:pt idx="20">
                  <c:v>11371.786153999989</c:v>
                </c:pt>
                <c:pt idx="21">
                  <c:v>11330.040123999985</c:v>
                </c:pt>
                <c:pt idx="22">
                  <c:v>5652.8681900000292</c:v>
                </c:pt>
                <c:pt idx="23">
                  <c:v>4289.5496370000001</c:v>
                </c:pt>
                <c:pt idx="24">
                  <c:v>2644.3724899999997</c:v>
                </c:pt>
                <c:pt idx="25">
                  <c:v>793.16665599999749</c:v>
                </c:pt>
                <c:pt idx="26">
                  <c:v>0</c:v>
                </c:pt>
              </c:numCache>
            </c:numRef>
          </c:val>
          <c:smooth val="0"/>
        </c:ser>
        <c:dLbls>
          <c:showLegendKey val="0"/>
          <c:showVal val="0"/>
          <c:showCatName val="0"/>
          <c:showSerName val="0"/>
          <c:showPercent val="0"/>
          <c:showBubbleSize val="0"/>
        </c:dLbls>
        <c:marker val="1"/>
        <c:smooth val="0"/>
        <c:axId val="398829824"/>
        <c:axId val="398839808"/>
      </c:lineChart>
      <c:catAx>
        <c:axId val="398829824"/>
        <c:scaling>
          <c:orientation val="minMax"/>
        </c:scaling>
        <c:delete val="0"/>
        <c:axPos val="b"/>
        <c:majorTickMark val="out"/>
        <c:minorTickMark val="none"/>
        <c:tickLblPos val="nextTo"/>
        <c:txPr>
          <a:bodyPr rot="-5400000" vert="horz"/>
          <a:lstStyle/>
          <a:p>
            <a:pPr>
              <a:defRPr sz="900" b="0"/>
            </a:pPr>
            <a:endParaRPr lang="en-US"/>
          </a:p>
        </c:txPr>
        <c:crossAx val="398839808"/>
        <c:crosses val="autoZero"/>
        <c:auto val="1"/>
        <c:lblAlgn val="ctr"/>
        <c:lblOffset val="100"/>
        <c:noMultiLvlLbl val="0"/>
      </c:catAx>
      <c:valAx>
        <c:axId val="398839808"/>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058369781555219E-2"/>
              <c:y val="0.3844349835965295"/>
            </c:manualLayout>
          </c:layout>
          <c:overlay val="0"/>
        </c:title>
        <c:numFmt formatCode="_-* #,##0_-;\-* #,##0_-;_-* &quot;-&quot;??_-;_-@_-" sourceLinked="1"/>
        <c:majorTickMark val="out"/>
        <c:minorTickMark val="none"/>
        <c:tickLblPos val="nextTo"/>
        <c:txPr>
          <a:bodyPr/>
          <a:lstStyle/>
          <a:p>
            <a:pPr>
              <a:defRPr sz="900" b="0"/>
            </a:pPr>
            <a:endParaRPr lang="en-US"/>
          </a:p>
        </c:txPr>
        <c:crossAx val="398829824"/>
        <c:crosses val="autoZero"/>
        <c:crossBetween val="between"/>
        <c:majorUnit val="2500"/>
      </c:valAx>
    </c:plotArea>
    <c:legend>
      <c:legendPos val="r"/>
      <c:layout>
        <c:manualLayout>
          <c:xMode val="edge"/>
          <c:yMode val="edge"/>
          <c:x val="0.86998982053436691"/>
          <c:y val="0.16904271403005003"/>
          <c:w val="9.6713812864566998E-2"/>
          <c:h val="9.9001651984391426E-2"/>
        </c:manualLayout>
      </c:layout>
      <c:overlay val="0"/>
      <c:spPr>
        <a:solidFill>
          <a:sysClr val="window" lastClr="FFFFFF"/>
        </a:solidFill>
      </c:spPr>
      <c:txPr>
        <a:bodyPr/>
        <a:lstStyle/>
        <a:p>
          <a:pPr>
            <a:defRPr sz="900"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HV</a:t>
            </a:r>
          </a:p>
        </c:rich>
      </c:tx>
      <c:overlay val="1"/>
    </c:title>
    <c:autoTitleDeleted val="0"/>
    <c:plotArea>
      <c:layout>
        <c:manualLayout>
          <c:layoutTarget val="inner"/>
          <c:xMode val="edge"/>
          <c:yMode val="edge"/>
          <c:x val="0.10610200237214817"/>
          <c:y val="0.14200745951359267"/>
          <c:w val="0.8721406058988268"/>
          <c:h val="0.61375030970807365"/>
        </c:manualLayout>
      </c:layout>
      <c:barChart>
        <c:barDir val="col"/>
        <c:grouping val="clustered"/>
        <c:varyColors val="0"/>
        <c:ser>
          <c:idx val="1"/>
          <c:order val="0"/>
          <c:tx>
            <c:strRef>
              <c:f>ESC34_2030!$I$2</c:f>
              <c:strCache>
                <c:ptCount val="1"/>
                <c:pt idx="0">
                  <c:v>Sube</c:v>
                </c:pt>
              </c:strCache>
            </c:strRef>
          </c:tx>
          <c:invertIfNegative val="0"/>
          <c:cat>
            <c:strRef>
              <c:f>ESC34_2030!$H$93:$H$119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ESC34_2030!$I$93:$I$119</c:f>
              <c:numCache>
                <c:formatCode>_-* #,##0_-;\-* #,##0_-;_-* "-"??_-;_-@_-</c:formatCode>
                <c:ptCount val="27"/>
                <c:pt idx="0">
                  <c:v>948.00447400000053</c:v>
                </c:pt>
                <c:pt idx="1">
                  <c:v>532.53746499999738</c:v>
                </c:pt>
                <c:pt idx="2">
                  <c:v>1632.7337910000001</c:v>
                </c:pt>
                <c:pt idx="3">
                  <c:v>380.09129099999899</c:v>
                </c:pt>
                <c:pt idx="4">
                  <c:v>5432.5850720000008</c:v>
                </c:pt>
                <c:pt idx="5">
                  <c:v>47.777630000000002</c:v>
                </c:pt>
                <c:pt idx="6">
                  <c:v>1844.2578820000001</c:v>
                </c:pt>
                <c:pt idx="7">
                  <c:v>734.20421099999999</c:v>
                </c:pt>
                <c:pt idx="8">
                  <c:v>408.77850499999869</c:v>
                </c:pt>
                <c:pt idx="9">
                  <c:v>343.945875</c:v>
                </c:pt>
                <c:pt idx="10">
                  <c:v>966.23237400000005</c:v>
                </c:pt>
                <c:pt idx="11">
                  <c:v>202.90806000000001</c:v>
                </c:pt>
                <c:pt idx="12">
                  <c:v>10236.917941</c:v>
                </c:pt>
                <c:pt idx="13">
                  <c:v>159.18023000000082</c:v>
                </c:pt>
                <c:pt idx="14">
                  <c:v>150.73469999999998</c:v>
                </c:pt>
                <c:pt idx="15">
                  <c:v>2179.2909669999999</c:v>
                </c:pt>
                <c:pt idx="16">
                  <c:v>118.77030499999998</c:v>
                </c:pt>
                <c:pt idx="17">
                  <c:v>297.24290000000002</c:v>
                </c:pt>
                <c:pt idx="18">
                  <c:v>169.00556599999911</c:v>
                </c:pt>
                <c:pt idx="19">
                  <c:v>141.38679100000004</c:v>
                </c:pt>
                <c:pt idx="20">
                  <c:v>77.521749999999983</c:v>
                </c:pt>
                <c:pt idx="21">
                  <c:v>134.33966099999998</c:v>
                </c:pt>
                <c:pt idx="22">
                  <c:v>92.433999000000227</c:v>
                </c:pt>
                <c:pt idx="23">
                  <c:v>116.57401900000002</c:v>
                </c:pt>
                <c:pt idx="24">
                  <c:v>0</c:v>
                </c:pt>
                <c:pt idx="25">
                  <c:v>0</c:v>
                </c:pt>
                <c:pt idx="26">
                  <c:v>0</c:v>
                </c:pt>
              </c:numCache>
            </c:numRef>
          </c:val>
        </c:ser>
        <c:ser>
          <c:idx val="2"/>
          <c:order val="1"/>
          <c:tx>
            <c:strRef>
              <c:f>ESC34_2030!$D$2</c:f>
              <c:strCache>
                <c:ptCount val="1"/>
                <c:pt idx="0">
                  <c:v>Baja</c:v>
                </c:pt>
              </c:strCache>
            </c:strRef>
          </c:tx>
          <c:invertIfNegative val="0"/>
          <c:cat>
            <c:strRef>
              <c:f>ESC34_2030!$H$93:$H$119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ESC34_2030!$J$93:$J$119</c:f>
              <c:numCache>
                <c:formatCode>_-* #,##0_-;\-* #,##0_-;_-* "-"??_-;_-@_-</c:formatCode>
                <c:ptCount val="27"/>
                <c:pt idx="0">
                  <c:v>0</c:v>
                </c:pt>
                <c:pt idx="1">
                  <c:v>0</c:v>
                </c:pt>
                <c:pt idx="2">
                  <c:v>0</c:v>
                </c:pt>
                <c:pt idx="3">
                  <c:v>0</c:v>
                </c:pt>
                <c:pt idx="4">
                  <c:v>346.87214799999964</c:v>
                </c:pt>
                <c:pt idx="5">
                  <c:v>5.9245899999999745</c:v>
                </c:pt>
                <c:pt idx="6">
                  <c:v>202.84212900000082</c:v>
                </c:pt>
                <c:pt idx="7">
                  <c:v>113.215851</c:v>
                </c:pt>
                <c:pt idx="8">
                  <c:v>64.581260000000327</c:v>
                </c:pt>
                <c:pt idx="9">
                  <c:v>0.89115</c:v>
                </c:pt>
                <c:pt idx="10">
                  <c:v>32.750390000000003</c:v>
                </c:pt>
                <c:pt idx="11">
                  <c:v>28.648790000000002</c:v>
                </c:pt>
                <c:pt idx="12">
                  <c:v>4107.1500440000054</c:v>
                </c:pt>
                <c:pt idx="13">
                  <c:v>737.59407900000053</c:v>
                </c:pt>
                <c:pt idx="14">
                  <c:v>226.40914900000001</c:v>
                </c:pt>
                <c:pt idx="15">
                  <c:v>10329.525892999995</c:v>
                </c:pt>
                <c:pt idx="16">
                  <c:v>343.07312099999899</c:v>
                </c:pt>
                <c:pt idx="17">
                  <c:v>678.68904899999995</c:v>
                </c:pt>
                <c:pt idx="18">
                  <c:v>307.15333199999969</c:v>
                </c:pt>
                <c:pt idx="19">
                  <c:v>401.280486</c:v>
                </c:pt>
                <c:pt idx="20">
                  <c:v>2332.8443689999999</c:v>
                </c:pt>
                <c:pt idx="21">
                  <c:v>675.05078500000002</c:v>
                </c:pt>
                <c:pt idx="22">
                  <c:v>1280.2628930000001</c:v>
                </c:pt>
                <c:pt idx="23">
                  <c:v>537.58783300000005</c:v>
                </c:pt>
                <c:pt idx="24">
                  <c:v>784.68909100000053</c:v>
                </c:pt>
                <c:pt idx="25">
                  <c:v>1999.123501</c:v>
                </c:pt>
                <c:pt idx="26">
                  <c:v>1811.2955270000011</c:v>
                </c:pt>
              </c:numCache>
            </c:numRef>
          </c:val>
        </c:ser>
        <c:dLbls>
          <c:showLegendKey val="0"/>
          <c:showVal val="0"/>
          <c:showCatName val="0"/>
          <c:showSerName val="0"/>
          <c:showPercent val="0"/>
          <c:showBubbleSize val="0"/>
        </c:dLbls>
        <c:gapWidth val="150"/>
        <c:axId val="398866688"/>
        <c:axId val="398868480"/>
      </c:barChart>
      <c:lineChart>
        <c:grouping val="standard"/>
        <c:varyColors val="0"/>
        <c:ser>
          <c:idx val="0"/>
          <c:order val="2"/>
          <c:tx>
            <c:strRef>
              <c:f>ESC34_2030!$E$2</c:f>
              <c:strCache>
                <c:ptCount val="1"/>
                <c:pt idx="0">
                  <c:v>Carga</c:v>
                </c:pt>
              </c:strCache>
            </c:strRef>
          </c:tx>
          <c:marker>
            <c:symbol val="none"/>
          </c:marker>
          <c:cat>
            <c:strRef>
              <c:f>ESC34_2030!$H$93:$H$119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ESC34_2030!$K$93:$K$119</c:f>
              <c:numCache>
                <c:formatCode>_-* #,##0_-;\-* #,##0_-;_-* "-"??_-;_-@_-</c:formatCode>
                <c:ptCount val="27"/>
                <c:pt idx="0">
                  <c:v>948.00447400000053</c:v>
                </c:pt>
                <c:pt idx="1">
                  <c:v>1480.541939</c:v>
                </c:pt>
                <c:pt idx="2">
                  <c:v>3113.2757300000012</c:v>
                </c:pt>
                <c:pt idx="3">
                  <c:v>3493.3670210000005</c:v>
                </c:pt>
                <c:pt idx="4">
                  <c:v>8579.0799449999831</c:v>
                </c:pt>
                <c:pt idx="5">
                  <c:v>8620.9329849999831</c:v>
                </c:pt>
                <c:pt idx="6">
                  <c:v>10262.348737999999</c:v>
                </c:pt>
                <c:pt idx="7">
                  <c:v>10883.337097999995</c:v>
                </c:pt>
                <c:pt idx="8">
                  <c:v>11227.534343000008</c:v>
                </c:pt>
                <c:pt idx="9">
                  <c:v>11570.589067999997</c:v>
                </c:pt>
                <c:pt idx="10">
                  <c:v>12504.071051999998</c:v>
                </c:pt>
                <c:pt idx="11">
                  <c:v>12678.330321999993</c:v>
                </c:pt>
                <c:pt idx="12">
                  <c:v>18808.098219</c:v>
                </c:pt>
                <c:pt idx="13">
                  <c:v>18229.684370000003</c:v>
                </c:pt>
                <c:pt idx="14">
                  <c:v>18154.009920999892</c:v>
                </c:pt>
                <c:pt idx="15">
                  <c:v>10003.774995000005</c:v>
                </c:pt>
                <c:pt idx="16">
                  <c:v>9779.472178999993</c:v>
                </c:pt>
                <c:pt idx="17">
                  <c:v>9398.0260299999518</c:v>
                </c:pt>
                <c:pt idx="18">
                  <c:v>9259.8782639999517</c:v>
                </c:pt>
                <c:pt idx="19">
                  <c:v>8999.9845690000056</c:v>
                </c:pt>
                <c:pt idx="20">
                  <c:v>6744.6619500000052</c:v>
                </c:pt>
                <c:pt idx="21">
                  <c:v>6203.9508260000048</c:v>
                </c:pt>
                <c:pt idx="22">
                  <c:v>5016.1219320000309</c:v>
                </c:pt>
                <c:pt idx="23">
                  <c:v>4595.1081180000037</c:v>
                </c:pt>
                <c:pt idx="24">
                  <c:v>3810.4190270000072</c:v>
                </c:pt>
                <c:pt idx="25">
                  <c:v>1811.2955260000035</c:v>
                </c:pt>
                <c:pt idx="26">
                  <c:v>0</c:v>
                </c:pt>
              </c:numCache>
            </c:numRef>
          </c:val>
          <c:smooth val="0"/>
        </c:ser>
        <c:dLbls>
          <c:showLegendKey val="0"/>
          <c:showVal val="0"/>
          <c:showCatName val="0"/>
          <c:showSerName val="0"/>
          <c:showPercent val="0"/>
          <c:showBubbleSize val="0"/>
        </c:dLbls>
        <c:marker val="1"/>
        <c:smooth val="0"/>
        <c:axId val="398866688"/>
        <c:axId val="398868480"/>
      </c:lineChart>
      <c:catAx>
        <c:axId val="398866688"/>
        <c:scaling>
          <c:orientation val="minMax"/>
        </c:scaling>
        <c:delete val="0"/>
        <c:axPos val="b"/>
        <c:majorTickMark val="out"/>
        <c:minorTickMark val="none"/>
        <c:tickLblPos val="nextTo"/>
        <c:txPr>
          <a:bodyPr rot="-5400000" vert="horz"/>
          <a:lstStyle/>
          <a:p>
            <a:pPr>
              <a:defRPr sz="900" b="0"/>
            </a:pPr>
            <a:endParaRPr lang="en-US"/>
          </a:p>
        </c:txPr>
        <c:crossAx val="398868480"/>
        <c:crosses val="autoZero"/>
        <c:auto val="1"/>
        <c:lblAlgn val="ctr"/>
        <c:lblOffset val="100"/>
        <c:noMultiLvlLbl val="0"/>
      </c:catAx>
      <c:valAx>
        <c:axId val="398868480"/>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1605489687367966E-2"/>
              <c:y val="0.38638039236291261"/>
            </c:manualLayout>
          </c:layout>
          <c:overlay val="0"/>
        </c:title>
        <c:numFmt formatCode="_-* #,##0_-;\-* #,##0_-;_-* &quot;-&quot;??_-;_-@_-" sourceLinked="1"/>
        <c:majorTickMark val="out"/>
        <c:minorTickMark val="none"/>
        <c:tickLblPos val="nextTo"/>
        <c:txPr>
          <a:bodyPr/>
          <a:lstStyle/>
          <a:p>
            <a:pPr>
              <a:defRPr sz="900" b="0"/>
            </a:pPr>
            <a:endParaRPr lang="en-US"/>
          </a:p>
        </c:txPr>
        <c:crossAx val="398866688"/>
        <c:crosses val="autoZero"/>
        <c:crossBetween val="between"/>
        <c:majorUnit val="2500"/>
      </c:valAx>
    </c:plotArea>
    <c:legend>
      <c:legendPos val="r"/>
      <c:layout>
        <c:manualLayout>
          <c:xMode val="edge"/>
          <c:yMode val="edge"/>
          <c:x val="0.87581531218623065"/>
          <c:y val="0.16904271403005003"/>
          <c:w val="9.0888342196027858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t-IT"/>
              <a:t>Linea 2 - SENTIDO Este - Oeste HPM</a:t>
            </a:r>
          </a:p>
        </c:rich>
      </c:tx>
      <c:overlay val="1"/>
    </c:title>
    <c:autoTitleDeleted val="0"/>
    <c:plotArea>
      <c:layout>
        <c:manualLayout>
          <c:layoutTarget val="inner"/>
          <c:xMode val="edge"/>
          <c:yMode val="edge"/>
          <c:x val="0.104461156259089"/>
          <c:y val="0.14200745951359192"/>
          <c:w val="0.87378149054850662"/>
          <c:h val="0.64459964962337946"/>
        </c:manualLayout>
      </c:layout>
      <c:barChart>
        <c:barDir val="col"/>
        <c:grouping val="clustered"/>
        <c:varyColors val="0"/>
        <c:ser>
          <c:idx val="1"/>
          <c:order val="0"/>
          <c:tx>
            <c:strRef>
              <c:f>ESC13_P_2018!$C$2</c:f>
              <c:strCache>
                <c:ptCount val="1"/>
                <c:pt idx="0">
                  <c:v>Sube</c:v>
                </c:pt>
              </c:strCache>
            </c:strRef>
          </c:tx>
          <c:invertIfNegative val="0"/>
          <c:cat>
            <c:strRef>
              <c:f>ESC13_P_2018!$B$3:$B$29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ESC13_P_2018!$C$3:$C$29</c:f>
              <c:numCache>
                <c:formatCode>_-* #,##0_-;\-* #,##0_-;_-* "-"??_-;_-@_-</c:formatCode>
                <c:ptCount val="27"/>
                <c:pt idx="0">
                  <c:v>2310.3359990000022</c:v>
                </c:pt>
                <c:pt idx="1">
                  <c:v>1163.3669179999999</c:v>
                </c:pt>
                <c:pt idx="2">
                  <c:v>645.58028400000001</c:v>
                </c:pt>
                <c:pt idx="3">
                  <c:v>306.7911059999991</c:v>
                </c:pt>
                <c:pt idx="4">
                  <c:v>594.2197890000009</c:v>
                </c:pt>
                <c:pt idx="5">
                  <c:v>667.14419799999996</c:v>
                </c:pt>
                <c:pt idx="6">
                  <c:v>407.52882399999999</c:v>
                </c:pt>
                <c:pt idx="7">
                  <c:v>148.62712600000026</c:v>
                </c:pt>
                <c:pt idx="8">
                  <c:v>58.572264000000004</c:v>
                </c:pt>
                <c:pt idx="9">
                  <c:v>144.671696</c:v>
                </c:pt>
                <c:pt idx="10">
                  <c:v>0</c:v>
                </c:pt>
                <c:pt idx="11">
                  <c:v>2078.092005</c:v>
                </c:pt>
                <c:pt idx="12">
                  <c:v>0</c:v>
                </c:pt>
                <c:pt idx="13">
                  <c:v>0</c:v>
                </c:pt>
                <c:pt idx="14">
                  <c:v>0</c:v>
                </c:pt>
              </c:numCache>
            </c:numRef>
          </c:val>
        </c:ser>
        <c:ser>
          <c:idx val="2"/>
          <c:order val="1"/>
          <c:tx>
            <c:strRef>
              <c:f>ESC13_P_2018!$D$2</c:f>
              <c:strCache>
                <c:ptCount val="1"/>
                <c:pt idx="0">
                  <c:v>Baja</c:v>
                </c:pt>
              </c:strCache>
            </c:strRef>
          </c:tx>
          <c:invertIfNegative val="0"/>
          <c:cat>
            <c:strRef>
              <c:f>ESC13_P_2018!$B$3:$B$29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ESC13_P_2018!$D$3:$D$29</c:f>
              <c:numCache>
                <c:formatCode>_-* #,##0_-;\-* #,##0_-;_-* "-"??_-;_-@_-</c:formatCode>
                <c:ptCount val="27"/>
                <c:pt idx="0">
                  <c:v>0</c:v>
                </c:pt>
                <c:pt idx="1">
                  <c:v>0</c:v>
                </c:pt>
                <c:pt idx="2">
                  <c:v>0</c:v>
                </c:pt>
                <c:pt idx="3">
                  <c:v>0</c:v>
                </c:pt>
                <c:pt idx="4">
                  <c:v>0</c:v>
                </c:pt>
                <c:pt idx="5">
                  <c:v>0</c:v>
                </c:pt>
                <c:pt idx="6">
                  <c:v>0</c:v>
                </c:pt>
                <c:pt idx="7">
                  <c:v>0</c:v>
                </c:pt>
                <c:pt idx="8">
                  <c:v>16.981971999999999</c:v>
                </c:pt>
                <c:pt idx="9">
                  <c:v>374.16125799999969</c:v>
                </c:pt>
                <c:pt idx="10">
                  <c:v>463.68331199999949</c:v>
                </c:pt>
                <c:pt idx="11">
                  <c:v>2393.3335450000022</c:v>
                </c:pt>
                <c:pt idx="12">
                  <c:v>173.76257699999999</c:v>
                </c:pt>
                <c:pt idx="13">
                  <c:v>701.57523000000003</c:v>
                </c:pt>
                <c:pt idx="14">
                  <c:v>4401.4323139999997</c:v>
                </c:pt>
              </c:numCache>
            </c:numRef>
          </c:val>
        </c:ser>
        <c:dLbls>
          <c:showLegendKey val="0"/>
          <c:showVal val="0"/>
          <c:showCatName val="0"/>
          <c:showSerName val="0"/>
          <c:showPercent val="0"/>
          <c:showBubbleSize val="0"/>
        </c:dLbls>
        <c:gapWidth val="150"/>
        <c:axId val="398989952"/>
        <c:axId val="398995840"/>
      </c:barChart>
      <c:lineChart>
        <c:grouping val="standard"/>
        <c:varyColors val="0"/>
        <c:ser>
          <c:idx val="0"/>
          <c:order val="2"/>
          <c:tx>
            <c:strRef>
              <c:f>ESC13_P_2018!$E$2</c:f>
              <c:strCache>
                <c:ptCount val="1"/>
                <c:pt idx="0">
                  <c:v>Carga</c:v>
                </c:pt>
              </c:strCache>
            </c:strRef>
          </c:tx>
          <c:marker>
            <c:symbol val="none"/>
          </c:marker>
          <c:cat>
            <c:strRef>
              <c:f>ESC13_P_2018!$B$3:$B$29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ESC13_P_2018!$E$3:$E$29</c:f>
              <c:numCache>
                <c:formatCode>_-* #,##0_-;\-* #,##0_-;_-* "-"??_-;_-@_-</c:formatCode>
                <c:ptCount val="27"/>
                <c:pt idx="0">
                  <c:v>2310.3359990000022</c:v>
                </c:pt>
                <c:pt idx="1">
                  <c:v>3473.7029169999996</c:v>
                </c:pt>
                <c:pt idx="2">
                  <c:v>4119.2832009999993</c:v>
                </c:pt>
                <c:pt idx="3">
                  <c:v>4426.074306999999</c:v>
                </c:pt>
                <c:pt idx="4">
                  <c:v>5020.2940959999987</c:v>
                </c:pt>
                <c:pt idx="5">
                  <c:v>5687.4382940000014</c:v>
                </c:pt>
                <c:pt idx="6">
                  <c:v>6094.9671179999987</c:v>
                </c:pt>
                <c:pt idx="7">
                  <c:v>6243.5942440000044</c:v>
                </c:pt>
                <c:pt idx="8">
                  <c:v>6285.1845360000034</c:v>
                </c:pt>
                <c:pt idx="9">
                  <c:v>6055.6949740000073</c:v>
                </c:pt>
                <c:pt idx="10">
                  <c:v>5592.0116620000044</c:v>
                </c:pt>
                <c:pt idx="11">
                  <c:v>5276.7701220000008</c:v>
                </c:pt>
                <c:pt idx="12">
                  <c:v>5103.0075449999995</c:v>
                </c:pt>
                <c:pt idx="13">
                  <c:v>4401.4323149999991</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398989952"/>
        <c:axId val="398995840"/>
      </c:lineChart>
      <c:catAx>
        <c:axId val="398989952"/>
        <c:scaling>
          <c:orientation val="minMax"/>
        </c:scaling>
        <c:delete val="0"/>
        <c:axPos val="b"/>
        <c:majorTickMark val="out"/>
        <c:minorTickMark val="none"/>
        <c:tickLblPos val="nextTo"/>
        <c:txPr>
          <a:bodyPr rot="-5400000" vert="horz"/>
          <a:lstStyle/>
          <a:p>
            <a:pPr>
              <a:defRPr sz="900" b="0"/>
            </a:pPr>
            <a:endParaRPr lang="en-US"/>
          </a:p>
        </c:txPr>
        <c:crossAx val="398995840"/>
        <c:crosses val="autoZero"/>
        <c:auto val="1"/>
        <c:lblAlgn val="ctr"/>
        <c:lblOffset val="100"/>
        <c:noMultiLvlLbl val="0"/>
      </c:catAx>
      <c:valAx>
        <c:axId val="398995840"/>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7144037563310781E-4"/>
              <c:y val="0.38443493579782612"/>
            </c:manualLayout>
          </c:layout>
          <c:overlay val="0"/>
        </c:title>
        <c:numFmt formatCode="_-* #,##0_-;\-* #,##0_-;_-* &quot;-&quot;??_-;_-@_-" sourceLinked="1"/>
        <c:majorTickMark val="out"/>
        <c:minorTickMark val="none"/>
        <c:tickLblPos val="nextTo"/>
        <c:txPr>
          <a:bodyPr/>
          <a:lstStyle/>
          <a:p>
            <a:pPr>
              <a:defRPr sz="900" b="0"/>
            </a:pPr>
            <a:endParaRPr lang="en-US"/>
          </a:p>
        </c:txPr>
        <c:crossAx val="398989952"/>
        <c:crosses val="autoZero"/>
        <c:crossBetween val="between"/>
        <c:majorUnit val="2500"/>
      </c:valAx>
    </c:plotArea>
    <c:legend>
      <c:legendPos val="r"/>
      <c:layout>
        <c:manualLayout>
          <c:xMode val="edge"/>
          <c:yMode val="edge"/>
          <c:x val="0.86513461751833465"/>
          <c:y val="0.16516723573025624"/>
          <c:w val="0.11068299310266383"/>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sz="1000" b="1">
          <a:latin typeface="Arial" pitchFamily="34" charset="0"/>
          <a:cs typeface="Arial" pitchFamily="34" charset="0"/>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t-IT"/>
              <a:t>Linea 2 - SENTIDO Oeste - Este HPM</a:t>
            </a:r>
          </a:p>
        </c:rich>
      </c:tx>
      <c:overlay val="1"/>
    </c:title>
    <c:autoTitleDeleted val="0"/>
    <c:plotArea>
      <c:layout>
        <c:manualLayout>
          <c:layoutTarget val="inner"/>
          <c:xMode val="edge"/>
          <c:yMode val="edge"/>
          <c:x val="9.8152981587510027E-2"/>
          <c:y val="0.14200745951359195"/>
          <c:w val="0.88008958780739832"/>
          <c:h val="0.64459964962337979"/>
        </c:manualLayout>
      </c:layout>
      <c:barChart>
        <c:barDir val="col"/>
        <c:grouping val="clustered"/>
        <c:varyColors val="0"/>
        <c:ser>
          <c:idx val="1"/>
          <c:order val="0"/>
          <c:tx>
            <c:strRef>
              <c:f>ESC13_P_2018!$I$2</c:f>
              <c:strCache>
                <c:ptCount val="1"/>
                <c:pt idx="0">
                  <c:v>Sube</c:v>
                </c:pt>
              </c:strCache>
            </c:strRef>
          </c:tx>
          <c:invertIfNegative val="0"/>
          <c:cat>
            <c:strRef>
              <c:f>ESC13_P_2018!$H$11:$H$37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ESC13_P_2018!$I$11:$I$37</c:f>
              <c:numCache>
                <c:formatCode>General</c:formatCode>
                <c:ptCount val="27"/>
                <c:pt idx="12" formatCode="_-* #,##0_-;\-* #,##0_-;_-* &quot;-&quot;??_-;_-@_-">
                  <c:v>1685.83105</c:v>
                </c:pt>
                <c:pt idx="13" formatCode="_-* #,##0_-;\-* #,##0_-;_-* &quot;-&quot;??_-;_-@_-">
                  <c:v>384.29005299999949</c:v>
                </c:pt>
                <c:pt idx="14" formatCode="_-* #,##0_-;\-* #,##0_-;_-* &quot;-&quot;??_-;_-@_-">
                  <c:v>106.260301</c:v>
                </c:pt>
                <c:pt idx="15" formatCode="_-* #,##0_-;\-* #,##0_-;_-* &quot;-&quot;??_-;_-@_-">
                  <c:v>1650.4058010000022</c:v>
                </c:pt>
                <c:pt idx="16" formatCode="_-* #,##0_-;\-* #,##0_-;_-* &quot;-&quot;??_-;_-@_-">
                  <c:v>211.75396799999999</c:v>
                </c:pt>
                <c:pt idx="17" formatCode="_-* #,##0_-;\-* #,##0_-;_-* &quot;-&quot;??_-;_-@_-">
                  <c:v>344.43354699999918</c:v>
                </c:pt>
                <c:pt idx="18" formatCode="_-* #,##0_-;\-* #,##0_-;_-* &quot;-&quot;??_-;_-@_-">
                  <c:v>28.044018000000001</c:v>
                </c:pt>
                <c:pt idx="19" formatCode="_-* #,##0_-;\-* #,##0_-;_-* &quot;-&quot;??_-;_-@_-">
                  <c:v>0</c:v>
                </c:pt>
                <c:pt idx="20" formatCode="_-* #,##0_-;\-* #,##0_-;_-* &quot;-&quot;??_-;_-@_-">
                  <c:v>0</c:v>
                </c:pt>
                <c:pt idx="21" formatCode="_-* #,##0_-;\-* #,##0_-;_-* &quot;-&quot;??_-;_-@_-">
                  <c:v>0</c:v>
                </c:pt>
                <c:pt idx="22" formatCode="_-* #,##0_-;\-* #,##0_-;_-* &quot;-&quot;??_-;_-@_-">
                  <c:v>0</c:v>
                </c:pt>
                <c:pt idx="23" formatCode="_-* #,##0_-;\-* #,##0_-;_-* &quot;-&quot;??_-;_-@_-">
                  <c:v>0</c:v>
                </c:pt>
                <c:pt idx="24" formatCode="_-* #,##0_-;\-* #,##0_-;_-* &quot;-&quot;??_-;_-@_-">
                  <c:v>0</c:v>
                </c:pt>
                <c:pt idx="25" formatCode="_-* #,##0_-;\-* #,##0_-;_-* &quot;-&quot;??_-;_-@_-">
                  <c:v>0</c:v>
                </c:pt>
                <c:pt idx="26" formatCode="_-* #,##0_-;\-* #,##0_-;_-* &quot;-&quot;??_-;_-@_-">
                  <c:v>0</c:v>
                </c:pt>
              </c:numCache>
            </c:numRef>
          </c:val>
        </c:ser>
        <c:ser>
          <c:idx val="2"/>
          <c:order val="1"/>
          <c:tx>
            <c:strRef>
              <c:f>ESC13_P_2018!$D$2</c:f>
              <c:strCache>
                <c:ptCount val="1"/>
                <c:pt idx="0">
                  <c:v>Baja</c:v>
                </c:pt>
              </c:strCache>
            </c:strRef>
          </c:tx>
          <c:invertIfNegative val="0"/>
          <c:cat>
            <c:strRef>
              <c:f>ESC13_P_2018!$H$11:$H$37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ESC13_P_2018!$J$11:$J$37</c:f>
              <c:numCache>
                <c:formatCode>General</c:formatCode>
                <c:ptCount val="27"/>
                <c:pt idx="12" formatCode="_-* #,##0_-;\-* #,##0_-;_-* &quot;-&quot;??_-;_-@_-">
                  <c:v>0</c:v>
                </c:pt>
                <c:pt idx="13" formatCode="_-* #,##0_-;\-* #,##0_-;_-* &quot;-&quot;??_-;_-@_-">
                  <c:v>0</c:v>
                </c:pt>
                <c:pt idx="14" formatCode="_-* #,##0_-;\-* #,##0_-;_-* &quot;-&quot;??_-;_-@_-">
                  <c:v>0</c:v>
                </c:pt>
                <c:pt idx="15" formatCode="_-* #,##0_-;\-* #,##0_-;_-* &quot;-&quot;??_-;_-@_-">
                  <c:v>519.16294099999948</c:v>
                </c:pt>
                <c:pt idx="16" formatCode="_-* #,##0_-;\-* #,##0_-;_-* &quot;-&quot;??_-;_-@_-">
                  <c:v>0</c:v>
                </c:pt>
                <c:pt idx="17" formatCode="_-* #,##0_-;\-* #,##0_-;_-* &quot;-&quot;??_-;_-@_-">
                  <c:v>94.947770000000006</c:v>
                </c:pt>
                <c:pt idx="18" formatCode="_-* #,##0_-;\-* #,##0_-;_-* &quot;-&quot;??_-;_-@_-">
                  <c:v>32.283803000000006</c:v>
                </c:pt>
                <c:pt idx="19" formatCode="_-* #,##0_-;\-* #,##0_-;_-* &quot;-&quot;??_-;_-@_-">
                  <c:v>89.817227000000145</c:v>
                </c:pt>
                <c:pt idx="20" formatCode="_-* #,##0_-;\-* #,##0_-;_-* &quot;-&quot;??_-;_-@_-">
                  <c:v>212.51397799999998</c:v>
                </c:pt>
                <c:pt idx="21" formatCode="_-* #,##0_-;\-* #,##0_-;_-* &quot;-&quot;??_-;_-@_-">
                  <c:v>96.584182999999982</c:v>
                </c:pt>
                <c:pt idx="22" formatCode="_-* #,##0_-;\-* #,##0_-;_-* &quot;-&quot;??_-;_-@_-">
                  <c:v>730.60880200000054</c:v>
                </c:pt>
                <c:pt idx="23" formatCode="_-* #,##0_-;\-* #,##0_-;_-* &quot;-&quot;??_-;_-@_-">
                  <c:v>68.527118000000002</c:v>
                </c:pt>
                <c:pt idx="24" formatCode="_-* #,##0_-;\-* #,##0_-;_-* &quot;-&quot;??_-;_-@_-">
                  <c:v>551.26136599999938</c:v>
                </c:pt>
                <c:pt idx="25" formatCode="_-* #,##0_-;\-* #,##0_-;_-* &quot;-&quot;??_-;_-@_-">
                  <c:v>289.39631699999904</c:v>
                </c:pt>
                <c:pt idx="26" formatCode="_-* #,##0_-;\-* #,##0_-;_-* &quot;-&quot;??_-;_-@_-">
                  <c:v>1725.9152329999999</c:v>
                </c:pt>
              </c:numCache>
            </c:numRef>
          </c:val>
        </c:ser>
        <c:dLbls>
          <c:showLegendKey val="0"/>
          <c:showVal val="0"/>
          <c:showCatName val="0"/>
          <c:showSerName val="0"/>
          <c:showPercent val="0"/>
          <c:showBubbleSize val="0"/>
        </c:dLbls>
        <c:gapWidth val="150"/>
        <c:axId val="399125120"/>
        <c:axId val="399147392"/>
      </c:barChart>
      <c:lineChart>
        <c:grouping val="standard"/>
        <c:varyColors val="0"/>
        <c:ser>
          <c:idx val="0"/>
          <c:order val="2"/>
          <c:tx>
            <c:strRef>
              <c:f>ESC13_P_2018!$E$2</c:f>
              <c:strCache>
                <c:ptCount val="1"/>
                <c:pt idx="0">
                  <c:v>Carga</c:v>
                </c:pt>
              </c:strCache>
            </c:strRef>
          </c:tx>
          <c:marker>
            <c:symbol val="none"/>
          </c:marker>
          <c:cat>
            <c:strRef>
              <c:f>ESC13_P_2018!$H$11:$H$37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ESC13_P_2018!$K$11:$K$37</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1685.83105</c:v>
                </c:pt>
                <c:pt idx="13">
                  <c:v>2070.1211030000022</c:v>
                </c:pt>
                <c:pt idx="14">
                  <c:v>2176.3814040000002</c:v>
                </c:pt>
                <c:pt idx="15">
                  <c:v>3307.6242639999987</c:v>
                </c:pt>
                <c:pt idx="16">
                  <c:v>3519.3782319999996</c:v>
                </c:pt>
                <c:pt idx="17">
                  <c:v>3768.8640089999994</c:v>
                </c:pt>
                <c:pt idx="18">
                  <c:v>3764.6242239999997</c:v>
                </c:pt>
                <c:pt idx="19">
                  <c:v>3674.8069970000001</c:v>
                </c:pt>
                <c:pt idx="20">
                  <c:v>3462.2930190000002</c:v>
                </c:pt>
                <c:pt idx="21">
                  <c:v>3365.7088359999952</c:v>
                </c:pt>
                <c:pt idx="22">
                  <c:v>2635.1000340000001</c:v>
                </c:pt>
                <c:pt idx="23">
                  <c:v>2566.5729160000042</c:v>
                </c:pt>
                <c:pt idx="24">
                  <c:v>2015.3115500000001</c:v>
                </c:pt>
                <c:pt idx="25">
                  <c:v>1725.9152330000011</c:v>
                </c:pt>
                <c:pt idx="26">
                  <c:v>0</c:v>
                </c:pt>
              </c:numCache>
            </c:numRef>
          </c:val>
          <c:smooth val="0"/>
        </c:ser>
        <c:dLbls>
          <c:showLegendKey val="0"/>
          <c:showVal val="0"/>
          <c:showCatName val="0"/>
          <c:showSerName val="0"/>
          <c:showPercent val="0"/>
          <c:showBubbleSize val="0"/>
        </c:dLbls>
        <c:marker val="1"/>
        <c:smooth val="0"/>
        <c:axId val="399125120"/>
        <c:axId val="399147392"/>
      </c:lineChart>
      <c:catAx>
        <c:axId val="399125120"/>
        <c:scaling>
          <c:orientation val="minMax"/>
        </c:scaling>
        <c:delete val="0"/>
        <c:axPos val="b"/>
        <c:majorTickMark val="out"/>
        <c:minorTickMark val="none"/>
        <c:tickLblPos val="nextTo"/>
        <c:txPr>
          <a:bodyPr rot="-5400000" vert="horz"/>
          <a:lstStyle/>
          <a:p>
            <a:pPr>
              <a:defRPr sz="900" b="0"/>
            </a:pPr>
            <a:endParaRPr lang="en-US"/>
          </a:p>
        </c:txPr>
        <c:crossAx val="399147392"/>
        <c:crosses val="autoZero"/>
        <c:auto val="1"/>
        <c:lblAlgn val="ctr"/>
        <c:lblOffset val="100"/>
        <c:noMultiLvlLbl val="0"/>
      </c:catAx>
      <c:valAx>
        <c:axId val="399147392"/>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2560364130165295E-3"/>
              <c:y val="0.37671234681535881"/>
            </c:manualLayout>
          </c:layout>
          <c:overlay val="0"/>
        </c:title>
        <c:numFmt formatCode="General" sourceLinked="1"/>
        <c:majorTickMark val="out"/>
        <c:minorTickMark val="none"/>
        <c:tickLblPos val="nextTo"/>
        <c:txPr>
          <a:bodyPr/>
          <a:lstStyle/>
          <a:p>
            <a:pPr>
              <a:defRPr sz="900" b="0"/>
            </a:pPr>
            <a:endParaRPr lang="en-US"/>
          </a:p>
        </c:txPr>
        <c:crossAx val="399125120"/>
        <c:crosses val="autoZero"/>
        <c:crossBetween val="between"/>
        <c:majorUnit val="2500"/>
      </c:valAx>
    </c:plotArea>
    <c:legend>
      <c:legendPos val="r"/>
      <c:layout>
        <c:manualLayout>
          <c:xMode val="edge"/>
          <c:yMode val="edge"/>
          <c:x val="0.87566216971379951"/>
          <c:y val="0.16129176468505987"/>
          <c:w val="0.10402513360212699"/>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sz="1000" b="1">
          <a:latin typeface="Arial" pitchFamily="34" charset="0"/>
          <a:cs typeface="Arial" pitchFamily="34" charset="0"/>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t-IT"/>
              <a:t>Linea 2 - SENTIDO Este - Oeste HPT</a:t>
            </a:r>
          </a:p>
        </c:rich>
      </c:tx>
      <c:overlay val="1"/>
    </c:title>
    <c:autoTitleDeleted val="0"/>
    <c:plotArea>
      <c:layout>
        <c:manualLayout>
          <c:layoutTarget val="inner"/>
          <c:xMode val="edge"/>
          <c:yMode val="edge"/>
          <c:x val="8.9092893142299248E-2"/>
          <c:y val="0.14200745951359195"/>
          <c:w val="0.88914963509509071"/>
          <c:h val="0.64459964962337979"/>
        </c:manualLayout>
      </c:layout>
      <c:barChart>
        <c:barDir val="col"/>
        <c:grouping val="clustered"/>
        <c:varyColors val="0"/>
        <c:ser>
          <c:idx val="1"/>
          <c:order val="0"/>
          <c:tx>
            <c:strRef>
              <c:f>ESC13_P_2018!$C$2</c:f>
              <c:strCache>
                <c:ptCount val="1"/>
                <c:pt idx="0">
                  <c:v>Sube</c:v>
                </c:pt>
              </c:strCache>
            </c:strRef>
          </c:tx>
          <c:invertIfNegative val="0"/>
          <c:cat>
            <c:strRef>
              <c:f>ESC13_P_2018!$B$44:$B$70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ESC13_P_2018!$C$44:$C$70</c:f>
              <c:numCache>
                <c:formatCode>_-* #,##0_-;\-* #,##0_-;_-* "-"??_-;_-@_-</c:formatCode>
                <c:ptCount val="27"/>
                <c:pt idx="0">
                  <c:v>2063.6198180000001</c:v>
                </c:pt>
                <c:pt idx="1">
                  <c:v>506.17364199999997</c:v>
                </c:pt>
                <c:pt idx="2">
                  <c:v>313.55428999999998</c:v>
                </c:pt>
                <c:pt idx="3">
                  <c:v>243.59985599999973</c:v>
                </c:pt>
                <c:pt idx="4">
                  <c:v>956.90230099999997</c:v>
                </c:pt>
                <c:pt idx="5">
                  <c:v>165.29750000000001</c:v>
                </c:pt>
                <c:pt idx="6">
                  <c:v>387.87044500000002</c:v>
                </c:pt>
                <c:pt idx="7">
                  <c:v>214.94540900000001</c:v>
                </c:pt>
                <c:pt idx="8">
                  <c:v>60.631558000000012</c:v>
                </c:pt>
                <c:pt idx="9">
                  <c:v>36.105099000000003</c:v>
                </c:pt>
                <c:pt idx="10">
                  <c:v>0</c:v>
                </c:pt>
                <c:pt idx="11">
                  <c:v>177.32837400000022</c:v>
                </c:pt>
                <c:pt idx="12">
                  <c:v>0</c:v>
                </c:pt>
                <c:pt idx="13">
                  <c:v>0</c:v>
                </c:pt>
                <c:pt idx="14">
                  <c:v>0</c:v>
                </c:pt>
              </c:numCache>
            </c:numRef>
          </c:val>
        </c:ser>
        <c:ser>
          <c:idx val="2"/>
          <c:order val="1"/>
          <c:tx>
            <c:strRef>
              <c:f>ESC13_P_2018!$D$2</c:f>
              <c:strCache>
                <c:ptCount val="1"/>
                <c:pt idx="0">
                  <c:v>Baja</c:v>
                </c:pt>
              </c:strCache>
            </c:strRef>
          </c:tx>
          <c:invertIfNegative val="0"/>
          <c:cat>
            <c:strRef>
              <c:f>ESC13_P_2018!$B$44:$B$70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ESC13_P_2018!$D$44:$D$70</c:f>
              <c:numCache>
                <c:formatCode>_-* #,##0_-;\-* #,##0_-;_-* "-"??_-;_-@_-</c:formatCode>
                <c:ptCount val="27"/>
                <c:pt idx="0">
                  <c:v>0</c:v>
                </c:pt>
                <c:pt idx="1">
                  <c:v>0</c:v>
                </c:pt>
                <c:pt idx="2">
                  <c:v>0</c:v>
                </c:pt>
                <c:pt idx="3">
                  <c:v>0</c:v>
                </c:pt>
                <c:pt idx="4">
                  <c:v>0</c:v>
                </c:pt>
                <c:pt idx="5">
                  <c:v>0</c:v>
                </c:pt>
                <c:pt idx="6">
                  <c:v>0</c:v>
                </c:pt>
                <c:pt idx="7">
                  <c:v>0</c:v>
                </c:pt>
                <c:pt idx="8">
                  <c:v>7.7145599999999916</c:v>
                </c:pt>
                <c:pt idx="9">
                  <c:v>298.19619099999949</c:v>
                </c:pt>
                <c:pt idx="10">
                  <c:v>71.189949999999982</c:v>
                </c:pt>
                <c:pt idx="11">
                  <c:v>2499.7795360000036</c:v>
                </c:pt>
                <c:pt idx="12">
                  <c:v>57.248709000000012</c:v>
                </c:pt>
                <c:pt idx="13">
                  <c:v>337.97827099999949</c:v>
                </c:pt>
                <c:pt idx="14">
                  <c:v>1853.9210740000001</c:v>
                </c:pt>
              </c:numCache>
            </c:numRef>
          </c:val>
        </c:ser>
        <c:dLbls>
          <c:showLegendKey val="0"/>
          <c:showVal val="0"/>
          <c:showCatName val="0"/>
          <c:showSerName val="0"/>
          <c:showPercent val="0"/>
          <c:showBubbleSize val="0"/>
        </c:dLbls>
        <c:gapWidth val="150"/>
        <c:axId val="418617984"/>
        <c:axId val="418648448"/>
      </c:barChart>
      <c:lineChart>
        <c:grouping val="standard"/>
        <c:varyColors val="0"/>
        <c:ser>
          <c:idx val="0"/>
          <c:order val="2"/>
          <c:tx>
            <c:strRef>
              <c:f>ESC13_P_2018!$E$2</c:f>
              <c:strCache>
                <c:ptCount val="1"/>
                <c:pt idx="0">
                  <c:v>Carga</c:v>
                </c:pt>
              </c:strCache>
            </c:strRef>
          </c:tx>
          <c:marker>
            <c:symbol val="none"/>
          </c:marker>
          <c:cat>
            <c:strRef>
              <c:f>ESC13_P_2018!$B$44:$B$70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ESC13_P_2018!$E$44:$E$70</c:f>
              <c:numCache>
                <c:formatCode>_-* #,##0_-;\-* #,##0_-;_-* "-"??_-;_-@_-</c:formatCode>
                <c:ptCount val="27"/>
                <c:pt idx="0">
                  <c:v>2063.6198180000001</c:v>
                </c:pt>
                <c:pt idx="1">
                  <c:v>2569.7934599999999</c:v>
                </c:pt>
                <c:pt idx="2">
                  <c:v>2883.3477499999999</c:v>
                </c:pt>
                <c:pt idx="3">
                  <c:v>3126.9476059999997</c:v>
                </c:pt>
                <c:pt idx="4">
                  <c:v>4083.8499070000012</c:v>
                </c:pt>
                <c:pt idx="5">
                  <c:v>4249.1474069999995</c:v>
                </c:pt>
                <c:pt idx="6">
                  <c:v>4637.017851999999</c:v>
                </c:pt>
                <c:pt idx="7">
                  <c:v>4851.9632610000044</c:v>
                </c:pt>
                <c:pt idx="8">
                  <c:v>4904.8802590000014</c:v>
                </c:pt>
                <c:pt idx="9">
                  <c:v>4642.7891670000008</c:v>
                </c:pt>
                <c:pt idx="10">
                  <c:v>4571.599217</c:v>
                </c:pt>
                <c:pt idx="11">
                  <c:v>2249.1480549999987</c:v>
                </c:pt>
                <c:pt idx="12">
                  <c:v>2191.8993459999992</c:v>
                </c:pt>
                <c:pt idx="13">
                  <c:v>1853.9210749999988</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418617984"/>
        <c:axId val="418648448"/>
      </c:lineChart>
      <c:catAx>
        <c:axId val="418617984"/>
        <c:scaling>
          <c:orientation val="minMax"/>
        </c:scaling>
        <c:delete val="0"/>
        <c:axPos val="b"/>
        <c:majorTickMark val="out"/>
        <c:minorTickMark val="none"/>
        <c:tickLblPos val="nextTo"/>
        <c:txPr>
          <a:bodyPr rot="-5400000" vert="horz"/>
          <a:lstStyle/>
          <a:p>
            <a:pPr>
              <a:defRPr sz="900" b="0"/>
            </a:pPr>
            <a:endParaRPr lang="en-US"/>
          </a:p>
        </c:txPr>
        <c:crossAx val="418648448"/>
        <c:crosses val="autoZero"/>
        <c:auto val="1"/>
        <c:lblAlgn val="ctr"/>
        <c:lblOffset val="100"/>
        <c:noMultiLvlLbl val="0"/>
      </c:catAx>
      <c:valAx>
        <c:axId val="418648448"/>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2.964096098056234E-4"/>
              <c:y val="0.38443484665454247"/>
            </c:manualLayout>
          </c:layout>
          <c:overlay val="0"/>
        </c:title>
        <c:numFmt formatCode="_-* #,##0_-;\-* #,##0_-;_-* &quot;-&quot;??_-;_-@_-" sourceLinked="1"/>
        <c:majorTickMark val="out"/>
        <c:minorTickMark val="none"/>
        <c:tickLblPos val="nextTo"/>
        <c:txPr>
          <a:bodyPr/>
          <a:lstStyle/>
          <a:p>
            <a:pPr>
              <a:defRPr sz="900" b="0"/>
            </a:pPr>
            <a:endParaRPr lang="en-US"/>
          </a:p>
        </c:txPr>
        <c:crossAx val="418617984"/>
        <c:crosses val="autoZero"/>
        <c:crossBetween val="between"/>
        <c:majorUnit val="2500"/>
      </c:valAx>
    </c:plotArea>
    <c:legend>
      <c:legendPos val="r"/>
      <c:layout>
        <c:manualLayout>
          <c:xMode val="edge"/>
          <c:yMode val="edge"/>
          <c:x val="0.86892333342678663"/>
          <c:y val="0.20994456243152412"/>
          <c:w val="0.10575497109107743"/>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sz="1000" b="1">
          <a:latin typeface="Arial" pitchFamily="34" charset="0"/>
          <a:cs typeface="Arial" pitchFamily="34" charset="0"/>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it-IT" b="1"/>
              <a:t>Linea 2 - SENTIDO Oeste - Este HPT</a:t>
            </a:r>
          </a:p>
        </c:rich>
      </c:tx>
      <c:overlay val="1"/>
    </c:title>
    <c:autoTitleDeleted val="0"/>
    <c:plotArea>
      <c:layout>
        <c:manualLayout>
          <c:layoutTarget val="inner"/>
          <c:xMode val="edge"/>
          <c:yMode val="edge"/>
          <c:x val="9.6731970874778833E-2"/>
          <c:y val="0.14200745951359198"/>
          <c:w val="0.8815105966841047"/>
          <c:h val="0.64459964962338001"/>
        </c:manualLayout>
      </c:layout>
      <c:barChart>
        <c:barDir val="col"/>
        <c:grouping val="clustered"/>
        <c:varyColors val="0"/>
        <c:ser>
          <c:idx val="1"/>
          <c:order val="0"/>
          <c:tx>
            <c:strRef>
              <c:f>ESC13_P_2018!$I$2</c:f>
              <c:strCache>
                <c:ptCount val="1"/>
                <c:pt idx="0">
                  <c:v>Sube</c:v>
                </c:pt>
              </c:strCache>
            </c:strRef>
          </c:tx>
          <c:invertIfNegative val="0"/>
          <c:cat>
            <c:strRef>
              <c:f>ESC13_P_2018!$H$52:$H$78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ESC13_P_2018!$I$52:$I$78</c:f>
              <c:numCache>
                <c:formatCode>General</c:formatCode>
                <c:ptCount val="27"/>
                <c:pt idx="12" formatCode="_-* #,##0_-;\-* #,##0_-;_-* &quot;-&quot;??_-;_-@_-">
                  <c:v>4206.8269680000085</c:v>
                </c:pt>
                <c:pt idx="13" formatCode="_-* #,##0_-;\-* #,##0_-;_-* &quot;-&quot;??_-;_-@_-">
                  <c:v>427.98650999999899</c:v>
                </c:pt>
                <c:pt idx="14" formatCode="_-* #,##0_-;\-* #,##0_-;_-* &quot;-&quot;??_-;_-@_-">
                  <c:v>484.36338000000001</c:v>
                </c:pt>
                <c:pt idx="15" formatCode="_-* #,##0_-;\-* #,##0_-;_-* &quot;-&quot;??_-;_-@_-">
                  <c:v>1527.1173439999998</c:v>
                </c:pt>
                <c:pt idx="16" formatCode="_-* #,##0_-;\-* #,##0_-;_-* &quot;-&quot;??_-;_-@_-">
                  <c:v>74.927994999999996</c:v>
                </c:pt>
                <c:pt idx="17" formatCode="_-* #,##0_-;\-* #,##0_-;_-* &quot;-&quot;??_-;_-@_-">
                  <c:v>219.10158699999999</c:v>
                </c:pt>
                <c:pt idx="18" formatCode="_-* #,##0_-;\-* #,##0_-;_-* &quot;-&quot;??_-;_-@_-">
                  <c:v>19.939800000000005</c:v>
                </c:pt>
                <c:pt idx="19" formatCode="_-* #,##0_-;\-* #,##0_-;_-* &quot;-&quot;??_-;_-@_-">
                  <c:v>0</c:v>
                </c:pt>
                <c:pt idx="20" formatCode="_-* #,##0_-;\-* #,##0_-;_-* &quot;-&quot;??_-;_-@_-">
                  <c:v>0</c:v>
                </c:pt>
                <c:pt idx="21" formatCode="_-* #,##0_-;\-* #,##0_-;_-* &quot;-&quot;??_-;_-@_-">
                  <c:v>0</c:v>
                </c:pt>
                <c:pt idx="22" formatCode="_-* #,##0_-;\-* #,##0_-;_-* &quot;-&quot;??_-;_-@_-">
                  <c:v>0</c:v>
                </c:pt>
                <c:pt idx="23" formatCode="_-* #,##0_-;\-* #,##0_-;_-* &quot;-&quot;??_-;_-@_-">
                  <c:v>0</c:v>
                </c:pt>
                <c:pt idx="24" formatCode="_-* #,##0_-;\-* #,##0_-;_-* &quot;-&quot;??_-;_-@_-">
                  <c:v>0</c:v>
                </c:pt>
                <c:pt idx="25" formatCode="_-* #,##0_-;\-* #,##0_-;_-* &quot;-&quot;??_-;_-@_-">
                  <c:v>0</c:v>
                </c:pt>
                <c:pt idx="26" formatCode="_-* #,##0_-;\-* #,##0_-;_-* &quot;-&quot;??_-;_-@_-">
                  <c:v>0</c:v>
                </c:pt>
              </c:numCache>
            </c:numRef>
          </c:val>
        </c:ser>
        <c:ser>
          <c:idx val="2"/>
          <c:order val="1"/>
          <c:tx>
            <c:strRef>
              <c:f>ESC13_P_2018!$D$2</c:f>
              <c:strCache>
                <c:ptCount val="1"/>
                <c:pt idx="0">
                  <c:v>Baja</c:v>
                </c:pt>
              </c:strCache>
            </c:strRef>
          </c:tx>
          <c:invertIfNegative val="0"/>
          <c:cat>
            <c:strRef>
              <c:f>ESC13_P_2018!$H$52:$H$78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ESC13_P_2018!$J$52:$J$78</c:f>
              <c:numCache>
                <c:formatCode>General</c:formatCode>
                <c:ptCount val="27"/>
                <c:pt idx="12" formatCode="_-* #,##0_-;\-* #,##0_-;_-* &quot;-&quot;??_-;_-@_-">
                  <c:v>0</c:v>
                </c:pt>
                <c:pt idx="13" formatCode="_-* #,##0_-;\-* #,##0_-;_-* &quot;-&quot;??_-;_-@_-">
                  <c:v>0</c:v>
                </c:pt>
                <c:pt idx="14" formatCode="_-* #,##0_-;\-* #,##0_-;_-* &quot;-&quot;??_-;_-@_-">
                  <c:v>0</c:v>
                </c:pt>
                <c:pt idx="15" formatCode="_-* #,##0_-;\-* #,##0_-;_-* &quot;-&quot;??_-;_-@_-">
                  <c:v>2111.1378130000012</c:v>
                </c:pt>
                <c:pt idx="16" formatCode="_-* #,##0_-;\-* #,##0_-;_-* &quot;-&quot;??_-;_-@_-">
                  <c:v>0</c:v>
                </c:pt>
                <c:pt idx="17" formatCode="_-* #,##0_-;\-* #,##0_-;_-* &quot;-&quot;??_-;_-@_-">
                  <c:v>19.68317</c:v>
                </c:pt>
                <c:pt idx="18" formatCode="_-* #,##0_-;\-* #,##0_-;_-* &quot;-&quot;??_-;_-@_-">
                  <c:v>0</c:v>
                </c:pt>
                <c:pt idx="19" formatCode="_-* #,##0_-;\-* #,##0_-;_-* &quot;-&quot;??_-;_-@_-">
                  <c:v>17.881781999999987</c:v>
                </c:pt>
                <c:pt idx="20" formatCode="_-* #,##0_-;\-* #,##0_-;_-* &quot;-&quot;??_-;_-@_-">
                  <c:v>42.24436</c:v>
                </c:pt>
                <c:pt idx="21" formatCode="_-* #,##0_-;\-* #,##0_-;_-* &quot;-&quot;??_-;_-@_-">
                  <c:v>118.99934399999999</c:v>
                </c:pt>
                <c:pt idx="22" formatCode="_-* #,##0_-;\-* #,##0_-;_-* &quot;-&quot;??_-;_-@_-">
                  <c:v>317.68169999999969</c:v>
                </c:pt>
                <c:pt idx="23" formatCode="_-* #,##0_-;\-* #,##0_-;_-* &quot;-&quot;??_-;_-@_-">
                  <c:v>118.595743</c:v>
                </c:pt>
                <c:pt idx="24" formatCode="_-* #,##0_-;\-* #,##0_-;_-* &quot;-&quot;??_-;_-@_-">
                  <c:v>279.34337399999993</c:v>
                </c:pt>
                <c:pt idx="25" formatCode="_-* #,##0_-;\-* #,##0_-;_-* &quot;-&quot;??_-;_-@_-">
                  <c:v>384.70289500000001</c:v>
                </c:pt>
                <c:pt idx="26" formatCode="_-* #,##0_-;\-* #,##0_-;_-* &quot;-&quot;??_-;_-@_-">
                  <c:v>3549.9934020000037</c:v>
                </c:pt>
              </c:numCache>
            </c:numRef>
          </c:val>
        </c:ser>
        <c:dLbls>
          <c:showLegendKey val="0"/>
          <c:showVal val="0"/>
          <c:showCatName val="0"/>
          <c:showSerName val="0"/>
          <c:showPercent val="0"/>
          <c:showBubbleSize val="0"/>
        </c:dLbls>
        <c:gapWidth val="150"/>
        <c:axId val="418687616"/>
        <c:axId val="418693504"/>
      </c:barChart>
      <c:lineChart>
        <c:grouping val="standard"/>
        <c:varyColors val="0"/>
        <c:ser>
          <c:idx val="0"/>
          <c:order val="2"/>
          <c:tx>
            <c:strRef>
              <c:f>ESC13_P_2018!$E$2</c:f>
              <c:strCache>
                <c:ptCount val="1"/>
                <c:pt idx="0">
                  <c:v>Carga</c:v>
                </c:pt>
              </c:strCache>
            </c:strRef>
          </c:tx>
          <c:marker>
            <c:symbol val="none"/>
          </c:marker>
          <c:cat>
            <c:strRef>
              <c:f>ESC13_P_2018!$H$52:$H$78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ESC13_P_2018!$K$52:$K$78</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4206.8269680000085</c:v>
                </c:pt>
                <c:pt idx="13">
                  <c:v>4634.813478</c:v>
                </c:pt>
                <c:pt idx="14">
                  <c:v>5119.1768579999998</c:v>
                </c:pt>
                <c:pt idx="15">
                  <c:v>4535.1563890000034</c:v>
                </c:pt>
                <c:pt idx="16">
                  <c:v>4610.0843839999998</c:v>
                </c:pt>
                <c:pt idx="17">
                  <c:v>4809.5028010000024</c:v>
                </c:pt>
                <c:pt idx="18">
                  <c:v>4829.4426010000034</c:v>
                </c:pt>
                <c:pt idx="19">
                  <c:v>4811.5608189999994</c:v>
                </c:pt>
                <c:pt idx="20">
                  <c:v>4769.3164590000024</c:v>
                </c:pt>
                <c:pt idx="21">
                  <c:v>4650.3171150000007</c:v>
                </c:pt>
                <c:pt idx="22">
                  <c:v>4332.6354150000006</c:v>
                </c:pt>
                <c:pt idx="23">
                  <c:v>4214.0396720000008</c:v>
                </c:pt>
                <c:pt idx="24">
                  <c:v>3934.6962979999998</c:v>
                </c:pt>
                <c:pt idx="25">
                  <c:v>3549.9934030000022</c:v>
                </c:pt>
                <c:pt idx="26">
                  <c:v>0</c:v>
                </c:pt>
              </c:numCache>
            </c:numRef>
          </c:val>
          <c:smooth val="0"/>
        </c:ser>
        <c:dLbls>
          <c:showLegendKey val="0"/>
          <c:showVal val="0"/>
          <c:showCatName val="0"/>
          <c:showSerName val="0"/>
          <c:showPercent val="0"/>
          <c:showBubbleSize val="0"/>
        </c:dLbls>
        <c:marker val="1"/>
        <c:smooth val="0"/>
        <c:axId val="418687616"/>
        <c:axId val="418693504"/>
      </c:lineChart>
      <c:catAx>
        <c:axId val="418687616"/>
        <c:scaling>
          <c:orientation val="minMax"/>
        </c:scaling>
        <c:delete val="0"/>
        <c:axPos val="b"/>
        <c:majorTickMark val="out"/>
        <c:minorTickMark val="none"/>
        <c:tickLblPos val="nextTo"/>
        <c:txPr>
          <a:bodyPr rot="-5400000" vert="horz"/>
          <a:lstStyle/>
          <a:p>
            <a:pPr>
              <a:defRPr/>
            </a:pPr>
            <a:endParaRPr lang="en-US"/>
          </a:p>
        </c:txPr>
        <c:crossAx val="418693504"/>
        <c:crosses val="autoZero"/>
        <c:auto val="1"/>
        <c:lblAlgn val="ctr"/>
        <c:lblOffset val="100"/>
        <c:noMultiLvlLbl val="0"/>
      </c:catAx>
      <c:valAx>
        <c:axId val="418693504"/>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6.6150224382493282E-3"/>
              <c:y val="0.38443484523281407"/>
            </c:manualLayout>
          </c:layout>
          <c:overlay val="0"/>
        </c:title>
        <c:numFmt formatCode="General" sourceLinked="1"/>
        <c:majorTickMark val="out"/>
        <c:minorTickMark val="none"/>
        <c:tickLblPos val="nextTo"/>
        <c:crossAx val="418687616"/>
        <c:crosses val="autoZero"/>
        <c:crossBetween val="between"/>
        <c:majorUnit val="2500"/>
      </c:valAx>
    </c:plotArea>
    <c:legend>
      <c:legendPos val="r"/>
      <c:layout>
        <c:manualLayout>
          <c:xMode val="edge"/>
          <c:yMode val="edge"/>
          <c:x val="0.86491910855269594"/>
          <c:y val="0.19241519959855771"/>
          <c:w val="0.11044019711978893"/>
          <c:h val="9.9001651984391426E-2"/>
        </c:manualLayout>
      </c:layout>
      <c:overlay val="0"/>
      <c:spPr>
        <a:solidFill>
          <a:sysClr val="window" lastClr="FFFFFF"/>
        </a:solidFill>
      </c:spPr>
      <c:txPr>
        <a:bodyPr/>
        <a:lstStyle/>
        <a:p>
          <a:pPr>
            <a:defRPr sz="1000"/>
          </a:pPr>
          <a:endParaRPr lang="en-US"/>
        </a:p>
      </c:txPr>
    </c:legend>
    <c:plotVisOnly val="1"/>
    <c:dispBlanksAs val="gap"/>
    <c:showDLblsOverMax val="0"/>
  </c:chart>
  <c:spPr>
    <a:ln>
      <a:noFill/>
    </a:ln>
  </c:spPr>
  <c:txPr>
    <a:bodyPr/>
    <a:lstStyle/>
    <a:p>
      <a:pPr>
        <a:defRPr sz="900" b="0">
          <a:latin typeface="Arial" pitchFamily="34" charset="0"/>
          <a:cs typeface="Arial" pitchFamily="34" charset="0"/>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it-IT" sz="1000" b="1" i="0" u="none" strike="noStrike" baseline="0"/>
              <a:t>Linea 2</a:t>
            </a:r>
            <a:r>
              <a:rPr lang="it-IT" sz="1000" baseline="0"/>
              <a:t> - SENTIDO </a:t>
            </a:r>
            <a:r>
              <a:rPr lang="it-IT" sz="1000"/>
              <a:t>Este - Oeste HV</a:t>
            </a:r>
          </a:p>
        </c:rich>
      </c:tx>
      <c:overlay val="1"/>
    </c:title>
    <c:autoTitleDeleted val="0"/>
    <c:plotArea>
      <c:layout>
        <c:manualLayout>
          <c:layoutTarget val="inner"/>
          <c:xMode val="edge"/>
          <c:yMode val="edge"/>
          <c:x val="0.1028338582197646"/>
          <c:y val="0.14200745951359198"/>
          <c:w val="0.87540870933911874"/>
          <c:h val="0.61597461162573941"/>
        </c:manualLayout>
      </c:layout>
      <c:barChart>
        <c:barDir val="col"/>
        <c:grouping val="clustered"/>
        <c:varyColors val="0"/>
        <c:ser>
          <c:idx val="1"/>
          <c:order val="0"/>
          <c:tx>
            <c:strRef>
              <c:f>ESC13_P_2018!$C$2</c:f>
              <c:strCache>
                <c:ptCount val="1"/>
                <c:pt idx="0">
                  <c:v>Sube</c:v>
                </c:pt>
              </c:strCache>
            </c:strRef>
          </c:tx>
          <c:invertIfNegative val="0"/>
          <c:cat>
            <c:strRef>
              <c:f>ESC13_P_2018!$B$85:$B$111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ESC13_P_2018!$C$85:$C$111</c:f>
              <c:numCache>
                <c:formatCode>_-* #,##0_-;\-* #,##0_-;_-* "-"??_-;_-@_-</c:formatCode>
                <c:ptCount val="27"/>
                <c:pt idx="0">
                  <c:v>1974.823973</c:v>
                </c:pt>
                <c:pt idx="1">
                  <c:v>204.11209199999999</c:v>
                </c:pt>
                <c:pt idx="2">
                  <c:v>164.69701800000001</c:v>
                </c:pt>
                <c:pt idx="3">
                  <c:v>38.917380999999999</c:v>
                </c:pt>
                <c:pt idx="4">
                  <c:v>283.64229600000044</c:v>
                </c:pt>
                <c:pt idx="5">
                  <c:v>81.858569999999986</c:v>
                </c:pt>
                <c:pt idx="6">
                  <c:v>37.651024999999997</c:v>
                </c:pt>
                <c:pt idx="7">
                  <c:v>31.300785999999999</c:v>
                </c:pt>
                <c:pt idx="8">
                  <c:v>2.4635280000000002</c:v>
                </c:pt>
                <c:pt idx="9">
                  <c:v>9.2489249999999981</c:v>
                </c:pt>
                <c:pt idx="10">
                  <c:v>0</c:v>
                </c:pt>
                <c:pt idx="11">
                  <c:v>118.79334799999998</c:v>
                </c:pt>
                <c:pt idx="12">
                  <c:v>0</c:v>
                </c:pt>
                <c:pt idx="13">
                  <c:v>0</c:v>
                </c:pt>
                <c:pt idx="14">
                  <c:v>0</c:v>
                </c:pt>
              </c:numCache>
            </c:numRef>
          </c:val>
        </c:ser>
        <c:ser>
          <c:idx val="2"/>
          <c:order val="1"/>
          <c:tx>
            <c:strRef>
              <c:f>ESC13_P_2018!$D$2</c:f>
              <c:strCache>
                <c:ptCount val="1"/>
                <c:pt idx="0">
                  <c:v>Baja</c:v>
                </c:pt>
              </c:strCache>
            </c:strRef>
          </c:tx>
          <c:invertIfNegative val="0"/>
          <c:cat>
            <c:strRef>
              <c:f>ESC13_P_2018!$B$85:$B$111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ESC13_P_2018!$D$85:$D$111</c:f>
              <c:numCache>
                <c:formatCode>_-* #,##0_-;\-* #,##0_-;_-* "-"??_-;_-@_-</c:formatCode>
                <c:ptCount val="27"/>
                <c:pt idx="0">
                  <c:v>0</c:v>
                </c:pt>
                <c:pt idx="1">
                  <c:v>0</c:v>
                </c:pt>
                <c:pt idx="2">
                  <c:v>0</c:v>
                </c:pt>
                <c:pt idx="3">
                  <c:v>0</c:v>
                </c:pt>
                <c:pt idx="4">
                  <c:v>0</c:v>
                </c:pt>
                <c:pt idx="5">
                  <c:v>0</c:v>
                </c:pt>
                <c:pt idx="6">
                  <c:v>0</c:v>
                </c:pt>
                <c:pt idx="7">
                  <c:v>0</c:v>
                </c:pt>
                <c:pt idx="8">
                  <c:v>3.5898669999999977</c:v>
                </c:pt>
                <c:pt idx="9">
                  <c:v>47.093921000000002</c:v>
                </c:pt>
                <c:pt idx="10">
                  <c:v>18.783689999999961</c:v>
                </c:pt>
                <c:pt idx="11">
                  <c:v>950.30324700000006</c:v>
                </c:pt>
                <c:pt idx="12">
                  <c:v>93.014720999999994</c:v>
                </c:pt>
                <c:pt idx="13">
                  <c:v>310.60693199999969</c:v>
                </c:pt>
                <c:pt idx="14">
                  <c:v>1524.1165640000011</c:v>
                </c:pt>
              </c:numCache>
            </c:numRef>
          </c:val>
        </c:ser>
        <c:dLbls>
          <c:showLegendKey val="0"/>
          <c:showVal val="0"/>
          <c:showCatName val="0"/>
          <c:showSerName val="0"/>
          <c:showPercent val="0"/>
          <c:showBubbleSize val="0"/>
        </c:dLbls>
        <c:gapWidth val="150"/>
        <c:axId val="418769536"/>
        <c:axId val="418783616"/>
      </c:barChart>
      <c:lineChart>
        <c:grouping val="standard"/>
        <c:varyColors val="0"/>
        <c:ser>
          <c:idx val="0"/>
          <c:order val="2"/>
          <c:tx>
            <c:strRef>
              <c:f>ESC13_P_2018!$E$2</c:f>
              <c:strCache>
                <c:ptCount val="1"/>
                <c:pt idx="0">
                  <c:v>Carga</c:v>
                </c:pt>
              </c:strCache>
            </c:strRef>
          </c:tx>
          <c:marker>
            <c:symbol val="none"/>
          </c:marker>
          <c:cat>
            <c:strRef>
              <c:f>ESC13_P_2018!$B$85:$B$111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ESC13_P_2018!$E$85:$E$111</c:f>
              <c:numCache>
                <c:formatCode>_-* #,##0_-;\-* #,##0_-;_-* "-"??_-;_-@_-</c:formatCode>
                <c:ptCount val="27"/>
                <c:pt idx="0">
                  <c:v>1974.823973</c:v>
                </c:pt>
                <c:pt idx="1">
                  <c:v>2178.9360649999999</c:v>
                </c:pt>
                <c:pt idx="2">
                  <c:v>2343.6330830000002</c:v>
                </c:pt>
                <c:pt idx="3">
                  <c:v>2382.5504639999999</c:v>
                </c:pt>
                <c:pt idx="4">
                  <c:v>2666.1927599999999</c:v>
                </c:pt>
                <c:pt idx="5">
                  <c:v>2748.0513300000048</c:v>
                </c:pt>
                <c:pt idx="6">
                  <c:v>2785.7023549999999</c:v>
                </c:pt>
                <c:pt idx="7">
                  <c:v>2817.0031410000001</c:v>
                </c:pt>
                <c:pt idx="8">
                  <c:v>2815.8768019999998</c:v>
                </c:pt>
                <c:pt idx="9">
                  <c:v>2778.0318059999995</c:v>
                </c:pt>
                <c:pt idx="10">
                  <c:v>2759.2481159999993</c:v>
                </c:pt>
                <c:pt idx="11">
                  <c:v>1927.7382169999994</c:v>
                </c:pt>
                <c:pt idx="12">
                  <c:v>1834.7234959999994</c:v>
                </c:pt>
                <c:pt idx="13">
                  <c:v>1524.1165640000011</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smooth val="0"/>
        </c:ser>
        <c:dLbls>
          <c:showLegendKey val="0"/>
          <c:showVal val="0"/>
          <c:showCatName val="0"/>
          <c:showSerName val="0"/>
          <c:showPercent val="0"/>
          <c:showBubbleSize val="0"/>
        </c:dLbls>
        <c:marker val="1"/>
        <c:smooth val="0"/>
        <c:axId val="418769536"/>
        <c:axId val="418783616"/>
      </c:lineChart>
      <c:catAx>
        <c:axId val="418769536"/>
        <c:scaling>
          <c:orientation val="minMax"/>
        </c:scaling>
        <c:delete val="0"/>
        <c:axPos val="b"/>
        <c:majorTickMark val="out"/>
        <c:minorTickMark val="none"/>
        <c:tickLblPos val="nextTo"/>
        <c:txPr>
          <a:bodyPr rot="-5400000" vert="horz"/>
          <a:lstStyle/>
          <a:p>
            <a:pPr>
              <a:defRPr sz="900" b="0"/>
            </a:pPr>
            <a:endParaRPr lang="en-US"/>
          </a:p>
        </c:txPr>
        <c:crossAx val="418783616"/>
        <c:crosses val="autoZero"/>
        <c:auto val="1"/>
        <c:lblAlgn val="ctr"/>
        <c:lblOffset val="100"/>
        <c:noMultiLvlLbl val="0"/>
      </c:catAx>
      <c:valAx>
        <c:axId val="418783616"/>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8.2827114913553192E-3"/>
              <c:y val="0.38637911589838814"/>
            </c:manualLayout>
          </c:layout>
          <c:overlay val="0"/>
        </c:title>
        <c:numFmt formatCode="_-* #,##0_-;\-* #,##0_-;_-* &quot;-&quot;??_-;_-@_-" sourceLinked="1"/>
        <c:majorTickMark val="out"/>
        <c:minorTickMark val="none"/>
        <c:tickLblPos val="nextTo"/>
        <c:txPr>
          <a:bodyPr/>
          <a:lstStyle/>
          <a:p>
            <a:pPr>
              <a:defRPr sz="900" b="0"/>
            </a:pPr>
            <a:endParaRPr lang="en-US"/>
          </a:p>
        </c:txPr>
        <c:crossAx val="418769536"/>
        <c:crosses val="autoZero"/>
        <c:crossBetween val="between"/>
        <c:majorUnit val="2500"/>
      </c:valAx>
      <c:spPr>
        <a:ln>
          <a:prstDash val="sysDot"/>
        </a:ln>
      </c:spPr>
    </c:plotArea>
    <c:legend>
      <c:legendPos val="r"/>
      <c:layout>
        <c:manualLayout>
          <c:xMode val="edge"/>
          <c:yMode val="edge"/>
          <c:x val="0.86804212176075957"/>
          <c:y val="0.17098693067197177"/>
          <c:w val="0.10891472528354278"/>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it-IT" sz="1000" b="1" i="0" u="none" strike="noStrike" baseline="0"/>
              <a:t>Linea 2</a:t>
            </a:r>
            <a:r>
              <a:rPr lang="it-IT" sz="1000" baseline="0"/>
              <a:t> - SENTIDO Oeste</a:t>
            </a:r>
            <a:r>
              <a:rPr lang="it-IT" sz="1000"/>
              <a:t> - Este HV</a:t>
            </a:r>
          </a:p>
        </c:rich>
      </c:tx>
      <c:overlay val="1"/>
    </c:title>
    <c:autoTitleDeleted val="0"/>
    <c:plotArea>
      <c:layout>
        <c:manualLayout>
          <c:layoutTarget val="inner"/>
          <c:xMode val="edge"/>
          <c:yMode val="edge"/>
          <c:x val="8.9069753470222265E-2"/>
          <c:y val="0.142007459513592"/>
          <c:w val="0.88917281592468689"/>
          <c:h val="0.62912099129065868"/>
        </c:manualLayout>
      </c:layout>
      <c:barChart>
        <c:barDir val="col"/>
        <c:grouping val="clustered"/>
        <c:varyColors val="0"/>
        <c:ser>
          <c:idx val="1"/>
          <c:order val="0"/>
          <c:tx>
            <c:strRef>
              <c:f>ESC13_P_2018!$I$2</c:f>
              <c:strCache>
                <c:ptCount val="1"/>
                <c:pt idx="0">
                  <c:v>Sube</c:v>
                </c:pt>
              </c:strCache>
            </c:strRef>
          </c:tx>
          <c:invertIfNegative val="0"/>
          <c:cat>
            <c:strRef>
              <c:f>ESC13_P_2018!$H$93:$H$119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ESC13_P_2018!$I$93:$I$119</c:f>
              <c:numCache>
                <c:formatCode>General</c:formatCode>
                <c:ptCount val="27"/>
                <c:pt idx="12" formatCode="_-* #,##0_-;\-* #,##0_-;_-* &quot;-&quot;??_-;_-@_-">
                  <c:v>1510.4506510000022</c:v>
                </c:pt>
                <c:pt idx="13" formatCode="_-* #,##0_-;\-* #,##0_-;_-* &quot;-&quot;??_-;_-@_-">
                  <c:v>125.44795400000019</c:v>
                </c:pt>
                <c:pt idx="14" formatCode="_-* #,##0_-;\-* #,##0_-;_-* &quot;-&quot;??_-;_-@_-">
                  <c:v>66.217045999999996</c:v>
                </c:pt>
                <c:pt idx="15" formatCode="_-* #,##0_-;\-* #,##0_-;_-* &quot;-&quot;??_-;_-@_-">
                  <c:v>464.0366049999995</c:v>
                </c:pt>
                <c:pt idx="16" formatCode="_-* #,##0_-;\-* #,##0_-;_-* &quot;-&quot;??_-;_-@_-">
                  <c:v>39.623258000000057</c:v>
                </c:pt>
                <c:pt idx="17" formatCode="_-* #,##0_-;\-* #,##0_-;_-* &quot;-&quot;??_-;_-@_-">
                  <c:v>59.966166000000001</c:v>
                </c:pt>
                <c:pt idx="18" formatCode="_-* #,##0_-;\-* #,##0_-;_-* &quot;-&quot;??_-;_-@_-">
                  <c:v>0.15874000000000038</c:v>
                </c:pt>
                <c:pt idx="19" formatCode="_-* #,##0_-;\-* #,##0_-;_-* &quot;-&quot;??_-;_-@_-">
                  <c:v>0</c:v>
                </c:pt>
                <c:pt idx="20" formatCode="_-* #,##0_-;\-* #,##0_-;_-* &quot;-&quot;??_-;_-@_-">
                  <c:v>0</c:v>
                </c:pt>
                <c:pt idx="21" formatCode="_-* #,##0_-;\-* #,##0_-;_-* &quot;-&quot;??_-;_-@_-">
                  <c:v>0</c:v>
                </c:pt>
                <c:pt idx="22" formatCode="_-* #,##0_-;\-* #,##0_-;_-* &quot;-&quot;??_-;_-@_-">
                  <c:v>0</c:v>
                </c:pt>
                <c:pt idx="23" formatCode="_-* #,##0_-;\-* #,##0_-;_-* &quot;-&quot;??_-;_-@_-">
                  <c:v>0</c:v>
                </c:pt>
                <c:pt idx="24" formatCode="_-* #,##0_-;\-* #,##0_-;_-* &quot;-&quot;??_-;_-@_-">
                  <c:v>0</c:v>
                </c:pt>
                <c:pt idx="25" formatCode="_-* #,##0_-;\-* #,##0_-;_-* &quot;-&quot;??_-;_-@_-">
                  <c:v>0</c:v>
                </c:pt>
                <c:pt idx="26" formatCode="_-* #,##0_-;\-* #,##0_-;_-* &quot;-&quot;??_-;_-@_-">
                  <c:v>0</c:v>
                </c:pt>
              </c:numCache>
            </c:numRef>
          </c:val>
        </c:ser>
        <c:ser>
          <c:idx val="2"/>
          <c:order val="1"/>
          <c:tx>
            <c:strRef>
              <c:f>ESC13_P_2018!$D$2</c:f>
              <c:strCache>
                <c:ptCount val="1"/>
                <c:pt idx="0">
                  <c:v>Baja</c:v>
                </c:pt>
              </c:strCache>
            </c:strRef>
          </c:tx>
          <c:invertIfNegative val="0"/>
          <c:cat>
            <c:strRef>
              <c:f>ESC13_P_2018!$H$93:$H$119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ESC13_P_2018!$J$93:$J$119</c:f>
              <c:numCache>
                <c:formatCode>General</c:formatCode>
                <c:ptCount val="27"/>
                <c:pt idx="12" formatCode="_-* #,##0_-;\-* #,##0_-;_-* &quot;-&quot;??_-;_-@_-">
                  <c:v>0</c:v>
                </c:pt>
                <c:pt idx="13" formatCode="_-* #,##0_-;\-* #,##0_-;_-* &quot;-&quot;??_-;_-@_-">
                  <c:v>0</c:v>
                </c:pt>
                <c:pt idx="14" formatCode="_-* #,##0_-;\-* #,##0_-;_-* &quot;-&quot;??_-;_-@_-">
                  <c:v>0</c:v>
                </c:pt>
                <c:pt idx="15" formatCode="_-* #,##0_-;\-* #,##0_-;_-* &quot;-&quot;??_-;_-@_-">
                  <c:v>339.12906500000008</c:v>
                </c:pt>
                <c:pt idx="16" formatCode="_-* #,##0_-;\-* #,##0_-;_-* &quot;-&quot;??_-;_-@_-">
                  <c:v>0</c:v>
                </c:pt>
                <c:pt idx="17" formatCode="_-* #,##0_-;\-* #,##0_-;_-* &quot;-&quot;??_-;_-@_-">
                  <c:v>9.8101700000000012</c:v>
                </c:pt>
                <c:pt idx="18" formatCode="_-* #,##0_-;\-* #,##0_-;_-* &quot;-&quot;??_-;_-@_-">
                  <c:v>1.034198</c:v>
                </c:pt>
                <c:pt idx="19" formatCode="_-* #,##0_-;\-* #,##0_-;_-* &quot;-&quot;??_-;_-@_-">
                  <c:v>0.59694400000000003</c:v>
                </c:pt>
                <c:pt idx="20" formatCode="_-* #,##0_-;\-* #,##0_-;_-* &quot;-&quot;??_-;_-@_-">
                  <c:v>6.8981219999999945</c:v>
                </c:pt>
                <c:pt idx="21" formatCode="_-* #,##0_-;\-* #,##0_-;_-* &quot;-&quot;??_-;_-@_-">
                  <c:v>44.386047999999995</c:v>
                </c:pt>
                <c:pt idx="22" formatCode="_-* #,##0_-;\-* #,##0_-;_-* &quot;-&quot;??_-;_-@_-">
                  <c:v>219.98374700000022</c:v>
                </c:pt>
                <c:pt idx="23" formatCode="_-* #,##0_-;\-* #,##0_-;_-* &quot;-&quot;??_-;_-@_-">
                  <c:v>51.282791000000003</c:v>
                </c:pt>
                <c:pt idx="24" formatCode="_-* #,##0_-;\-* #,##0_-;_-* &quot;-&quot;??_-;_-@_-">
                  <c:v>349.84696000000002</c:v>
                </c:pt>
                <c:pt idx="25" formatCode="_-* #,##0_-;\-* #,##0_-;_-* &quot;-&quot;??_-;_-@_-">
                  <c:v>147.130978</c:v>
                </c:pt>
                <c:pt idx="26" formatCode="_-* #,##0_-;\-* #,##0_-;_-* &quot;-&quot;??_-;_-@_-">
                  <c:v>1095.801397</c:v>
                </c:pt>
              </c:numCache>
            </c:numRef>
          </c:val>
        </c:ser>
        <c:dLbls>
          <c:showLegendKey val="0"/>
          <c:showVal val="0"/>
          <c:showCatName val="0"/>
          <c:showSerName val="0"/>
          <c:showPercent val="0"/>
          <c:showBubbleSize val="0"/>
        </c:dLbls>
        <c:gapWidth val="150"/>
        <c:axId val="421362304"/>
        <c:axId val="421376384"/>
      </c:barChart>
      <c:lineChart>
        <c:grouping val="standard"/>
        <c:varyColors val="0"/>
        <c:ser>
          <c:idx val="0"/>
          <c:order val="2"/>
          <c:tx>
            <c:strRef>
              <c:f>ESC13_P_2018!$E$2</c:f>
              <c:strCache>
                <c:ptCount val="1"/>
                <c:pt idx="0">
                  <c:v>Carga</c:v>
                </c:pt>
              </c:strCache>
            </c:strRef>
          </c:tx>
          <c:marker>
            <c:symbol val="none"/>
          </c:marker>
          <c:cat>
            <c:strRef>
              <c:f>ESC13_P_2018!$H$93:$H$119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ESC13_P_2018!$K$93:$K$119</c:f>
              <c:numCache>
                <c:formatCode>_-* #,##0_-;\-* #,##0_-;_-* "-"??_-;_-@_-</c:formatCode>
                <c:ptCount val="27"/>
                <c:pt idx="0">
                  <c:v>0</c:v>
                </c:pt>
                <c:pt idx="1">
                  <c:v>0</c:v>
                </c:pt>
                <c:pt idx="2">
                  <c:v>0</c:v>
                </c:pt>
                <c:pt idx="3">
                  <c:v>0</c:v>
                </c:pt>
                <c:pt idx="4">
                  <c:v>0</c:v>
                </c:pt>
                <c:pt idx="5">
                  <c:v>0</c:v>
                </c:pt>
                <c:pt idx="6">
                  <c:v>0</c:v>
                </c:pt>
                <c:pt idx="7">
                  <c:v>0</c:v>
                </c:pt>
                <c:pt idx="8">
                  <c:v>0</c:v>
                </c:pt>
                <c:pt idx="9">
                  <c:v>0</c:v>
                </c:pt>
                <c:pt idx="10">
                  <c:v>0</c:v>
                </c:pt>
                <c:pt idx="11">
                  <c:v>0</c:v>
                </c:pt>
                <c:pt idx="12">
                  <c:v>1510.4506510000022</c:v>
                </c:pt>
                <c:pt idx="13">
                  <c:v>1635.8986050000001</c:v>
                </c:pt>
                <c:pt idx="14">
                  <c:v>1702.1156510000021</c:v>
                </c:pt>
                <c:pt idx="15">
                  <c:v>1827.0231910000002</c:v>
                </c:pt>
                <c:pt idx="16">
                  <c:v>1866.646448999998</c:v>
                </c:pt>
                <c:pt idx="17">
                  <c:v>1916.8024449999978</c:v>
                </c:pt>
                <c:pt idx="18">
                  <c:v>1915.9269870000021</c:v>
                </c:pt>
                <c:pt idx="19">
                  <c:v>1915.3300430000004</c:v>
                </c:pt>
                <c:pt idx="20">
                  <c:v>1908.4319210000003</c:v>
                </c:pt>
                <c:pt idx="21">
                  <c:v>1864.0458730000021</c:v>
                </c:pt>
                <c:pt idx="22">
                  <c:v>1644.0621259999998</c:v>
                </c:pt>
                <c:pt idx="23">
                  <c:v>1592.7793350000002</c:v>
                </c:pt>
                <c:pt idx="24">
                  <c:v>1242.9323750000001</c:v>
                </c:pt>
                <c:pt idx="25">
                  <c:v>1095.8013970000002</c:v>
                </c:pt>
                <c:pt idx="26">
                  <c:v>0</c:v>
                </c:pt>
              </c:numCache>
            </c:numRef>
          </c:val>
          <c:smooth val="0"/>
        </c:ser>
        <c:dLbls>
          <c:showLegendKey val="0"/>
          <c:showVal val="0"/>
          <c:showCatName val="0"/>
          <c:showSerName val="0"/>
          <c:showPercent val="0"/>
          <c:showBubbleSize val="0"/>
        </c:dLbls>
        <c:marker val="1"/>
        <c:smooth val="0"/>
        <c:axId val="421362304"/>
        <c:axId val="421376384"/>
      </c:lineChart>
      <c:catAx>
        <c:axId val="421362304"/>
        <c:scaling>
          <c:orientation val="minMax"/>
        </c:scaling>
        <c:delete val="0"/>
        <c:axPos val="b"/>
        <c:majorTickMark val="out"/>
        <c:minorTickMark val="none"/>
        <c:tickLblPos val="nextTo"/>
        <c:txPr>
          <a:bodyPr rot="-5400000" vert="horz"/>
          <a:lstStyle/>
          <a:p>
            <a:pPr>
              <a:defRPr sz="900" b="0"/>
            </a:pPr>
            <a:endParaRPr lang="en-US"/>
          </a:p>
        </c:txPr>
        <c:crossAx val="421376384"/>
        <c:crosses val="autoZero"/>
        <c:auto val="1"/>
        <c:lblAlgn val="ctr"/>
        <c:lblOffset val="100"/>
        <c:noMultiLvlLbl val="0"/>
      </c:catAx>
      <c:valAx>
        <c:axId val="421376384"/>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7403560434698084E-4"/>
              <c:y val="0.38443511159637406"/>
            </c:manualLayout>
          </c:layout>
          <c:overlay val="0"/>
        </c:title>
        <c:numFmt formatCode="General" sourceLinked="1"/>
        <c:majorTickMark val="out"/>
        <c:minorTickMark val="none"/>
        <c:tickLblPos val="nextTo"/>
        <c:txPr>
          <a:bodyPr/>
          <a:lstStyle/>
          <a:p>
            <a:pPr>
              <a:defRPr sz="900" b="0"/>
            </a:pPr>
            <a:endParaRPr lang="en-US"/>
          </a:p>
        </c:txPr>
        <c:crossAx val="421362304"/>
        <c:crosses val="autoZero"/>
        <c:crossBetween val="between"/>
        <c:majorUnit val="2500"/>
      </c:valAx>
    </c:plotArea>
    <c:legend>
      <c:legendPos val="r"/>
      <c:layout>
        <c:manualLayout>
          <c:xMode val="edge"/>
          <c:yMode val="edge"/>
          <c:x val="0.84862621538837313"/>
          <c:y val="0.17098693067197177"/>
          <c:w val="0.12673320389534623"/>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HPM</a:t>
            </a:r>
          </a:p>
        </c:rich>
      </c:tx>
      <c:overlay val="1"/>
    </c:title>
    <c:autoTitleDeleted val="0"/>
    <c:plotArea>
      <c:layout>
        <c:manualLayout>
          <c:layoutTarget val="inner"/>
          <c:xMode val="edge"/>
          <c:yMode val="edge"/>
          <c:x val="0.10422056162115872"/>
          <c:y val="0.14200745951359192"/>
          <c:w val="0.8740221081183529"/>
          <c:h val="0.64459964962337946"/>
        </c:manualLayout>
      </c:layout>
      <c:barChart>
        <c:barDir val="col"/>
        <c:grouping val="clustered"/>
        <c:varyColors val="0"/>
        <c:ser>
          <c:idx val="1"/>
          <c:order val="0"/>
          <c:tx>
            <c:strRef>
              <c:f>ESC23_P_2020!$C$2</c:f>
              <c:strCache>
                <c:ptCount val="1"/>
                <c:pt idx="0">
                  <c:v>Sube</c:v>
                </c:pt>
              </c:strCache>
            </c:strRef>
          </c:tx>
          <c:invertIfNegative val="0"/>
          <c:cat>
            <c:strRef>
              <c:f>ESC23_P_2020!$B$3:$B$29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ESC23_P_2020!$C$3:$C$29</c:f>
              <c:numCache>
                <c:formatCode>_-* #,##0_-;\-* #,##0_-;_-* "-"??_-;_-@_-</c:formatCode>
                <c:ptCount val="27"/>
                <c:pt idx="0">
                  <c:v>3212.3941260000042</c:v>
                </c:pt>
                <c:pt idx="1">
                  <c:v>1184.563261</c:v>
                </c:pt>
                <c:pt idx="2">
                  <c:v>524.74924099999998</c:v>
                </c:pt>
                <c:pt idx="3">
                  <c:v>334.272875</c:v>
                </c:pt>
                <c:pt idx="4">
                  <c:v>595.71311300000002</c:v>
                </c:pt>
                <c:pt idx="5">
                  <c:v>730.56419999999946</c:v>
                </c:pt>
                <c:pt idx="6">
                  <c:v>1014.600198</c:v>
                </c:pt>
                <c:pt idx="7">
                  <c:v>594.83759199999872</c:v>
                </c:pt>
                <c:pt idx="8">
                  <c:v>152.50359299999977</c:v>
                </c:pt>
                <c:pt idx="9">
                  <c:v>323.05255799999969</c:v>
                </c:pt>
                <c:pt idx="10">
                  <c:v>628.75408000000004</c:v>
                </c:pt>
                <c:pt idx="11">
                  <c:v>9482.5567379999848</c:v>
                </c:pt>
                <c:pt idx="12">
                  <c:v>112.58355400000002</c:v>
                </c:pt>
                <c:pt idx="13">
                  <c:v>122.81896</c:v>
                </c:pt>
                <c:pt idx="14">
                  <c:v>114.98769600000011</c:v>
                </c:pt>
                <c:pt idx="15">
                  <c:v>2.1576300000000002</c:v>
                </c:pt>
                <c:pt idx="16">
                  <c:v>7.7390700000000034</c:v>
                </c:pt>
                <c:pt idx="17">
                  <c:v>0</c:v>
                </c:pt>
                <c:pt idx="18">
                  <c:v>0</c:v>
                </c:pt>
                <c:pt idx="19">
                  <c:v>5.7885999999999997</c:v>
                </c:pt>
                <c:pt idx="20">
                  <c:v>2.81012</c:v>
                </c:pt>
                <c:pt idx="21">
                  <c:v>0</c:v>
                </c:pt>
                <c:pt idx="22">
                  <c:v>58.835669000000003</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ESC23_P_2020!$D$3:$D$29</c:f>
              <c:numCache>
                <c:formatCode>_-* #,##0_-;\-* #,##0_-;_-* "-"??_-;_-@_-</c:formatCode>
                <c:ptCount val="27"/>
                <c:pt idx="0">
                  <c:v>0</c:v>
                </c:pt>
                <c:pt idx="1">
                  <c:v>0</c:v>
                </c:pt>
                <c:pt idx="2">
                  <c:v>0</c:v>
                </c:pt>
                <c:pt idx="3">
                  <c:v>0</c:v>
                </c:pt>
                <c:pt idx="4">
                  <c:v>0</c:v>
                </c:pt>
                <c:pt idx="5">
                  <c:v>0</c:v>
                </c:pt>
                <c:pt idx="6">
                  <c:v>0</c:v>
                </c:pt>
                <c:pt idx="7">
                  <c:v>0</c:v>
                </c:pt>
                <c:pt idx="8">
                  <c:v>38.830532000000012</c:v>
                </c:pt>
                <c:pt idx="9">
                  <c:v>412.74969099999998</c:v>
                </c:pt>
                <c:pt idx="10">
                  <c:v>422.054734</c:v>
                </c:pt>
                <c:pt idx="11">
                  <c:v>2098.8020070000002</c:v>
                </c:pt>
                <c:pt idx="12">
                  <c:v>269.01616399999949</c:v>
                </c:pt>
                <c:pt idx="13">
                  <c:v>621.766572</c:v>
                </c:pt>
                <c:pt idx="14">
                  <c:v>2854.241943</c:v>
                </c:pt>
                <c:pt idx="15">
                  <c:v>439.684955</c:v>
                </c:pt>
                <c:pt idx="16">
                  <c:v>278.95131099999918</c:v>
                </c:pt>
                <c:pt idx="17">
                  <c:v>159.34347700000001</c:v>
                </c:pt>
                <c:pt idx="18">
                  <c:v>789.78358100000105</c:v>
                </c:pt>
                <c:pt idx="19">
                  <c:v>1796.142803</c:v>
                </c:pt>
                <c:pt idx="20">
                  <c:v>2621.7891730000001</c:v>
                </c:pt>
                <c:pt idx="21">
                  <c:v>181.72073900000001</c:v>
                </c:pt>
                <c:pt idx="22">
                  <c:v>1168.3337039999999</c:v>
                </c:pt>
                <c:pt idx="23">
                  <c:v>1974.543089</c:v>
                </c:pt>
                <c:pt idx="24">
                  <c:v>1973.7204959999999</c:v>
                </c:pt>
                <c:pt idx="25">
                  <c:v>428.01632999999919</c:v>
                </c:pt>
                <c:pt idx="26">
                  <c:v>676.79157600000053</c:v>
                </c:pt>
              </c:numCache>
            </c:numRef>
          </c:val>
        </c:ser>
        <c:dLbls>
          <c:showLegendKey val="0"/>
          <c:showVal val="0"/>
          <c:showCatName val="0"/>
          <c:showSerName val="0"/>
          <c:showPercent val="0"/>
          <c:showBubbleSize val="0"/>
        </c:dLbls>
        <c:gapWidth val="150"/>
        <c:axId val="421444992"/>
        <c:axId val="421622912"/>
      </c:barChart>
      <c:lineChart>
        <c:grouping val="standard"/>
        <c:varyColors val="0"/>
        <c:ser>
          <c:idx val="0"/>
          <c:order val="2"/>
          <c:tx>
            <c:strRef>
              <c:f>ESC23_P_2020!$E$2</c:f>
              <c:strCache>
                <c:ptCount val="1"/>
                <c:pt idx="0">
                  <c:v>Carga</c:v>
                </c:pt>
              </c:strCache>
            </c:strRef>
          </c:tx>
          <c:marker>
            <c:symbol val="none"/>
          </c:marker>
          <c:cat>
            <c:strRef>
              <c:f>ESC23_P_2020!$B$3:$B$29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ESC23_P_2020!$E$3:$E$29</c:f>
              <c:numCache>
                <c:formatCode>_-* #,##0_-;\-* #,##0_-;_-* "-"??_-;_-@_-</c:formatCode>
                <c:ptCount val="27"/>
                <c:pt idx="0">
                  <c:v>3212.3941260000042</c:v>
                </c:pt>
                <c:pt idx="1">
                  <c:v>4396.9573869999986</c:v>
                </c:pt>
                <c:pt idx="2">
                  <c:v>4921.7066280000054</c:v>
                </c:pt>
                <c:pt idx="3">
                  <c:v>5255.9795029999996</c:v>
                </c:pt>
                <c:pt idx="4">
                  <c:v>5851.6926160000066</c:v>
                </c:pt>
                <c:pt idx="5">
                  <c:v>6582.2568159999992</c:v>
                </c:pt>
                <c:pt idx="6">
                  <c:v>7596.8570139999993</c:v>
                </c:pt>
                <c:pt idx="7">
                  <c:v>8191.6946060000064</c:v>
                </c:pt>
                <c:pt idx="8">
                  <c:v>8305.3676669999822</c:v>
                </c:pt>
                <c:pt idx="9">
                  <c:v>8215.6705339999826</c:v>
                </c:pt>
                <c:pt idx="10">
                  <c:v>8422.3698799999802</c:v>
                </c:pt>
                <c:pt idx="11">
                  <c:v>15806.124610999997</c:v>
                </c:pt>
                <c:pt idx="12">
                  <c:v>15649.692000999998</c:v>
                </c:pt>
                <c:pt idx="13">
                  <c:v>15150.74438900001</c:v>
                </c:pt>
                <c:pt idx="14">
                  <c:v>12411.490141999999</c:v>
                </c:pt>
                <c:pt idx="15">
                  <c:v>11973.962816999991</c:v>
                </c:pt>
                <c:pt idx="16">
                  <c:v>11702.750575999997</c:v>
                </c:pt>
                <c:pt idx="17">
                  <c:v>11543.407098999995</c:v>
                </c:pt>
                <c:pt idx="18">
                  <c:v>10753.623518000011</c:v>
                </c:pt>
                <c:pt idx="19">
                  <c:v>8963.269314999985</c:v>
                </c:pt>
                <c:pt idx="20">
                  <c:v>6344.2902620000004</c:v>
                </c:pt>
                <c:pt idx="21">
                  <c:v>6162.5695230000038</c:v>
                </c:pt>
                <c:pt idx="22">
                  <c:v>5053.071487999996</c:v>
                </c:pt>
                <c:pt idx="23">
                  <c:v>3078.5283989999957</c:v>
                </c:pt>
                <c:pt idx="24">
                  <c:v>1104.8079029999958</c:v>
                </c:pt>
                <c:pt idx="25">
                  <c:v>676.79157299999724</c:v>
                </c:pt>
                <c:pt idx="26">
                  <c:v>0</c:v>
                </c:pt>
              </c:numCache>
            </c:numRef>
          </c:val>
          <c:smooth val="0"/>
        </c:ser>
        <c:dLbls>
          <c:showLegendKey val="0"/>
          <c:showVal val="0"/>
          <c:showCatName val="0"/>
          <c:showSerName val="0"/>
          <c:showPercent val="0"/>
          <c:showBubbleSize val="0"/>
        </c:dLbls>
        <c:marker val="1"/>
        <c:smooth val="0"/>
        <c:axId val="421444992"/>
        <c:axId val="421622912"/>
      </c:lineChart>
      <c:catAx>
        <c:axId val="421444992"/>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1622912"/>
        <c:crosses val="autoZero"/>
        <c:auto val="1"/>
        <c:lblAlgn val="ctr"/>
        <c:lblOffset val="100"/>
        <c:noMultiLvlLbl val="0"/>
      </c:catAx>
      <c:valAx>
        <c:axId val="421622912"/>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5.9991801029081913E-3"/>
              <c:y val="0.38507383944840623"/>
            </c:manualLayout>
          </c:layout>
          <c:overlay val="0"/>
        </c:title>
        <c:numFmt formatCode="_-* #,##0_-;\-* #,##0_-;_-* &quot;-&quot;??_-;_-@_-" sourceLinked="1"/>
        <c:majorTickMark val="out"/>
        <c:minorTickMark val="none"/>
        <c:tickLblPos val="nextTo"/>
        <c:txPr>
          <a:bodyPr/>
          <a:lstStyle/>
          <a:p>
            <a:pPr>
              <a:defRPr sz="900" b="0"/>
            </a:pPr>
            <a:endParaRPr lang="en-US"/>
          </a:p>
        </c:txPr>
        <c:crossAx val="421444992"/>
        <c:crosses val="autoZero"/>
        <c:crossBetween val="between"/>
        <c:majorUnit val="2500"/>
      </c:valAx>
    </c:plotArea>
    <c:legend>
      <c:legendPos val="r"/>
      <c:layout>
        <c:manualLayout>
          <c:xMode val="edge"/>
          <c:yMode val="edge"/>
          <c:x val="0.87022748983507714"/>
          <c:y val="0.16904271403005003"/>
          <c:w val="9.6476028864099214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36672705249933E-2"/>
          <c:y val="4.6531028991059847E-2"/>
          <c:w val="0.91077689321766109"/>
          <c:h val="0.50066281025608561"/>
        </c:manualLayout>
      </c:layout>
      <c:barChart>
        <c:barDir val="col"/>
        <c:grouping val="clustered"/>
        <c:varyColors val="0"/>
        <c:ser>
          <c:idx val="0"/>
          <c:order val="0"/>
          <c:tx>
            <c:v>HPM</c:v>
          </c:tx>
          <c:invertIfNegative val="0"/>
          <c:cat>
            <c:strRef>
              <c:f>TARYET!$C$5:$C$27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TARYET!$M$5:$M$27</c:f>
              <c:numCache>
                <c:formatCode>0.00</c:formatCode>
                <c:ptCount val="23"/>
                <c:pt idx="1">
                  <c:v>3</c:v>
                </c:pt>
                <c:pt idx="2">
                  <c:v>6</c:v>
                </c:pt>
                <c:pt idx="3">
                  <c:v>4</c:v>
                </c:pt>
                <c:pt idx="4">
                  <c:v>3</c:v>
                </c:pt>
                <c:pt idx="5">
                  <c:v>1</c:v>
                </c:pt>
                <c:pt idx="6">
                  <c:v>2</c:v>
                </c:pt>
                <c:pt idx="7">
                  <c:v>1</c:v>
                </c:pt>
                <c:pt idx="8">
                  <c:v>2</c:v>
                </c:pt>
                <c:pt idx="9">
                  <c:v>6</c:v>
                </c:pt>
                <c:pt idx="10">
                  <c:v>6</c:v>
                </c:pt>
                <c:pt idx="11">
                  <c:v>1</c:v>
                </c:pt>
                <c:pt idx="12">
                  <c:v>4</c:v>
                </c:pt>
                <c:pt idx="13">
                  <c:v>2</c:v>
                </c:pt>
                <c:pt idx="14">
                  <c:v>2</c:v>
                </c:pt>
                <c:pt idx="15">
                  <c:v>1</c:v>
                </c:pt>
                <c:pt idx="16">
                  <c:v>4</c:v>
                </c:pt>
                <c:pt idx="17">
                  <c:v>3</c:v>
                </c:pt>
                <c:pt idx="18">
                  <c:v>6</c:v>
                </c:pt>
                <c:pt idx="19">
                  <c:v>2</c:v>
                </c:pt>
                <c:pt idx="20">
                  <c:v>3</c:v>
                </c:pt>
                <c:pt idx="21">
                  <c:v>2</c:v>
                </c:pt>
                <c:pt idx="22">
                  <c:v>6</c:v>
                </c:pt>
              </c:numCache>
            </c:numRef>
          </c:val>
        </c:ser>
        <c:ser>
          <c:idx val="2"/>
          <c:order val="1"/>
          <c:tx>
            <c:v>HPT</c:v>
          </c:tx>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TARYET!$N$5:$N$27</c:f>
              <c:numCache>
                <c:formatCode>0.00</c:formatCode>
                <c:ptCount val="23"/>
                <c:pt idx="1">
                  <c:v>2.68</c:v>
                </c:pt>
                <c:pt idx="2">
                  <c:v>5.03</c:v>
                </c:pt>
                <c:pt idx="3">
                  <c:v>2.64</c:v>
                </c:pt>
                <c:pt idx="4">
                  <c:v>2.3199999999999967</c:v>
                </c:pt>
                <c:pt idx="5">
                  <c:v>1.1399999999999606</c:v>
                </c:pt>
                <c:pt idx="6">
                  <c:v>4</c:v>
                </c:pt>
                <c:pt idx="7">
                  <c:v>6.74</c:v>
                </c:pt>
                <c:pt idx="8">
                  <c:v>4.91</c:v>
                </c:pt>
                <c:pt idx="9">
                  <c:v>6.83</c:v>
                </c:pt>
                <c:pt idx="10">
                  <c:v>4.13</c:v>
                </c:pt>
                <c:pt idx="11">
                  <c:v>2.9299999999999997</c:v>
                </c:pt>
                <c:pt idx="12">
                  <c:v>4</c:v>
                </c:pt>
                <c:pt idx="13">
                  <c:v>2</c:v>
                </c:pt>
                <c:pt idx="14">
                  <c:v>2.2999999999999998</c:v>
                </c:pt>
                <c:pt idx="15">
                  <c:v>1</c:v>
                </c:pt>
                <c:pt idx="16">
                  <c:v>3.71</c:v>
                </c:pt>
                <c:pt idx="17">
                  <c:v>2.92</c:v>
                </c:pt>
                <c:pt idx="18">
                  <c:v>6.7700000000000014</c:v>
                </c:pt>
                <c:pt idx="19">
                  <c:v>2.42</c:v>
                </c:pt>
                <c:pt idx="20">
                  <c:v>1.9200000000000021</c:v>
                </c:pt>
                <c:pt idx="21">
                  <c:v>2.08</c:v>
                </c:pt>
                <c:pt idx="22">
                  <c:v>2.84</c:v>
                </c:pt>
              </c:numCache>
            </c:numRef>
          </c:val>
        </c:ser>
        <c:dLbls>
          <c:showLegendKey val="0"/>
          <c:showVal val="0"/>
          <c:showCatName val="0"/>
          <c:showSerName val="0"/>
          <c:showPercent val="0"/>
          <c:showBubbleSize val="0"/>
        </c:dLbls>
        <c:gapWidth val="300"/>
        <c:axId val="215085824"/>
        <c:axId val="215087744"/>
      </c:barChart>
      <c:catAx>
        <c:axId val="215085824"/>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15087744"/>
        <c:crosses val="autoZero"/>
        <c:auto val="1"/>
        <c:lblAlgn val="ctr"/>
        <c:lblOffset val="100"/>
        <c:noMultiLvlLbl val="0"/>
      </c:catAx>
      <c:valAx>
        <c:axId val="215087744"/>
        <c:scaling>
          <c:orientation val="minMax"/>
          <c:max val="30"/>
        </c:scaling>
        <c:delete val="0"/>
        <c:axPos val="l"/>
        <c:majorGridlines/>
        <c:title>
          <c:tx>
            <c:rich>
              <a:bodyPr/>
              <a:lstStyle/>
              <a:p>
                <a:pPr>
                  <a:defRPr lang="es-MX"/>
                </a:pPr>
                <a:r>
                  <a:rPr lang="en-US"/>
                  <a:t>Tiempo</a:t>
                </a:r>
                <a:r>
                  <a:rPr lang="en-US" baseline="0"/>
                  <a:t> de Viaje</a:t>
                </a:r>
                <a:r>
                  <a:rPr lang="en-US"/>
                  <a:t> [min]</a:t>
                </a:r>
              </a:p>
            </c:rich>
          </c:tx>
          <c:overlay val="0"/>
        </c:title>
        <c:numFmt formatCode="0.00" sourceLinked="1"/>
        <c:majorTickMark val="out"/>
        <c:minorTickMark val="none"/>
        <c:tickLblPos val="nextTo"/>
        <c:txPr>
          <a:bodyPr/>
          <a:lstStyle/>
          <a:p>
            <a:pPr>
              <a:defRPr lang="es-MX"/>
            </a:pPr>
            <a:endParaRPr lang="en-US"/>
          </a:p>
        </c:txPr>
        <c:crossAx val="215085824"/>
        <c:crosses val="autoZero"/>
        <c:crossBetween val="between"/>
        <c:minorUnit val="2"/>
      </c:valAx>
    </c:plotArea>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9.6646592268420733E-2"/>
          <c:y val="0.14200745951359195"/>
          <c:w val="0.88159607747109103"/>
          <c:h val="0.64459964962337979"/>
        </c:manualLayout>
      </c:layout>
      <c:barChart>
        <c:barDir val="col"/>
        <c:grouping val="clustered"/>
        <c:varyColors val="0"/>
        <c:ser>
          <c:idx val="1"/>
          <c:order val="0"/>
          <c:tx>
            <c:strRef>
              <c:f>ESC23_P_2020!$I$2</c:f>
              <c:strCache>
                <c:ptCount val="1"/>
                <c:pt idx="0">
                  <c:v>Sube</c:v>
                </c:pt>
              </c:strCache>
            </c:strRef>
          </c:tx>
          <c:invertIfNegative val="0"/>
          <c:cat>
            <c:strRef>
              <c:f>ESC23_P_2020!$H$11:$H$37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ESC23_P_2020!$I$11:$I$37</c:f>
              <c:numCache>
                <c:formatCode>_-* #,##0_-;\-* #,##0_-;_-* "-"??_-;_-@_-</c:formatCode>
                <c:ptCount val="27"/>
                <c:pt idx="0">
                  <c:v>328.82747499999999</c:v>
                </c:pt>
                <c:pt idx="1">
                  <c:v>523.24812099999997</c:v>
                </c:pt>
                <c:pt idx="2">
                  <c:v>344.4770759999995</c:v>
                </c:pt>
                <c:pt idx="3">
                  <c:v>998.49803200000053</c:v>
                </c:pt>
                <c:pt idx="4">
                  <c:v>3356.9522230000002</c:v>
                </c:pt>
                <c:pt idx="5">
                  <c:v>6.4537449999999996</c:v>
                </c:pt>
                <c:pt idx="6">
                  <c:v>364.38036599999964</c:v>
                </c:pt>
                <c:pt idx="7">
                  <c:v>384.13643899999937</c:v>
                </c:pt>
                <c:pt idx="8">
                  <c:v>87.340290999999993</c:v>
                </c:pt>
                <c:pt idx="9">
                  <c:v>332.27154899999937</c:v>
                </c:pt>
                <c:pt idx="10">
                  <c:v>545.223613</c:v>
                </c:pt>
                <c:pt idx="11">
                  <c:v>109.88278099999984</c:v>
                </c:pt>
                <c:pt idx="12">
                  <c:v>787.63922799999898</c:v>
                </c:pt>
                <c:pt idx="13">
                  <c:v>259.41222899999963</c:v>
                </c:pt>
                <c:pt idx="14">
                  <c:v>105.42559199999998</c:v>
                </c:pt>
                <c:pt idx="15">
                  <c:v>1517.6373239999998</c:v>
                </c:pt>
                <c:pt idx="16">
                  <c:v>215.50205399999999</c:v>
                </c:pt>
                <c:pt idx="17">
                  <c:v>228.61640800000001</c:v>
                </c:pt>
                <c:pt idx="18">
                  <c:v>10.266048</c:v>
                </c:pt>
                <c:pt idx="19">
                  <c:v>0</c:v>
                </c:pt>
                <c:pt idx="20">
                  <c:v>0</c:v>
                </c:pt>
                <c:pt idx="21">
                  <c:v>0</c:v>
                </c:pt>
                <c:pt idx="22">
                  <c:v>0</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ESC23_P_2020!$J$11:$J$37</c:f>
              <c:numCache>
                <c:formatCode>_-* #,##0_-;\-* #,##0_-;_-* "-"??_-;_-@_-</c:formatCode>
                <c:ptCount val="27"/>
                <c:pt idx="0">
                  <c:v>0</c:v>
                </c:pt>
                <c:pt idx="1">
                  <c:v>0</c:v>
                </c:pt>
                <c:pt idx="2">
                  <c:v>0</c:v>
                </c:pt>
                <c:pt idx="3">
                  <c:v>0</c:v>
                </c:pt>
                <c:pt idx="4">
                  <c:v>212.31898100000001</c:v>
                </c:pt>
                <c:pt idx="5">
                  <c:v>0</c:v>
                </c:pt>
                <c:pt idx="6">
                  <c:v>32.874578</c:v>
                </c:pt>
                <c:pt idx="7">
                  <c:v>85.916808000000003</c:v>
                </c:pt>
                <c:pt idx="8">
                  <c:v>0</c:v>
                </c:pt>
                <c:pt idx="9">
                  <c:v>0</c:v>
                </c:pt>
                <c:pt idx="10">
                  <c:v>14.027215</c:v>
                </c:pt>
                <c:pt idx="11">
                  <c:v>71.953930999999983</c:v>
                </c:pt>
                <c:pt idx="12">
                  <c:v>253.16049700000022</c:v>
                </c:pt>
                <c:pt idx="13">
                  <c:v>78.368512999999979</c:v>
                </c:pt>
                <c:pt idx="14">
                  <c:v>112.57236799999988</c:v>
                </c:pt>
                <c:pt idx="15">
                  <c:v>3639.9943220000036</c:v>
                </c:pt>
                <c:pt idx="16">
                  <c:v>406.72011499999917</c:v>
                </c:pt>
                <c:pt idx="17">
                  <c:v>186.90132500000001</c:v>
                </c:pt>
                <c:pt idx="18">
                  <c:v>47.439738000000013</c:v>
                </c:pt>
                <c:pt idx="19">
                  <c:v>368.22649499999949</c:v>
                </c:pt>
                <c:pt idx="20">
                  <c:v>1147.034915</c:v>
                </c:pt>
                <c:pt idx="21">
                  <c:v>145.06186399999999</c:v>
                </c:pt>
                <c:pt idx="22">
                  <c:v>802.08455200000003</c:v>
                </c:pt>
                <c:pt idx="23">
                  <c:v>80.84830599999998</c:v>
                </c:pt>
                <c:pt idx="24">
                  <c:v>508.79823899999917</c:v>
                </c:pt>
                <c:pt idx="25">
                  <c:v>252.72381099999998</c:v>
                </c:pt>
                <c:pt idx="26">
                  <c:v>2059.1640199999997</c:v>
                </c:pt>
              </c:numCache>
            </c:numRef>
          </c:val>
        </c:ser>
        <c:dLbls>
          <c:showLegendKey val="0"/>
          <c:showVal val="0"/>
          <c:showCatName val="0"/>
          <c:showSerName val="0"/>
          <c:showPercent val="0"/>
          <c:showBubbleSize val="0"/>
        </c:dLbls>
        <c:gapWidth val="150"/>
        <c:axId val="421649792"/>
        <c:axId val="421651584"/>
      </c:barChart>
      <c:lineChart>
        <c:grouping val="standard"/>
        <c:varyColors val="0"/>
        <c:ser>
          <c:idx val="0"/>
          <c:order val="2"/>
          <c:tx>
            <c:strRef>
              <c:f>ESC23_P_2020!$E$2</c:f>
              <c:strCache>
                <c:ptCount val="1"/>
                <c:pt idx="0">
                  <c:v>Carga</c:v>
                </c:pt>
              </c:strCache>
            </c:strRef>
          </c:tx>
          <c:marker>
            <c:symbol val="none"/>
          </c:marker>
          <c:cat>
            <c:strRef>
              <c:f>ESC23_P_2020!$H$11:$H$37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ESC23_P_2020!$K$11:$K$37</c:f>
              <c:numCache>
                <c:formatCode>_-* #,##0_-;\-* #,##0_-;_-* "-"??_-;_-@_-</c:formatCode>
                <c:ptCount val="27"/>
                <c:pt idx="0">
                  <c:v>328.82747499999999</c:v>
                </c:pt>
                <c:pt idx="1">
                  <c:v>852.0755959999999</c:v>
                </c:pt>
                <c:pt idx="2">
                  <c:v>1196.552672</c:v>
                </c:pt>
                <c:pt idx="3">
                  <c:v>2195.0507040000002</c:v>
                </c:pt>
                <c:pt idx="4">
                  <c:v>5339.6839459999992</c:v>
                </c:pt>
                <c:pt idx="5">
                  <c:v>5346.137690999999</c:v>
                </c:pt>
                <c:pt idx="6">
                  <c:v>5677.6434789999994</c:v>
                </c:pt>
                <c:pt idx="7">
                  <c:v>5975.8631100000002</c:v>
                </c:pt>
                <c:pt idx="8">
                  <c:v>6063.2034009999998</c:v>
                </c:pt>
                <c:pt idx="9">
                  <c:v>6395.4749499999998</c:v>
                </c:pt>
                <c:pt idx="10">
                  <c:v>6926.6713479999999</c:v>
                </c:pt>
                <c:pt idx="11">
                  <c:v>6964.6001980000083</c:v>
                </c:pt>
                <c:pt idx="12">
                  <c:v>7499.0789290000002</c:v>
                </c:pt>
                <c:pt idx="13">
                  <c:v>7680.1226450000086</c:v>
                </c:pt>
                <c:pt idx="14">
                  <c:v>7672.9758689999999</c:v>
                </c:pt>
                <c:pt idx="15">
                  <c:v>5550.6188710000024</c:v>
                </c:pt>
                <c:pt idx="16">
                  <c:v>5359.4008099999983</c:v>
                </c:pt>
                <c:pt idx="17">
                  <c:v>5401.1158930000056</c:v>
                </c:pt>
                <c:pt idx="18">
                  <c:v>5363.9422030000014</c:v>
                </c:pt>
                <c:pt idx="19">
                  <c:v>4995.7157079999988</c:v>
                </c:pt>
                <c:pt idx="20">
                  <c:v>3848.6807929999986</c:v>
                </c:pt>
                <c:pt idx="21">
                  <c:v>3703.6189289999984</c:v>
                </c:pt>
                <c:pt idx="22">
                  <c:v>2901.5343770000018</c:v>
                </c:pt>
                <c:pt idx="23">
                  <c:v>2820.6860709999983</c:v>
                </c:pt>
                <c:pt idx="24">
                  <c:v>2311.8878319999981</c:v>
                </c:pt>
                <c:pt idx="25">
                  <c:v>2059.1640209999946</c:v>
                </c:pt>
                <c:pt idx="26">
                  <c:v>9.9999806479900483E-7</c:v>
                </c:pt>
              </c:numCache>
            </c:numRef>
          </c:val>
          <c:smooth val="0"/>
        </c:ser>
        <c:dLbls>
          <c:showLegendKey val="0"/>
          <c:showVal val="0"/>
          <c:showCatName val="0"/>
          <c:showSerName val="0"/>
          <c:showPercent val="0"/>
          <c:showBubbleSize val="0"/>
        </c:dLbls>
        <c:marker val="1"/>
        <c:smooth val="0"/>
        <c:axId val="421649792"/>
        <c:axId val="421651584"/>
      </c:lineChart>
      <c:catAx>
        <c:axId val="421649792"/>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1651584"/>
        <c:crosses val="autoZero"/>
        <c:auto val="1"/>
        <c:lblAlgn val="ctr"/>
        <c:lblOffset val="100"/>
        <c:noMultiLvlLbl val="0"/>
      </c:catAx>
      <c:valAx>
        <c:axId val="421651584"/>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6.6307417993294237E-3"/>
              <c:y val="0.36905056864831282"/>
            </c:manualLayout>
          </c:layout>
          <c:overlay val="0"/>
        </c:title>
        <c:numFmt formatCode="_-* #,##0_-;\-* #,##0_-;_-* &quot;-&quot;??_-;_-@_-" sourceLinked="1"/>
        <c:majorTickMark val="out"/>
        <c:minorTickMark val="none"/>
        <c:tickLblPos val="nextTo"/>
        <c:txPr>
          <a:bodyPr/>
          <a:lstStyle/>
          <a:p>
            <a:pPr>
              <a:defRPr sz="900" b="0"/>
            </a:pPr>
            <a:endParaRPr lang="en-US"/>
          </a:p>
        </c:txPr>
        <c:crossAx val="421649792"/>
        <c:crosses val="autoZero"/>
        <c:crossBetween val="between"/>
        <c:majorUnit val="2500"/>
      </c:valAx>
    </c:plotArea>
    <c:legend>
      <c:legendPos val="r"/>
      <c:layout>
        <c:manualLayout>
          <c:xMode val="edge"/>
          <c:yMode val="edge"/>
          <c:x val="0.87022748983507714"/>
          <c:y val="0.16904271403005003"/>
          <c:w val="9.6476028864099214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9.9762405630100096E-2"/>
          <c:y val="0.14200745951359195"/>
          <c:w val="0.87848020212855016"/>
          <c:h val="0.64459964962337979"/>
        </c:manualLayout>
      </c:layout>
      <c:barChart>
        <c:barDir val="col"/>
        <c:grouping val="clustered"/>
        <c:varyColors val="0"/>
        <c:ser>
          <c:idx val="1"/>
          <c:order val="0"/>
          <c:tx>
            <c:strRef>
              <c:f>ESC23_P_2020!$C$2</c:f>
              <c:strCache>
                <c:ptCount val="1"/>
                <c:pt idx="0">
                  <c:v>Sube</c:v>
                </c:pt>
              </c:strCache>
            </c:strRef>
          </c:tx>
          <c:invertIfNegative val="0"/>
          <c:cat>
            <c:strRef>
              <c:f>ESC23_P_2020!$B$44:$B$70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ESC23_P_2020!$C$44:$C$70</c:f>
              <c:numCache>
                <c:formatCode>_-* #,##0_-;\-* #,##0_-;_-* "-"??_-;_-@_-</c:formatCode>
                <c:ptCount val="27"/>
                <c:pt idx="0">
                  <c:v>2611.826697</c:v>
                </c:pt>
                <c:pt idx="1">
                  <c:v>535.06009799999947</c:v>
                </c:pt>
                <c:pt idx="2">
                  <c:v>324.84977099999998</c:v>
                </c:pt>
                <c:pt idx="3">
                  <c:v>279.92256099999969</c:v>
                </c:pt>
                <c:pt idx="4">
                  <c:v>1309.273025</c:v>
                </c:pt>
                <c:pt idx="5">
                  <c:v>307.10316899999964</c:v>
                </c:pt>
                <c:pt idx="6">
                  <c:v>1130.4445890000011</c:v>
                </c:pt>
                <c:pt idx="7">
                  <c:v>552.01552599999911</c:v>
                </c:pt>
                <c:pt idx="8">
                  <c:v>175.53698600000001</c:v>
                </c:pt>
                <c:pt idx="9">
                  <c:v>191.21063599999977</c:v>
                </c:pt>
                <c:pt idx="10">
                  <c:v>75.481082000000001</c:v>
                </c:pt>
                <c:pt idx="11">
                  <c:v>2667.3928080000001</c:v>
                </c:pt>
                <c:pt idx="12">
                  <c:v>35.618780000000001</c:v>
                </c:pt>
                <c:pt idx="13">
                  <c:v>23.048380999999971</c:v>
                </c:pt>
                <c:pt idx="14">
                  <c:v>63.150640999999993</c:v>
                </c:pt>
                <c:pt idx="15">
                  <c:v>5.8436000000000003</c:v>
                </c:pt>
                <c:pt idx="16">
                  <c:v>3.911791</c:v>
                </c:pt>
                <c:pt idx="17">
                  <c:v>16.441490000000002</c:v>
                </c:pt>
                <c:pt idx="18">
                  <c:v>0</c:v>
                </c:pt>
                <c:pt idx="19">
                  <c:v>15.872310000000002</c:v>
                </c:pt>
                <c:pt idx="20">
                  <c:v>1.20228</c:v>
                </c:pt>
                <c:pt idx="21">
                  <c:v>0</c:v>
                </c:pt>
                <c:pt idx="22">
                  <c:v>60.8934</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ESC23_P_2020!$D$44:$D$70</c:f>
              <c:numCache>
                <c:formatCode>_-* #,##0_-;\-* #,##0_-;_-* "-"??_-;_-@_-</c:formatCode>
                <c:ptCount val="27"/>
                <c:pt idx="0">
                  <c:v>0</c:v>
                </c:pt>
                <c:pt idx="1">
                  <c:v>0</c:v>
                </c:pt>
                <c:pt idx="2">
                  <c:v>0</c:v>
                </c:pt>
                <c:pt idx="3">
                  <c:v>0</c:v>
                </c:pt>
                <c:pt idx="4">
                  <c:v>0</c:v>
                </c:pt>
                <c:pt idx="5">
                  <c:v>0</c:v>
                </c:pt>
                <c:pt idx="6">
                  <c:v>0</c:v>
                </c:pt>
                <c:pt idx="7">
                  <c:v>0</c:v>
                </c:pt>
                <c:pt idx="8">
                  <c:v>98.176209999999998</c:v>
                </c:pt>
                <c:pt idx="9">
                  <c:v>248.89427000000001</c:v>
                </c:pt>
                <c:pt idx="10">
                  <c:v>57.823160000000001</c:v>
                </c:pt>
                <c:pt idx="11">
                  <c:v>2277.5386119999998</c:v>
                </c:pt>
                <c:pt idx="12">
                  <c:v>47.576375000000013</c:v>
                </c:pt>
                <c:pt idx="13">
                  <c:v>105.69343499999998</c:v>
                </c:pt>
                <c:pt idx="14">
                  <c:v>477.61681799999963</c:v>
                </c:pt>
                <c:pt idx="15">
                  <c:v>312.950828</c:v>
                </c:pt>
                <c:pt idx="16">
                  <c:v>164.762462</c:v>
                </c:pt>
                <c:pt idx="17">
                  <c:v>137.91767999999999</c:v>
                </c:pt>
                <c:pt idx="18">
                  <c:v>126.92273599999989</c:v>
                </c:pt>
                <c:pt idx="19">
                  <c:v>619.34035699999947</c:v>
                </c:pt>
                <c:pt idx="20">
                  <c:v>936.47344500000054</c:v>
                </c:pt>
                <c:pt idx="21">
                  <c:v>43.445095000000002</c:v>
                </c:pt>
                <c:pt idx="22">
                  <c:v>2426.9701560000058</c:v>
                </c:pt>
                <c:pt idx="23">
                  <c:v>879.36289499999884</c:v>
                </c:pt>
                <c:pt idx="24">
                  <c:v>770.76448900000003</c:v>
                </c:pt>
                <c:pt idx="25">
                  <c:v>104.380557</c:v>
                </c:pt>
                <c:pt idx="26">
                  <c:v>549.49004200000002</c:v>
                </c:pt>
              </c:numCache>
            </c:numRef>
          </c:val>
        </c:ser>
        <c:dLbls>
          <c:showLegendKey val="0"/>
          <c:showVal val="0"/>
          <c:showCatName val="0"/>
          <c:showSerName val="0"/>
          <c:showPercent val="0"/>
          <c:showBubbleSize val="0"/>
        </c:dLbls>
        <c:gapWidth val="150"/>
        <c:axId val="421723520"/>
        <c:axId val="421733504"/>
      </c:barChart>
      <c:lineChart>
        <c:grouping val="standard"/>
        <c:varyColors val="0"/>
        <c:ser>
          <c:idx val="0"/>
          <c:order val="2"/>
          <c:tx>
            <c:strRef>
              <c:f>ESC23_P_2020!$E$2</c:f>
              <c:strCache>
                <c:ptCount val="1"/>
                <c:pt idx="0">
                  <c:v>Carga</c:v>
                </c:pt>
              </c:strCache>
            </c:strRef>
          </c:tx>
          <c:marker>
            <c:symbol val="none"/>
          </c:marker>
          <c:cat>
            <c:strRef>
              <c:f>ESC23_P_2020!$B$44:$B$70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ESC23_P_2020!$E$44:$E$70</c:f>
              <c:numCache>
                <c:formatCode>_-* #,##0_-;\-* #,##0_-;_-* "-"??_-;_-@_-</c:formatCode>
                <c:ptCount val="27"/>
                <c:pt idx="0">
                  <c:v>2611.826697</c:v>
                </c:pt>
                <c:pt idx="1">
                  <c:v>3146.8867949999999</c:v>
                </c:pt>
                <c:pt idx="2">
                  <c:v>3471.736566</c:v>
                </c:pt>
                <c:pt idx="3">
                  <c:v>3751.6591270000022</c:v>
                </c:pt>
                <c:pt idx="4">
                  <c:v>5060.9321519999994</c:v>
                </c:pt>
                <c:pt idx="5">
                  <c:v>5368.0353209999994</c:v>
                </c:pt>
                <c:pt idx="6">
                  <c:v>6498.4799099999991</c:v>
                </c:pt>
                <c:pt idx="7">
                  <c:v>7050.4954359999992</c:v>
                </c:pt>
                <c:pt idx="8">
                  <c:v>7127.8562120000024</c:v>
                </c:pt>
                <c:pt idx="9">
                  <c:v>7070.1725780000024</c:v>
                </c:pt>
                <c:pt idx="10">
                  <c:v>7087.8305</c:v>
                </c:pt>
                <c:pt idx="11">
                  <c:v>7477.6846960000003</c:v>
                </c:pt>
                <c:pt idx="12">
                  <c:v>7465.7271010000004</c:v>
                </c:pt>
                <c:pt idx="13">
                  <c:v>7383.0820470000008</c:v>
                </c:pt>
                <c:pt idx="14">
                  <c:v>6968.6158700000024</c:v>
                </c:pt>
                <c:pt idx="15">
                  <c:v>6661.5086420000007</c:v>
                </c:pt>
                <c:pt idx="16">
                  <c:v>6500.6579710000024</c:v>
                </c:pt>
                <c:pt idx="17">
                  <c:v>6379.1817810000011</c:v>
                </c:pt>
                <c:pt idx="18">
                  <c:v>6252.2590450000007</c:v>
                </c:pt>
                <c:pt idx="19">
                  <c:v>5648.7909979999995</c:v>
                </c:pt>
                <c:pt idx="20">
                  <c:v>4713.5198330000012</c:v>
                </c:pt>
                <c:pt idx="21">
                  <c:v>4670.0747379999975</c:v>
                </c:pt>
                <c:pt idx="22">
                  <c:v>2303.9979820000012</c:v>
                </c:pt>
                <c:pt idx="23">
                  <c:v>1424.6350870000012</c:v>
                </c:pt>
                <c:pt idx="24">
                  <c:v>653.87059800000122</c:v>
                </c:pt>
                <c:pt idx="25">
                  <c:v>549.4900410000015</c:v>
                </c:pt>
                <c:pt idx="26">
                  <c:v>0</c:v>
                </c:pt>
              </c:numCache>
            </c:numRef>
          </c:val>
          <c:smooth val="0"/>
        </c:ser>
        <c:dLbls>
          <c:showLegendKey val="0"/>
          <c:showVal val="0"/>
          <c:showCatName val="0"/>
          <c:showSerName val="0"/>
          <c:showPercent val="0"/>
          <c:showBubbleSize val="0"/>
        </c:dLbls>
        <c:marker val="1"/>
        <c:smooth val="0"/>
        <c:axId val="421723520"/>
        <c:axId val="421733504"/>
      </c:lineChart>
      <c:catAx>
        <c:axId val="421723520"/>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1733504"/>
        <c:crosses val="autoZero"/>
        <c:auto val="1"/>
        <c:lblAlgn val="ctr"/>
        <c:lblOffset val="100"/>
        <c:noMultiLvlLbl val="0"/>
      </c:catAx>
      <c:valAx>
        <c:axId val="421733504"/>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5.5830538487660905E-3"/>
              <c:y val="0.36112985802863085"/>
            </c:manualLayout>
          </c:layout>
          <c:overlay val="0"/>
        </c:title>
        <c:numFmt formatCode="_-* #,##0_-;\-* #,##0_-;_-* &quot;-&quot;??_-;_-@_-" sourceLinked="1"/>
        <c:majorTickMark val="out"/>
        <c:minorTickMark val="none"/>
        <c:tickLblPos val="nextTo"/>
        <c:txPr>
          <a:bodyPr/>
          <a:lstStyle/>
          <a:p>
            <a:pPr>
              <a:defRPr sz="900" b="0"/>
            </a:pPr>
            <a:endParaRPr lang="en-US"/>
          </a:p>
        </c:txPr>
        <c:crossAx val="421723520"/>
        <c:crosses val="autoZero"/>
        <c:crossBetween val="between"/>
        <c:majorUnit val="2500"/>
      </c:valAx>
    </c:plotArea>
    <c:legend>
      <c:legendPos val="r"/>
      <c:layout>
        <c:manualLayout>
          <c:xMode val="edge"/>
          <c:yMode val="edge"/>
          <c:x val="0.87460794289962063"/>
          <c:y val="0.16904271403005003"/>
          <c:w val="9.2095617849122582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9.8238980327061548E-2"/>
          <c:y val="0.14200745951359198"/>
          <c:w val="0.88000362743158855"/>
          <c:h val="0.64459964962338001"/>
        </c:manualLayout>
      </c:layout>
      <c:barChart>
        <c:barDir val="col"/>
        <c:grouping val="clustered"/>
        <c:varyColors val="0"/>
        <c:ser>
          <c:idx val="1"/>
          <c:order val="0"/>
          <c:tx>
            <c:strRef>
              <c:f>ESC23_P_2020!$I$2</c:f>
              <c:strCache>
                <c:ptCount val="1"/>
                <c:pt idx="0">
                  <c:v>Sube</c:v>
                </c:pt>
              </c:strCache>
            </c:strRef>
          </c:tx>
          <c:invertIfNegative val="0"/>
          <c:cat>
            <c:strRef>
              <c:f>ESC23_P_2020!$H$52:$H$78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ESC23_P_2020!$I$52:$I$78</c:f>
              <c:numCache>
                <c:formatCode>_-* #,##0_-;\-* #,##0_-;_-* "-"??_-;_-@_-</c:formatCode>
                <c:ptCount val="27"/>
                <c:pt idx="0">
                  <c:v>454.30117399999949</c:v>
                </c:pt>
                <c:pt idx="1">
                  <c:v>476.67990300000002</c:v>
                </c:pt>
                <c:pt idx="2">
                  <c:v>1252.1103209999978</c:v>
                </c:pt>
                <c:pt idx="3">
                  <c:v>613.65547300000003</c:v>
                </c:pt>
                <c:pt idx="4">
                  <c:v>2622.827644</c:v>
                </c:pt>
                <c:pt idx="5">
                  <c:v>42.231918000000057</c:v>
                </c:pt>
                <c:pt idx="6">
                  <c:v>827.30400599999996</c:v>
                </c:pt>
                <c:pt idx="7">
                  <c:v>503.68112599999949</c:v>
                </c:pt>
                <c:pt idx="8">
                  <c:v>158.45692300000007</c:v>
                </c:pt>
                <c:pt idx="9">
                  <c:v>274.90008899999964</c:v>
                </c:pt>
                <c:pt idx="10">
                  <c:v>645.84900799999946</c:v>
                </c:pt>
                <c:pt idx="11">
                  <c:v>484.25139399999949</c:v>
                </c:pt>
                <c:pt idx="12">
                  <c:v>2464.6257360000022</c:v>
                </c:pt>
                <c:pt idx="13">
                  <c:v>244.797391</c:v>
                </c:pt>
                <c:pt idx="14">
                  <c:v>375.11449199999998</c:v>
                </c:pt>
                <c:pt idx="15">
                  <c:v>1348.7101090000001</c:v>
                </c:pt>
                <c:pt idx="16">
                  <c:v>108.33012500000002</c:v>
                </c:pt>
                <c:pt idx="17">
                  <c:v>257.31165700000003</c:v>
                </c:pt>
                <c:pt idx="18">
                  <c:v>10.474435000000014</c:v>
                </c:pt>
                <c:pt idx="19">
                  <c:v>0</c:v>
                </c:pt>
                <c:pt idx="20">
                  <c:v>0</c:v>
                </c:pt>
                <c:pt idx="21">
                  <c:v>0</c:v>
                </c:pt>
                <c:pt idx="22">
                  <c:v>0</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ESC23_P_2020!$J$52:$J$78</c:f>
              <c:numCache>
                <c:formatCode>_-* #,##0_-;\-* #,##0_-;_-* "-"??_-;_-@_-</c:formatCode>
                <c:ptCount val="27"/>
                <c:pt idx="0">
                  <c:v>0</c:v>
                </c:pt>
                <c:pt idx="1">
                  <c:v>0</c:v>
                </c:pt>
                <c:pt idx="2">
                  <c:v>0</c:v>
                </c:pt>
                <c:pt idx="3">
                  <c:v>0</c:v>
                </c:pt>
                <c:pt idx="4">
                  <c:v>61.975019000000003</c:v>
                </c:pt>
                <c:pt idx="5">
                  <c:v>0</c:v>
                </c:pt>
                <c:pt idx="6">
                  <c:v>7.3871899999999933</c:v>
                </c:pt>
                <c:pt idx="7">
                  <c:v>17.273209999999967</c:v>
                </c:pt>
                <c:pt idx="8">
                  <c:v>0</c:v>
                </c:pt>
                <c:pt idx="9">
                  <c:v>0</c:v>
                </c:pt>
                <c:pt idx="10">
                  <c:v>8.0814300000000028</c:v>
                </c:pt>
                <c:pt idx="11">
                  <c:v>2.3089300000000001</c:v>
                </c:pt>
                <c:pt idx="12">
                  <c:v>5.3114520000000001</c:v>
                </c:pt>
                <c:pt idx="13">
                  <c:v>7.7221799999999945</c:v>
                </c:pt>
                <c:pt idx="14">
                  <c:v>17.923828</c:v>
                </c:pt>
                <c:pt idx="15">
                  <c:v>6695.6050040000073</c:v>
                </c:pt>
                <c:pt idx="16">
                  <c:v>106.215774</c:v>
                </c:pt>
                <c:pt idx="17">
                  <c:v>159.30883000000023</c:v>
                </c:pt>
                <c:pt idx="18">
                  <c:v>13.22777</c:v>
                </c:pt>
                <c:pt idx="19">
                  <c:v>527.33418200000006</c:v>
                </c:pt>
                <c:pt idx="20">
                  <c:v>258.85648099999997</c:v>
                </c:pt>
                <c:pt idx="21">
                  <c:v>157.14769999999999</c:v>
                </c:pt>
                <c:pt idx="22">
                  <c:v>321.96001999999936</c:v>
                </c:pt>
                <c:pt idx="23">
                  <c:v>168.23338899999999</c:v>
                </c:pt>
                <c:pt idx="24">
                  <c:v>270.77072199999969</c:v>
                </c:pt>
                <c:pt idx="25">
                  <c:v>353.306872</c:v>
                </c:pt>
                <c:pt idx="26">
                  <c:v>4005.6629419999958</c:v>
                </c:pt>
              </c:numCache>
            </c:numRef>
          </c:val>
        </c:ser>
        <c:dLbls>
          <c:showLegendKey val="0"/>
          <c:showVal val="0"/>
          <c:showCatName val="0"/>
          <c:showSerName val="0"/>
          <c:showPercent val="0"/>
          <c:showBubbleSize val="0"/>
        </c:dLbls>
        <c:gapWidth val="150"/>
        <c:axId val="421776768"/>
        <c:axId val="421782656"/>
      </c:barChart>
      <c:lineChart>
        <c:grouping val="standard"/>
        <c:varyColors val="0"/>
        <c:ser>
          <c:idx val="0"/>
          <c:order val="2"/>
          <c:tx>
            <c:strRef>
              <c:f>ESC23_P_2020!$E$2</c:f>
              <c:strCache>
                <c:ptCount val="1"/>
                <c:pt idx="0">
                  <c:v>Carga</c:v>
                </c:pt>
              </c:strCache>
            </c:strRef>
          </c:tx>
          <c:marker>
            <c:symbol val="none"/>
          </c:marker>
          <c:cat>
            <c:strRef>
              <c:f>ESC23_P_2020!$H$52:$H$78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ESC23_P_2020!$K$52:$K$78</c:f>
              <c:numCache>
                <c:formatCode>_-* #,##0_-;\-* #,##0_-;_-* "-"??_-;_-@_-</c:formatCode>
                <c:ptCount val="27"/>
                <c:pt idx="0">
                  <c:v>454.30117399999949</c:v>
                </c:pt>
                <c:pt idx="1">
                  <c:v>930.98107700000003</c:v>
                </c:pt>
                <c:pt idx="2">
                  <c:v>2183.0913980000037</c:v>
                </c:pt>
                <c:pt idx="3">
                  <c:v>2796.7468709999957</c:v>
                </c:pt>
                <c:pt idx="4">
                  <c:v>5357.5994960000044</c:v>
                </c:pt>
                <c:pt idx="5">
                  <c:v>5399.8314140000002</c:v>
                </c:pt>
                <c:pt idx="6">
                  <c:v>6219.7482300000001</c:v>
                </c:pt>
                <c:pt idx="7">
                  <c:v>6706.1561460000084</c:v>
                </c:pt>
                <c:pt idx="8">
                  <c:v>6864.6130690000073</c:v>
                </c:pt>
                <c:pt idx="9">
                  <c:v>7139.5131579999997</c:v>
                </c:pt>
                <c:pt idx="10">
                  <c:v>7777.2807359999997</c:v>
                </c:pt>
                <c:pt idx="11">
                  <c:v>8259.2232000000149</c:v>
                </c:pt>
                <c:pt idx="12">
                  <c:v>10718.537484</c:v>
                </c:pt>
                <c:pt idx="13">
                  <c:v>10955.612695</c:v>
                </c:pt>
                <c:pt idx="14">
                  <c:v>11312.803359</c:v>
                </c:pt>
                <c:pt idx="15">
                  <c:v>5965.9084639999992</c:v>
                </c:pt>
                <c:pt idx="16">
                  <c:v>5968.0228150000003</c:v>
                </c:pt>
                <c:pt idx="17">
                  <c:v>6066.0256420000014</c:v>
                </c:pt>
                <c:pt idx="18">
                  <c:v>6063.2723069999993</c:v>
                </c:pt>
                <c:pt idx="19">
                  <c:v>5535.9381250000006</c:v>
                </c:pt>
                <c:pt idx="20">
                  <c:v>5277.0816440000044</c:v>
                </c:pt>
                <c:pt idx="21">
                  <c:v>5119.9339439999985</c:v>
                </c:pt>
                <c:pt idx="22">
                  <c:v>4797.9739239999981</c:v>
                </c:pt>
                <c:pt idx="23">
                  <c:v>4629.7405350000008</c:v>
                </c:pt>
                <c:pt idx="24">
                  <c:v>4358.9698129999979</c:v>
                </c:pt>
                <c:pt idx="25">
                  <c:v>4005.6629409999941</c:v>
                </c:pt>
                <c:pt idx="26">
                  <c:v>0</c:v>
                </c:pt>
              </c:numCache>
            </c:numRef>
          </c:val>
          <c:smooth val="0"/>
        </c:ser>
        <c:dLbls>
          <c:showLegendKey val="0"/>
          <c:showVal val="0"/>
          <c:showCatName val="0"/>
          <c:showSerName val="0"/>
          <c:showPercent val="0"/>
          <c:showBubbleSize val="0"/>
        </c:dLbls>
        <c:marker val="1"/>
        <c:smooth val="0"/>
        <c:axId val="421776768"/>
        <c:axId val="421782656"/>
      </c:lineChart>
      <c:catAx>
        <c:axId val="421776768"/>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1782656"/>
        <c:crosses val="autoZero"/>
        <c:auto val="1"/>
        <c:lblAlgn val="ctr"/>
        <c:lblOffset val="100"/>
        <c:noMultiLvlLbl val="0"/>
      </c:catAx>
      <c:valAx>
        <c:axId val="421782656"/>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6.3374492606409162E-3"/>
              <c:y val="0.36346535791690382"/>
            </c:manualLayout>
          </c:layout>
          <c:overlay val="0"/>
        </c:title>
        <c:numFmt formatCode="_-* #,##0_-;\-* #,##0_-;_-* &quot;-&quot;??_-;_-@_-" sourceLinked="1"/>
        <c:majorTickMark val="out"/>
        <c:minorTickMark val="none"/>
        <c:tickLblPos val="nextTo"/>
        <c:txPr>
          <a:bodyPr/>
          <a:lstStyle/>
          <a:p>
            <a:pPr>
              <a:defRPr sz="900" b="0"/>
            </a:pPr>
            <a:endParaRPr lang="en-US"/>
          </a:p>
        </c:txPr>
        <c:crossAx val="421776768"/>
        <c:crosses val="autoZero"/>
        <c:crossBetween val="between"/>
        <c:majorUnit val="2500"/>
      </c:valAx>
    </c:plotArea>
    <c:legend>
      <c:legendPos val="r"/>
      <c:layout>
        <c:manualLayout>
          <c:xMode val="edge"/>
          <c:yMode val="edge"/>
          <c:x val="0.87003766699050533"/>
          <c:y val="0.16904271403005003"/>
          <c:w val="9.6665893758238891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HV</a:t>
            </a:r>
          </a:p>
        </c:rich>
      </c:tx>
      <c:overlay val="1"/>
    </c:title>
    <c:autoTitleDeleted val="0"/>
    <c:plotArea>
      <c:layout>
        <c:manualLayout>
          <c:layoutTarget val="inner"/>
          <c:xMode val="edge"/>
          <c:yMode val="edge"/>
          <c:x val="9.9719170338416707E-2"/>
          <c:y val="0.14200745951359198"/>
          <c:w val="0.87852340869172463"/>
          <c:h val="0.64459964962338001"/>
        </c:manualLayout>
      </c:layout>
      <c:barChart>
        <c:barDir val="col"/>
        <c:grouping val="clustered"/>
        <c:varyColors val="0"/>
        <c:ser>
          <c:idx val="1"/>
          <c:order val="0"/>
          <c:tx>
            <c:strRef>
              <c:f>ESC23_P_2020!$C$2</c:f>
              <c:strCache>
                <c:ptCount val="1"/>
                <c:pt idx="0">
                  <c:v>Sube</c:v>
                </c:pt>
              </c:strCache>
            </c:strRef>
          </c:tx>
          <c:invertIfNegative val="0"/>
          <c:cat>
            <c:strRef>
              <c:f>ESC23_P_2020!$B$85:$B$111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ESC23_P_2020!$C$85:$C$111</c:f>
              <c:numCache>
                <c:formatCode>_-* #,##0_-;\-* #,##0_-;_-* "-"??_-;_-@_-</c:formatCode>
                <c:ptCount val="27"/>
                <c:pt idx="0">
                  <c:v>2905.369333000001</c:v>
                </c:pt>
                <c:pt idx="1">
                  <c:v>263.08037699999988</c:v>
                </c:pt>
                <c:pt idx="2">
                  <c:v>161.07605000000001</c:v>
                </c:pt>
                <c:pt idx="3">
                  <c:v>133.16097499999998</c:v>
                </c:pt>
                <c:pt idx="4">
                  <c:v>365.33192099999991</c:v>
                </c:pt>
                <c:pt idx="5">
                  <c:v>139.17945199999994</c:v>
                </c:pt>
                <c:pt idx="6">
                  <c:v>377.67724700000002</c:v>
                </c:pt>
                <c:pt idx="7">
                  <c:v>338.060202</c:v>
                </c:pt>
                <c:pt idx="8">
                  <c:v>22.743417999999984</c:v>
                </c:pt>
                <c:pt idx="9">
                  <c:v>90.937579999999997</c:v>
                </c:pt>
                <c:pt idx="10">
                  <c:v>78.03764900000003</c:v>
                </c:pt>
                <c:pt idx="11">
                  <c:v>1650.381517</c:v>
                </c:pt>
                <c:pt idx="12">
                  <c:v>7.2500939999999998</c:v>
                </c:pt>
                <c:pt idx="13">
                  <c:v>3.6192149999999992</c:v>
                </c:pt>
                <c:pt idx="14">
                  <c:v>8.4965570000000028</c:v>
                </c:pt>
                <c:pt idx="15">
                  <c:v>1.34887</c:v>
                </c:pt>
                <c:pt idx="16">
                  <c:v>0.59902999999999973</c:v>
                </c:pt>
                <c:pt idx="17">
                  <c:v>0</c:v>
                </c:pt>
                <c:pt idx="18">
                  <c:v>0</c:v>
                </c:pt>
                <c:pt idx="19">
                  <c:v>0</c:v>
                </c:pt>
                <c:pt idx="20">
                  <c:v>0</c:v>
                </c:pt>
                <c:pt idx="21">
                  <c:v>0</c:v>
                </c:pt>
                <c:pt idx="22">
                  <c:v>0</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ESC23_P_2020!$D$85:$D$111</c:f>
              <c:numCache>
                <c:formatCode>_-* #,##0_-;\-* #,##0_-;_-* "-"??_-;_-@_-</c:formatCode>
                <c:ptCount val="27"/>
                <c:pt idx="0">
                  <c:v>0</c:v>
                </c:pt>
                <c:pt idx="1">
                  <c:v>0</c:v>
                </c:pt>
                <c:pt idx="2">
                  <c:v>0</c:v>
                </c:pt>
                <c:pt idx="3">
                  <c:v>0</c:v>
                </c:pt>
                <c:pt idx="4">
                  <c:v>0</c:v>
                </c:pt>
                <c:pt idx="5">
                  <c:v>0</c:v>
                </c:pt>
                <c:pt idx="6">
                  <c:v>0</c:v>
                </c:pt>
                <c:pt idx="7">
                  <c:v>0</c:v>
                </c:pt>
                <c:pt idx="8">
                  <c:v>9.9051200000000001</c:v>
                </c:pt>
                <c:pt idx="9">
                  <c:v>108.17370999999997</c:v>
                </c:pt>
                <c:pt idx="10">
                  <c:v>162.29625099999998</c:v>
                </c:pt>
                <c:pt idx="11">
                  <c:v>915.50549899999999</c:v>
                </c:pt>
                <c:pt idx="12">
                  <c:v>110.452427</c:v>
                </c:pt>
                <c:pt idx="13">
                  <c:v>161.65960199999998</c:v>
                </c:pt>
                <c:pt idx="14">
                  <c:v>931.67384800000025</c:v>
                </c:pt>
                <c:pt idx="15">
                  <c:v>290.57547499999993</c:v>
                </c:pt>
                <c:pt idx="16">
                  <c:v>131.31628599999999</c:v>
                </c:pt>
                <c:pt idx="17">
                  <c:v>43.239044</c:v>
                </c:pt>
                <c:pt idx="18">
                  <c:v>138.34008600000001</c:v>
                </c:pt>
                <c:pt idx="19">
                  <c:v>365.5906369999999</c:v>
                </c:pt>
                <c:pt idx="20">
                  <c:v>811.60056399999996</c:v>
                </c:pt>
                <c:pt idx="21">
                  <c:v>51.780702000000012</c:v>
                </c:pt>
                <c:pt idx="22">
                  <c:v>831.41393100000005</c:v>
                </c:pt>
                <c:pt idx="23">
                  <c:v>574.84984699999973</c:v>
                </c:pt>
                <c:pt idx="24">
                  <c:v>483.82515299999989</c:v>
                </c:pt>
                <c:pt idx="25">
                  <c:v>48.479438000000002</c:v>
                </c:pt>
                <c:pt idx="26">
                  <c:v>375.67186600000002</c:v>
                </c:pt>
              </c:numCache>
            </c:numRef>
          </c:val>
        </c:ser>
        <c:dLbls>
          <c:showLegendKey val="0"/>
          <c:showVal val="0"/>
          <c:showCatName val="0"/>
          <c:showSerName val="0"/>
          <c:showPercent val="0"/>
          <c:showBubbleSize val="0"/>
        </c:dLbls>
        <c:gapWidth val="150"/>
        <c:axId val="421842944"/>
        <c:axId val="421844480"/>
      </c:barChart>
      <c:lineChart>
        <c:grouping val="standard"/>
        <c:varyColors val="0"/>
        <c:ser>
          <c:idx val="0"/>
          <c:order val="2"/>
          <c:tx>
            <c:strRef>
              <c:f>ESC23_P_2020!$E$2</c:f>
              <c:strCache>
                <c:ptCount val="1"/>
                <c:pt idx="0">
                  <c:v>Carga</c:v>
                </c:pt>
              </c:strCache>
            </c:strRef>
          </c:tx>
          <c:marker>
            <c:symbol val="none"/>
          </c:marker>
          <c:cat>
            <c:strRef>
              <c:f>ESC23_P_2020!$B$85:$B$111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ESC23_P_2020!$E$85:$E$111</c:f>
              <c:numCache>
                <c:formatCode>_-* #,##0_-;\-* #,##0_-;_-* "-"??_-;_-@_-</c:formatCode>
                <c:ptCount val="27"/>
                <c:pt idx="0">
                  <c:v>2905.369333000001</c:v>
                </c:pt>
                <c:pt idx="1">
                  <c:v>3168.4497099999999</c:v>
                </c:pt>
                <c:pt idx="2">
                  <c:v>3329.52576</c:v>
                </c:pt>
                <c:pt idx="3">
                  <c:v>3462.6867349999998</c:v>
                </c:pt>
                <c:pt idx="4">
                  <c:v>3828.0186560000002</c:v>
                </c:pt>
                <c:pt idx="5">
                  <c:v>3967.198108</c:v>
                </c:pt>
                <c:pt idx="6">
                  <c:v>4344.8753549999992</c:v>
                </c:pt>
                <c:pt idx="7">
                  <c:v>4682.9355569999998</c:v>
                </c:pt>
                <c:pt idx="8">
                  <c:v>4695.7738549999995</c:v>
                </c:pt>
                <c:pt idx="9">
                  <c:v>4678.5377249999992</c:v>
                </c:pt>
                <c:pt idx="10">
                  <c:v>4594.2791229999993</c:v>
                </c:pt>
                <c:pt idx="11">
                  <c:v>5329.1551410000011</c:v>
                </c:pt>
                <c:pt idx="12">
                  <c:v>5225.9528079999991</c:v>
                </c:pt>
                <c:pt idx="13">
                  <c:v>5067.9124210000009</c:v>
                </c:pt>
                <c:pt idx="14">
                  <c:v>4144.73513</c:v>
                </c:pt>
                <c:pt idx="15">
                  <c:v>3855.5085249999988</c:v>
                </c:pt>
                <c:pt idx="16">
                  <c:v>3724.7912689999985</c:v>
                </c:pt>
                <c:pt idx="17">
                  <c:v>3681.5522249999985</c:v>
                </c:pt>
                <c:pt idx="18">
                  <c:v>3543.2121389999993</c:v>
                </c:pt>
                <c:pt idx="19">
                  <c:v>3177.6215019999981</c:v>
                </c:pt>
                <c:pt idx="20">
                  <c:v>2366.0209379999992</c:v>
                </c:pt>
                <c:pt idx="21">
                  <c:v>2314.2402359999983</c:v>
                </c:pt>
                <c:pt idx="22">
                  <c:v>1482.8263049999978</c:v>
                </c:pt>
                <c:pt idx="23">
                  <c:v>907.97645799999827</c:v>
                </c:pt>
                <c:pt idx="24">
                  <c:v>424.15130499999827</c:v>
                </c:pt>
                <c:pt idx="25">
                  <c:v>375.67186699999831</c:v>
                </c:pt>
                <c:pt idx="26">
                  <c:v>0</c:v>
                </c:pt>
              </c:numCache>
            </c:numRef>
          </c:val>
          <c:smooth val="0"/>
        </c:ser>
        <c:dLbls>
          <c:showLegendKey val="0"/>
          <c:showVal val="0"/>
          <c:showCatName val="0"/>
          <c:showSerName val="0"/>
          <c:showPercent val="0"/>
          <c:showBubbleSize val="0"/>
        </c:dLbls>
        <c:marker val="1"/>
        <c:smooth val="0"/>
        <c:axId val="421842944"/>
        <c:axId val="421844480"/>
      </c:lineChart>
      <c:catAx>
        <c:axId val="421842944"/>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1844480"/>
        <c:crosses val="autoZero"/>
        <c:auto val="1"/>
        <c:lblAlgn val="ctr"/>
        <c:lblOffset val="100"/>
        <c:noMultiLvlLbl val="0"/>
      </c:catAx>
      <c:valAx>
        <c:axId val="421844480"/>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0539305865820884E-2"/>
              <c:y val="0.37402686754252873"/>
            </c:manualLayout>
          </c:layout>
          <c:overlay val="0"/>
        </c:title>
        <c:numFmt formatCode="_-* #,##0_-;\-* #,##0_-;_-* &quot;-&quot;??_-;_-@_-" sourceLinked="1"/>
        <c:majorTickMark val="out"/>
        <c:minorTickMark val="none"/>
        <c:tickLblPos val="nextTo"/>
        <c:txPr>
          <a:bodyPr/>
          <a:lstStyle/>
          <a:p>
            <a:pPr>
              <a:defRPr sz="900" b="0"/>
            </a:pPr>
            <a:endParaRPr lang="en-US"/>
          </a:p>
        </c:txPr>
        <c:crossAx val="421842944"/>
        <c:crosses val="autoZero"/>
        <c:crossBetween val="between"/>
        <c:majorUnit val="2500"/>
      </c:valAx>
    </c:plotArea>
    <c:legend>
      <c:legendPos val="r"/>
      <c:layout>
        <c:manualLayout>
          <c:xMode val="edge"/>
          <c:yMode val="edge"/>
          <c:x val="0.86101826409519089"/>
          <c:y val="0.16904271403005003"/>
          <c:w val="0.10568527556903975"/>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HV</a:t>
            </a:r>
          </a:p>
        </c:rich>
      </c:tx>
      <c:overlay val="1"/>
    </c:title>
    <c:autoTitleDeleted val="0"/>
    <c:plotArea>
      <c:layout>
        <c:manualLayout>
          <c:layoutTarget val="inner"/>
          <c:xMode val="edge"/>
          <c:yMode val="edge"/>
          <c:x val="0.10275736499052406"/>
          <c:y val="0.142007459513592"/>
          <c:w val="0.87548521403961765"/>
          <c:h val="0.64459964962338023"/>
        </c:manualLayout>
      </c:layout>
      <c:barChart>
        <c:barDir val="col"/>
        <c:grouping val="clustered"/>
        <c:varyColors val="0"/>
        <c:ser>
          <c:idx val="1"/>
          <c:order val="0"/>
          <c:tx>
            <c:strRef>
              <c:f>ESC23_P_2020!$I$2</c:f>
              <c:strCache>
                <c:ptCount val="1"/>
                <c:pt idx="0">
                  <c:v>Sube</c:v>
                </c:pt>
              </c:strCache>
            </c:strRef>
          </c:tx>
          <c:invertIfNegative val="0"/>
          <c:cat>
            <c:strRef>
              <c:f>ESC23_P_2020!$H$93:$H$119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ESC23_P_2020!$I$93:$I$119</c:f>
              <c:numCache>
                <c:formatCode>_-* #,##0_-;\-* #,##0_-;_-* "-"??_-;_-@_-</c:formatCode>
                <c:ptCount val="27"/>
                <c:pt idx="0">
                  <c:v>186.80010700000005</c:v>
                </c:pt>
                <c:pt idx="1">
                  <c:v>235.95899500000004</c:v>
                </c:pt>
                <c:pt idx="2">
                  <c:v>143.222993</c:v>
                </c:pt>
                <c:pt idx="3">
                  <c:v>325.72219399999989</c:v>
                </c:pt>
                <c:pt idx="4">
                  <c:v>903.68642699999998</c:v>
                </c:pt>
                <c:pt idx="5">
                  <c:v>11.815036000000006</c:v>
                </c:pt>
                <c:pt idx="6">
                  <c:v>678.25435600000003</c:v>
                </c:pt>
                <c:pt idx="7">
                  <c:v>220.87373499999998</c:v>
                </c:pt>
                <c:pt idx="8">
                  <c:v>23.331172000000006</c:v>
                </c:pt>
                <c:pt idx="9">
                  <c:v>125.96135099999999</c:v>
                </c:pt>
                <c:pt idx="10">
                  <c:v>253.40439000000001</c:v>
                </c:pt>
                <c:pt idx="11">
                  <c:v>128.14115399999994</c:v>
                </c:pt>
                <c:pt idx="12">
                  <c:v>801.08877600000039</c:v>
                </c:pt>
                <c:pt idx="13">
                  <c:v>91.485150000000004</c:v>
                </c:pt>
                <c:pt idx="14">
                  <c:v>104.288608</c:v>
                </c:pt>
                <c:pt idx="15">
                  <c:v>404.46279799999991</c:v>
                </c:pt>
                <c:pt idx="16">
                  <c:v>24.196992000000005</c:v>
                </c:pt>
                <c:pt idx="17">
                  <c:v>68.049828000000005</c:v>
                </c:pt>
                <c:pt idx="18">
                  <c:v>4.980621000000002</c:v>
                </c:pt>
                <c:pt idx="19">
                  <c:v>0</c:v>
                </c:pt>
                <c:pt idx="20">
                  <c:v>0</c:v>
                </c:pt>
                <c:pt idx="21">
                  <c:v>0</c:v>
                </c:pt>
                <c:pt idx="22">
                  <c:v>0</c:v>
                </c:pt>
                <c:pt idx="23">
                  <c:v>0</c:v>
                </c:pt>
                <c:pt idx="24">
                  <c:v>0</c:v>
                </c:pt>
                <c:pt idx="25">
                  <c:v>0</c:v>
                </c:pt>
                <c:pt idx="26">
                  <c:v>0</c:v>
                </c:pt>
              </c:numCache>
            </c:numRef>
          </c:val>
        </c:ser>
        <c:ser>
          <c:idx val="2"/>
          <c:order val="1"/>
          <c:tx>
            <c:strRef>
              <c:f>ESC23_P_2020!$D$2</c:f>
              <c:strCache>
                <c:ptCount val="1"/>
                <c:pt idx="0">
                  <c:v>Baja</c:v>
                </c:pt>
              </c:strCache>
            </c:strRef>
          </c:tx>
          <c:invertIfNegative val="0"/>
          <c:cat>
            <c:strRef>
              <c:f>ESC23_P_2020!$H$93:$H$119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ESC23_P_2020!$J$93:$J$119</c:f>
              <c:numCache>
                <c:formatCode>_-* #,##0_-;\-* #,##0_-;_-* "-"??_-;_-@_-</c:formatCode>
                <c:ptCount val="27"/>
                <c:pt idx="0">
                  <c:v>0</c:v>
                </c:pt>
                <c:pt idx="1">
                  <c:v>0</c:v>
                </c:pt>
                <c:pt idx="2">
                  <c:v>0</c:v>
                </c:pt>
                <c:pt idx="3">
                  <c:v>0</c:v>
                </c:pt>
                <c:pt idx="4">
                  <c:v>9.9281400000000009</c:v>
                </c:pt>
                <c:pt idx="5">
                  <c:v>0</c:v>
                </c:pt>
                <c:pt idx="6">
                  <c:v>0.58012999999999981</c:v>
                </c:pt>
                <c:pt idx="7">
                  <c:v>0</c:v>
                </c:pt>
                <c:pt idx="8">
                  <c:v>0</c:v>
                </c:pt>
                <c:pt idx="9">
                  <c:v>0.27247000000000016</c:v>
                </c:pt>
                <c:pt idx="10">
                  <c:v>0.22420000000000001</c:v>
                </c:pt>
                <c:pt idx="11">
                  <c:v>0</c:v>
                </c:pt>
                <c:pt idx="12">
                  <c:v>2.9755199999999991</c:v>
                </c:pt>
                <c:pt idx="13">
                  <c:v>0.26263000000000003</c:v>
                </c:pt>
                <c:pt idx="14">
                  <c:v>7.4077489999999999</c:v>
                </c:pt>
                <c:pt idx="15">
                  <c:v>1722.291516</c:v>
                </c:pt>
                <c:pt idx="16">
                  <c:v>61.850113</c:v>
                </c:pt>
                <c:pt idx="17">
                  <c:v>75.63477199999997</c:v>
                </c:pt>
                <c:pt idx="18">
                  <c:v>12.427082</c:v>
                </c:pt>
                <c:pt idx="19">
                  <c:v>265.35305099999999</c:v>
                </c:pt>
                <c:pt idx="20">
                  <c:v>383.177547</c:v>
                </c:pt>
                <c:pt idx="21">
                  <c:v>99.542181999999983</c:v>
                </c:pt>
                <c:pt idx="22">
                  <c:v>298.86041299999999</c:v>
                </c:pt>
                <c:pt idx="23">
                  <c:v>67.931372999999979</c:v>
                </c:pt>
                <c:pt idx="24">
                  <c:v>299.23527399999989</c:v>
                </c:pt>
                <c:pt idx="25">
                  <c:v>177.02735600000005</c:v>
                </c:pt>
                <c:pt idx="26">
                  <c:v>1250.7431630000001</c:v>
                </c:pt>
              </c:numCache>
            </c:numRef>
          </c:val>
        </c:ser>
        <c:dLbls>
          <c:showLegendKey val="0"/>
          <c:showVal val="0"/>
          <c:showCatName val="0"/>
          <c:showSerName val="0"/>
          <c:showPercent val="0"/>
          <c:showBubbleSize val="0"/>
        </c:dLbls>
        <c:gapWidth val="150"/>
        <c:axId val="424542208"/>
        <c:axId val="424543744"/>
      </c:barChart>
      <c:lineChart>
        <c:grouping val="standard"/>
        <c:varyColors val="0"/>
        <c:ser>
          <c:idx val="0"/>
          <c:order val="2"/>
          <c:tx>
            <c:strRef>
              <c:f>ESC23_P_2020!$E$2</c:f>
              <c:strCache>
                <c:ptCount val="1"/>
                <c:pt idx="0">
                  <c:v>Carga</c:v>
                </c:pt>
              </c:strCache>
            </c:strRef>
          </c:tx>
          <c:marker>
            <c:symbol val="none"/>
          </c:marker>
          <c:cat>
            <c:strRef>
              <c:f>ESC23_P_2020!$H$93:$H$119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ESC23_P_2020!$K$93:$K$119</c:f>
              <c:numCache>
                <c:formatCode>_-* #,##0_-;\-* #,##0_-;_-* "-"??_-;_-@_-</c:formatCode>
                <c:ptCount val="27"/>
                <c:pt idx="0">
                  <c:v>186.80010700000005</c:v>
                </c:pt>
                <c:pt idx="1">
                  <c:v>422.75910199999993</c:v>
                </c:pt>
                <c:pt idx="2">
                  <c:v>565.98209499999996</c:v>
                </c:pt>
                <c:pt idx="3">
                  <c:v>891.70428900000002</c:v>
                </c:pt>
                <c:pt idx="4">
                  <c:v>1785.4625760000001</c:v>
                </c:pt>
                <c:pt idx="5">
                  <c:v>1797.2776120000001</c:v>
                </c:pt>
                <c:pt idx="6">
                  <c:v>2474.9518380000009</c:v>
                </c:pt>
                <c:pt idx="7">
                  <c:v>2695.825573000001</c:v>
                </c:pt>
                <c:pt idx="8">
                  <c:v>2719.1567449999998</c:v>
                </c:pt>
                <c:pt idx="9">
                  <c:v>2844.8456260000012</c:v>
                </c:pt>
                <c:pt idx="10">
                  <c:v>3098.0258160000012</c:v>
                </c:pt>
                <c:pt idx="11">
                  <c:v>3226.1669699999993</c:v>
                </c:pt>
                <c:pt idx="12">
                  <c:v>4024.2802260000003</c:v>
                </c:pt>
                <c:pt idx="13">
                  <c:v>4115.5027460000001</c:v>
                </c:pt>
                <c:pt idx="14">
                  <c:v>4212.383605</c:v>
                </c:pt>
                <c:pt idx="15">
                  <c:v>2894.5548869999993</c:v>
                </c:pt>
                <c:pt idx="16">
                  <c:v>2856.9017659999995</c:v>
                </c:pt>
                <c:pt idx="17">
                  <c:v>2849.3168219999998</c:v>
                </c:pt>
                <c:pt idx="18">
                  <c:v>2841.8703610000002</c:v>
                </c:pt>
                <c:pt idx="19">
                  <c:v>2576.5173100000006</c:v>
                </c:pt>
                <c:pt idx="20">
                  <c:v>2193.3397630000009</c:v>
                </c:pt>
                <c:pt idx="21">
                  <c:v>2093.7975809999998</c:v>
                </c:pt>
                <c:pt idx="22">
                  <c:v>1794.9371680000004</c:v>
                </c:pt>
                <c:pt idx="23">
                  <c:v>1727.0057950000005</c:v>
                </c:pt>
                <c:pt idx="24">
                  <c:v>1427.7705209999999</c:v>
                </c:pt>
                <c:pt idx="25">
                  <c:v>1250.7431649999999</c:v>
                </c:pt>
                <c:pt idx="26">
                  <c:v>0</c:v>
                </c:pt>
              </c:numCache>
            </c:numRef>
          </c:val>
          <c:smooth val="0"/>
        </c:ser>
        <c:dLbls>
          <c:showLegendKey val="0"/>
          <c:showVal val="0"/>
          <c:showCatName val="0"/>
          <c:showSerName val="0"/>
          <c:showPercent val="0"/>
          <c:showBubbleSize val="0"/>
        </c:dLbls>
        <c:marker val="1"/>
        <c:smooth val="0"/>
        <c:axId val="424542208"/>
        <c:axId val="424543744"/>
      </c:lineChart>
      <c:catAx>
        <c:axId val="424542208"/>
        <c:scaling>
          <c:orientation val="minMax"/>
        </c:scaling>
        <c:delete val="0"/>
        <c:axPos val="b"/>
        <c:numFmt formatCode="General" sourceLinked="1"/>
        <c:majorTickMark val="out"/>
        <c:minorTickMark val="none"/>
        <c:tickLblPos val="nextTo"/>
        <c:txPr>
          <a:bodyPr rot="-5400000" vert="horz"/>
          <a:lstStyle/>
          <a:p>
            <a:pPr>
              <a:defRPr sz="900" b="0"/>
            </a:pPr>
            <a:endParaRPr lang="en-US"/>
          </a:p>
        </c:txPr>
        <c:crossAx val="424543744"/>
        <c:crosses val="autoZero"/>
        <c:auto val="1"/>
        <c:lblAlgn val="ctr"/>
        <c:lblOffset val="100"/>
        <c:noMultiLvlLbl val="0"/>
      </c:catAx>
      <c:valAx>
        <c:axId val="424543744"/>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3.3512243924448018E-3"/>
              <c:y val="0.38443491362702487"/>
            </c:manualLayout>
          </c:layout>
          <c:overlay val="0"/>
        </c:title>
        <c:numFmt formatCode="_-* #,##0_-;\-* #,##0_-;_-* &quot;-&quot;??_-;_-@_-" sourceLinked="1"/>
        <c:majorTickMark val="out"/>
        <c:minorTickMark val="none"/>
        <c:tickLblPos val="nextTo"/>
        <c:txPr>
          <a:bodyPr/>
          <a:lstStyle/>
          <a:p>
            <a:pPr>
              <a:defRPr sz="900" b="0"/>
            </a:pPr>
            <a:endParaRPr lang="en-US"/>
          </a:p>
        </c:txPr>
        <c:crossAx val="424542208"/>
        <c:crosses val="autoZero"/>
        <c:crossBetween val="between"/>
        <c:majorUnit val="2500"/>
      </c:valAx>
    </c:plotArea>
    <c:legend>
      <c:legendPos val="r"/>
      <c:layout>
        <c:manualLayout>
          <c:xMode val="edge"/>
          <c:yMode val="edge"/>
          <c:x val="0.85646097211702854"/>
          <c:y val="0.16904271403005003"/>
          <c:w val="0.1102425675472009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HPM</a:t>
            </a:r>
          </a:p>
        </c:rich>
      </c:tx>
      <c:overlay val="1"/>
    </c:title>
    <c:autoTitleDeleted val="0"/>
    <c:plotArea>
      <c:layout>
        <c:manualLayout>
          <c:layoutTarget val="inner"/>
          <c:xMode val="edge"/>
          <c:yMode val="edge"/>
          <c:x val="0.10582578384023789"/>
          <c:y val="0.14200745951359198"/>
          <c:w val="0.87241675094476656"/>
          <c:h val="0.64459964962338001"/>
        </c:manualLayout>
      </c:layout>
      <c:barChart>
        <c:barDir val="col"/>
        <c:grouping val="clustered"/>
        <c:varyColors val="0"/>
        <c:ser>
          <c:idx val="1"/>
          <c:order val="0"/>
          <c:tx>
            <c:strRef>
              <c:f>ESC33_P_2030!$C$2</c:f>
              <c:strCache>
                <c:ptCount val="1"/>
                <c:pt idx="0">
                  <c:v>Sube</c:v>
                </c:pt>
              </c:strCache>
            </c:strRef>
          </c:tx>
          <c:invertIfNegative val="0"/>
          <c:cat>
            <c:strRef>
              <c:f>ESC33_P_2030!$B$3:$B$29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ESC33_P_2030!$C$3:$C$29</c:f>
              <c:numCache>
                <c:formatCode>_-* #,##0_-;\-* #,##0_-;_-* "-"??_-;_-@_-</c:formatCode>
                <c:ptCount val="27"/>
                <c:pt idx="0">
                  <c:v>2777.1972970000002</c:v>
                </c:pt>
                <c:pt idx="1">
                  <c:v>1099.2528609999999</c:v>
                </c:pt>
                <c:pt idx="2">
                  <c:v>476.67468900000051</c:v>
                </c:pt>
                <c:pt idx="3">
                  <c:v>393.01804199999964</c:v>
                </c:pt>
                <c:pt idx="4">
                  <c:v>657.08898900000054</c:v>
                </c:pt>
                <c:pt idx="5">
                  <c:v>657.01608399999998</c:v>
                </c:pt>
                <c:pt idx="6">
                  <c:v>1126.8355110000011</c:v>
                </c:pt>
                <c:pt idx="7">
                  <c:v>611.54331999999999</c:v>
                </c:pt>
                <c:pt idx="8">
                  <c:v>168.24241499999999</c:v>
                </c:pt>
                <c:pt idx="9">
                  <c:v>476.18082399999997</c:v>
                </c:pt>
                <c:pt idx="10">
                  <c:v>475.71581499999957</c:v>
                </c:pt>
                <c:pt idx="11">
                  <c:v>10679.920118</c:v>
                </c:pt>
                <c:pt idx="12">
                  <c:v>97.404366999999993</c:v>
                </c:pt>
                <c:pt idx="13">
                  <c:v>92.749342999999982</c:v>
                </c:pt>
                <c:pt idx="14">
                  <c:v>69.093967000000006</c:v>
                </c:pt>
                <c:pt idx="15">
                  <c:v>2.66804</c:v>
                </c:pt>
                <c:pt idx="16">
                  <c:v>4.6128299999999927</c:v>
                </c:pt>
                <c:pt idx="17">
                  <c:v>0</c:v>
                </c:pt>
                <c:pt idx="18">
                  <c:v>0</c:v>
                </c:pt>
                <c:pt idx="19">
                  <c:v>4.1461399999999955</c:v>
                </c:pt>
                <c:pt idx="20">
                  <c:v>0</c:v>
                </c:pt>
                <c:pt idx="21">
                  <c:v>0</c:v>
                </c:pt>
                <c:pt idx="22">
                  <c:v>39.495740000000012</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ESC33_P_2030!$D$3:$D$29</c:f>
              <c:numCache>
                <c:formatCode>_-* #,##0_-;\-* #,##0_-;_-* "-"??_-;_-@_-</c:formatCode>
                <c:ptCount val="27"/>
                <c:pt idx="0">
                  <c:v>0</c:v>
                </c:pt>
                <c:pt idx="1">
                  <c:v>0</c:v>
                </c:pt>
                <c:pt idx="2">
                  <c:v>0</c:v>
                </c:pt>
                <c:pt idx="3">
                  <c:v>0</c:v>
                </c:pt>
                <c:pt idx="4">
                  <c:v>0</c:v>
                </c:pt>
                <c:pt idx="5">
                  <c:v>0</c:v>
                </c:pt>
                <c:pt idx="6">
                  <c:v>0</c:v>
                </c:pt>
                <c:pt idx="7">
                  <c:v>0</c:v>
                </c:pt>
                <c:pt idx="8">
                  <c:v>24.543129999999966</c:v>
                </c:pt>
                <c:pt idx="9">
                  <c:v>405.25355099999956</c:v>
                </c:pt>
                <c:pt idx="10">
                  <c:v>185.28199700000022</c:v>
                </c:pt>
                <c:pt idx="11">
                  <c:v>2257.5613320000052</c:v>
                </c:pt>
                <c:pt idx="12">
                  <c:v>221.08053100000001</c:v>
                </c:pt>
                <c:pt idx="13">
                  <c:v>516.09469200000001</c:v>
                </c:pt>
                <c:pt idx="14">
                  <c:v>2940.7386099999953</c:v>
                </c:pt>
                <c:pt idx="15">
                  <c:v>553.16645999999946</c:v>
                </c:pt>
                <c:pt idx="16">
                  <c:v>296.45513299999936</c:v>
                </c:pt>
                <c:pt idx="17">
                  <c:v>151.747018</c:v>
                </c:pt>
                <c:pt idx="18">
                  <c:v>798.57754</c:v>
                </c:pt>
                <c:pt idx="19">
                  <c:v>1876.2046510000011</c:v>
                </c:pt>
                <c:pt idx="20">
                  <c:v>2674.8807499999998</c:v>
                </c:pt>
                <c:pt idx="21">
                  <c:v>65.755879999999948</c:v>
                </c:pt>
                <c:pt idx="22">
                  <c:v>1652.379009</c:v>
                </c:pt>
                <c:pt idx="23">
                  <c:v>1958.1033089999976</c:v>
                </c:pt>
                <c:pt idx="24">
                  <c:v>1963.520004</c:v>
                </c:pt>
                <c:pt idx="25">
                  <c:v>663.67359700000054</c:v>
                </c:pt>
                <c:pt idx="26">
                  <c:v>703.83919599999911</c:v>
                </c:pt>
              </c:numCache>
            </c:numRef>
          </c:val>
        </c:ser>
        <c:dLbls>
          <c:showLegendKey val="0"/>
          <c:showVal val="0"/>
          <c:showCatName val="0"/>
          <c:showSerName val="0"/>
          <c:showPercent val="0"/>
          <c:showBubbleSize val="0"/>
        </c:dLbls>
        <c:gapWidth val="150"/>
        <c:axId val="424648704"/>
        <c:axId val="424650240"/>
      </c:barChart>
      <c:lineChart>
        <c:grouping val="standard"/>
        <c:varyColors val="0"/>
        <c:ser>
          <c:idx val="0"/>
          <c:order val="2"/>
          <c:tx>
            <c:strRef>
              <c:f>ESC33_P_2030!$E$2</c:f>
              <c:strCache>
                <c:ptCount val="1"/>
                <c:pt idx="0">
                  <c:v>Carga</c:v>
                </c:pt>
              </c:strCache>
            </c:strRef>
          </c:tx>
          <c:marker>
            <c:symbol val="none"/>
          </c:marker>
          <c:cat>
            <c:strRef>
              <c:f>ESC33_P_2030!$B$3:$B$29</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ESC33_P_2030!$E$3:$E$29</c:f>
              <c:numCache>
                <c:formatCode>_-* #,##0_-;\-* #,##0_-;_-* "-"??_-;_-@_-</c:formatCode>
                <c:ptCount val="27"/>
                <c:pt idx="0">
                  <c:v>2777.1972970000002</c:v>
                </c:pt>
                <c:pt idx="1">
                  <c:v>3876.4501580000042</c:v>
                </c:pt>
                <c:pt idx="2">
                  <c:v>4353.124847</c:v>
                </c:pt>
                <c:pt idx="3">
                  <c:v>4746.1428890000034</c:v>
                </c:pt>
                <c:pt idx="4">
                  <c:v>5403.2318779999996</c:v>
                </c:pt>
                <c:pt idx="5">
                  <c:v>6060.2479619999995</c:v>
                </c:pt>
                <c:pt idx="6">
                  <c:v>7187.0834729999997</c:v>
                </c:pt>
                <c:pt idx="7">
                  <c:v>7798.6267930000004</c:v>
                </c:pt>
                <c:pt idx="8">
                  <c:v>7942.3260780000064</c:v>
                </c:pt>
                <c:pt idx="9">
                  <c:v>8013.2533509999985</c:v>
                </c:pt>
                <c:pt idx="10">
                  <c:v>8303.6871689999971</c:v>
                </c:pt>
                <c:pt idx="11">
                  <c:v>16726.045954999998</c:v>
                </c:pt>
                <c:pt idx="12">
                  <c:v>16602.369790999997</c:v>
                </c:pt>
                <c:pt idx="13">
                  <c:v>16179.024442000018</c:v>
                </c:pt>
                <c:pt idx="14">
                  <c:v>13307.379798999997</c:v>
                </c:pt>
                <c:pt idx="15">
                  <c:v>12756.881378999997</c:v>
                </c:pt>
                <c:pt idx="16">
                  <c:v>12465.039075999997</c:v>
                </c:pt>
                <c:pt idx="17">
                  <c:v>12313.292058000015</c:v>
                </c:pt>
                <c:pt idx="18">
                  <c:v>11514.714518000013</c:v>
                </c:pt>
                <c:pt idx="19">
                  <c:v>9642.656006999985</c:v>
                </c:pt>
                <c:pt idx="20">
                  <c:v>6967.7752569999984</c:v>
                </c:pt>
                <c:pt idx="21">
                  <c:v>6902.0193770000005</c:v>
                </c:pt>
                <c:pt idx="22">
                  <c:v>5289.1361080000024</c:v>
                </c:pt>
                <c:pt idx="23">
                  <c:v>3331.0327989999978</c:v>
                </c:pt>
                <c:pt idx="24">
                  <c:v>1367.5127949999978</c:v>
                </c:pt>
                <c:pt idx="25">
                  <c:v>703.8391979999974</c:v>
                </c:pt>
                <c:pt idx="26">
                  <c:v>0</c:v>
                </c:pt>
              </c:numCache>
            </c:numRef>
          </c:val>
          <c:smooth val="0"/>
        </c:ser>
        <c:dLbls>
          <c:showLegendKey val="0"/>
          <c:showVal val="0"/>
          <c:showCatName val="0"/>
          <c:showSerName val="0"/>
          <c:showPercent val="0"/>
          <c:showBubbleSize val="0"/>
        </c:dLbls>
        <c:marker val="1"/>
        <c:smooth val="0"/>
        <c:axId val="424648704"/>
        <c:axId val="424650240"/>
      </c:lineChart>
      <c:catAx>
        <c:axId val="424648704"/>
        <c:scaling>
          <c:orientation val="minMax"/>
        </c:scaling>
        <c:delete val="0"/>
        <c:axPos val="b"/>
        <c:majorTickMark val="out"/>
        <c:minorTickMark val="none"/>
        <c:tickLblPos val="nextTo"/>
        <c:txPr>
          <a:bodyPr rot="-5400000" vert="horz"/>
          <a:lstStyle/>
          <a:p>
            <a:pPr>
              <a:defRPr sz="900" b="0"/>
            </a:pPr>
            <a:endParaRPr lang="en-US"/>
          </a:p>
        </c:txPr>
        <c:crossAx val="424650240"/>
        <c:crosses val="autoZero"/>
        <c:auto val="1"/>
        <c:lblAlgn val="ctr"/>
        <c:lblOffset val="100"/>
        <c:noMultiLvlLbl val="0"/>
      </c:catAx>
      <c:valAx>
        <c:axId val="424650240"/>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6.4719352427957918E-4"/>
              <c:y val="0.34956314446488634"/>
            </c:manualLayout>
          </c:layout>
          <c:overlay val="0"/>
        </c:title>
        <c:numFmt formatCode="_-* #,##0_-;\-* #,##0_-;_-* &quot;-&quot;??_-;_-@_-" sourceLinked="1"/>
        <c:majorTickMark val="out"/>
        <c:minorTickMark val="none"/>
        <c:tickLblPos val="nextTo"/>
        <c:txPr>
          <a:bodyPr/>
          <a:lstStyle/>
          <a:p>
            <a:pPr>
              <a:defRPr sz="900" b="0"/>
            </a:pPr>
            <a:endParaRPr lang="en-US"/>
          </a:p>
        </c:txPr>
        <c:crossAx val="424648704"/>
        <c:crosses val="autoZero"/>
        <c:crossBetween val="between"/>
        <c:majorUnit val="2500"/>
      </c:valAx>
    </c:plotArea>
    <c:legend>
      <c:legendPos val="r"/>
      <c:layout>
        <c:manualLayout>
          <c:xMode val="edge"/>
          <c:yMode val="edge"/>
          <c:x val="0.8693264407961665"/>
          <c:y val="0.15353748206257686"/>
          <c:w val="9.9660735476806234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HPM</a:t>
            </a:r>
          </a:p>
        </c:rich>
      </c:tx>
      <c:overlay val="1"/>
    </c:title>
    <c:autoTitleDeleted val="0"/>
    <c:plotArea>
      <c:layout>
        <c:manualLayout>
          <c:layoutTarget val="inner"/>
          <c:xMode val="edge"/>
          <c:yMode val="edge"/>
          <c:x val="0.10582578384023789"/>
          <c:y val="0.142007459513592"/>
          <c:w val="0.87241675094476656"/>
          <c:h val="0.64459964962338023"/>
        </c:manualLayout>
      </c:layout>
      <c:barChart>
        <c:barDir val="col"/>
        <c:grouping val="clustered"/>
        <c:varyColors val="0"/>
        <c:ser>
          <c:idx val="1"/>
          <c:order val="0"/>
          <c:tx>
            <c:strRef>
              <c:f>ESC33_P_2030!$I$2</c:f>
              <c:strCache>
                <c:ptCount val="1"/>
                <c:pt idx="0">
                  <c:v>Sube</c:v>
                </c:pt>
              </c:strCache>
            </c:strRef>
          </c:tx>
          <c:invertIfNegative val="0"/>
          <c:cat>
            <c:strRef>
              <c:f>ESC33_P_2030!$H$11:$H$37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ESC33_P_2030!$I$11:$I$37</c:f>
              <c:numCache>
                <c:formatCode>_-* #,##0_-;\-* #,##0_-;_-* "-"??_-;_-@_-</c:formatCode>
                <c:ptCount val="27"/>
                <c:pt idx="0">
                  <c:v>353.9662479999995</c:v>
                </c:pt>
                <c:pt idx="1">
                  <c:v>546.507701</c:v>
                </c:pt>
                <c:pt idx="2">
                  <c:v>281.42263199999957</c:v>
                </c:pt>
                <c:pt idx="3">
                  <c:v>960.34287899999947</c:v>
                </c:pt>
                <c:pt idx="4">
                  <c:v>3993.846188</c:v>
                </c:pt>
                <c:pt idx="5">
                  <c:v>21.083632999999942</c:v>
                </c:pt>
                <c:pt idx="6">
                  <c:v>368.49491299999943</c:v>
                </c:pt>
                <c:pt idx="7">
                  <c:v>430.60900299999997</c:v>
                </c:pt>
                <c:pt idx="8">
                  <c:v>105.70435999999999</c:v>
                </c:pt>
                <c:pt idx="9">
                  <c:v>389.01661999999936</c:v>
                </c:pt>
                <c:pt idx="10">
                  <c:v>549.70298000000003</c:v>
                </c:pt>
                <c:pt idx="11">
                  <c:v>108.5172250000002</c:v>
                </c:pt>
                <c:pt idx="12">
                  <c:v>556.98970699999995</c:v>
                </c:pt>
                <c:pt idx="13">
                  <c:v>400.01639299999937</c:v>
                </c:pt>
                <c:pt idx="14">
                  <c:v>206.92064500000001</c:v>
                </c:pt>
                <c:pt idx="15">
                  <c:v>1562.614069</c:v>
                </c:pt>
                <c:pt idx="16">
                  <c:v>96.054040999999998</c:v>
                </c:pt>
                <c:pt idx="17">
                  <c:v>132.680778</c:v>
                </c:pt>
                <c:pt idx="18">
                  <c:v>3.3318599999999932</c:v>
                </c:pt>
                <c:pt idx="19">
                  <c:v>0</c:v>
                </c:pt>
                <c:pt idx="20">
                  <c:v>0</c:v>
                </c:pt>
                <c:pt idx="21">
                  <c:v>0</c:v>
                </c:pt>
                <c:pt idx="22">
                  <c:v>0</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ESC33_P_2030!$J$11:$J$37</c:f>
              <c:numCache>
                <c:formatCode>_-* #,##0_-;\-* #,##0_-;_-* "-"??_-;_-@_-</c:formatCode>
                <c:ptCount val="27"/>
                <c:pt idx="0">
                  <c:v>0</c:v>
                </c:pt>
                <c:pt idx="1">
                  <c:v>0</c:v>
                </c:pt>
                <c:pt idx="2">
                  <c:v>0</c:v>
                </c:pt>
                <c:pt idx="3">
                  <c:v>0</c:v>
                </c:pt>
                <c:pt idx="4">
                  <c:v>33.072887000000001</c:v>
                </c:pt>
                <c:pt idx="5">
                  <c:v>0</c:v>
                </c:pt>
                <c:pt idx="6">
                  <c:v>8.0969300000000004</c:v>
                </c:pt>
                <c:pt idx="7">
                  <c:v>89.413728000000006</c:v>
                </c:pt>
                <c:pt idx="8">
                  <c:v>0</c:v>
                </c:pt>
                <c:pt idx="9">
                  <c:v>0</c:v>
                </c:pt>
                <c:pt idx="10">
                  <c:v>10.94204</c:v>
                </c:pt>
                <c:pt idx="11">
                  <c:v>61.572201</c:v>
                </c:pt>
                <c:pt idx="12">
                  <c:v>286.23597999999924</c:v>
                </c:pt>
                <c:pt idx="13">
                  <c:v>85.094932</c:v>
                </c:pt>
                <c:pt idx="14">
                  <c:v>118.21111500000021</c:v>
                </c:pt>
                <c:pt idx="15">
                  <c:v>4351.0726750000003</c:v>
                </c:pt>
                <c:pt idx="16">
                  <c:v>326.76913599999949</c:v>
                </c:pt>
                <c:pt idx="17">
                  <c:v>306.90009599999956</c:v>
                </c:pt>
                <c:pt idx="18">
                  <c:v>59.505812000000013</c:v>
                </c:pt>
                <c:pt idx="19">
                  <c:v>278.364733</c:v>
                </c:pt>
                <c:pt idx="20">
                  <c:v>1365.3363810000001</c:v>
                </c:pt>
                <c:pt idx="21">
                  <c:v>168.79537399999998</c:v>
                </c:pt>
                <c:pt idx="22">
                  <c:v>735.25343500000054</c:v>
                </c:pt>
                <c:pt idx="23">
                  <c:v>95.204795000000004</c:v>
                </c:pt>
                <c:pt idx="24">
                  <c:v>151.63900399999977</c:v>
                </c:pt>
                <c:pt idx="25">
                  <c:v>209.21683099999998</c:v>
                </c:pt>
                <c:pt idx="26">
                  <c:v>2327.1237900000001</c:v>
                </c:pt>
              </c:numCache>
            </c:numRef>
          </c:val>
        </c:ser>
        <c:dLbls>
          <c:showLegendKey val="0"/>
          <c:showVal val="0"/>
          <c:showCatName val="0"/>
          <c:showSerName val="0"/>
          <c:showPercent val="0"/>
          <c:showBubbleSize val="0"/>
        </c:dLbls>
        <c:gapWidth val="150"/>
        <c:axId val="424763392"/>
        <c:axId val="424764928"/>
      </c:barChart>
      <c:lineChart>
        <c:grouping val="standard"/>
        <c:varyColors val="0"/>
        <c:ser>
          <c:idx val="0"/>
          <c:order val="2"/>
          <c:tx>
            <c:strRef>
              <c:f>ESC33_P_2030!$E$2</c:f>
              <c:strCache>
                <c:ptCount val="1"/>
                <c:pt idx="0">
                  <c:v>Carga</c:v>
                </c:pt>
              </c:strCache>
            </c:strRef>
          </c:tx>
          <c:marker>
            <c:symbol val="none"/>
          </c:marker>
          <c:cat>
            <c:strRef>
              <c:f>ESC33_P_2030!$H$11:$H$37</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ESC33_P_2030!$K$11:$K$37</c:f>
              <c:numCache>
                <c:formatCode>_-* #,##0_-;\-* #,##0_-;_-* "-"??_-;_-@_-</c:formatCode>
                <c:ptCount val="27"/>
                <c:pt idx="0">
                  <c:v>353.9662479999995</c:v>
                </c:pt>
                <c:pt idx="1">
                  <c:v>900.47394899999995</c:v>
                </c:pt>
                <c:pt idx="2">
                  <c:v>1181.8965810000011</c:v>
                </c:pt>
                <c:pt idx="3">
                  <c:v>2142.2394599999998</c:v>
                </c:pt>
                <c:pt idx="4">
                  <c:v>6103.0127610000054</c:v>
                </c:pt>
                <c:pt idx="5">
                  <c:v>6124.0963940000083</c:v>
                </c:pt>
                <c:pt idx="6">
                  <c:v>6484.4943769999991</c:v>
                </c:pt>
                <c:pt idx="7">
                  <c:v>6825.689652</c:v>
                </c:pt>
                <c:pt idx="8">
                  <c:v>6931.3940120000007</c:v>
                </c:pt>
                <c:pt idx="9">
                  <c:v>7320.4106320000001</c:v>
                </c:pt>
                <c:pt idx="10">
                  <c:v>7859.1715720000002</c:v>
                </c:pt>
                <c:pt idx="11">
                  <c:v>7906.1165960000135</c:v>
                </c:pt>
                <c:pt idx="12">
                  <c:v>8176.8703230000001</c:v>
                </c:pt>
                <c:pt idx="13">
                  <c:v>8491.7917840000009</c:v>
                </c:pt>
                <c:pt idx="14">
                  <c:v>8580.501314000001</c:v>
                </c:pt>
                <c:pt idx="15">
                  <c:v>5792.0427079999999</c:v>
                </c:pt>
                <c:pt idx="16">
                  <c:v>5561.3276130000004</c:v>
                </c:pt>
                <c:pt idx="17">
                  <c:v>5387.108295</c:v>
                </c:pt>
                <c:pt idx="18">
                  <c:v>5330.9343429999917</c:v>
                </c:pt>
                <c:pt idx="19">
                  <c:v>5052.5696100000014</c:v>
                </c:pt>
                <c:pt idx="20">
                  <c:v>3687.2332289999995</c:v>
                </c:pt>
                <c:pt idx="21">
                  <c:v>3518.4378550000001</c:v>
                </c:pt>
                <c:pt idx="22">
                  <c:v>2783.1844199999987</c:v>
                </c:pt>
                <c:pt idx="23">
                  <c:v>2687.9796249999995</c:v>
                </c:pt>
                <c:pt idx="24">
                  <c:v>2536.3406209999994</c:v>
                </c:pt>
                <c:pt idx="25">
                  <c:v>2327.1237899999987</c:v>
                </c:pt>
                <c:pt idx="26">
                  <c:v>0</c:v>
                </c:pt>
              </c:numCache>
            </c:numRef>
          </c:val>
          <c:smooth val="0"/>
        </c:ser>
        <c:dLbls>
          <c:showLegendKey val="0"/>
          <c:showVal val="0"/>
          <c:showCatName val="0"/>
          <c:showSerName val="0"/>
          <c:showPercent val="0"/>
          <c:showBubbleSize val="0"/>
        </c:dLbls>
        <c:marker val="1"/>
        <c:smooth val="0"/>
        <c:axId val="424763392"/>
        <c:axId val="424764928"/>
      </c:lineChart>
      <c:catAx>
        <c:axId val="424763392"/>
        <c:scaling>
          <c:orientation val="minMax"/>
        </c:scaling>
        <c:delete val="0"/>
        <c:axPos val="b"/>
        <c:majorTickMark val="out"/>
        <c:minorTickMark val="none"/>
        <c:tickLblPos val="nextTo"/>
        <c:txPr>
          <a:bodyPr rot="-5400000" vert="horz"/>
          <a:lstStyle/>
          <a:p>
            <a:pPr>
              <a:defRPr sz="900" b="0"/>
            </a:pPr>
            <a:endParaRPr lang="en-US"/>
          </a:p>
        </c:txPr>
        <c:crossAx val="424764928"/>
        <c:crosses val="autoZero"/>
        <c:auto val="1"/>
        <c:lblAlgn val="ctr"/>
        <c:lblOffset val="100"/>
        <c:noMultiLvlLbl val="0"/>
      </c:catAx>
      <c:valAx>
        <c:axId val="424764928"/>
        <c:scaling>
          <c:orientation val="minMax"/>
          <c:max val="5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1.1674158962851741E-3"/>
              <c:y val="0.3766853084125838"/>
            </c:manualLayout>
          </c:layout>
          <c:overlay val="0"/>
        </c:title>
        <c:numFmt formatCode="_-* #,##0_-;\-* #,##0_-;_-* &quot;-&quot;??_-;_-@_-" sourceLinked="1"/>
        <c:majorTickMark val="out"/>
        <c:minorTickMark val="none"/>
        <c:tickLblPos val="nextTo"/>
        <c:txPr>
          <a:bodyPr/>
          <a:lstStyle/>
          <a:p>
            <a:pPr>
              <a:defRPr sz="900" b="0"/>
            </a:pPr>
            <a:endParaRPr lang="en-US"/>
          </a:p>
        </c:txPr>
        <c:crossAx val="424763392"/>
        <c:crosses val="autoZero"/>
        <c:crossBetween val="between"/>
        <c:majorUnit val="2500"/>
      </c:valAx>
    </c:plotArea>
    <c:legend>
      <c:legendPos val="r"/>
      <c:layout>
        <c:manualLayout>
          <c:xMode val="edge"/>
          <c:yMode val="edge"/>
          <c:x val="0.87008527310716355"/>
          <c:y val="0.16904271403005003"/>
          <c:w val="9.6618219186467097E-2"/>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HPT</a:t>
            </a:r>
          </a:p>
        </c:rich>
      </c:tx>
      <c:overlay val="1"/>
    </c:title>
    <c:autoTitleDeleted val="0"/>
    <c:plotArea>
      <c:layout>
        <c:manualLayout>
          <c:layoutTarget val="inner"/>
          <c:xMode val="edge"/>
          <c:yMode val="edge"/>
          <c:x val="0.10731465696868576"/>
          <c:y val="0.142007459513592"/>
          <c:w val="0.87092792206145575"/>
          <c:h val="0.61595653796199823"/>
        </c:manualLayout>
      </c:layout>
      <c:barChart>
        <c:barDir val="col"/>
        <c:grouping val="clustered"/>
        <c:varyColors val="0"/>
        <c:ser>
          <c:idx val="1"/>
          <c:order val="0"/>
          <c:tx>
            <c:strRef>
              <c:f>ESC33_P_2030!$C$2</c:f>
              <c:strCache>
                <c:ptCount val="1"/>
                <c:pt idx="0">
                  <c:v>Sube</c:v>
                </c:pt>
              </c:strCache>
            </c:strRef>
          </c:tx>
          <c:invertIfNegative val="0"/>
          <c:cat>
            <c:strRef>
              <c:f>ESC33_P_2030!$B$44:$B$70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ESC33_P_2030!$C$44:$C$70</c:f>
              <c:numCache>
                <c:formatCode>_-* #,##0_-;\-* #,##0_-;_-* "-"??_-;_-@_-</c:formatCode>
                <c:ptCount val="27"/>
                <c:pt idx="0">
                  <c:v>3094.1182439999998</c:v>
                </c:pt>
                <c:pt idx="1">
                  <c:v>591.21796899999947</c:v>
                </c:pt>
                <c:pt idx="2">
                  <c:v>347.03148099999999</c:v>
                </c:pt>
                <c:pt idx="3">
                  <c:v>353.09956299999999</c:v>
                </c:pt>
                <c:pt idx="4">
                  <c:v>1378.0601179999999</c:v>
                </c:pt>
                <c:pt idx="5">
                  <c:v>406.76088700000008</c:v>
                </c:pt>
                <c:pt idx="6">
                  <c:v>1452.6793329999975</c:v>
                </c:pt>
                <c:pt idx="7">
                  <c:v>747.11475700000005</c:v>
                </c:pt>
                <c:pt idx="8">
                  <c:v>242.34281900000022</c:v>
                </c:pt>
                <c:pt idx="9">
                  <c:v>219.28090499999999</c:v>
                </c:pt>
                <c:pt idx="10">
                  <c:v>96.180444999999978</c:v>
                </c:pt>
                <c:pt idx="11">
                  <c:v>3750.0944909999998</c:v>
                </c:pt>
                <c:pt idx="12">
                  <c:v>35.917701000000001</c:v>
                </c:pt>
                <c:pt idx="13">
                  <c:v>30.232648999999967</c:v>
                </c:pt>
                <c:pt idx="14">
                  <c:v>68.157934999999981</c:v>
                </c:pt>
                <c:pt idx="15">
                  <c:v>5.9339599999999999</c:v>
                </c:pt>
                <c:pt idx="16">
                  <c:v>4.5963880000000001</c:v>
                </c:pt>
                <c:pt idx="17">
                  <c:v>19.887519999999967</c:v>
                </c:pt>
                <c:pt idx="18">
                  <c:v>0</c:v>
                </c:pt>
                <c:pt idx="19">
                  <c:v>14.309610000000006</c:v>
                </c:pt>
                <c:pt idx="20">
                  <c:v>1.33595</c:v>
                </c:pt>
                <c:pt idx="21">
                  <c:v>0</c:v>
                </c:pt>
                <c:pt idx="22">
                  <c:v>76.830740999999989</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ESC33_P_2030!$D$44:$D$70</c:f>
              <c:numCache>
                <c:formatCode>_-* #,##0_-;\-* #,##0_-;_-* "-"??_-;_-@_-</c:formatCode>
                <c:ptCount val="27"/>
                <c:pt idx="0">
                  <c:v>0</c:v>
                </c:pt>
                <c:pt idx="1">
                  <c:v>0</c:v>
                </c:pt>
                <c:pt idx="2">
                  <c:v>0</c:v>
                </c:pt>
                <c:pt idx="3">
                  <c:v>0</c:v>
                </c:pt>
                <c:pt idx="4">
                  <c:v>0</c:v>
                </c:pt>
                <c:pt idx="5">
                  <c:v>0</c:v>
                </c:pt>
                <c:pt idx="6">
                  <c:v>0</c:v>
                </c:pt>
                <c:pt idx="7">
                  <c:v>0</c:v>
                </c:pt>
                <c:pt idx="8">
                  <c:v>97.312419000000006</c:v>
                </c:pt>
                <c:pt idx="9">
                  <c:v>218.10794100000001</c:v>
                </c:pt>
                <c:pt idx="10">
                  <c:v>22.726429999999965</c:v>
                </c:pt>
                <c:pt idx="11">
                  <c:v>3028.2416289999987</c:v>
                </c:pt>
                <c:pt idx="12">
                  <c:v>53.608541000000002</c:v>
                </c:pt>
                <c:pt idx="13">
                  <c:v>102.60975500000001</c:v>
                </c:pt>
                <c:pt idx="14">
                  <c:v>516.40013099999999</c:v>
                </c:pt>
                <c:pt idx="15">
                  <c:v>342.70372399999957</c:v>
                </c:pt>
                <c:pt idx="16">
                  <c:v>191.86588700000001</c:v>
                </c:pt>
                <c:pt idx="17">
                  <c:v>193.66875000000002</c:v>
                </c:pt>
                <c:pt idx="18">
                  <c:v>147.57732700000022</c:v>
                </c:pt>
                <c:pt idx="19">
                  <c:v>722.58036100000004</c:v>
                </c:pt>
                <c:pt idx="20">
                  <c:v>934.43852699999911</c:v>
                </c:pt>
                <c:pt idx="21">
                  <c:v>51.703983000000001</c:v>
                </c:pt>
                <c:pt idx="22">
                  <c:v>3646.2587409999987</c:v>
                </c:pt>
                <c:pt idx="23">
                  <c:v>1001.634919</c:v>
                </c:pt>
                <c:pt idx="24">
                  <c:v>847.755312</c:v>
                </c:pt>
                <c:pt idx="25">
                  <c:v>53.517306000000005</c:v>
                </c:pt>
                <c:pt idx="26">
                  <c:v>762.47178200000053</c:v>
                </c:pt>
              </c:numCache>
            </c:numRef>
          </c:val>
        </c:ser>
        <c:dLbls>
          <c:showLegendKey val="0"/>
          <c:showVal val="0"/>
          <c:showCatName val="0"/>
          <c:showSerName val="0"/>
          <c:showPercent val="0"/>
          <c:showBubbleSize val="0"/>
        </c:dLbls>
        <c:gapWidth val="150"/>
        <c:axId val="424853504"/>
        <c:axId val="424855040"/>
      </c:barChart>
      <c:lineChart>
        <c:grouping val="standard"/>
        <c:varyColors val="0"/>
        <c:ser>
          <c:idx val="0"/>
          <c:order val="2"/>
          <c:tx>
            <c:strRef>
              <c:f>ESC33_P_2030!$E$2</c:f>
              <c:strCache>
                <c:ptCount val="1"/>
                <c:pt idx="0">
                  <c:v>Carga</c:v>
                </c:pt>
              </c:strCache>
            </c:strRef>
          </c:tx>
          <c:marker>
            <c:symbol val="none"/>
          </c:marker>
          <c:cat>
            <c:strRef>
              <c:f>ESC33_P_2030!$B$44:$B$70</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ESC33_P_2030!$E$44:$E$70</c:f>
              <c:numCache>
                <c:formatCode>_-* #,##0_-;\-* #,##0_-;_-* "-"??_-;_-@_-</c:formatCode>
                <c:ptCount val="27"/>
                <c:pt idx="0">
                  <c:v>3094.1182439999998</c:v>
                </c:pt>
                <c:pt idx="1">
                  <c:v>3685.3362130000032</c:v>
                </c:pt>
                <c:pt idx="2">
                  <c:v>4032.3676939999996</c:v>
                </c:pt>
                <c:pt idx="3">
                  <c:v>4385.4672569999993</c:v>
                </c:pt>
                <c:pt idx="4">
                  <c:v>5763.5273750000006</c:v>
                </c:pt>
                <c:pt idx="5">
                  <c:v>6170.288262</c:v>
                </c:pt>
                <c:pt idx="6">
                  <c:v>7622.9675950000001</c:v>
                </c:pt>
                <c:pt idx="7">
                  <c:v>8370.0823519999994</c:v>
                </c:pt>
                <c:pt idx="8">
                  <c:v>8515.1127520000136</c:v>
                </c:pt>
                <c:pt idx="9">
                  <c:v>8516.285715999993</c:v>
                </c:pt>
                <c:pt idx="10">
                  <c:v>8589.7397309999978</c:v>
                </c:pt>
                <c:pt idx="11">
                  <c:v>9311.5925929999976</c:v>
                </c:pt>
                <c:pt idx="12">
                  <c:v>9293.9017529999983</c:v>
                </c:pt>
                <c:pt idx="13">
                  <c:v>9221.5246469999984</c:v>
                </c:pt>
                <c:pt idx="14">
                  <c:v>8773.2824510000119</c:v>
                </c:pt>
                <c:pt idx="15">
                  <c:v>8436.5126869999931</c:v>
                </c:pt>
                <c:pt idx="16">
                  <c:v>8249.2431879999967</c:v>
                </c:pt>
                <c:pt idx="17">
                  <c:v>8075.4619579999971</c:v>
                </c:pt>
                <c:pt idx="18">
                  <c:v>7927.8846310000044</c:v>
                </c:pt>
                <c:pt idx="19">
                  <c:v>7219.6138800000008</c:v>
                </c:pt>
                <c:pt idx="20">
                  <c:v>6286.5113029999984</c:v>
                </c:pt>
                <c:pt idx="21">
                  <c:v>6234.8073199999963</c:v>
                </c:pt>
                <c:pt idx="22">
                  <c:v>2665.3793199999996</c:v>
                </c:pt>
                <c:pt idx="23">
                  <c:v>1663.744400999994</c:v>
                </c:pt>
                <c:pt idx="24">
                  <c:v>815.98908899999583</c:v>
                </c:pt>
                <c:pt idx="25">
                  <c:v>762.47178299999655</c:v>
                </c:pt>
                <c:pt idx="26">
                  <c:v>0</c:v>
                </c:pt>
              </c:numCache>
            </c:numRef>
          </c:val>
          <c:smooth val="0"/>
        </c:ser>
        <c:dLbls>
          <c:showLegendKey val="0"/>
          <c:showVal val="0"/>
          <c:showCatName val="0"/>
          <c:showSerName val="0"/>
          <c:showPercent val="0"/>
          <c:showBubbleSize val="0"/>
        </c:dLbls>
        <c:marker val="1"/>
        <c:smooth val="0"/>
        <c:axId val="424853504"/>
        <c:axId val="424855040"/>
      </c:lineChart>
      <c:catAx>
        <c:axId val="424853504"/>
        <c:scaling>
          <c:orientation val="minMax"/>
        </c:scaling>
        <c:delete val="0"/>
        <c:axPos val="b"/>
        <c:majorTickMark val="out"/>
        <c:minorTickMark val="none"/>
        <c:tickLblPos val="nextTo"/>
        <c:txPr>
          <a:bodyPr rot="-5400000" vert="horz"/>
          <a:lstStyle/>
          <a:p>
            <a:pPr>
              <a:defRPr sz="900" b="0"/>
            </a:pPr>
            <a:endParaRPr lang="en-US"/>
          </a:p>
        </c:txPr>
        <c:crossAx val="424855040"/>
        <c:crosses val="autoZero"/>
        <c:auto val="1"/>
        <c:lblAlgn val="ctr"/>
        <c:lblOffset val="100"/>
        <c:noMultiLvlLbl val="0"/>
      </c:catAx>
      <c:valAx>
        <c:axId val="424855040"/>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9.3974709780642682E-3"/>
              <c:y val="0.40192047727499886"/>
            </c:manualLayout>
          </c:layout>
          <c:overlay val="0"/>
        </c:title>
        <c:numFmt formatCode="_-* #,##0_-;\-* #,##0_-;_-* &quot;-&quot;??_-;_-@_-" sourceLinked="1"/>
        <c:majorTickMark val="out"/>
        <c:minorTickMark val="none"/>
        <c:tickLblPos val="nextTo"/>
        <c:txPr>
          <a:bodyPr/>
          <a:lstStyle/>
          <a:p>
            <a:pPr>
              <a:defRPr sz="900" b="0"/>
            </a:pPr>
            <a:endParaRPr lang="en-US"/>
          </a:p>
        </c:txPr>
        <c:crossAx val="424853504"/>
        <c:crosses val="autoZero"/>
        <c:crossBetween val="between"/>
        <c:majorUnit val="2500"/>
      </c:valAx>
    </c:plotArea>
    <c:legend>
      <c:legendPos val="r"/>
      <c:layout>
        <c:manualLayout>
          <c:xMode val="edge"/>
          <c:yMode val="edge"/>
          <c:x val="0.85798006944308336"/>
          <c:y val="0.16904271403005003"/>
          <c:w val="0.10872347022114731"/>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Oeste</a:t>
            </a:r>
            <a:r>
              <a:rPr lang="it-IT" sz="1200"/>
              <a:t> - Este HPT</a:t>
            </a:r>
          </a:p>
        </c:rich>
      </c:tx>
      <c:overlay val="1"/>
    </c:title>
    <c:autoTitleDeleted val="0"/>
    <c:plotArea>
      <c:layout>
        <c:manualLayout>
          <c:layoutTarget val="inner"/>
          <c:xMode val="edge"/>
          <c:yMode val="edge"/>
          <c:x val="0.11521521846839856"/>
          <c:y val="0.14200745951359203"/>
          <c:w val="0.8630272845528898"/>
          <c:h val="0.64459964962338046"/>
        </c:manualLayout>
      </c:layout>
      <c:barChart>
        <c:barDir val="col"/>
        <c:grouping val="clustered"/>
        <c:varyColors val="0"/>
        <c:ser>
          <c:idx val="1"/>
          <c:order val="0"/>
          <c:tx>
            <c:strRef>
              <c:f>ESC33_P_2030!$I$2</c:f>
              <c:strCache>
                <c:ptCount val="1"/>
                <c:pt idx="0">
                  <c:v>Sube</c:v>
                </c:pt>
              </c:strCache>
            </c:strRef>
          </c:tx>
          <c:invertIfNegative val="0"/>
          <c:cat>
            <c:strRef>
              <c:f>ESC33_P_2030!$H$52:$H$78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ESC33_P_2030!$I$52:$I$78</c:f>
              <c:numCache>
                <c:formatCode>_-* #,##0_-;\-* #,##0_-;_-* "-"??_-;_-@_-</c:formatCode>
                <c:ptCount val="27"/>
                <c:pt idx="0">
                  <c:v>815.63341500000001</c:v>
                </c:pt>
                <c:pt idx="1">
                  <c:v>597.86948999999947</c:v>
                </c:pt>
                <c:pt idx="2">
                  <c:v>1271.846104</c:v>
                </c:pt>
                <c:pt idx="3">
                  <c:v>736.69126000000006</c:v>
                </c:pt>
                <c:pt idx="4">
                  <c:v>3166.3995710000022</c:v>
                </c:pt>
                <c:pt idx="5">
                  <c:v>51.718501000000003</c:v>
                </c:pt>
                <c:pt idx="6">
                  <c:v>937.44457799999998</c:v>
                </c:pt>
                <c:pt idx="7">
                  <c:v>619.622749</c:v>
                </c:pt>
                <c:pt idx="8">
                  <c:v>180.52297100000001</c:v>
                </c:pt>
                <c:pt idx="9">
                  <c:v>461.42194199999949</c:v>
                </c:pt>
                <c:pt idx="10">
                  <c:v>740.98635400000001</c:v>
                </c:pt>
                <c:pt idx="11">
                  <c:v>692.13415399999997</c:v>
                </c:pt>
                <c:pt idx="12">
                  <c:v>3366.8676489999998</c:v>
                </c:pt>
                <c:pt idx="13">
                  <c:v>335.03912799999949</c:v>
                </c:pt>
                <c:pt idx="14">
                  <c:v>455.91861999999918</c:v>
                </c:pt>
                <c:pt idx="15">
                  <c:v>1676.615076</c:v>
                </c:pt>
                <c:pt idx="16">
                  <c:v>5.287204</c:v>
                </c:pt>
                <c:pt idx="17">
                  <c:v>248.74066199999973</c:v>
                </c:pt>
                <c:pt idx="18">
                  <c:v>10.352810000000016</c:v>
                </c:pt>
                <c:pt idx="19">
                  <c:v>0</c:v>
                </c:pt>
                <c:pt idx="20">
                  <c:v>0</c:v>
                </c:pt>
                <c:pt idx="21">
                  <c:v>0</c:v>
                </c:pt>
                <c:pt idx="22">
                  <c:v>0</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ESC33_P_2030!$J$52:$J$78</c:f>
              <c:numCache>
                <c:formatCode>_-* #,##0_-;\-* #,##0_-;_-* "-"??_-;_-@_-</c:formatCode>
                <c:ptCount val="27"/>
                <c:pt idx="0">
                  <c:v>0</c:v>
                </c:pt>
                <c:pt idx="1">
                  <c:v>0</c:v>
                </c:pt>
                <c:pt idx="2">
                  <c:v>0</c:v>
                </c:pt>
                <c:pt idx="3">
                  <c:v>0</c:v>
                </c:pt>
                <c:pt idx="4">
                  <c:v>55.937580000000004</c:v>
                </c:pt>
                <c:pt idx="5">
                  <c:v>0</c:v>
                </c:pt>
                <c:pt idx="6">
                  <c:v>4.4394400000000092</c:v>
                </c:pt>
                <c:pt idx="7">
                  <c:v>16.367039999999989</c:v>
                </c:pt>
                <c:pt idx="8">
                  <c:v>0</c:v>
                </c:pt>
                <c:pt idx="9">
                  <c:v>0</c:v>
                </c:pt>
                <c:pt idx="10">
                  <c:v>8.2841699999999996</c:v>
                </c:pt>
                <c:pt idx="11">
                  <c:v>2.4518899999999961</c:v>
                </c:pt>
                <c:pt idx="12">
                  <c:v>6.3836769999999996</c:v>
                </c:pt>
                <c:pt idx="13">
                  <c:v>7.5159499999999975</c:v>
                </c:pt>
                <c:pt idx="14">
                  <c:v>18.709209999999967</c:v>
                </c:pt>
                <c:pt idx="15">
                  <c:v>9038.5149349999847</c:v>
                </c:pt>
                <c:pt idx="16">
                  <c:v>99.618069000000006</c:v>
                </c:pt>
                <c:pt idx="17">
                  <c:v>176.68962099999999</c:v>
                </c:pt>
                <c:pt idx="18">
                  <c:v>19.162727999999966</c:v>
                </c:pt>
                <c:pt idx="19">
                  <c:v>578.53248199999996</c:v>
                </c:pt>
                <c:pt idx="20">
                  <c:v>304.66403500000001</c:v>
                </c:pt>
                <c:pt idx="21">
                  <c:v>160.75739800000022</c:v>
                </c:pt>
                <c:pt idx="22">
                  <c:v>370.91241799999949</c:v>
                </c:pt>
                <c:pt idx="23">
                  <c:v>188.56180800000001</c:v>
                </c:pt>
                <c:pt idx="24">
                  <c:v>263.98199299999936</c:v>
                </c:pt>
                <c:pt idx="25">
                  <c:v>390.41313499999904</c:v>
                </c:pt>
                <c:pt idx="26">
                  <c:v>4659.2146620000003</c:v>
                </c:pt>
              </c:numCache>
            </c:numRef>
          </c:val>
        </c:ser>
        <c:dLbls>
          <c:showLegendKey val="0"/>
          <c:showVal val="0"/>
          <c:showCatName val="0"/>
          <c:showSerName val="0"/>
          <c:showPercent val="0"/>
          <c:showBubbleSize val="0"/>
        </c:dLbls>
        <c:gapWidth val="150"/>
        <c:axId val="426840064"/>
        <c:axId val="426841600"/>
      </c:barChart>
      <c:lineChart>
        <c:grouping val="standard"/>
        <c:varyColors val="0"/>
        <c:ser>
          <c:idx val="0"/>
          <c:order val="2"/>
          <c:tx>
            <c:strRef>
              <c:f>ESC33_P_2030!$E$2</c:f>
              <c:strCache>
                <c:ptCount val="1"/>
                <c:pt idx="0">
                  <c:v>Carga</c:v>
                </c:pt>
              </c:strCache>
            </c:strRef>
          </c:tx>
          <c:marker>
            <c:symbol val="none"/>
          </c:marker>
          <c:cat>
            <c:strRef>
              <c:f>ESC33_P_2030!$H$52:$H$78</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ESC33_P_2030!$K$52:$K$78</c:f>
              <c:numCache>
                <c:formatCode>_-* #,##0_-;\-* #,##0_-;_-* "-"??_-;_-@_-</c:formatCode>
                <c:ptCount val="27"/>
                <c:pt idx="0">
                  <c:v>815.63341500000001</c:v>
                </c:pt>
                <c:pt idx="1">
                  <c:v>1413.5029050000001</c:v>
                </c:pt>
                <c:pt idx="2">
                  <c:v>2685.349009</c:v>
                </c:pt>
                <c:pt idx="3">
                  <c:v>3422.0402689999987</c:v>
                </c:pt>
                <c:pt idx="4">
                  <c:v>6532.5022600000084</c:v>
                </c:pt>
                <c:pt idx="5">
                  <c:v>6584.2207610000014</c:v>
                </c:pt>
                <c:pt idx="6">
                  <c:v>7517.225899</c:v>
                </c:pt>
                <c:pt idx="7">
                  <c:v>8120.4816080000001</c:v>
                </c:pt>
                <c:pt idx="8">
                  <c:v>8301.0045790000004</c:v>
                </c:pt>
                <c:pt idx="9">
                  <c:v>8762.4265210000012</c:v>
                </c:pt>
                <c:pt idx="10">
                  <c:v>9495.1287050000028</c:v>
                </c:pt>
                <c:pt idx="11">
                  <c:v>10184.810968999995</c:v>
                </c:pt>
                <c:pt idx="12">
                  <c:v>13545.294941000015</c:v>
                </c:pt>
                <c:pt idx="13">
                  <c:v>13872.818118999989</c:v>
                </c:pt>
                <c:pt idx="14">
                  <c:v>14310.027528999999</c:v>
                </c:pt>
                <c:pt idx="15">
                  <c:v>6948.1276700000044</c:v>
                </c:pt>
                <c:pt idx="16">
                  <c:v>6853.7968050000009</c:v>
                </c:pt>
                <c:pt idx="17">
                  <c:v>6925.8478460000006</c:v>
                </c:pt>
                <c:pt idx="18">
                  <c:v>6917.0379280000006</c:v>
                </c:pt>
                <c:pt idx="19">
                  <c:v>6338.505446000001</c:v>
                </c:pt>
                <c:pt idx="20">
                  <c:v>6033.8414110000012</c:v>
                </c:pt>
                <c:pt idx="21">
                  <c:v>5873.0840130000015</c:v>
                </c:pt>
                <c:pt idx="22">
                  <c:v>5502.1715950000016</c:v>
                </c:pt>
                <c:pt idx="23">
                  <c:v>5313.6097869999994</c:v>
                </c:pt>
                <c:pt idx="24">
                  <c:v>5049.6277940000082</c:v>
                </c:pt>
                <c:pt idx="25">
                  <c:v>4659.2146590000011</c:v>
                </c:pt>
                <c:pt idx="26">
                  <c:v>0</c:v>
                </c:pt>
              </c:numCache>
            </c:numRef>
          </c:val>
          <c:smooth val="0"/>
        </c:ser>
        <c:dLbls>
          <c:showLegendKey val="0"/>
          <c:showVal val="0"/>
          <c:showCatName val="0"/>
          <c:showSerName val="0"/>
          <c:showPercent val="0"/>
          <c:showBubbleSize val="0"/>
        </c:dLbls>
        <c:marker val="1"/>
        <c:smooth val="0"/>
        <c:axId val="426840064"/>
        <c:axId val="426841600"/>
      </c:lineChart>
      <c:catAx>
        <c:axId val="426840064"/>
        <c:scaling>
          <c:orientation val="minMax"/>
        </c:scaling>
        <c:delete val="0"/>
        <c:axPos val="b"/>
        <c:majorTickMark val="out"/>
        <c:minorTickMark val="none"/>
        <c:tickLblPos val="nextTo"/>
        <c:txPr>
          <a:bodyPr rot="-5400000" vert="horz"/>
          <a:lstStyle/>
          <a:p>
            <a:pPr>
              <a:defRPr sz="900" b="0"/>
            </a:pPr>
            <a:endParaRPr lang="en-US"/>
          </a:p>
        </c:txPr>
        <c:crossAx val="426841600"/>
        <c:crosses val="autoZero"/>
        <c:auto val="1"/>
        <c:lblAlgn val="ctr"/>
        <c:lblOffset val="100"/>
        <c:noMultiLvlLbl val="0"/>
      </c:catAx>
      <c:valAx>
        <c:axId val="426841600"/>
        <c:scaling>
          <c:orientation val="minMax"/>
          <c:max val="35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8.0868893589676246E-3"/>
              <c:y val="0.32525207657251681"/>
            </c:manualLayout>
          </c:layout>
          <c:overlay val="0"/>
        </c:title>
        <c:numFmt formatCode="_-* #,##0_-;\-* #,##0_-;_-* &quot;-&quot;??_-;_-@_-" sourceLinked="1"/>
        <c:majorTickMark val="out"/>
        <c:minorTickMark val="none"/>
        <c:tickLblPos val="nextTo"/>
        <c:txPr>
          <a:bodyPr/>
          <a:lstStyle/>
          <a:p>
            <a:pPr>
              <a:defRPr sz="900" b="0"/>
            </a:pPr>
            <a:endParaRPr lang="en-US"/>
          </a:p>
        </c:txPr>
        <c:crossAx val="426840064"/>
        <c:crosses val="autoZero"/>
        <c:crossBetween val="between"/>
        <c:majorUnit val="2500"/>
      </c:valAx>
    </c:plotArea>
    <c:legend>
      <c:legendPos val="r"/>
      <c:layout>
        <c:manualLayout>
          <c:xMode val="edge"/>
          <c:yMode val="edge"/>
          <c:x val="0.84371327594045309"/>
          <c:y val="0.16904271403005003"/>
          <c:w val="0.12299040449065454"/>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it-IT" sz="1200" b="1" i="0" u="none" strike="noStrike" baseline="0"/>
              <a:t>Linea 2</a:t>
            </a:r>
            <a:r>
              <a:rPr lang="it-IT" sz="1200" baseline="0"/>
              <a:t> - SENTIDO </a:t>
            </a:r>
            <a:r>
              <a:rPr lang="it-IT" sz="1200"/>
              <a:t>Este - Oeste HV</a:t>
            </a:r>
          </a:p>
        </c:rich>
      </c:tx>
      <c:overlay val="1"/>
    </c:title>
    <c:autoTitleDeleted val="0"/>
    <c:plotArea>
      <c:layout>
        <c:manualLayout>
          <c:layoutTarget val="inner"/>
          <c:xMode val="edge"/>
          <c:yMode val="edge"/>
          <c:x val="9.6767909699861071E-2"/>
          <c:y val="0.14200745951359203"/>
          <c:w val="0.8814746825355616"/>
          <c:h val="0.64459964962338046"/>
        </c:manualLayout>
      </c:layout>
      <c:barChart>
        <c:barDir val="col"/>
        <c:grouping val="clustered"/>
        <c:varyColors val="0"/>
        <c:ser>
          <c:idx val="1"/>
          <c:order val="0"/>
          <c:tx>
            <c:strRef>
              <c:f>ESC33_P_2030!$C$2</c:f>
              <c:strCache>
                <c:ptCount val="1"/>
                <c:pt idx="0">
                  <c:v>Sube</c:v>
                </c:pt>
              </c:strCache>
            </c:strRef>
          </c:tx>
          <c:invertIfNegative val="0"/>
          <c:cat>
            <c:strRef>
              <c:f>ESC33_P_2030!$B$85:$B$111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ESC33_P_2030!$C$85:$C$111</c:f>
              <c:numCache>
                <c:formatCode>_-* #,##0_-;\-* #,##0_-;_-* "-"??_-;_-@_-</c:formatCode>
                <c:ptCount val="27"/>
                <c:pt idx="0">
                  <c:v>3209.6778749999999</c:v>
                </c:pt>
                <c:pt idx="1">
                  <c:v>273.49291899999918</c:v>
                </c:pt>
                <c:pt idx="2">
                  <c:v>170.85983000000004</c:v>
                </c:pt>
                <c:pt idx="3">
                  <c:v>171.12230300000004</c:v>
                </c:pt>
                <c:pt idx="4">
                  <c:v>400.92974099999969</c:v>
                </c:pt>
                <c:pt idx="5">
                  <c:v>161.82909000000001</c:v>
                </c:pt>
                <c:pt idx="6">
                  <c:v>540.82087000000001</c:v>
                </c:pt>
                <c:pt idx="7">
                  <c:v>388.259705</c:v>
                </c:pt>
                <c:pt idx="8">
                  <c:v>39.188468</c:v>
                </c:pt>
                <c:pt idx="9">
                  <c:v>96.634118000000001</c:v>
                </c:pt>
                <c:pt idx="10">
                  <c:v>83.299746999999982</c:v>
                </c:pt>
                <c:pt idx="11">
                  <c:v>2206.9756070000012</c:v>
                </c:pt>
                <c:pt idx="12">
                  <c:v>10.520341999999999</c:v>
                </c:pt>
                <c:pt idx="13">
                  <c:v>3.0490270000000002</c:v>
                </c:pt>
                <c:pt idx="14">
                  <c:v>4.0406820000000003</c:v>
                </c:pt>
                <c:pt idx="15">
                  <c:v>1.65768</c:v>
                </c:pt>
                <c:pt idx="16">
                  <c:v>0.61266399999999999</c:v>
                </c:pt>
                <c:pt idx="17">
                  <c:v>0</c:v>
                </c:pt>
                <c:pt idx="18">
                  <c:v>0</c:v>
                </c:pt>
                <c:pt idx="19">
                  <c:v>0</c:v>
                </c:pt>
                <c:pt idx="20">
                  <c:v>0</c:v>
                </c:pt>
                <c:pt idx="21">
                  <c:v>0</c:v>
                </c:pt>
                <c:pt idx="22">
                  <c:v>0</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ESC33_P_2030!$D$85:$D$111</c:f>
              <c:numCache>
                <c:formatCode>_-* #,##0_-;\-* #,##0_-;_-* "-"??_-;_-@_-</c:formatCode>
                <c:ptCount val="27"/>
                <c:pt idx="0">
                  <c:v>0</c:v>
                </c:pt>
                <c:pt idx="1">
                  <c:v>0</c:v>
                </c:pt>
                <c:pt idx="2">
                  <c:v>0</c:v>
                </c:pt>
                <c:pt idx="3">
                  <c:v>0</c:v>
                </c:pt>
                <c:pt idx="4">
                  <c:v>0</c:v>
                </c:pt>
                <c:pt idx="5">
                  <c:v>0</c:v>
                </c:pt>
                <c:pt idx="6">
                  <c:v>0</c:v>
                </c:pt>
                <c:pt idx="7">
                  <c:v>0</c:v>
                </c:pt>
                <c:pt idx="8">
                  <c:v>9.45411</c:v>
                </c:pt>
                <c:pt idx="9">
                  <c:v>118.63706000000002</c:v>
                </c:pt>
                <c:pt idx="10">
                  <c:v>0</c:v>
                </c:pt>
                <c:pt idx="11">
                  <c:v>1288.5047689999999</c:v>
                </c:pt>
                <c:pt idx="12">
                  <c:v>108.62906599999998</c:v>
                </c:pt>
                <c:pt idx="13">
                  <c:v>148.12104900000023</c:v>
                </c:pt>
                <c:pt idx="14">
                  <c:v>984.99425599999938</c:v>
                </c:pt>
                <c:pt idx="15">
                  <c:v>335.86145299999993</c:v>
                </c:pt>
                <c:pt idx="16">
                  <c:v>136.23487999999998</c:v>
                </c:pt>
                <c:pt idx="17">
                  <c:v>70.366602999999998</c:v>
                </c:pt>
                <c:pt idx="18">
                  <c:v>175.93135599999999</c:v>
                </c:pt>
                <c:pt idx="19">
                  <c:v>426.45410299999969</c:v>
                </c:pt>
                <c:pt idx="20">
                  <c:v>925.31382599999949</c:v>
                </c:pt>
                <c:pt idx="21">
                  <c:v>63.677124000000006</c:v>
                </c:pt>
                <c:pt idx="22">
                  <c:v>1196.1122209999978</c:v>
                </c:pt>
                <c:pt idx="23">
                  <c:v>611.49963500000001</c:v>
                </c:pt>
                <c:pt idx="24">
                  <c:v>623.98882400000002</c:v>
                </c:pt>
                <c:pt idx="25">
                  <c:v>77.523544999999999</c:v>
                </c:pt>
                <c:pt idx="26">
                  <c:v>461.666788</c:v>
                </c:pt>
              </c:numCache>
            </c:numRef>
          </c:val>
        </c:ser>
        <c:dLbls>
          <c:showLegendKey val="0"/>
          <c:showVal val="0"/>
          <c:showCatName val="0"/>
          <c:showSerName val="0"/>
          <c:showPercent val="0"/>
          <c:showBubbleSize val="0"/>
        </c:dLbls>
        <c:gapWidth val="150"/>
        <c:axId val="433668480"/>
        <c:axId val="433670016"/>
      </c:barChart>
      <c:lineChart>
        <c:grouping val="standard"/>
        <c:varyColors val="0"/>
        <c:ser>
          <c:idx val="0"/>
          <c:order val="2"/>
          <c:tx>
            <c:strRef>
              <c:f>ESC33_P_2030!$E$2</c:f>
              <c:strCache>
                <c:ptCount val="1"/>
                <c:pt idx="0">
                  <c:v>Carga</c:v>
                </c:pt>
              </c:strCache>
            </c:strRef>
          </c:tx>
          <c:marker>
            <c:symbol val="none"/>
          </c:marker>
          <c:cat>
            <c:strRef>
              <c:f>ESC33_P_2030!$B$85:$B$111</c:f>
              <c:strCache>
                <c:ptCount val="27"/>
                <c:pt idx="0">
                  <c:v>Municipalidad de Ate</c:v>
                </c:pt>
                <c:pt idx="1">
                  <c:v>Prolong. Javier Prado</c:v>
                </c:pt>
                <c:pt idx="2">
                  <c:v>Vista Alegre</c:v>
                </c:pt>
                <c:pt idx="3">
                  <c:v>Mercado Santa Anita</c:v>
                </c:pt>
                <c:pt idx="4">
                  <c:v>Los Ingenieros</c:v>
                </c:pt>
                <c:pt idx="5">
                  <c:v>Colectora Industrial</c:v>
                </c:pt>
                <c:pt idx="6">
                  <c:v>Ovalo Santa Anita</c:v>
                </c:pt>
                <c:pt idx="7">
                  <c:v>Evitamiento</c:v>
                </c:pt>
                <c:pt idx="8">
                  <c:v>San Juan de Dios</c:v>
                </c:pt>
                <c:pt idx="9">
                  <c:v>Circunvalación</c:v>
                </c:pt>
                <c:pt idx="10">
                  <c:v>Nicolás Ayllón</c:v>
                </c:pt>
                <c:pt idx="11">
                  <c:v>28 de Julio</c:v>
                </c:pt>
                <c:pt idx="12">
                  <c:v>Cangallo</c:v>
                </c:pt>
                <c:pt idx="13">
                  <c:v>Plaza Manco Capac</c:v>
                </c:pt>
                <c:pt idx="14">
                  <c:v>Estación Central</c:v>
                </c:pt>
                <c:pt idx="15">
                  <c:v>Plaza Bolognesi</c:v>
                </c:pt>
                <c:pt idx="16">
                  <c:v>Plaza Murillo</c:v>
                </c:pt>
                <c:pt idx="17">
                  <c:v>Tingo María</c:v>
                </c:pt>
                <c:pt idx="18">
                  <c:v>La Alborada</c:v>
                </c:pt>
                <c:pt idx="19">
                  <c:v>Elio</c:v>
                </c:pt>
                <c:pt idx="20">
                  <c:v>San Marcos</c:v>
                </c:pt>
                <c:pt idx="21">
                  <c:v>Oscar Benavides</c:v>
                </c:pt>
                <c:pt idx="22">
                  <c:v>San José</c:v>
                </c:pt>
                <c:pt idx="23">
                  <c:v>Insurgentes</c:v>
                </c:pt>
                <c:pt idx="24">
                  <c:v>Juan Pablo II</c:v>
                </c:pt>
                <c:pt idx="25">
                  <c:v>Buenos Aires</c:v>
                </c:pt>
                <c:pt idx="26">
                  <c:v>Puerto del Callao</c:v>
                </c:pt>
              </c:strCache>
            </c:strRef>
          </c:cat>
          <c:val>
            <c:numRef>
              <c:f>ESC33_P_2030!$E$85:$E$111</c:f>
              <c:numCache>
                <c:formatCode>_-* #,##0_-;\-* #,##0_-;_-* "-"??_-;_-@_-</c:formatCode>
                <c:ptCount val="27"/>
                <c:pt idx="0">
                  <c:v>3209.6778749999999</c:v>
                </c:pt>
                <c:pt idx="1">
                  <c:v>3483.1707940000001</c:v>
                </c:pt>
                <c:pt idx="2">
                  <c:v>3654.0306239999995</c:v>
                </c:pt>
                <c:pt idx="3">
                  <c:v>3825.1529269999996</c:v>
                </c:pt>
                <c:pt idx="4">
                  <c:v>4226.0826680000073</c:v>
                </c:pt>
                <c:pt idx="5">
                  <c:v>4387.9117579999975</c:v>
                </c:pt>
                <c:pt idx="6">
                  <c:v>4928.7326280000034</c:v>
                </c:pt>
                <c:pt idx="7">
                  <c:v>5316.9923330000001</c:v>
                </c:pt>
                <c:pt idx="8">
                  <c:v>5346.7266910000135</c:v>
                </c:pt>
                <c:pt idx="9">
                  <c:v>5324.7237490000007</c:v>
                </c:pt>
                <c:pt idx="10">
                  <c:v>5408.0234960000007</c:v>
                </c:pt>
                <c:pt idx="11">
                  <c:v>6326.494334</c:v>
                </c:pt>
                <c:pt idx="12">
                  <c:v>6228.3856100000003</c:v>
                </c:pt>
                <c:pt idx="13">
                  <c:v>6083.3135879999991</c:v>
                </c:pt>
                <c:pt idx="14">
                  <c:v>5102.3600140000044</c:v>
                </c:pt>
                <c:pt idx="15">
                  <c:v>4768.1562410000097</c:v>
                </c:pt>
                <c:pt idx="16">
                  <c:v>4632.5340250000008</c:v>
                </c:pt>
                <c:pt idx="17">
                  <c:v>4562.1674220000004</c:v>
                </c:pt>
                <c:pt idx="18">
                  <c:v>4386.2360660000004</c:v>
                </c:pt>
                <c:pt idx="19">
                  <c:v>3959.7819629999985</c:v>
                </c:pt>
                <c:pt idx="20">
                  <c:v>3034.4681370000012</c:v>
                </c:pt>
                <c:pt idx="21">
                  <c:v>2970.7910130000027</c:v>
                </c:pt>
                <c:pt idx="22">
                  <c:v>1774.6787919999986</c:v>
                </c:pt>
                <c:pt idx="23">
                  <c:v>1163.1791569999978</c:v>
                </c:pt>
                <c:pt idx="24">
                  <c:v>539.19033299999865</c:v>
                </c:pt>
                <c:pt idx="25">
                  <c:v>461.66678799999875</c:v>
                </c:pt>
                <c:pt idx="26">
                  <c:v>0</c:v>
                </c:pt>
              </c:numCache>
            </c:numRef>
          </c:val>
          <c:smooth val="0"/>
        </c:ser>
        <c:dLbls>
          <c:showLegendKey val="0"/>
          <c:showVal val="0"/>
          <c:showCatName val="0"/>
          <c:showSerName val="0"/>
          <c:showPercent val="0"/>
          <c:showBubbleSize val="0"/>
        </c:dLbls>
        <c:marker val="1"/>
        <c:smooth val="0"/>
        <c:axId val="433668480"/>
        <c:axId val="433670016"/>
      </c:lineChart>
      <c:catAx>
        <c:axId val="433668480"/>
        <c:scaling>
          <c:orientation val="minMax"/>
        </c:scaling>
        <c:delete val="0"/>
        <c:axPos val="b"/>
        <c:majorTickMark val="out"/>
        <c:minorTickMark val="none"/>
        <c:tickLblPos val="nextTo"/>
        <c:txPr>
          <a:bodyPr rot="-5400000" vert="horz"/>
          <a:lstStyle/>
          <a:p>
            <a:pPr>
              <a:defRPr sz="900" b="0"/>
            </a:pPr>
            <a:endParaRPr lang="en-US"/>
          </a:p>
        </c:txPr>
        <c:crossAx val="433670016"/>
        <c:crosses val="autoZero"/>
        <c:auto val="1"/>
        <c:lblAlgn val="ctr"/>
        <c:lblOffset val="100"/>
        <c:noMultiLvlLbl val="0"/>
      </c:catAx>
      <c:valAx>
        <c:axId val="433670016"/>
        <c:scaling>
          <c:orientation val="minMax"/>
          <c:max val="20000"/>
          <c:min val="0"/>
        </c:scaling>
        <c:delete val="0"/>
        <c:axPos val="l"/>
        <c:majorGridlines>
          <c:spPr>
            <a:ln>
              <a:prstDash val="sysDot"/>
            </a:ln>
          </c:spPr>
        </c:majorGridlines>
        <c:title>
          <c:tx>
            <c:rich>
              <a:bodyPr rot="-5400000" vert="horz"/>
              <a:lstStyle/>
              <a:p>
                <a:pPr>
                  <a:defRPr/>
                </a:pPr>
                <a:r>
                  <a:rPr lang="it-IT"/>
                  <a:t>VIAJEROS</a:t>
                </a:r>
              </a:p>
            </c:rich>
          </c:tx>
          <c:layout>
            <c:manualLayout>
              <c:xMode val="edge"/>
              <c:yMode val="edge"/>
              <c:x val="0"/>
              <c:y val="0.36639625344442106"/>
            </c:manualLayout>
          </c:layout>
          <c:overlay val="0"/>
        </c:title>
        <c:numFmt formatCode="_-* #,##0_-;\-* #,##0_-;_-* &quot;-&quot;??_-;_-@_-" sourceLinked="1"/>
        <c:majorTickMark val="out"/>
        <c:minorTickMark val="none"/>
        <c:tickLblPos val="nextTo"/>
        <c:txPr>
          <a:bodyPr/>
          <a:lstStyle/>
          <a:p>
            <a:pPr>
              <a:defRPr sz="900" b="0"/>
            </a:pPr>
            <a:endParaRPr lang="en-US"/>
          </a:p>
        </c:txPr>
        <c:crossAx val="433668480"/>
        <c:crosses val="autoZero"/>
        <c:crossBetween val="between"/>
        <c:majorUnit val="2500"/>
      </c:valAx>
    </c:plotArea>
    <c:legend>
      <c:legendPos val="r"/>
      <c:layout>
        <c:manualLayout>
          <c:xMode val="edge"/>
          <c:yMode val="edge"/>
          <c:x val="0.86489325010170781"/>
          <c:y val="0.15737014686725156"/>
          <c:w val="0.11057950564345748"/>
          <c:h val="9.9001651984391426E-2"/>
        </c:manualLayout>
      </c:layout>
      <c:overlay val="0"/>
      <c:spPr>
        <a:solidFill>
          <a:sysClr val="window" lastClr="FFFFFF"/>
        </a:solidFill>
      </c:spPr>
      <c:txPr>
        <a:bodyPr/>
        <a:lstStyle/>
        <a:p>
          <a:pPr>
            <a:defRPr b="0"/>
          </a:pPr>
          <a:endParaRPr lang="en-US"/>
        </a:p>
      </c:txPr>
    </c:legend>
    <c:plotVisOnly val="1"/>
    <c:dispBlanksAs val="gap"/>
    <c:showDLblsOverMax val="0"/>
  </c:chart>
  <c:spPr>
    <a:ln>
      <a:noFill/>
    </a:ln>
  </c:spPr>
  <c:txPr>
    <a:bodyPr/>
    <a:lstStyle/>
    <a:p>
      <a:pPr>
        <a:defRPr b="1">
          <a:latin typeface="Arial" pitchFamily="34" charset="0"/>
          <a:cs typeface="Arial"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770793993529314E-2"/>
          <c:y val="4.6648331816456973E-2"/>
          <c:w val="0.91767469511490063"/>
          <c:h val="0.86074148622125946"/>
        </c:manualLayout>
      </c:layout>
      <c:barChart>
        <c:barDir val="col"/>
        <c:grouping val="clustered"/>
        <c:varyColors val="0"/>
        <c:ser>
          <c:idx val="0"/>
          <c:order val="0"/>
          <c:tx>
            <c:v>HPM</c:v>
          </c:tx>
          <c:invertIfNegative val="0"/>
          <c:cat>
            <c:strRef>
              <c:f>TARYET!$C$34:$C$56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TARYET!$K$34:$K$56</c:f>
              <c:numCache>
                <c:formatCode>0.00</c:formatCode>
                <c:ptCount val="23"/>
                <c:pt idx="1">
                  <c:v>38.764044943820231</c:v>
                </c:pt>
                <c:pt idx="2">
                  <c:v>31.521739130434689</c:v>
                </c:pt>
                <c:pt idx="3">
                  <c:v>34.857142857141994</c:v>
                </c:pt>
                <c:pt idx="4">
                  <c:v>45.194805194805213</c:v>
                </c:pt>
                <c:pt idx="5">
                  <c:v>7.7097203728362196</c:v>
                </c:pt>
                <c:pt idx="6">
                  <c:v>21.489361702127589</c:v>
                </c:pt>
                <c:pt idx="7">
                  <c:v>19.603960396039735</c:v>
                </c:pt>
                <c:pt idx="8">
                  <c:v>18.580645161290324</c:v>
                </c:pt>
                <c:pt idx="9">
                  <c:v>10.742358078602619</c:v>
                </c:pt>
                <c:pt idx="10">
                  <c:v>14.861367837338276</c:v>
                </c:pt>
                <c:pt idx="11">
                  <c:v>23.961661341853027</c:v>
                </c:pt>
                <c:pt idx="12">
                  <c:v>13.106796116504874</c:v>
                </c:pt>
                <c:pt idx="13">
                  <c:v>81.980198019801918</c:v>
                </c:pt>
                <c:pt idx="14">
                  <c:v>12.181656277827576</c:v>
                </c:pt>
                <c:pt idx="15">
                  <c:v>6.4007976071784674</c:v>
                </c:pt>
                <c:pt idx="16">
                  <c:v>67.500000000000014</c:v>
                </c:pt>
                <c:pt idx="17">
                  <c:v>46.2</c:v>
                </c:pt>
                <c:pt idx="18">
                  <c:v>29.440993788819874</c:v>
                </c:pt>
                <c:pt idx="19">
                  <c:v>59.605263157894726</c:v>
                </c:pt>
                <c:pt idx="20">
                  <c:v>40.294117647060013</c:v>
                </c:pt>
                <c:pt idx="21">
                  <c:v>24.223602484471247</c:v>
                </c:pt>
                <c:pt idx="22">
                  <c:v>27.952941176470588</c:v>
                </c:pt>
              </c:numCache>
            </c:numRef>
          </c:val>
        </c:ser>
        <c:ser>
          <c:idx val="1"/>
          <c:order val="1"/>
          <c:tx>
            <c:v>HPT</c:v>
          </c:tx>
          <c:spPr>
            <a:solidFill>
              <a:schemeClr val="accent3"/>
            </a:solidFill>
          </c:spPr>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TARYET!$L$34:$L$56</c:f>
              <c:numCache>
                <c:formatCode>0.00</c:formatCode>
                <c:ptCount val="23"/>
                <c:pt idx="1">
                  <c:v>30.941704035874427</c:v>
                </c:pt>
                <c:pt idx="2">
                  <c:v>21.375921375920989</c:v>
                </c:pt>
                <c:pt idx="3">
                  <c:v>15.574468085106382</c:v>
                </c:pt>
                <c:pt idx="4">
                  <c:v>51.428571428572013</c:v>
                </c:pt>
                <c:pt idx="5">
                  <c:v>19.364548494983229</c:v>
                </c:pt>
                <c:pt idx="6">
                  <c:v>24.435483870966433</c:v>
                </c:pt>
                <c:pt idx="7">
                  <c:v>13.718244803695148</c:v>
                </c:pt>
                <c:pt idx="8">
                  <c:v>20.571428571428573</c:v>
                </c:pt>
                <c:pt idx="9">
                  <c:v>15.32710280373832</c:v>
                </c:pt>
                <c:pt idx="10">
                  <c:v>12.484472049689456</c:v>
                </c:pt>
                <c:pt idx="11">
                  <c:v>19.633507853403142</c:v>
                </c:pt>
                <c:pt idx="12">
                  <c:v>33.962264150942794</c:v>
                </c:pt>
                <c:pt idx="13">
                  <c:v>23.793103448275829</c:v>
                </c:pt>
                <c:pt idx="14">
                  <c:v>10.379362670713206</c:v>
                </c:pt>
                <c:pt idx="15">
                  <c:v>6.8663101604278065</c:v>
                </c:pt>
                <c:pt idx="16">
                  <c:v>39.036144578312744</c:v>
                </c:pt>
                <c:pt idx="17">
                  <c:v>46.903553299492344</c:v>
                </c:pt>
                <c:pt idx="18">
                  <c:v>20.170212765957448</c:v>
                </c:pt>
                <c:pt idx="19">
                  <c:v>27.537993920972731</c:v>
                </c:pt>
                <c:pt idx="20">
                  <c:v>17.160751565762006</c:v>
                </c:pt>
                <c:pt idx="21">
                  <c:v>20.068610634647563</c:v>
                </c:pt>
                <c:pt idx="22">
                  <c:v>28.151658767773135</c:v>
                </c:pt>
              </c:numCache>
            </c:numRef>
          </c:val>
        </c:ser>
        <c:dLbls>
          <c:showLegendKey val="0"/>
          <c:showVal val="0"/>
          <c:showCatName val="0"/>
          <c:showSerName val="0"/>
          <c:showPercent val="0"/>
          <c:showBubbleSize val="0"/>
        </c:dLbls>
        <c:gapWidth val="300"/>
        <c:axId val="215096320"/>
        <c:axId val="215098112"/>
      </c:barChart>
      <c:catAx>
        <c:axId val="215096320"/>
        <c:scaling>
          <c:orientation val="minMax"/>
        </c:scaling>
        <c:delete val="1"/>
        <c:axPos val="b"/>
        <c:majorTickMark val="none"/>
        <c:minorTickMark val="none"/>
        <c:tickLblPos val="none"/>
        <c:crossAx val="215098112"/>
        <c:crosses val="autoZero"/>
        <c:auto val="1"/>
        <c:lblAlgn val="ctr"/>
        <c:lblOffset val="100"/>
        <c:noMultiLvlLbl val="0"/>
      </c:catAx>
      <c:valAx>
        <c:axId val="215098112"/>
        <c:scaling>
          <c:orientation val="minMax"/>
          <c:max val="50"/>
        </c:scaling>
        <c:delete val="0"/>
        <c:axPos val="l"/>
        <c:majorGridlines/>
        <c:minorGridlines/>
        <c:title>
          <c:tx>
            <c:rich>
              <a:bodyPr/>
              <a:lstStyle/>
              <a:p>
                <a:pPr>
                  <a:defRPr lang="es-MX"/>
                </a:pPr>
                <a:r>
                  <a:rPr lang="en-US"/>
                  <a:t>Velocidad [km/h]</a:t>
                </a:r>
              </a:p>
            </c:rich>
          </c:tx>
          <c:overlay val="0"/>
        </c:title>
        <c:numFmt formatCode="0.00" sourceLinked="1"/>
        <c:majorTickMark val="out"/>
        <c:minorTickMark val="none"/>
        <c:tickLblPos val="nextTo"/>
        <c:txPr>
          <a:bodyPr/>
          <a:lstStyle/>
          <a:p>
            <a:pPr>
              <a:defRPr lang="es-MX"/>
            </a:pPr>
            <a:endParaRPr lang="en-US"/>
          </a:p>
        </c:txPr>
        <c:crossAx val="215096320"/>
        <c:crosses val="autoZero"/>
        <c:crossBetween val="between"/>
        <c:majorUnit val="5"/>
        <c:minorUnit val="5"/>
      </c:valAx>
    </c:plotArea>
    <c:legend>
      <c:legendPos val="r"/>
      <c:layout>
        <c:manualLayout>
          <c:xMode val="edge"/>
          <c:yMode val="edge"/>
          <c:x val="0.9177050376097402"/>
          <c:y val="3.4434582266805472E-2"/>
          <c:w val="6.9843067725013724E-2"/>
          <c:h val="0.20905102180147142"/>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it-IT" b="1"/>
              <a:t>Linea 2 - SENTIDO Oeste - Este HV</a:t>
            </a:r>
          </a:p>
        </c:rich>
      </c:tx>
      <c:overlay val="1"/>
    </c:title>
    <c:autoTitleDeleted val="0"/>
    <c:plotArea>
      <c:layout>
        <c:manualLayout>
          <c:layoutTarget val="inner"/>
          <c:xMode val="edge"/>
          <c:yMode val="edge"/>
          <c:x val="9.9654662884800432E-2"/>
          <c:y val="0.14200745951359206"/>
          <c:w val="0.87858793161481863"/>
          <c:h val="0.64459964962338079"/>
        </c:manualLayout>
      </c:layout>
      <c:barChart>
        <c:barDir val="col"/>
        <c:grouping val="clustered"/>
        <c:varyColors val="0"/>
        <c:ser>
          <c:idx val="1"/>
          <c:order val="0"/>
          <c:tx>
            <c:strRef>
              <c:f>ESC33_P_2030!$I$2</c:f>
              <c:strCache>
                <c:ptCount val="1"/>
                <c:pt idx="0">
                  <c:v>Sube</c:v>
                </c:pt>
              </c:strCache>
            </c:strRef>
          </c:tx>
          <c:invertIfNegative val="0"/>
          <c:cat>
            <c:strRef>
              <c:f>ESC33_P_2030!$H$93:$H$119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ESC33_P_2030!$I$93:$I$119</c:f>
              <c:numCache>
                <c:formatCode>_-* #,##0_-;\-* #,##0_-;_-* "-"??_-;_-@_-</c:formatCode>
                <c:ptCount val="27"/>
                <c:pt idx="0">
                  <c:v>345.92264899999969</c:v>
                </c:pt>
                <c:pt idx="1">
                  <c:v>173.661925</c:v>
                </c:pt>
                <c:pt idx="2">
                  <c:v>334.54806500000001</c:v>
                </c:pt>
                <c:pt idx="3">
                  <c:v>248.45762900000022</c:v>
                </c:pt>
                <c:pt idx="4">
                  <c:v>1344.1839019999998</c:v>
                </c:pt>
                <c:pt idx="5">
                  <c:v>15.289844</c:v>
                </c:pt>
                <c:pt idx="6">
                  <c:v>757.95475799999997</c:v>
                </c:pt>
                <c:pt idx="7">
                  <c:v>291.67732000000001</c:v>
                </c:pt>
                <c:pt idx="8">
                  <c:v>89.369529999999997</c:v>
                </c:pt>
                <c:pt idx="9">
                  <c:v>105.959988</c:v>
                </c:pt>
                <c:pt idx="10">
                  <c:v>325.96653299999923</c:v>
                </c:pt>
                <c:pt idx="11">
                  <c:v>176.298969</c:v>
                </c:pt>
                <c:pt idx="12">
                  <c:v>1071.321625</c:v>
                </c:pt>
                <c:pt idx="13">
                  <c:v>99.054280000000006</c:v>
                </c:pt>
                <c:pt idx="14">
                  <c:v>125.28685299999998</c:v>
                </c:pt>
                <c:pt idx="15">
                  <c:v>605.75783000000001</c:v>
                </c:pt>
                <c:pt idx="16">
                  <c:v>6.7821369999999916</c:v>
                </c:pt>
                <c:pt idx="17">
                  <c:v>74.199090999999981</c:v>
                </c:pt>
                <c:pt idx="18">
                  <c:v>5.4585299999999997</c:v>
                </c:pt>
                <c:pt idx="19">
                  <c:v>0</c:v>
                </c:pt>
                <c:pt idx="20">
                  <c:v>0</c:v>
                </c:pt>
                <c:pt idx="21">
                  <c:v>0</c:v>
                </c:pt>
                <c:pt idx="22">
                  <c:v>0</c:v>
                </c:pt>
                <c:pt idx="23">
                  <c:v>0</c:v>
                </c:pt>
                <c:pt idx="24">
                  <c:v>0</c:v>
                </c:pt>
                <c:pt idx="25">
                  <c:v>0</c:v>
                </c:pt>
                <c:pt idx="26">
                  <c:v>0</c:v>
                </c:pt>
              </c:numCache>
            </c:numRef>
          </c:val>
        </c:ser>
        <c:ser>
          <c:idx val="2"/>
          <c:order val="1"/>
          <c:tx>
            <c:strRef>
              <c:f>ESC33_P_2030!$D$2</c:f>
              <c:strCache>
                <c:ptCount val="1"/>
                <c:pt idx="0">
                  <c:v>Baja</c:v>
                </c:pt>
              </c:strCache>
            </c:strRef>
          </c:tx>
          <c:invertIfNegative val="0"/>
          <c:cat>
            <c:strRef>
              <c:f>ESC33_P_2030!$H$93:$H$119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ESC33_P_2030!$J$93:$J$119</c:f>
              <c:numCache>
                <c:formatCode>_-* #,##0_-;\-* #,##0_-;_-* "-"??_-;_-@_-</c:formatCode>
                <c:ptCount val="27"/>
                <c:pt idx="0">
                  <c:v>0</c:v>
                </c:pt>
                <c:pt idx="1">
                  <c:v>0</c:v>
                </c:pt>
                <c:pt idx="2">
                  <c:v>0</c:v>
                </c:pt>
                <c:pt idx="3">
                  <c:v>0</c:v>
                </c:pt>
                <c:pt idx="4">
                  <c:v>1.27274</c:v>
                </c:pt>
                <c:pt idx="5">
                  <c:v>0</c:v>
                </c:pt>
                <c:pt idx="6">
                  <c:v>0</c:v>
                </c:pt>
                <c:pt idx="7">
                  <c:v>0</c:v>
                </c:pt>
                <c:pt idx="8">
                  <c:v>0</c:v>
                </c:pt>
                <c:pt idx="9">
                  <c:v>0.36736000000000057</c:v>
                </c:pt>
                <c:pt idx="10">
                  <c:v>0.27371000000000001</c:v>
                </c:pt>
                <c:pt idx="11">
                  <c:v>0</c:v>
                </c:pt>
                <c:pt idx="12">
                  <c:v>2.04026</c:v>
                </c:pt>
                <c:pt idx="13">
                  <c:v>0.34407000000000032</c:v>
                </c:pt>
                <c:pt idx="14">
                  <c:v>1.525312</c:v>
                </c:pt>
                <c:pt idx="15">
                  <c:v>2539.2557120000042</c:v>
                </c:pt>
                <c:pt idx="16">
                  <c:v>62.372281999999998</c:v>
                </c:pt>
                <c:pt idx="17">
                  <c:v>84.751647000000006</c:v>
                </c:pt>
                <c:pt idx="18">
                  <c:v>12.323438000000015</c:v>
                </c:pt>
                <c:pt idx="19">
                  <c:v>325.94296900000001</c:v>
                </c:pt>
                <c:pt idx="20">
                  <c:v>557.73614799999996</c:v>
                </c:pt>
                <c:pt idx="21">
                  <c:v>110.95133300000002</c:v>
                </c:pt>
                <c:pt idx="22">
                  <c:v>348.68934200000001</c:v>
                </c:pt>
                <c:pt idx="23">
                  <c:v>83.643540999999999</c:v>
                </c:pt>
                <c:pt idx="24">
                  <c:v>162.67065199999976</c:v>
                </c:pt>
                <c:pt idx="25">
                  <c:v>206.00716</c:v>
                </c:pt>
                <c:pt idx="26">
                  <c:v>1696.9837829999999</c:v>
                </c:pt>
              </c:numCache>
            </c:numRef>
          </c:val>
        </c:ser>
        <c:dLbls>
          <c:showLegendKey val="0"/>
          <c:showVal val="0"/>
          <c:showCatName val="0"/>
          <c:showSerName val="0"/>
          <c:showPercent val="0"/>
          <c:showBubbleSize val="0"/>
        </c:dLbls>
        <c:gapWidth val="150"/>
        <c:axId val="446407040"/>
        <c:axId val="446408576"/>
      </c:barChart>
      <c:lineChart>
        <c:grouping val="standard"/>
        <c:varyColors val="0"/>
        <c:ser>
          <c:idx val="0"/>
          <c:order val="2"/>
          <c:tx>
            <c:strRef>
              <c:f>ESC33_P_2030!$E$2</c:f>
              <c:strCache>
                <c:ptCount val="1"/>
                <c:pt idx="0">
                  <c:v>Carga</c:v>
                </c:pt>
              </c:strCache>
            </c:strRef>
          </c:tx>
          <c:marker>
            <c:symbol val="none"/>
          </c:marker>
          <c:cat>
            <c:strRef>
              <c:f>ESC33_P_2030!$H$93:$H$119</c:f>
              <c:strCache>
                <c:ptCount val="27"/>
                <c:pt idx="0">
                  <c:v>Puerto del Callao</c:v>
                </c:pt>
                <c:pt idx="1">
                  <c:v>Buenos Aires</c:v>
                </c:pt>
                <c:pt idx="2">
                  <c:v>Juan Pablo II</c:v>
                </c:pt>
                <c:pt idx="3">
                  <c:v>Insurgentes</c:v>
                </c:pt>
                <c:pt idx="4">
                  <c:v>San José</c:v>
                </c:pt>
                <c:pt idx="5">
                  <c:v>Oscar Benavides</c:v>
                </c:pt>
                <c:pt idx="6">
                  <c:v>San Marcos</c:v>
                </c:pt>
                <c:pt idx="7">
                  <c:v>Elio</c:v>
                </c:pt>
                <c:pt idx="8">
                  <c:v>La Alborada</c:v>
                </c:pt>
                <c:pt idx="9">
                  <c:v>Tingo María</c:v>
                </c:pt>
                <c:pt idx="10">
                  <c:v>Plaza Murillo</c:v>
                </c:pt>
                <c:pt idx="11">
                  <c:v>Plaza Bolognesi</c:v>
                </c:pt>
                <c:pt idx="12">
                  <c:v>Estación Central</c:v>
                </c:pt>
                <c:pt idx="13">
                  <c:v>Plaza Manco Capac</c:v>
                </c:pt>
                <c:pt idx="14">
                  <c:v>Cangallo</c:v>
                </c:pt>
                <c:pt idx="15">
                  <c:v>28 de Julio</c:v>
                </c:pt>
                <c:pt idx="16">
                  <c:v>Nicolás Ayllón</c:v>
                </c:pt>
                <c:pt idx="17">
                  <c:v>Circunvalación</c:v>
                </c:pt>
                <c:pt idx="18">
                  <c:v>San Juan de Dios</c:v>
                </c:pt>
                <c:pt idx="19">
                  <c:v>Evitamiento</c:v>
                </c:pt>
                <c:pt idx="20">
                  <c:v>Ovalo Santa Anita</c:v>
                </c:pt>
                <c:pt idx="21">
                  <c:v>Colectora Industrial</c:v>
                </c:pt>
                <c:pt idx="22">
                  <c:v>Los Ingenieros</c:v>
                </c:pt>
                <c:pt idx="23">
                  <c:v>Mercado Santa Anita</c:v>
                </c:pt>
                <c:pt idx="24">
                  <c:v>Vista Alegre</c:v>
                </c:pt>
                <c:pt idx="25">
                  <c:v>Prolong. Javier Prado</c:v>
                </c:pt>
                <c:pt idx="26">
                  <c:v>Municipalidad de Ate</c:v>
                </c:pt>
              </c:strCache>
            </c:strRef>
          </c:cat>
          <c:val>
            <c:numRef>
              <c:f>ESC33_P_2030!$K$93:$K$119</c:f>
              <c:numCache>
                <c:formatCode>_-* #,##0_-;\-* #,##0_-;_-* "-"??_-;_-@_-</c:formatCode>
                <c:ptCount val="27"/>
                <c:pt idx="0">
                  <c:v>345.92264899999969</c:v>
                </c:pt>
                <c:pt idx="1">
                  <c:v>519.58457400000054</c:v>
                </c:pt>
                <c:pt idx="2">
                  <c:v>854.13263899999947</c:v>
                </c:pt>
                <c:pt idx="3">
                  <c:v>1102.5902679999999</c:v>
                </c:pt>
                <c:pt idx="4">
                  <c:v>2445.5014299999998</c:v>
                </c:pt>
                <c:pt idx="5">
                  <c:v>2460.7912740000002</c:v>
                </c:pt>
                <c:pt idx="6">
                  <c:v>3218.7460319999959</c:v>
                </c:pt>
                <c:pt idx="7">
                  <c:v>3510.4233520000048</c:v>
                </c:pt>
                <c:pt idx="8">
                  <c:v>3599.7928819999943</c:v>
                </c:pt>
                <c:pt idx="9">
                  <c:v>3705.3855099999996</c:v>
                </c:pt>
                <c:pt idx="10">
                  <c:v>4031.0783330000022</c:v>
                </c:pt>
                <c:pt idx="11">
                  <c:v>4207.3773019999999</c:v>
                </c:pt>
                <c:pt idx="12">
                  <c:v>5276.6586670000024</c:v>
                </c:pt>
                <c:pt idx="13">
                  <c:v>5375.3688770000008</c:v>
                </c:pt>
                <c:pt idx="14">
                  <c:v>5499.1304179999997</c:v>
                </c:pt>
                <c:pt idx="15">
                  <c:v>3565.6325359999992</c:v>
                </c:pt>
                <c:pt idx="16">
                  <c:v>3510.0423909999995</c:v>
                </c:pt>
                <c:pt idx="17">
                  <c:v>3499.4898349999994</c:v>
                </c:pt>
                <c:pt idx="18">
                  <c:v>3492.6249269999994</c:v>
                </c:pt>
                <c:pt idx="19">
                  <c:v>3166.6819579999992</c:v>
                </c:pt>
                <c:pt idx="20">
                  <c:v>2608.9458099999993</c:v>
                </c:pt>
                <c:pt idx="21">
                  <c:v>2497.9944770000002</c:v>
                </c:pt>
                <c:pt idx="22">
                  <c:v>2149.3051350000028</c:v>
                </c:pt>
                <c:pt idx="23">
                  <c:v>2065.6615939999992</c:v>
                </c:pt>
                <c:pt idx="24">
                  <c:v>1902.9909419999992</c:v>
                </c:pt>
                <c:pt idx="25">
                  <c:v>1696.9837819999993</c:v>
                </c:pt>
                <c:pt idx="26">
                  <c:v>0</c:v>
                </c:pt>
              </c:numCache>
            </c:numRef>
          </c:val>
          <c:smooth val="0"/>
        </c:ser>
        <c:dLbls>
          <c:showLegendKey val="0"/>
          <c:showVal val="0"/>
          <c:showCatName val="0"/>
          <c:showSerName val="0"/>
          <c:showPercent val="0"/>
          <c:showBubbleSize val="0"/>
        </c:dLbls>
        <c:marker val="1"/>
        <c:smooth val="0"/>
        <c:axId val="446407040"/>
        <c:axId val="446408576"/>
      </c:lineChart>
      <c:catAx>
        <c:axId val="446407040"/>
        <c:scaling>
          <c:orientation val="minMax"/>
        </c:scaling>
        <c:delete val="0"/>
        <c:axPos val="b"/>
        <c:majorTickMark val="out"/>
        <c:minorTickMark val="none"/>
        <c:tickLblPos val="nextTo"/>
        <c:txPr>
          <a:bodyPr rot="-5400000" vert="horz"/>
          <a:lstStyle/>
          <a:p>
            <a:pPr>
              <a:defRPr sz="900"/>
            </a:pPr>
            <a:endParaRPr lang="en-US"/>
          </a:p>
        </c:txPr>
        <c:crossAx val="446408576"/>
        <c:crosses val="autoZero"/>
        <c:auto val="1"/>
        <c:lblAlgn val="ctr"/>
        <c:lblOffset val="100"/>
        <c:noMultiLvlLbl val="0"/>
      </c:catAx>
      <c:valAx>
        <c:axId val="446408576"/>
        <c:scaling>
          <c:orientation val="minMax"/>
          <c:max val="20000"/>
          <c:min val="0"/>
        </c:scaling>
        <c:delete val="0"/>
        <c:axPos val="l"/>
        <c:majorGridlines>
          <c:spPr>
            <a:ln>
              <a:prstDash val="sysDot"/>
            </a:ln>
          </c:spPr>
        </c:majorGridlines>
        <c:title>
          <c:tx>
            <c:rich>
              <a:bodyPr rot="-5400000" vert="horz"/>
              <a:lstStyle/>
              <a:p>
                <a:pPr>
                  <a:defRPr b="1"/>
                </a:pPr>
                <a:r>
                  <a:rPr lang="it-IT" b="1"/>
                  <a:t>VIAJEROS</a:t>
                </a:r>
              </a:p>
            </c:rich>
          </c:tx>
          <c:layout>
            <c:manualLayout>
              <c:xMode val="edge"/>
              <c:yMode val="edge"/>
              <c:x val="2.9577693942748388E-3"/>
              <c:y val="0.38443502666662277"/>
            </c:manualLayout>
          </c:layout>
          <c:overlay val="0"/>
        </c:title>
        <c:numFmt formatCode="_-* #,##0_-;\-* #,##0_-;_-* &quot;-&quot;??_-;_-@_-" sourceLinked="1"/>
        <c:majorTickMark val="out"/>
        <c:minorTickMark val="none"/>
        <c:tickLblPos val="nextTo"/>
        <c:txPr>
          <a:bodyPr/>
          <a:lstStyle/>
          <a:p>
            <a:pPr>
              <a:defRPr sz="900"/>
            </a:pPr>
            <a:endParaRPr lang="en-US"/>
          </a:p>
        </c:txPr>
        <c:crossAx val="446407040"/>
        <c:crosses val="autoZero"/>
        <c:crossBetween val="between"/>
        <c:majorUnit val="2500"/>
      </c:valAx>
    </c:plotArea>
    <c:legend>
      <c:legendPos val="r"/>
      <c:layout>
        <c:manualLayout>
          <c:xMode val="edge"/>
          <c:yMode val="edge"/>
          <c:x val="0.86271140493867682"/>
          <c:y val="0.16904271403005003"/>
          <c:w val="0.10399216089274538"/>
          <c:h val="9.9001651984391426E-2"/>
        </c:manualLayout>
      </c:layout>
      <c:overlay val="0"/>
      <c:spPr>
        <a:solidFill>
          <a:sysClr val="window" lastClr="FFFFFF"/>
        </a:solidFill>
      </c:spPr>
    </c:legend>
    <c:plotVisOnly val="1"/>
    <c:dispBlanksAs val="gap"/>
    <c:showDLblsOverMax val="0"/>
  </c:chart>
  <c:spPr>
    <a:ln>
      <a:noFill/>
    </a:ln>
  </c:spPr>
  <c:txPr>
    <a:bodyPr/>
    <a:lstStyle/>
    <a:p>
      <a:pPr>
        <a:defRPr sz="1000" b="0">
          <a:latin typeface="Arial" pitchFamily="34" charset="0"/>
          <a:cs typeface="Arial" pitchFamily="34" charset="0"/>
        </a:defRPr>
      </a:pPr>
      <a:endParaRPr lang="en-U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12733346394021"/>
          <c:y val="0.15117289351176791"/>
          <c:w val="0.82828619405853243"/>
          <c:h val="0.74717647948327992"/>
        </c:manualLayout>
      </c:layout>
      <c:lineChart>
        <c:grouping val="standard"/>
        <c:varyColors val="0"/>
        <c:ser>
          <c:idx val="0"/>
          <c:order val="0"/>
          <c:tx>
            <c:strRef>
              <c:f>Progressione!$AI$3</c:f>
              <c:strCache>
                <c:ptCount val="1"/>
                <c:pt idx="0">
                  <c:v>PROYECTO</c:v>
                </c:pt>
              </c:strCache>
            </c:strRef>
          </c:tx>
          <c:spPr>
            <a:ln>
              <a:solidFill>
                <a:srgbClr val="92D050"/>
              </a:solidFill>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Progressione!$AI$10:$AI$40</c:f>
              <c:numCache>
                <c:formatCode>#,##0</c:formatCode>
                <c:ptCount val="31"/>
                <c:pt idx="0">
                  <c:v>304459.03312100022</c:v>
                </c:pt>
                <c:pt idx="1">
                  <c:v>310738.62473228713</c:v>
                </c:pt>
                <c:pt idx="2">
                  <c:v>662345.67950199696</c:v>
                </c:pt>
                <c:pt idx="3">
                  <c:v>675218.64221811888</c:v>
                </c:pt>
                <c:pt idx="4">
                  <c:v>688341.79629838536</c:v>
                </c:pt>
                <c:pt idx="5">
                  <c:v>701720.00431562238</c:v>
                </c:pt>
                <c:pt idx="6">
                  <c:v>715358.22334876948</c:v>
                </c:pt>
                <c:pt idx="7">
                  <c:v>729261.50681966927</c:v>
                </c:pt>
                <c:pt idx="8">
                  <c:v>743435.00636547932</c:v>
                </c:pt>
                <c:pt idx="9">
                  <c:v>757883.97374758217</c:v>
                </c:pt>
                <c:pt idx="10">
                  <c:v>772613.7627975127</c:v>
                </c:pt>
                <c:pt idx="11">
                  <c:v>787629.83140074636</c:v>
                </c:pt>
                <c:pt idx="12">
                  <c:v>802937.74351899896</c:v>
                </c:pt>
                <c:pt idx="13">
                  <c:v>818543.17125192785</c:v>
                </c:pt>
                <c:pt idx="14">
                  <c:v>834451.89693876717</c:v>
                </c:pt>
                <c:pt idx="15">
                  <c:v>850669.8153009204</c:v>
                </c:pt>
                <c:pt idx="16">
                  <c:v>867202.93562614918</c:v>
                </c:pt>
                <c:pt idx="17">
                  <c:v>884057.38399518433</c:v>
                </c:pt>
                <c:pt idx="18">
                  <c:v>901239.40555171843</c:v>
                </c:pt>
                <c:pt idx="19">
                  <c:v>918755.36681637319</c:v>
                </c:pt>
                <c:pt idx="20">
                  <c:v>936611.75804572541</c:v>
                </c:pt>
                <c:pt idx="21">
                  <c:v>954815.19563720655</c:v>
                </c:pt>
                <c:pt idx="22">
                  <c:v>973372.42458065436</c:v>
                </c:pt>
                <c:pt idx="23">
                  <c:v>992290.32095758454</c:v>
                </c:pt>
                <c:pt idx="24">
                  <c:v>1011575.8944890036</c:v>
                </c:pt>
                <c:pt idx="25">
                  <c:v>1031236.2911327519</c:v>
                </c:pt>
                <c:pt idx="26">
                  <c:v>1051278.7957313196</c:v>
                </c:pt>
                <c:pt idx="27">
                  <c:v>1071710.8347111361</c:v>
                </c:pt>
                <c:pt idx="28">
                  <c:v>1092539.978834294</c:v>
                </c:pt>
                <c:pt idx="29">
                  <c:v>1113773.9460037919</c:v>
                </c:pt>
                <c:pt idx="30">
                  <c:v>1135420.6041232687</c:v>
                </c:pt>
              </c:numCache>
            </c:numRef>
          </c:val>
          <c:smooth val="1"/>
        </c:ser>
        <c:ser>
          <c:idx val="1"/>
          <c:order val="1"/>
          <c:tx>
            <c:strRef>
              <c:f>Progressione!$AJ$3</c:f>
              <c:strCache>
                <c:ptCount val="1"/>
                <c:pt idx="0">
                  <c:v>PROYECTO + RED BASICA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Progressione!$AJ$10:$AJ$40</c:f>
              <c:numCache>
                <c:formatCode>General</c:formatCode>
                <c:ptCount val="31"/>
                <c:pt idx="12" formatCode="#,##0">
                  <c:v>1157518.7229420051</c:v>
                </c:pt>
                <c:pt idx="13" formatCode="#,##0">
                  <c:v>1180015.5789263954</c:v>
                </c:pt>
                <c:pt idx="14" formatCode="#,##0">
                  <c:v>1202949.6706281502</c:v>
                </c:pt>
                <c:pt idx="15" formatCode="#,##0">
                  <c:v>1226329.4959045949</c:v>
                </c:pt>
                <c:pt idx="16" formatCode="#,##0">
                  <c:v>1250163.7177724377</c:v>
                </c:pt>
                <c:pt idx="17" formatCode="#,##0">
                  <c:v>1274461.1676177063</c:v>
                </c:pt>
                <c:pt idx="18" formatCode="#,##0">
                  <c:v>1299230.8484680753</c:v>
                </c:pt>
                <c:pt idx="19" formatCode="#,##0">
                  <c:v>1324481.9383287833</c:v>
                </c:pt>
                <c:pt idx="20" formatCode="#,##0">
                  <c:v>1350223.7935834378</c:v>
                </c:pt>
                <c:pt idx="21" formatCode="#,##0">
                  <c:v>1376465.9524607868</c:v>
                </c:pt>
                <c:pt idx="22" formatCode="#,##0">
                  <c:v>1403218.1385690451</c:v>
                </c:pt>
                <c:pt idx="23" formatCode="#,##0">
                  <c:v>1430490.2644987584</c:v>
                </c:pt>
                <c:pt idx="24" formatCode="#,##0">
                  <c:v>1458292.4354957966</c:v>
                </c:pt>
                <c:pt idx="25" formatCode="#,##0">
                  <c:v>1486634.9532056609</c:v>
                </c:pt>
                <c:pt idx="26" formatCode="#,##0">
                  <c:v>1515528.3194905985</c:v>
                </c:pt>
                <c:pt idx="27" formatCode="#,##0">
                  <c:v>1544983.2403209026</c:v>
                </c:pt>
                <c:pt idx="28" formatCode="#,##0">
                  <c:v>1575010.6297418484</c:v>
                </c:pt>
                <c:pt idx="29" formatCode="#,##0">
                  <c:v>1605621.6139176749</c:v>
                </c:pt>
                <c:pt idx="30" formatCode="#,##0">
                  <c:v>1636827.5352542326</c:v>
                </c:pt>
              </c:numCache>
            </c:numRef>
          </c:val>
          <c:smooth val="0"/>
        </c:ser>
        <c:dLbls>
          <c:showLegendKey val="0"/>
          <c:showVal val="0"/>
          <c:showCatName val="0"/>
          <c:showSerName val="0"/>
          <c:showPercent val="0"/>
          <c:showBubbleSize val="0"/>
        </c:dLbls>
        <c:marker val="1"/>
        <c:smooth val="0"/>
        <c:axId val="421926784"/>
        <c:axId val="421928320"/>
      </c:lineChart>
      <c:catAx>
        <c:axId val="421926784"/>
        <c:scaling>
          <c:orientation val="minMax"/>
        </c:scaling>
        <c:delete val="0"/>
        <c:axPos val="b"/>
        <c:numFmt formatCode="General" sourceLinked="1"/>
        <c:majorTickMark val="out"/>
        <c:minorTickMark val="none"/>
        <c:tickLblPos val="nextTo"/>
        <c:txPr>
          <a:bodyPr rot="-5400000" vert="horz"/>
          <a:lstStyle/>
          <a:p>
            <a:pPr>
              <a:defRPr sz="900"/>
            </a:pPr>
            <a:endParaRPr lang="en-US"/>
          </a:p>
        </c:txPr>
        <c:crossAx val="421928320"/>
        <c:crosses val="autoZero"/>
        <c:auto val="1"/>
        <c:lblAlgn val="ctr"/>
        <c:lblOffset val="100"/>
        <c:noMultiLvlLbl val="0"/>
      </c:catAx>
      <c:valAx>
        <c:axId val="421928320"/>
        <c:scaling>
          <c:orientation val="minMax"/>
        </c:scaling>
        <c:delete val="0"/>
        <c:axPos val="l"/>
        <c:majorGridlines/>
        <c:title>
          <c:tx>
            <c:rich>
              <a:bodyPr rot="0" vert="horz"/>
              <a:lstStyle/>
              <a:p>
                <a:pPr algn="l">
                  <a:defRPr sz="900">
                    <a:latin typeface="Arial Narrow" pitchFamily="34" charset="0"/>
                  </a:defRPr>
                </a:pPr>
                <a:r>
                  <a:rPr lang="it-IT" sz="900">
                    <a:latin typeface="Arial Narrow" pitchFamily="34" charset="0"/>
                  </a:rPr>
                  <a:t>Demanda Captada</a:t>
                </a:r>
              </a:p>
              <a:p>
                <a:pPr algn="l">
                  <a:defRPr sz="900">
                    <a:latin typeface="Arial Narrow" pitchFamily="34" charset="0"/>
                  </a:defRPr>
                </a:pPr>
                <a:r>
                  <a:rPr lang="it-IT" sz="900">
                    <a:latin typeface="Arial Narrow" pitchFamily="34" charset="0"/>
                  </a:rPr>
                  <a:t>[pax/día]</a:t>
                </a:r>
              </a:p>
            </c:rich>
          </c:tx>
          <c:layout>
            <c:manualLayout>
              <c:xMode val="edge"/>
              <c:yMode val="edge"/>
              <c:x val="6.1162079510703434E-3"/>
              <c:y val="2.3794001058509647E-2"/>
            </c:manualLayout>
          </c:layout>
          <c:overlay val="0"/>
        </c:title>
        <c:numFmt formatCode="#,##0" sourceLinked="1"/>
        <c:majorTickMark val="out"/>
        <c:minorTickMark val="none"/>
        <c:tickLblPos val="nextTo"/>
        <c:txPr>
          <a:bodyPr/>
          <a:lstStyle/>
          <a:p>
            <a:pPr>
              <a:defRPr sz="900">
                <a:latin typeface="Arial" pitchFamily="34" charset="0"/>
                <a:cs typeface="Arial" pitchFamily="34" charset="0"/>
              </a:defRPr>
            </a:pPr>
            <a:endParaRPr lang="en-US"/>
          </a:p>
        </c:txPr>
        <c:crossAx val="421926784"/>
        <c:crosses val="autoZero"/>
        <c:crossBetween val="between"/>
        <c:majorUnit val="100000"/>
      </c:valAx>
    </c:plotArea>
    <c:legend>
      <c:legendPos val="r"/>
      <c:layout>
        <c:manualLayout>
          <c:xMode val="edge"/>
          <c:yMode val="edge"/>
          <c:x val="0.60622622686309913"/>
          <c:y val="0.76852013868636793"/>
          <c:w val="0.37134772671198951"/>
          <c:h val="0.10219133102189402"/>
        </c:manualLayout>
      </c:layout>
      <c:overlay val="0"/>
      <c:spPr>
        <a:solidFill>
          <a:sysClr val="window" lastClr="FFFFFF"/>
        </a:solidFill>
      </c:spPr>
      <c:txPr>
        <a:bodyPr/>
        <a:lstStyle/>
        <a:p>
          <a:pPr>
            <a:defRPr sz="900">
              <a:latin typeface="Arial Narrow" pitchFamily="34" charset="0"/>
            </a:defRPr>
          </a:pPr>
          <a:endParaRPr lang="en-US"/>
        </a:p>
      </c:txPr>
    </c:legend>
    <c:plotVisOnly val="1"/>
    <c:dispBlanksAs val="gap"/>
    <c:showDLblsOverMax val="0"/>
  </c:chart>
  <c:spPr>
    <a:solidFill>
      <a:schemeClr val="bg1"/>
    </a:solidFill>
    <a:ln>
      <a:noFill/>
    </a:ln>
  </c:spPr>
  <c:txPr>
    <a:bodyPr/>
    <a:lstStyle/>
    <a:p>
      <a:pPr>
        <a:defRPr>
          <a:latin typeface="Arial" pitchFamily="34" charset="0"/>
          <a:cs typeface="Arial" pitchFamily="34" charset="0"/>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8656039554688834E-2"/>
          <c:y val="0.15117289351176791"/>
          <c:w val="0.87463475322465944"/>
          <c:h val="0.74717647948328003"/>
        </c:manualLayout>
      </c:layout>
      <c:lineChart>
        <c:grouping val="standard"/>
        <c:varyColors val="0"/>
        <c:ser>
          <c:idx val="0"/>
          <c:order val="0"/>
          <c:tx>
            <c:strRef>
              <c:f>Progressione!$AL$3</c:f>
              <c:strCache>
                <c:ptCount val="1"/>
                <c:pt idx="0">
                  <c:v>PROYECTO</c:v>
                </c:pt>
              </c:strCache>
            </c:strRef>
          </c:tx>
          <c:spPr>
            <a:ln>
              <a:solidFill>
                <a:srgbClr val="92D050"/>
              </a:solidFill>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Progressione!$AL$10:$AL$40</c:f>
              <c:numCache>
                <c:formatCode>#,##0</c:formatCode>
                <c:ptCount val="31"/>
                <c:pt idx="0">
                  <c:v>15410.284203000008</c:v>
                </c:pt>
                <c:pt idx="1">
                  <c:v>15728.127593674661</c:v>
                </c:pt>
                <c:pt idx="2">
                  <c:v>27257.257592000005</c:v>
                </c:pt>
                <c:pt idx="3">
                  <c:v>27670.540439309698</c:v>
                </c:pt>
                <c:pt idx="4">
                  <c:v>28090.089607114198</c:v>
                </c:pt>
                <c:pt idx="5">
                  <c:v>28516.000107274722</c:v>
                </c:pt>
                <c:pt idx="6">
                  <c:v>28948.368392251472</c:v>
                </c:pt>
                <c:pt idx="7">
                  <c:v>29387.292376945443</c:v>
                </c:pt>
                <c:pt idx="8">
                  <c:v>29832.871460874856</c:v>
                </c:pt>
                <c:pt idx="9">
                  <c:v>30285.206550682058</c:v>
                </c:pt>
                <c:pt idx="10">
                  <c:v>30744.400082987449</c:v>
                </c:pt>
                <c:pt idx="11">
                  <c:v>31210.556047586437</c:v>
                </c:pt>
                <c:pt idx="12">
                  <c:v>31683.780011000021</c:v>
                </c:pt>
                <c:pt idx="13">
                  <c:v>32164.179140379692</c:v>
                </c:pt>
                <c:pt idx="14">
                  <c:v>32651.862227779606</c:v>
                </c:pt>
                <c:pt idx="15">
                  <c:v>33146.939714790686</c:v>
                </c:pt>
                <c:pt idx="16">
                  <c:v>33649.523717553435</c:v>
                </c:pt>
                <c:pt idx="17">
                  <c:v>34159.728052148603</c:v>
                </c:pt>
                <c:pt idx="18">
                  <c:v>34677.668260368991</c:v>
                </c:pt>
                <c:pt idx="19">
                  <c:v>35203.461635888634</c:v>
                </c:pt>
                <c:pt idx="20">
                  <c:v>35737.227250823584</c:v>
                </c:pt>
                <c:pt idx="21">
                  <c:v>36279.08598269811</c:v>
                </c:pt>
                <c:pt idx="22">
                  <c:v>36829.160541817204</c:v>
                </c:pt>
                <c:pt idx="23">
                  <c:v>37387.575499058687</c:v>
                </c:pt>
                <c:pt idx="24">
                  <c:v>37954.457314080042</c:v>
                </c:pt>
                <c:pt idx="25">
                  <c:v>38529.93436395983</c:v>
                </c:pt>
                <c:pt idx="26">
                  <c:v>39114.136972268709</c:v>
                </c:pt>
                <c:pt idx="27">
                  <c:v>39707.197438582974</c:v>
                </c:pt>
                <c:pt idx="28">
                  <c:v>40309.250068445632</c:v>
                </c:pt>
                <c:pt idx="29">
                  <c:v>40920.431203780972</c:v>
                </c:pt>
                <c:pt idx="30">
                  <c:v>41540.879253771258</c:v>
                </c:pt>
              </c:numCache>
            </c:numRef>
          </c:val>
          <c:smooth val="1"/>
        </c:ser>
        <c:ser>
          <c:idx val="1"/>
          <c:order val="1"/>
          <c:tx>
            <c:strRef>
              <c:f>Progressione!$AM$3</c:f>
              <c:strCache>
                <c:ptCount val="1"/>
                <c:pt idx="0">
                  <c:v>PROYECTO + RED BASICA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Progressione!$AM$10:$AM$40</c:f>
              <c:numCache>
                <c:formatCode>General</c:formatCode>
                <c:ptCount val="31"/>
                <c:pt idx="12" formatCode="#,##0">
                  <c:v>47883.482797000011</c:v>
                </c:pt>
                <c:pt idx="13" formatCode="#,##0">
                  <c:v>48609.506757505027</c:v>
                </c:pt>
                <c:pt idx="14" formatCode="#,##0">
                  <c:v>49346.538914583005</c:v>
                </c:pt>
                <c:pt idx="15" formatCode="#,##0">
                  <c:v>50094.746177865571</c:v>
                </c:pt>
                <c:pt idx="16" formatCode="#,##0">
                  <c:v>50854.297987718666</c:v>
                </c:pt>
                <c:pt idx="17" formatCode="#,##0">
                  <c:v>51625.366353616162</c:v>
                </c:pt>
                <c:pt idx="18" formatCode="#,##0">
                  <c:v>52408.125893089804</c:v>
                </c:pt>
                <c:pt idx="19" formatCode="#,##0">
                  <c:v>53202.753871277142</c:v>
                </c:pt>
                <c:pt idx="20" formatCode="#,##0">
                  <c:v>54009.430241063194</c:v>
                </c:pt>
                <c:pt idx="21" formatCode="#,##0">
                  <c:v>54828.337683833575</c:v>
                </c:pt>
                <c:pt idx="22" formatCode="#,##0">
                  <c:v>55659.661650845104</c:v>
                </c:pt>
                <c:pt idx="23" formatCode="#,##0">
                  <c:v>56503.590405222334</c:v>
                </c:pt>
                <c:pt idx="24" formatCode="#,##0">
                  <c:v>57360.315064593255</c:v>
                </c:pt>
                <c:pt idx="25" formatCode="#,##0">
                  <c:v>58230.029644369424</c:v>
                </c:pt>
                <c:pt idx="26" formatCode="#,##0">
                  <c:v>59112.931101682974</c:v>
                </c:pt>
                <c:pt idx="27" formatCode="#,##0">
                  <c:v>60009.219379991009</c:v>
                </c:pt>
                <c:pt idx="28" formatCode="#,##0">
                  <c:v>60919.097454352908</c:v>
                </c:pt>
                <c:pt idx="29" formatCode="#,##0">
                  <c:v>61842.771377398713</c:v>
                </c:pt>
                <c:pt idx="30" formatCode="#,##0">
                  <c:v>62780.450325991013</c:v>
                </c:pt>
              </c:numCache>
            </c:numRef>
          </c:val>
          <c:smooth val="0"/>
        </c:ser>
        <c:dLbls>
          <c:showLegendKey val="0"/>
          <c:showVal val="0"/>
          <c:showCatName val="0"/>
          <c:showSerName val="0"/>
          <c:showPercent val="0"/>
          <c:showBubbleSize val="0"/>
        </c:dLbls>
        <c:marker val="1"/>
        <c:smooth val="0"/>
        <c:axId val="421958016"/>
        <c:axId val="421959552"/>
      </c:lineChart>
      <c:catAx>
        <c:axId val="421958016"/>
        <c:scaling>
          <c:orientation val="minMax"/>
        </c:scaling>
        <c:delete val="0"/>
        <c:axPos val="b"/>
        <c:numFmt formatCode="General" sourceLinked="1"/>
        <c:majorTickMark val="out"/>
        <c:minorTickMark val="none"/>
        <c:tickLblPos val="nextTo"/>
        <c:txPr>
          <a:bodyPr rot="-5400000" vert="horz"/>
          <a:lstStyle/>
          <a:p>
            <a:pPr>
              <a:defRPr sz="900">
                <a:latin typeface="Arial" pitchFamily="34" charset="0"/>
                <a:cs typeface="Arial" pitchFamily="34" charset="0"/>
              </a:defRPr>
            </a:pPr>
            <a:endParaRPr lang="en-US"/>
          </a:p>
        </c:txPr>
        <c:crossAx val="421959552"/>
        <c:crosses val="autoZero"/>
        <c:auto val="1"/>
        <c:lblAlgn val="ctr"/>
        <c:lblOffset val="100"/>
        <c:noMultiLvlLbl val="0"/>
      </c:catAx>
      <c:valAx>
        <c:axId val="421959552"/>
        <c:scaling>
          <c:orientation val="minMax"/>
        </c:scaling>
        <c:delete val="0"/>
        <c:axPos val="l"/>
        <c:majorGridlines/>
        <c:title>
          <c:tx>
            <c:rich>
              <a:bodyPr rot="0" vert="horz"/>
              <a:lstStyle/>
              <a:p>
                <a:pPr algn="l">
                  <a:defRPr sz="900">
                    <a:latin typeface="Arial Narrow" pitchFamily="34" charset="0"/>
                  </a:defRPr>
                </a:pPr>
                <a:r>
                  <a:rPr lang="it-IT" sz="900" baseline="0">
                    <a:latin typeface="Arial Narrow" pitchFamily="34" charset="0"/>
                  </a:rPr>
                  <a:t>Carga Max - HPM</a:t>
                </a:r>
              </a:p>
              <a:p>
                <a:pPr algn="l">
                  <a:defRPr sz="900">
                    <a:latin typeface="Arial Narrow" pitchFamily="34" charset="0"/>
                  </a:defRPr>
                </a:pPr>
                <a:r>
                  <a:rPr lang="it-IT" sz="900" baseline="0">
                    <a:latin typeface="Arial Narrow" pitchFamily="34" charset="0"/>
                  </a:rPr>
                  <a:t>[pphpd]</a:t>
                </a:r>
                <a:endParaRPr lang="it-IT" sz="900">
                  <a:latin typeface="Arial Narrow" pitchFamily="34" charset="0"/>
                </a:endParaRPr>
              </a:p>
            </c:rich>
          </c:tx>
          <c:layout>
            <c:manualLayout>
              <c:xMode val="edge"/>
              <c:yMode val="edge"/>
              <c:x val="6.1162079510703434E-3"/>
              <c:y val="2.3794001058509647E-2"/>
            </c:manualLayout>
          </c:layout>
          <c:overlay val="0"/>
        </c:title>
        <c:numFmt formatCode="#,##0" sourceLinked="1"/>
        <c:majorTickMark val="out"/>
        <c:minorTickMark val="none"/>
        <c:tickLblPos val="nextTo"/>
        <c:txPr>
          <a:bodyPr/>
          <a:lstStyle/>
          <a:p>
            <a:pPr>
              <a:defRPr sz="900">
                <a:latin typeface="Arial" pitchFamily="34" charset="0"/>
                <a:cs typeface="Arial" pitchFamily="34" charset="0"/>
              </a:defRPr>
            </a:pPr>
            <a:endParaRPr lang="en-US"/>
          </a:p>
        </c:txPr>
        <c:crossAx val="421958016"/>
        <c:crosses val="autoZero"/>
        <c:crossBetween val="between"/>
        <c:majorUnit val="5000"/>
      </c:valAx>
    </c:plotArea>
    <c:legend>
      <c:legendPos val="r"/>
      <c:layout>
        <c:manualLayout>
          <c:xMode val="edge"/>
          <c:yMode val="edge"/>
          <c:x val="0.60622622686309924"/>
          <c:y val="0.76852013868636793"/>
          <c:w val="0.37134772671198951"/>
          <c:h val="0.10219133102189402"/>
        </c:manualLayout>
      </c:layout>
      <c:overlay val="0"/>
      <c:spPr>
        <a:solidFill>
          <a:sysClr val="window" lastClr="FFFFFF"/>
        </a:solidFill>
      </c:spPr>
      <c:txPr>
        <a:bodyPr/>
        <a:lstStyle/>
        <a:p>
          <a:pPr>
            <a:defRPr>
              <a:latin typeface="Arial Narrow" pitchFamily="34" charset="0"/>
            </a:defRPr>
          </a:pPr>
          <a:endParaRPr lang="en-US"/>
        </a:p>
      </c:txPr>
    </c:legend>
    <c:plotVisOnly val="1"/>
    <c:dispBlanksAs val="gap"/>
    <c:showDLblsOverMax val="0"/>
  </c:chart>
  <c:spPr>
    <a:solidFill>
      <a:schemeClr val="bg1"/>
    </a:solidFill>
    <a:ln>
      <a:noFill/>
    </a:ln>
  </c:sp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8656039554688834E-2"/>
          <c:y val="0.13671347965904654"/>
          <c:w val="0.87463475322465933"/>
          <c:h val="0.7616358934443469"/>
        </c:manualLayout>
      </c:layout>
      <c:lineChart>
        <c:grouping val="standard"/>
        <c:varyColors val="0"/>
        <c:ser>
          <c:idx val="0"/>
          <c:order val="0"/>
          <c:tx>
            <c:strRef>
              <c:f>Progressione!$B$3</c:f>
              <c:strCache>
                <c:ptCount val="1"/>
                <c:pt idx="0">
                  <c:v>DO NOTHING</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Progressione!$B$10:$B$40</c:f>
            </c:numRef>
          </c:val>
          <c:smooth val="1"/>
        </c:ser>
        <c:ser>
          <c:idx val="1"/>
          <c:order val="1"/>
          <c:tx>
            <c:strRef>
              <c:f>Progressione!$C$3</c:f>
              <c:strCache>
                <c:ptCount val="1"/>
                <c:pt idx="0">
                  <c:v>SITUACIÓN OPTIMIZADA</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Progressione!$C$10:$C$40</c:f>
              <c:numCache>
                <c:formatCode>0.00</c:formatCode>
                <c:ptCount val="31"/>
                <c:pt idx="0" formatCode="#,##0.00">
                  <c:v>41.77811671757113</c:v>
                </c:pt>
                <c:pt idx="1">
                  <c:v>42.557221075122492</c:v>
                </c:pt>
                <c:pt idx="2" formatCode="#,##0.00">
                  <c:v>43.350854656288647</c:v>
                </c:pt>
                <c:pt idx="3">
                  <c:v>43.604245923725131</c:v>
                </c:pt>
                <c:pt idx="4">
                  <c:v>43.859118295395952</c:v>
                </c:pt>
                <c:pt idx="5">
                  <c:v>44.115480428544444</c:v>
                </c:pt>
                <c:pt idx="6">
                  <c:v>44.373341031015997</c:v>
                </c:pt>
                <c:pt idx="7">
                  <c:v>44.632708861555663</c:v>
                </c:pt>
                <c:pt idx="8">
                  <c:v>44.893592730102213</c:v>
                </c:pt>
                <c:pt idx="9">
                  <c:v>45.156001498091094</c:v>
                </c:pt>
                <c:pt idx="10">
                  <c:v>45.419944078754725</c:v>
                </c:pt>
                <c:pt idx="11">
                  <c:v>45.685429437422755</c:v>
                </c:pt>
                <c:pt idx="12" formatCode="#,##0.00">
                  <c:v>45.952466591829115</c:v>
                </c:pt>
                <c:pt idx="13">
                  <c:v>46.221064612418246</c:v>
                </c:pt>
                <c:pt idx="14">
                  <c:v>46.491232622651118</c:v>
                </c:pt>
                <c:pt idx="15">
                  <c:v>46.762979799317421</c:v>
                </c:pt>
                <c:pt idx="16">
                  <c:v>47.036315372846111</c:v>
                </c:pt>
                <c:pt idx="17">
                  <c:v>47.311248627618738</c:v>
                </c:pt>
                <c:pt idx="18">
                  <c:v>47.587788902286945</c:v>
                </c:pt>
                <c:pt idx="19">
                  <c:v>47.865945590085502</c:v>
                </c:pt>
                <c:pt idx="20">
                  <c:v>48.1457281391557</c:v>
                </c:pt>
                <c:pt idx="21">
                  <c:v>48.427146052862945</c:v>
                </c:pt>
                <c:pt idx="22">
                  <c:v>48.710208890122985</c:v>
                </c:pt>
                <c:pt idx="23">
                  <c:v>48.994926265722192</c:v>
                </c:pt>
                <c:pt idx="24">
                  <c:v>49.281307850649156</c:v>
                </c:pt>
                <c:pt idx="25">
                  <c:v>49.569363372419211</c:v>
                </c:pt>
                <c:pt idx="26">
                  <c:v>49.859102615405781</c:v>
                </c:pt>
                <c:pt idx="27">
                  <c:v>50.150535421174212</c:v>
                </c:pt>
                <c:pt idx="28">
                  <c:v>50.44367168881432</c:v>
                </c:pt>
                <c:pt idx="29">
                  <c:v>50.738521375278964</c:v>
                </c:pt>
                <c:pt idx="30">
                  <c:v>51.035094495717317</c:v>
                </c:pt>
              </c:numCache>
            </c:numRef>
          </c:val>
          <c:smooth val="1"/>
        </c:ser>
        <c:ser>
          <c:idx val="2"/>
          <c:order val="2"/>
          <c:tx>
            <c:strRef>
              <c:f>Progressione!$D$3</c:f>
              <c:strCache>
                <c:ptCount val="1"/>
                <c:pt idx="0">
                  <c:v>PROYECTO</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Progressione!$D$10:$D$40</c:f>
              <c:numCache>
                <c:formatCode>0.00</c:formatCode>
                <c:ptCount val="31"/>
                <c:pt idx="0" formatCode="#,##0.00">
                  <c:v>40.534999235055253</c:v>
                </c:pt>
                <c:pt idx="1">
                  <c:v>40.667078155917835</c:v>
                </c:pt>
                <c:pt idx="2" formatCode="#,##0.00">
                  <c:v>40.799587441691344</c:v>
                </c:pt>
                <c:pt idx="3">
                  <c:v>41.017655353000144</c:v>
                </c:pt>
                <c:pt idx="4">
                  <c:v>41.236888805848075</c:v>
                </c:pt>
                <c:pt idx="5">
                  <c:v>41.457294029886071</c:v>
                </c:pt>
                <c:pt idx="6">
                  <c:v>41.678877288063703</c:v>
                </c:pt>
                <c:pt idx="7">
                  <c:v>41.901644876801974</c:v>
                </c:pt>
                <c:pt idx="8">
                  <c:v>42.125603126177992</c:v>
                </c:pt>
                <c:pt idx="9">
                  <c:v>42.350758400099856</c:v>
                </c:pt>
                <c:pt idx="10">
                  <c:v>42.577117096492344</c:v>
                </c:pt>
                <c:pt idx="11">
                  <c:v>42.804685647474436</c:v>
                </c:pt>
                <c:pt idx="12" formatCode="#,##0.00">
                  <c:v>43.033470519545077</c:v>
                </c:pt>
                <c:pt idx="13">
                  <c:v>43.263478213764465</c:v>
                </c:pt>
                <c:pt idx="14">
                  <c:v>43.494715265940862</c:v>
                </c:pt>
                <c:pt idx="15">
                  <c:v>43.727188246815523</c:v>
                </c:pt>
                <c:pt idx="16">
                  <c:v>43.960903762248194</c:v>
                </c:pt>
                <c:pt idx="17">
                  <c:v>44.195868453407947</c:v>
                </c:pt>
                <c:pt idx="18">
                  <c:v>44.432088996958463</c:v>
                </c:pt>
                <c:pt idx="19">
                  <c:v>44.669572105249713</c:v>
                </c:pt>
                <c:pt idx="20">
                  <c:v>44.908324526508153</c:v>
                </c:pt>
                <c:pt idx="21">
                  <c:v>45.148353045028884</c:v>
                </c:pt>
                <c:pt idx="22">
                  <c:v>45.389664481366005</c:v>
                </c:pt>
                <c:pt idx="23">
                  <c:v>45.632265692533565</c:v>
                </c:pt>
                <c:pt idx="24">
                  <c:v>45.876163572189341</c:v>
                </c:pt>
                <c:pt idx="25">
                  <c:v>46.121365050840204</c:v>
                </c:pt>
                <c:pt idx="26">
                  <c:v>46.367877096034796</c:v>
                </c:pt>
                <c:pt idx="27">
                  <c:v>46.615706712562321</c:v>
                </c:pt>
                <c:pt idx="28">
                  <c:v>46.864860942651525</c:v>
                </c:pt>
                <c:pt idx="29">
                  <c:v>47.115346866171208</c:v>
                </c:pt>
                <c:pt idx="30">
                  <c:v>47.367171600829813</c:v>
                </c:pt>
              </c:numCache>
            </c:numRef>
          </c:val>
          <c:smooth val="1"/>
        </c:ser>
        <c:ser>
          <c:idx val="3"/>
          <c:order val="3"/>
          <c:tx>
            <c:strRef>
              <c:f>Progressione!$E$3</c:f>
              <c:strCache>
                <c:ptCount val="1"/>
                <c:pt idx="0">
                  <c:v>PROYECTO + RED BASICA</c:v>
                </c:pt>
              </c:strCache>
            </c:strRef>
          </c:tx>
          <c:spPr>
            <a:ln>
              <a:solidFill>
                <a:srgbClr val="92D050"/>
              </a:solidFill>
              <a:prstDash val="sysDot"/>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Progressione!$E$10:$E$40</c:f>
              <c:numCache>
                <c:formatCode>General</c:formatCode>
                <c:ptCount val="31"/>
                <c:pt idx="12" formatCode="#,##0.00">
                  <c:v>39.993187961846857</c:v>
                </c:pt>
                <c:pt idx="13" formatCode="0.00">
                  <c:v>40.20694578422421</c:v>
                </c:pt>
                <c:pt idx="14" formatCode="0.00">
                  <c:v>40.421846111336173</c:v>
                </c:pt>
                <c:pt idx="15" formatCode="0.00">
                  <c:v>40.637895049707446</c:v>
                </c:pt>
                <c:pt idx="16" formatCode="0.00">
                  <c:v>40.855098738498207</c:v>
                </c:pt>
                <c:pt idx="17" formatCode="0.00">
                  <c:v>41.073463349683294</c:v>
                </c:pt>
                <c:pt idx="18" formatCode="0.00">
                  <c:v>41.292995088226057</c:v>
                </c:pt>
                <c:pt idx="19" formatCode="0.00">
                  <c:v>41.513700192252394</c:v>
                </c:pt>
                <c:pt idx="20" formatCode="0.00">
                  <c:v>41.735584933233397</c:v>
                </c:pt>
                <c:pt idx="21" formatCode="0.00">
                  <c:v>41.958655616157536</c:v>
                </c:pt>
                <c:pt idx="22" formatCode="0.00">
                  <c:v>42.182918579713544</c:v>
                </c:pt>
                <c:pt idx="23" formatCode="0.00">
                  <c:v>42.408380196469913</c:v>
                </c:pt>
                <c:pt idx="24" formatCode="0.00">
                  <c:v>42.635046873054456</c:v>
                </c:pt>
                <c:pt idx="25" formatCode="0.00">
                  <c:v>42.862925050338625</c:v>
                </c:pt>
                <c:pt idx="26" formatCode="0.00">
                  <c:v>43.092021203618891</c:v>
                </c:pt>
                <c:pt idx="27" formatCode="0.00">
                  <c:v>43.322341842801514</c:v>
                </c:pt>
                <c:pt idx="28" formatCode="0.00">
                  <c:v>43.5538935125861</c:v>
                </c:pt>
                <c:pt idx="29" formatCode="0.00">
                  <c:v>43.786682792655142</c:v>
                </c:pt>
                <c:pt idx="30" formatCode="0.00">
                  <c:v>44.020716297856183</c:v>
                </c:pt>
              </c:numCache>
            </c:numRef>
          </c:val>
          <c:smooth val="1"/>
        </c:ser>
        <c:dLbls>
          <c:showLegendKey val="0"/>
          <c:showVal val="0"/>
          <c:showCatName val="0"/>
          <c:showSerName val="0"/>
          <c:showPercent val="0"/>
          <c:showBubbleSize val="0"/>
        </c:dLbls>
        <c:marker val="1"/>
        <c:smooth val="0"/>
        <c:axId val="422011648"/>
        <c:axId val="422013184"/>
      </c:lineChart>
      <c:catAx>
        <c:axId val="422011648"/>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422013184"/>
        <c:crosses val="autoZero"/>
        <c:auto val="1"/>
        <c:lblAlgn val="ctr"/>
        <c:lblOffset val="100"/>
        <c:noMultiLvlLbl val="0"/>
      </c:catAx>
      <c:valAx>
        <c:axId val="422013184"/>
        <c:scaling>
          <c:orientation val="minMax"/>
          <c:max val="60"/>
          <c:min val="0"/>
        </c:scaling>
        <c:delete val="0"/>
        <c:axPos val="l"/>
        <c:majorGridlines/>
        <c:title>
          <c:tx>
            <c:rich>
              <a:bodyPr rot="0" vert="horz"/>
              <a:lstStyle/>
              <a:p>
                <a:pPr marL="0" marR="0" indent="0" algn="l"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000" b="1" i="0" kern="1200" baseline="0">
                    <a:solidFill>
                      <a:srgbClr val="171717"/>
                    </a:solidFill>
                  </a:rPr>
                  <a:t>Tiempo Medio de Viaje [min]</a:t>
                </a:r>
              </a:p>
            </c:rich>
          </c:tx>
          <c:layout>
            <c:manualLayout>
              <c:xMode val="edge"/>
              <c:yMode val="edge"/>
              <c:x val="0"/>
              <c:y val="1.6820723896418964E-3"/>
            </c:manualLayout>
          </c:layout>
          <c:overlay val="0"/>
        </c:title>
        <c:numFmt formatCode="#,##0.00" sourceLinked="1"/>
        <c:majorTickMark val="out"/>
        <c:minorTickMark val="none"/>
        <c:tickLblPos val="nextTo"/>
        <c:crossAx val="422011648"/>
        <c:crosses val="autoZero"/>
        <c:crossBetween val="between"/>
        <c:majorUnit val="5"/>
      </c:valAx>
    </c:plotArea>
    <c:legend>
      <c:legendPos val="r"/>
      <c:layout>
        <c:manualLayout>
          <c:xMode val="edge"/>
          <c:yMode val="edge"/>
          <c:x val="0.61119061346621428"/>
          <c:y val="0.73011135953684791"/>
          <c:w val="0.33376349335275296"/>
          <c:h val="0.14608707862134521"/>
        </c:manualLayout>
      </c:layout>
      <c:overlay val="0"/>
      <c:spPr>
        <a:solidFill>
          <a:sysClr val="window" lastClr="FFFFFF"/>
        </a:solidFill>
      </c:spPr>
    </c:legend>
    <c:plotVisOnly val="1"/>
    <c:dispBlanksAs val="gap"/>
    <c:showDLblsOverMax val="0"/>
  </c:chart>
  <c:spPr>
    <a:ln>
      <a:noFill/>
    </a:ln>
  </c:sp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772247505759027E-2"/>
          <c:y val="0.12373805126211197"/>
          <c:w val="0.86851854527358463"/>
          <c:h val="0.77461132173293157"/>
        </c:manualLayout>
      </c:layout>
      <c:lineChart>
        <c:grouping val="standard"/>
        <c:varyColors val="0"/>
        <c:ser>
          <c:idx val="0"/>
          <c:order val="0"/>
          <c:tx>
            <c:strRef>
              <c:f>Progressione!$F$3</c:f>
              <c:strCache>
                <c:ptCount val="1"/>
                <c:pt idx="0">
                  <c:v>DO NOTHING</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Progressione!$F$10:$F$40</c:f>
            </c:numRef>
          </c:val>
          <c:smooth val="1"/>
        </c:ser>
        <c:ser>
          <c:idx val="1"/>
          <c:order val="1"/>
          <c:tx>
            <c:strRef>
              <c:f>Progressione!$G$3</c:f>
              <c:strCache>
                <c:ptCount val="1"/>
                <c:pt idx="0">
                  <c:v>SITUACIÓN OPTIMIZADA</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Progressione!$G$10:$G$40</c:f>
              <c:numCache>
                <c:formatCode>0.00</c:formatCode>
                <c:ptCount val="31"/>
                <c:pt idx="0" formatCode="#,##0.00">
                  <c:v>44.887845984783944</c:v>
                </c:pt>
                <c:pt idx="1">
                  <c:v>45.529935578711267</c:v>
                </c:pt>
                <c:pt idx="2" formatCode="#,##0.00">
                  <c:v>46.181209820232283</c:v>
                </c:pt>
                <c:pt idx="3">
                  <c:v>46.429501800801333</c:v>
                </c:pt>
                <c:pt idx="4">
                  <c:v>46.679128716246204</c:v>
                </c:pt>
                <c:pt idx="5">
                  <c:v>46.930097743807245</c:v>
                </c:pt>
                <c:pt idx="6">
                  <c:v>47.182416099312363</c:v>
                </c:pt>
                <c:pt idx="7">
                  <c:v>47.436091037386035</c:v>
                </c:pt>
                <c:pt idx="8">
                  <c:v>47.691129851656122</c:v>
                </c:pt>
                <c:pt idx="9">
                  <c:v>47.94753987496496</c:v>
                </c:pt>
                <c:pt idx="10">
                  <c:v>48.205328479579357</c:v>
                </c:pt>
                <c:pt idx="11">
                  <c:v>48.464503077402235</c:v>
                </c:pt>
                <c:pt idx="12" formatCode="#,##0.00">
                  <c:v>48.725071120189348</c:v>
                </c:pt>
                <c:pt idx="13">
                  <c:v>48.987040099755944</c:v>
                </c:pt>
                <c:pt idx="14">
                  <c:v>49.250417548201206</c:v>
                </c:pt>
                <c:pt idx="15">
                  <c:v>49.515211038117961</c:v>
                </c:pt>
                <c:pt idx="16">
                  <c:v>49.781428182813308</c:v>
                </c:pt>
                <c:pt idx="17">
                  <c:v>50.049076636528063</c:v>
                </c:pt>
                <c:pt idx="18">
                  <c:v>50.318164094654094</c:v>
                </c:pt>
                <c:pt idx="19">
                  <c:v>50.588698293958913</c:v>
                </c:pt>
                <c:pt idx="20">
                  <c:v>50.860687012805393</c:v>
                </c:pt>
                <c:pt idx="21">
                  <c:v>51.134138071377961</c:v>
                </c:pt>
                <c:pt idx="22">
                  <c:v>51.409059331904402</c:v>
                </c:pt>
                <c:pt idx="23">
                  <c:v>51.685458698884581</c:v>
                </c:pt>
                <c:pt idx="24">
                  <c:v>51.963344119316055</c:v>
                </c:pt>
                <c:pt idx="25">
                  <c:v>52.242723582924661</c:v>
                </c:pt>
                <c:pt idx="26">
                  <c:v>52.523605122390578</c:v>
                </c:pt>
                <c:pt idx="27">
                  <c:v>52.805996813582951</c:v>
                </c:pt>
                <c:pt idx="28">
                  <c:v>53.089906775789999</c:v>
                </c:pt>
                <c:pt idx="29">
                  <c:v>53.375343171953915</c:v>
                </c:pt>
                <c:pt idx="30">
                  <c:v>53.662314208903815</c:v>
                </c:pt>
              </c:numCache>
            </c:numRef>
          </c:val>
          <c:smooth val="1"/>
        </c:ser>
        <c:ser>
          <c:idx val="2"/>
          <c:order val="2"/>
          <c:tx>
            <c:strRef>
              <c:f>Progressione!$H$3</c:f>
              <c:strCache>
                <c:ptCount val="1"/>
                <c:pt idx="0">
                  <c:v>PROYECTO</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Progressione!$H$10:$H$40</c:f>
              <c:numCache>
                <c:formatCode>0.00</c:formatCode>
                <c:ptCount val="31"/>
                <c:pt idx="0" formatCode="#,##0.00">
                  <c:v>44.094878113891141</c:v>
                </c:pt>
                <c:pt idx="1">
                  <c:v>44.126401713886345</c:v>
                </c:pt>
                <c:pt idx="2" formatCode="#,##0.00">
                  <c:v>44.157947850225874</c:v>
                </c:pt>
                <c:pt idx="3">
                  <c:v>44.323750380984563</c:v>
                </c:pt>
                <c:pt idx="4">
                  <c:v>44.490175460583039</c:v>
                </c:pt>
                <c:pt idx="5">
                  <c:v>44.65722542654315</c:v>
                </c:pt>
                <c:pt idx="6">
                  <c:v>44.824902625164448</c:v>
                </c:pt>
                <c:pt idx="7">
                  <c:v>44.99320941155473</c:v>
                </c:pt>
                <c:pt idx="8">
                  <c:v>45.16214814966601</c:v>
                </c:pt>
                <c:pt idx="9">
                  <c:v>45.331721212325007</c:v>
                </c:pt>
                <c:pt idx="10">
                  <c:v>45.501930981269446</c:v>
                </c:pt>
                <c:pt idx="11">
                  <c:v>45.672779847179385</c:v>
                </c:pt>
                <c:pt idx="12" formatCode="#,##0.00">
                  <c:v>45.844270209709244</c:v>
                </c:pt>
                <c:pt idx="13">
                  <c:v>46.016404477527239</c:v>
                </c:pt>
                <c:pt idx="14">
                  <c:v>46.189185068343704</c:v>
                </c:pt>
                <c:pt idx="15">
                  <c:v>46.362614408945888</c:v>
                </c:pt>
                <c:pt idx="16">
                  <c:v>46.536694935234394</c:v>
                </c:pt>
                <c:pt idx="17">
                  <c:v>46.711429092255841</c:v>
                </c:pt>
                <c:pt idx="18">
                  <c:v>46.886819334237124</c:v>
                </c:pt>
                <c:pt idx="19">
                  <c:v>47.062868124620401</c:v>
                </c:pt>
                <c:pt idx="20">
                  <c:v>47.239577936097362</c:v>
                </c:pt>
                <c:pt idx="21">
                  <c:v>47.416951250643727</c:v>
                </c:pt>
                <c:pt idx="22">
                  <c:v>47.594990559555782</c:v>
                </c:pt>
                <c:pt idx="23">
                  <c:v>47.773698363482104</c:v>
                </c:pt>
                <c:pt idx="24">
                  <c:v>47.953077172461896</c:v>
                </c:pt>
                <c:pt idx="25">
                  <c:v>48.133129505958578</c:v>
                </c:pt>
                <c:pt idx="26">
                  <c:v>48.313857892895342</c:v>
                </c:pt>
                <c:pt idx="27">
                  <c:v>48.495264871691894</c:v>
                </c:pt>
                <c:pt idx="28">
                  <c:v>48.677352990297656</c:v>
                </c:pt>
                <c:pt idx="29">
                  <c:v>48.860124806229813</c:v>
                </c:pt>
                <c:pt idx="30">
                  <c:v>49.04358288660827</c:v>
                </c:pt>
              </c:numCache>
            </c:numRef>
          </c:val>
          <c:smooth val="1"/>
        </c:ser>
        <c:ser>
          <c:idx val="3"/>
          <c:order val="3"/>
          <c:tx>
            <c:strRef>
              <c:f>Progressione!$I$3</c:f>
              <c:strCache>
                <c:ptCount val="1"/>
                <c:pt idx="0">
                  <c:v>PROYECTO + RED BASICA</c:v>
                </c:pt>
              </c:strCache>
            </c:strRef>
          </c:tx>
          <c:spPr>
            <a:ln>
              <a:solidFill>
                <a:srgbClr val="92D050"/>
              </a:solidFill>
              <a:prstDash val="sysDot"/>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Progressione!$I$10:$I$40</c:f>
              <c:numCache>
                <c:formatCode>General</c:formatCode>
                <c:ptCount val="31"/>
                <c:pt idx="12" formatCode="#,##0.00">
                  <c:v>42.703409346624511</c:v>
                </c:pt>
                <c:pt idx="13" formatCode="0.00">
                  <c:v>42.863750433255305</c:v>
                </c:pt>
                <c:pt idx="14" formatCode="0.00">
                  <c:v>43.024693562309807</c:v>
                </c:pt>
                <c:pt idx="15" formatCode="0.00">
                  <c:v>43.186240994313195</c:v>
                </c:pt>
                <c:pt idx="16" formatCode="0.00">
                  <c:v>43.348394998278636</c:v>
                </c:pt>
                <c:pt idx="17" formatCode="0.00">
                  <c:v>43.511157851738218</c:v>
                </c:pt>
                <c:pt idx="18" formatCode="0.00">
                  <c:v>43.674531840777362</c:v>
                </c:pt>
                <c:pt idx="19" formatCode="0.00">
                  <c:v>43.838519260062789</c:v>
                </c:pt>
                <c:pt idx="20" formatCode="0.00">
                  <c:v>44.003122412879044</c:v>
                </c:pt>
                <c:pt idx="21" formatCode="0.00">
                  <c:v>44.168343611157319</c:v>
                </c:pt>
                <c:pt idx="22" formatCode="0.00">
                  <c:v>44.334185175511344</c:v>
                </c:pt>
                <c:pt idx="23" formatCode="0.00">
                  <c:v>44.500649435266709</c:v>
                </c:pt>
                <c:pt idx="24" formatCode="0.00">
                  <c:v>44.667738728497113</c:v>
                </c:pt>
                <c:pt idx="25" formatCode="0.00">
                  <c:v>44.835455402051863</c:v>
                </c:pt>
                <c:pt idx="26" formatCode="0.00">
                  <c:v>45.003801811594855</c:v>
                </c:pt>
                <c:pt idx="27" formatCode="0.00">
                  <c:v>45.172780321634114</c:v>
                </c:pt>
                <c:pt idx="28" formatCode="0.00">
                  <c:v>45.342393305556008</c:v>
                </c:pt>
                <c:pt idx="29" formatCode="0.00">
                  <c:v>45.512643145657194</c:v>
                </c:pt>
                <c:pt idx="30" formatCode="0.00">
                  <c:v>45.683532233181722</c:v>
                </c:pt>
              </c:numCache>
            </c:numRef>
          </c:val>
          <c:smooth val="1"/>
        </c:ser>
        <c:dLbls>
          <c:showLegendKey val="0"/>
          <c:showVal val="0"/>
          <c:showCatName val="0"/>
          <c:showSerName val="0"/>
          <c:showPercent val="0"/>
          <c:showBubbleSize val="0"/>
        </c:dLbls>
        <c:marker val="1"/>
        <c:smooth val="0"/>
        <c:axId val="422048512"/>
        <c:axId val="422050048"/>
      </c:lineChart>
      <c:catAx>
        <c:axId val="422048512"/>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422050048"/>
        <c:crosses val="autoZero"/>
        <c:auto val="1"/>
        <c:lblAlgn val="ctr"/>
        <c:lblOffset val="100"/>
        <c:noMultiLvlLbl val="0"/>
      </c:catAx>
      <c:valAx>
        <c:axId val="422050048"/>
        <c:scaling>
          <c:orientation val="minMax"/>
          <c:max val="60"/>
          <c:min val="0"/>
        </c:scaling>
        <c:delete val="0"/>
        <c:axPos val="l"/>
        <c:majorGridlines/>
        <c:title>
          <c:tx>
            <c:rich>
              <a:bodyPr rot="0" vert="horz"/>
              <a:lstStyle/>
              <a:p>
                <a:pPr algn="l">
                  <a:defRPr/>
                </a:pPr>
                <a:r>
                  <a:rPr lang="it-IT"/>
                  <a:t>Tiempo</a:t>
                </a:r>
                <a:r>
                  <a:rPr lang="it-IT" baseline="0"/>
                  <a:t> Medio de Viaje [min]</a:t>
                </a:r>
                <a:endParaRPr lang="it-IT"/>
              </a:p>
            </c:rich>
          </c:tx>
          <c:layout>
            <c:manualLayout>
              <c:xMode val="edge"/>
              <c:yMode val="edge"/>
              <c:x val="1.6369153897671167E-3"/>
              <c:y val="6.8786058162599801E-4"/>
            </c:manualLayout>
          </c:layout>
          <c:overlay val="0"/>
        </c:title>
        <c:numFmt formatCode="#,##0.00" sourceLinked="1"/>
        <c:majorTickMark val="out"/>
        <c:minorTickMark val="none"/>
        <c:tickLblPos val="nextTo"/>
        <c:crossAx val="422048512"/>
        <c:crosses val="autoZero"/>
        <c:crossBetween val="between"/>
        <c:majorUnit val="5"/>
      </c:valAx>
    </c:plotArea>
    <c:legend>
      <c:legendPos val="r"/>
      <c:layout>
        <c:manualLayout>
          <c:xMode val="edge"/>
          <c:yMode val="edge"/>
          <c:x val="0.63470744938283064"/>
          <c:y val="0.73011135953684791"/>
          <c:w val="0.31024665743612623"/>
          <c:h val="0.14608707862134521"/>
        </c:manualLayout>
      </c:layout>
      <c:overlay val="0"/>
      <c:spPr>
        <a:solidFill>
          <a:sysClr val="window" lastClr="FFFFFF"/>
        </a:solidFill>
      </c:spPr>
    </c:legend>
    <c:plotVisOnly val="1"/>
    <c:dispBlanksAs val="gap"/>
    <c:showDLblsOverMax val="0"/>
  </c:chart>
  <c:spPr>
    <a:ln>
      <a:noFill/>
    </a:ln>
  </c:sp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772247505759027E-2"/>
          <c:y val="0.123738051262112"/>
          <c:w val="0.86851854527358463"/>
          <c:h val="0.77461132173293157"/>
        </c:manualLayout>
      </c:layout>
      <c:lineChart>
        <c:grouping val="standard"/>
        <c:varyColors val="0"/>
        <c:ser>
          <c:idx val="0"/>
          <c:order val="0"/>
          <c:tx>
            <c:strRef>
              <c:f>Progressione!$J$3</c:f>
              <c:strCache>
                <c:ptCount val="1"/>
                <c:pt idx="0">
                  <c:v>DO NOTHING</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Progressione!$J$10:$J$40</c:f>
            </c:numRef>
          </c:val>
          <c:smooth val="1"/>
        </c:ser>
        <c:ser>
          <c:idx val="1"/>
          <c:order val="1"/>
          <c:tx>
            <c:strRef>
              <c:f>Progressione!$K$3</c:f>
              <c:strCache>
                <c:ptCount val="1"/>
                <c:pt idx="0">
                  <c:v>SITUACIÓN OPTIMIZADA</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Progressione!$K$10:$K$40</c:f>
              <c:numCache>
                <c:formatCode>0.00</c:formatCode>
                <c:ptCount val="31"/>
                <c:pt idx="0" formatCode="#,##0.00">
                  <c:v>41.308243947586782</c:v>
                </c:pt>
                <c:pt idx="1">
                  <c:v>41.81740296170414</c:v>
                </c:pt>
                <c:pt idx="2" formatCode="#,##0.00">
                  <c:v>42.332837790935251</c:v>
                </c:pt>
                <c:pt idx="3">
                  <c:v>42.544054181681794</c:v>
                </c:pt>
                <c:pt idx="4">
                  <c:v>42.756324420127889</c:v>
                </c:pt>
                <c:pt idx="5">
                  <c:v>42.969653764364345</c:v>
                </c:pt>
                <c:pt idx="6">
                  <c:v>43.184047498716318</c:v>
                </c:pt>
                <c:pt idx="7">
                  <c:v>43.399510933877238</c:v>
                </c:pt>
                <c:pt idx="8">
                  <c:v>43.616049407032754</c:v>
                </c:pt>
                <c:pt idx="9">
                  <c:v>43.833668282003757</c:v>
                </c:pt>
                <c:pt idx="10">
                  <c:v>44.052372949369413</c:v>
                </c:pt>
                <c:pt idx="11">
                  <c:v>44.272168826606261</c:v>
                </c:pt>
                <c:pt idx="12" formatCode="#,##0.00">
                  <c:v>44.493061358221041</c:v>
                </c:pt>
                <c:pt idx="13">
                  <c:v>44.715056015885153</c:v>
                </c:pt>
                <c:pt idx="14">
                  <c:v>44.938158298570983</c:v>
                </c:pt>
                <c:pt idx="15">
                  <c:v>45.162373732686042</c:v>
                </c:pt>
                <c:pt idx="16">
                  <c:v>45.387707872212282</c:v>
                </c:pt>
                <c:pt idx="17">
                  <c:v>45.614166298845454</c:v>
                </c:pt>
                <c:pt idx="18">
                  <c:v>45.841754622126224</c:v>
                </c:pt>
                <c:pt idx="19">
                  <c:v>46.070478479586072</c:v>
                </c:pt>
                <c:pt idx="20">
                  <c:v>46.30034353688491</c:v>
                </c:pt>
                <c:pt idx="21">
                  <c:v>46.53135548794954</c:v>
                </c:pt>
                <c:pt idx="22">
                  <c:v>46.763520055117176</c:v>
                </c:pt>
                <c:pt idx="23">
                  <c:v>46.996842989275912</c:v>
                </c:pt>
                <c:pt idx="24">
                  <c:v>47.231330070007431</c:v>
                </c:pt>
                <c:pt idx="25">
                  <c:v>47.466987105729999</c:v>
                </c:pt>
                <c:pt idx="26">
                  <c:v>47.703819933843477</c:v>
                </c:pt>
                <c:pt idx="27">
                  <c:v>47.941834420871494</c:v>
                </c:pt>
                <c:pt idx="28">
                  <c:v>48.181036462609057</c:v>
                </c:pt>
                <c:pt idx="29">
                  <c:v>48.421431984268345</c:v>
                </c:pt>
                <c:pt idx="30">
                  <c:v>48.663026940623681</c:v>
                </c:pt>
              </c:numCache>
            </c:numRef>
          </c:val>
          <c:smooth val="1"/>
        </c:ser>
        <c:ser>
          <c:idx val="2"/>
          <c:order val="2"/>
          <c:tx>
            <c:strRef>
              <c:f>Progressione!$L$3</c:f>
              <c:strCache>
                <c:ptCount val="1"/>
                <c:pt idx="0">
                  <c:v>PROYECTO</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Progressione!$L$10:$L$40</c:f>
              <c:numCache>
                <c:formatCode>0.00</c:formatCode>
                <c:ptCount val="31"/>
                <c:pt idx="0" formatCode="#,##0.00">
                  <c:v>40.764046545725051</c:v>
                </c:pt>
                <c:pt idx="1">
                  <c:v>40.874774137247975</c:v>
                </c:pt>
                <c:pt idx="2" formatCode="#,##0.00">
                  <c:v>40.985802498704096</c:v>
                </c:pt>
                <c:pt idx="3">
                  <c:v>41.112787523714793</c:v>
                </c:pt>
                <c:pt idx="4">
                  <c:v>41.240165982442008</c:v>
                </c:pt>
                <c:pt idx="5">
                  <c:v>41.367939093847944</c:v>
                </c:pt>
                <c:pt idx="6">
                  <c:v>41.496108080673309</c:v>
                </c:pt>
                <c:pt idx="7">
                  <c:v>41.624674169445974</c:v>
                </c:pt>
                <c:pt idx="8">
                  <c:v>41.753638590495399</c:v>
                </c:pt>
                <c:pt idx="9">
                  <c:v>41.883002577960994</c:v>
                </c:pt>
                <c:pt idx="10">
                  <c:v>42.012767369807094</c:v>
                </c:pt>
                <c:pt idx="11">
                  <c:v>42.142934207833711</c:v>
                </c:pt>
                <c:pt idx="12" formatCode="#,##0.00">
                  <c:v>42.273504337687456</c:v>
                </c:pt>
                <c:pt idx="13">
                  <c:v>42.40447900887488</c:v>
                </c:pt>
                <c:pt idx="14">
                  <c:v>42.535859474773709</c:v>
                </c:pt>
                <c:pt idx="15">
                  <c:v>42.667646992644954</c:v>
                </c:pt>
                <c:pt idx="16">
                  <c:v>42.799842823644958</c:v>
                </c:pt>
                <c:pt idx="17">
                  <c:v>42.932448232837466</c:v>
                </c:pt>
                <c:pt idx="18">
                  <c:v>43.065464489205375</c:v>
                </c:pt>
                <c:pt idx="19">
                  <c:v>43.198892865664675</c:v>
                </c:pt>
                <c:pt idx="20">
                  <c:v>43.332734639073031</c:v>
                </c:pt>
                <c:pt idx="21">
                  <c:v>43.466991090245394</c:v>
                </c:pt>
                <c:pt idx="22">
                  <c:v>43.601663503965099</c:v>
                </c:pt>
                <c:pt idx="23">
                  <c:v>43.736753168996181</c:v>
                </c:pt>
                <c:pt idx="24">
                  <c:v>43.872261378094372</c:v>
                </c:pt>
                <c:pt idx="25">
                  <c:v>44.008189428022604</c:v>
                </c:pt>
                <c:pt idx="26">
                  <c:v>44.144538619560009</c:v>
                </c:pt>
                <c:pt idx="27">
                  <c:v>44.281310257516125</c:v>
                </c:pt>
                <c:pt idx="28">
                  <c:v>44.418505650743946</c:v>
                </c:pt>
                <c:pt idx="29">
                  <c:v>44.556126112150963</c:v>
                </c:pt>
                <c:pt idx="30">
                  <c:v>44.694172958712507</c:v>
                </c:pt>
              </c:numCache>
            </c:numRef>
          </c:val>
          <c:smooth val="1"/>
        </c:ser>
        <c:ser>
          <c:idx val="3"/>
          <c:order val="3"/>
          <c:tx>
            <c:strRef>
              <c:f>Progressione!$M$3</c:f>
              <c:strCache>
                <c:ptCount val="1"/>
                <c:pt idx="0">
                  <c:v>PROYECTO + RED BASICA</c:v>
                </c:pt>
              </c:strCache>
            </c:strRef>
          </c:tx>
          <c:spPr>
            <a:ln>
              <a:solidFill>
                <a:srgbClr val="92D050"/>
              </a:solidFill>
              <a:prstDash val="sysDot"/>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Progressione!$M$10:$M$40</c:f>
              <c:numCache>
                <c:formatCode>General</c:formatCode>
                <c:ptCount val="31"/>
                <c:pt idx="12" formatCode="#,##0.00">
                  <c:v>39.595912180774967</c:v>
                </c:pt>
                <c:pt idx="13" formatCode="0.00">
                  <c:v>39.718590952253081</c:v>
                </c:pt>
                <c:pt idx="14" formatCode="0.00">
                  <c:v>39.841649815517044</c:v>
                </c:pt>
                <c:pt idx="15" formatCode="0.00">
                  <c:v>39.965089948194183</c:v>
                </c:pt>
                <c:pt idx="16" formatCode="0.00">
                  <c:v>40.088912531558393</c:v>
                </c:pt>
                <c:pt idx="17" formatCode="0.00">
                  <c:v>40.213118750544382</c:v>
                </c:pt>
                <c:pt idx="18" formatCode="0.00">
                  <c:v>40.337709793759075</c:v>
                </c:pt>
                <c:pt idx="19" formatCode="0.00">
                  <c:v>40.462686853490894</c:v>
                </c:pt>
                <c:pt idx="20" formatCode="0.00">
                  <c:v>40.58805112572319</c:v>
                </c:pt>
                <c:pt idx="21" formatCode="0.00">
                  <c:v>40.713803810143787</c:v>
                </c:pt>
                <c:pt idx="22" formatCode="0.00">
                  <c:v>40.839946110158152</c:v>
                </c:pt>
                <c:pt idx="23" formatCode="0.00">
                  <c:v>40.966479232900063</c:v>
                </c:pt>
                <c:pt idx="24" formatCode="0.00">
                  <c:v>41.093404389242934</c:v>
                </c:pt>
                <c:pt idx="25" formatCode="0.00">
                  <c:v>41.220722793813131</c:v>
                </c:pt>
                <c:pt idx="26" formatCode="0.00">
                  <c:v>41.348435664998355</c:v>
                </c:pt>
                <c:pt idx="27" formatCode="0.00">
                  <c:v>41.476544224962474</c:v>
                </c:pt>
                <c:pt idx="28" formatCode="0.00">
                  <c:v>41.605049699655574</c:v>
                </c:pt>
                <c:pt idx="29" formatCode="0.00">
                  <c:v>41.733953318826394</c:v>
                </c:pt>
                <c:pt idx="30" formatCode="0.00">
                  <c:v>41.863256316032597</c:v>
                </c:pt>
              </c:numCache>
            </c:numRef>
          </c:val>
          <c:smooth val="1"/>
        </c:ser>
        <c:dLbls>
          <c:showLegendKey val="0"/>
          <c:showVal val="0"/>
          <c:showCatName val="0"/>
          <c:showSerName val="0"/>
          <c:showPercent val="0"/>
          <c:showBubbleSize val="0"/>
        </c:dLbls>
        <c:marker val="1"/>
        <c:smooth val="0"/>
        <c:axId val="422151296"/>
        <c:axId val="422152832"/>
      </c:lineChart>
      <c:catAx>
        <c:axId val="422151296"/>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422152832"/>
        <c:crosses val="autoZero"/>
        <c:auto val="1"/>
        <c:lblAlgn val="ctr"/>
        <c:lblOffset val="100"/>
        <c:noMultiLvlLbl val="0"/>
      </c:catAx>
      <c:valAx>
        <c:axId val="422152832"/>
        <c:scaling>
          <c:orientation val="minMax"/>
          <c:max val="60"/>
          <c:min val="0"/>
        </c:scaling>
        <c:delete val="0"/>
        <c:axPos val="l"/>
        <c:majorGridlines/>
        <c:title>
          <c:tx>
            <c:rich>
              <a:bodyPr rot="0" vert="horz"/>
              <a:lstStyle/>
              <a:p>
                <a:pPr algn="l">
                  <a:defRPr/>
                </a:pPr>
                <a:r>
                  <a:rPr lang="it-IT"/>
                  <a:t>Tiempo</a:t>
                </a:r>
                <a:r>
                  <a:rPr lang="it-IT" baseline="0"/>
                  <a:t> Medio de Viaje [min]</a:t>
                </a:r>
                <a:endParaRPr lang="it-IT"/>
              </a:p>
            </c:rich>
          </c:tx>
          <c:layout>
            <c:manualLayout>
              <c:xMode val="edge"/>
              <c:yMode val="edge"/>
              <c:x val="1.6369153897671167E-3"/>
              <c:y val="2.635647970832879E-3"/>
            </c:manualLayout>
          </c:layout>
          <c:overlay val="0"/>
        </c:title>
        <c:numFmt formatCode="#,##0.00" sourceLinked="1"/>
        <c:majorTickMark val="out"/>
        <c:minorTickMark val="none"/>
        <c:tickLblPos val="nextTo"/>
        <c:crossAx val="422151296"/>
        <c:crosses val="autoZero"/>
        <c:crossBetween val="between"/>
        <c:majorUnit val="5"/>
      </c:valAx>
    </c:plotArea>
    <c:legend>
      <c:legendPos val="r"/>
      <c:layout>
        <c:manualLayout>
          <c:xMode val="edge"/>
          <c:yMode val="edge"/>
          <c:x val="0.63470744938283064"/>
          <c:y val="0.73011135953684791"/>
          <c:w val="0.31024665743612623"/>
          <c:h val="0.14608707862134521"/>
        </c:manualLayout>
      </c:layout>
      <c:overlay val="0"/>
      <c:spPr>
        <a:solidFill>
          <a:sysClr val="window" lastClr="FFFFFF"/>
        </a:solidFill>
      </c:spPr>
    </c:legend>
    <c:plotVisOnly val="1"/>
    <c:dispBlanksAs val="gap"/>
    <c:showDLblsOverMax val="0"/>
  </c:chart>
  <c:spPr>
    <a:ln>
      <a:no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16454499148688"/>
          <c:y val="0.13547367930486418"/>
          <c:w val="0.85131559357924169"/>
          <c:h val="0.70145677016457564"/>
        </c:manualLayout>
      </c:layout>
      <c:lineChart>
        <c:grouping val="standard"/>
        <c:varyColors val="0"/>
        <c:ser>
          <c:idx val="0"/>
          <c:order val="0"/>
          <c:tx>
            <c:strRef>
              <c:f>Progressione!$AB$3</c:f>
              <c:strCache>
                <c:ptCount val="1"/>
                <c:pt idx="0">
                  <c:v>DO NOTHING</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Progressione!$AB$10:$AB$40</c:f>
            </c:numRef>
          </c:val>
          <c:smooth val="0"/>
        </c:ser>
        <c:ser>
          <c:idx val="1"/>
          <c:order val="1"/>
          <c:tx>
            <c:strRef>
              <c:f>Progressione!$AC$3</c:f>
              <c:strCache>
                <c:ptCount val="1"/>
                <c:pt idx="0">
                  <c:v>SITUACIÓN OPTIMIZADA</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Progressione!$AC$10:$AC$40</c:f>
              <c:numCache>
                <c:formatCode>#,##0</c:formatCode>
                <c:ptCount val="31"/>
                <c:pt idx="0">
                  <c:v>2420649.6635604072</c:v>
                </c:pt>
                <c:pt idx="1">
                  <c:v>2498645.5580670657</c:v>
                </c:pt>
                <c:pt idx="2">
                  <c:v>2579154.5628562658</c:v>
                </c:pt>
                <c:pt idx="3">
                  <c:v>2629709.6903970605</c:v>
                </c:pt>
                <c:pt idx="4">
                  <c:v>2681255.7709258897</c:v>
                </c:pt>
                <c:pt idx="5">
                  <c:v>2733812.2285421933</c:v>
                </c:pt>
                <c:pt idx="6">
                  <c:v>2787398.8680855967</c:v>
                </c:pt>
                <c:pt idx="7">
                  <c:v>2842035.8825990297</c:v>
                </c:pt>
                <c:pt idx="8">
                  <c:v>2897743.8609379451</c:v>
                </c:pt>
                <c:pt idx="9">
                  <c:v>2954543.7955289292</c:v>
                </c:pt>
                <c:pt idx="10">
                  <c:v>3012457.0902802167</c:v>
                </c:pt>
                <c:pt idx="11">
                  <c:v>3071505.5686473208</c:v>
                </c:pt>
                <c:pt idx="12">
                  <c:v>3131711.481856849</c:v>
                </c:pt>
                <c:pt idx="13">
                  <c:v>3193097.5172912297</c:v>
                </c:pt>
                <c:pt idx="14">
                  <c:v>3255686.8070382103</c:v>
                </c:pt>
                <c:pt idx="15">
                  <c:v>3319502.9366075867</c:v>
                </c:pt>
                <c:pt idx="16">
                  <c:v>3384569.9538189969</c:v>
                </c:pt>
                <c:pt idx="17">
                  <c:v>3450912.3778637853</c:v>
                </c:pt>
                <c:pt idx="18">
                  <c:v>3518555.2085446287</c:v>
                </c:pt>
                <c:pt idx="19">
                  <c:v>3587523.9356961753</c:v>
                </c:pt>
                <c:pt idx="20">
                  <c:v>3657844.5487903822</c:v>
                </c:pt>
                <c:pt idx="21">
                  <c:v>3729543.5467301332</c:v>
                </c:pt>
                <c:pt idx="22">
                  <c:v>3802647.9478347539</c:v>
                </c:pt>
                <c:pt idx="23">
                  <c:v>3877185.3000214444</c:v>
                </c:pt>
                <c:pt idx="24">
                  <c:v>3953183.6911860309</c:v>
                </c:pt>
                <c:pt idx="25">
                  <c:v>4030671.7597873872</c:v>
                </c:pt>
                <c:pt idx="26">
                  <c:v>4109678.7056392287</c:v>
                </c:pt>
                <c:pt idx="27">
                  <c:v>4190234.3009135067</c:v>
                </c:pt>
                <c:pt idx="28">
                  <c:v>4272368.9013594603</c:v>
                </c:pt>
                <c:pt idx="29">
                  <c:v>4356113.4577424275</c:v>
                </c:pt>
                <c:pt idx="30">
                  <c:v>4441499.5275072707</c:v>
                </c:pt>
              </c:numCache>
            </c:numRef>
          </c:val>
          <c:smooth val="1"/>
        </c:ser>
        <c:ser>
          <c:idx val="2"/>
          <c:order val="2"/>
          <c:tx>
            <c:strRef>
              <c:f>Progressione!$AD$3</c:f>
              <c:strCache>
                <c:ptCount val="1"/>
                <c:pt idx="0">
                  <c:v>PROYECTO</c:v>
                </c:pt>
              </c:strCache>
            </c:strRef>
          </c:tx>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Progressione!$AD$10:$AD$40</c:f>
              <c:numCache>
                <c:formatCode>#,##0</c:formatCode>
                <c:ptCount val="31"/>
                <c:pt idx="0">
                  <c:v>2378810.1474889591</c:v>
                </c:pt>
                <c:pt idx="1">
                  <c:v>2427874.0760375317</c:v>
                </c:pt>
                <c:pt idx="2">
                  <c:v>2477949.9681037082</c:v>
                </c:pt>
                <c:pt idx="3">
                  <c:v>2522603.1140396097</c:v>
                </c:pt>
                <c:pt idx="4">
                  <c:v>2568060.9184502661</c:v>
                </c:pt>
                <c:pt idx="5">
                  <c:v>2614337.8814398088</c:v>
                </c:pt>
                <c:pt idx="6">
                  <c:v>2661448.7644068971</c:v>
                </c:pt>
                <c:pt idx="7">
                  <c:v>2709408.5947536244</c:v>
                </c:pt>
                <c:pt idx="8">
                  <c:v>2758232.6706787907</c:v>
                </c:pt>
                <c:pt idx="9">
                  <c:v>2807936.5660577547</c:v>
                </c:pt>
                <c:pt idx="10">
                  <c:v>2858536.1354101687</c:v>
                </c:pt>
                <c:pt idx="11">
                  <c:v>2910047.5189572158</c:v>
                </c:pt>
                <c:pt idx="12">
                  <c:v>2962487.1477701925</c:v>
                </c:pt>
                <c:pt idx="13">
                  <c:v>3015871.7490112479</c:v>
                </c:pt>
                <c:pt idx="14">
                  <c:v>3070218.3512695483</c:v>
                </c:pt>
                <c:pt idx="15">
                  <c:v>3125544.2899926682</c:v>
                </c:pt>
                <c:pt idx="16">
                  <c:v>3181867.213016374</c:v>
                </c:pt>
                <c:pt idx="17">
                  <c:v>3239205.0861939127</c:v>
                </c:pt>
                <c:pt idx="18">
                  <c:v>3297576.1991267353</c:v>
                </c:pt>
                <c:pt idx="19">
                  <c:v>3356999.1709985114</c:v>
                </c:pt>
                <c:pt idx="20">
                  <c:v>3417492.9565142617</c:v>
                </c:pt>
                <c:pt idx="21">
                  <c:v>3479076.8519465253</c:v>
                </c:pt>
                <c:pt idx="22">
                  <c:v>3541770.5012904722</c:v>
                </c:pt>
                <c:pt idx="23">
                  <c:v>3605593.9025298953</c:v>
                </c:pt>
                <c:pt idx="24">
                  <c:v>3670567.4140162468</c:v>
                </c:pt>
                <c:pt idx="25">
                  <c:v>3736711.7609624388</c:v>
                </c:pt>
                <c:pt idx="26">
                  <c:v>3804048.0420538057</c:v>
                </c:pt>
                <c:pt idx="27">
                  <c:v>3872597.7361781499</c:v>
                </c:pt>
                <c:pt idx="28">
                  <c:v>3942382.7092770482</c:v>
                </c:pt>
                <c:pt idx="29">
                  <c:v>4013425.2213206482</c:v>
                </c:pt>
                <c:pt idx="30">
                  <c:v>4085747.9334081267</c:v>
                </c:pt>
              </c:numCache>
            </c:numRef>
          </c:val>
          <c:smooth val="0"/>
        </c:ser>
        <c:ser>
          <c:idx val="3"/>
          <c:order val="3"/>
          <c:tx>
            <c:strRef>
              <c:f>Progressione!$AE$3</c:f>
              <c:strCache>
                <c:ptCount val="1"/>
                <c:pt idx="0">
                  <c:v>PROYECTO + RED BASICA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Progressione!$AE$10:$AE$40</c:f>
              <c:numCache>
                <c:formatCode>General</c:formatCode>
                <c:ptCount val="31"/>
                <c:pt idx="12" formatCode="#,##0.00">
                  <c:v>2768213.8052403247</c:v>
                </c:pt>
                <c:pt idx="13" formatCode="#,##0">
                  <c:v>2818097.5626277877</c:v>
                </c:pt>
                <c:pt idx="14" formatCode="#,##0">
                  <c:v>2868880.2351374617</c:v>
                </c:pt>
                <c:pt idx="15" formatCode="#,##0">
                  <c:v>2920578.0213967212</c:v>
                </c:pt>
                <c:pt idx="16" formatCode="#,##0">
                  <c:v>2973207.4119353658</c:v>
                </c:pt>
                <c:pt idx="17" formatCode="#,##0">
                  <c:v>3026785.1944457847</c:v>
                </c:pt>
                <c:pt idx="18" formatCode="#,##0">
                  <c:v>3081328.4591379357</c:v>
                </c:pt>
                <c:pt idx="19" formatCode="#,##0">
                  <c:v>3136854.6041906397</c:v>
                </c:pt>
                <c:pt idx="20" formatCode="#,##0">
                  <c:v>3193381.3413013667</c:v>
                </c:pt>
                <c:pt idx="21" formatCode="#,##0">
                  <c:v>3250926.7013358981</c:v>
                </c:pt>
                <c:pt idx="22" formatCode="#,##0">
                  <c:v>3309509.040079684</c:v>
                </c:pt>
                <c:pt idx="23" formatCode="#,##0">
                  <c:v>3369147.0440930934</c:v>
                </c:pt>
                <c:pt idx="24" formatCode="#,##0">
                  <c:v>3429859.7366719758</c:v>
                </c:pt>
                <c:pt idx="25" formatCode="#,##0">
                  <c:v>3491666.4839157057</c:v>
                </c:pt>
                <c:pt idx="26" formatCode="#,##0">
                  <c:v>3554587.0009046067</c:v>
                </c:pt>
                <c:pt idx="27" formatCode="#,##0">
                  <c:v>3618641.3579886057</c:v>
                </c:pt>
                <c:pt idx="28" formatCode="#,##0">
                  <c:v>3683849.9871892687</c:v>
                </c:pt>
                <c:pt idx="29" formatCode="#,##0">
                  <c:v>3750233.6887172507</c:v>
                </c:pt>
                <c:pt idx="30" formatCode="#,##0">
                  <c:v>3817813.6376070557</c:v>
                </c:pt>
              </c:numCache>
            </c:numRef>
          </c:val>
          <c:smooth val="1"/>
        </c:ser>
        <c:dLbls>
          <c:showLegendKey val="0"/>
          <c:showVal val="0"/>
          <c:showCatName val="0"/>
          <c:showSerName val="0"/>
          <c:showPercent val="0"/>
          <c:showBubbleSize val="0"/>
        </c:dLbls>
        <c:marker val="1"/>
        <c:smooth val="0"/>
        <c:axId val="422200448"/>
        <c:axId val="422201984"/>
      </c:lineChart>
      <c:catAx>
        <c:axId val="422200448"/>
        <c:scaling>
          <c:orientation val="minMax"/>
        </c:scaling>
        <c:delete val="0"/>
        <c:axPos val="b"/>
        <c:numFmt formatCode="General" sourceLinked="1"/>
        <c:majorTickMark val="out"/>
        <c:minorTickMark val="none"/>
        <c:tickLblPos val="nextTo"/>
        <c:txPr>
          <a:bodyPr rot="-5400000" vert="horz"/>
          <a:lstStyle/>
          <a:p>
            <a:pPr>
              <a:defRPr>
                <a:latin typeface="Arial" pitchFamily="34" charset="0"/>
                <a:cs typeface="Arial" pitchFamily="34" charset="0"/>
              </a:defRPr>
            </a:pPr>
            <a:endParaRPr lang="en-US"/>
          </a:p>
        </c:txPr>
        <c:crossAx val="422201984"/>
        <c:crosses val="autoZero"/>
        <c:auto val="1"/>
        <c:lblAlgn val="ctr"/>
        <c:lblOffset val="100"/>
        <c:noMultiLvlLbl val="0"/>
      </c:catAx>
      <c:valAx>
        <c:axId val="422201984"/>
        <c:scaling>
          <c:orientation val="minMax"/>
          <c:max val="6000000"/>
          <c:min val="0"/>
        </c:scaling>
        <c:delete val="0"/>
        <c:axPos val="l"/>
        <c:majorGridlines/>
        <c:title>
          <c:tx>
            <c:rich>
              <a:bodyPr rot="0" vert="horz"/>
              <a:lstStyle/>
              <a:p>
                <a:pPr algn="l">
                  <a:defRPr/>
                </a:pPr>
                <a:r>
                  <a:rPr lang="it-IT"/>
                  <a:t>Tiempo Total de Viaje [horas/año *1000]</a:t>
                </a:r>
              </a:p>
            </c:rich>
          </c:tx>
          <c:layout>
            <c:manualLayout>
              <c:xMode val="edge"/>
              <c:yMode val="edge"/>
              <c:x val="1.4300624839801261E-3"/>
              <c:y val="2.7640867987536343E-4"/>
            </c:manualLayout>
          </c:layout>
          <c:overlay val="0"/>
        </c:title>
        <c:numFmt formatCode="#,##0" sourceLinked="1"/>
        <c:majorTickMark val="out"/>
        <c:minorTickMark val="none"/>
        <c:tickLblPos val="nextTo"/>
        <c:txPr>
          <a:bodyPr/>
          <a:lstStyle/>
          <a:p>
            <a:pPr>
              <a:defRPr>
                <a:latin typeface="Arial" pitchFamily="34" charset="0"/>
                <a:cs typeface="Arial" pitchFamily="34" charset="0"/>
              </a:defRPr>
            </a:pPr>
            <a:endParaRPr lang="en-US"/>
          </a:p>
        </c:txPr>
        <c:crossAx val="422200448"/>
        <c:crosses val="autoZero"/>
        <c:crossBetween val="between"/>
        <c:majorUnit val="500000"/>
      </c:valAx>
    </c:plotArea>
    <c:legend>
      <c:legendPos val="r"/>
      <c:layout>
        <c:manualLayout>
          <c:xMode val="edge"/>
          <c:yMode val="edge"/>
          <c:x val="0.59917956074330747"/>
          <c:y val="0.67156027878708013"/>
          <c:w val="0.37839435914299896"/>
          <c:h val="0.14608707862134521"/>
        </c:manualLayout>
      </c:layout>
      <c:overlay val="0"/>
      <c:spPr>
        <a:solidFill>
          <a:sysClr val="window" lastClr="FFFFFF"/>
        </a:solidFill>
      </c:spPr>
    </c:legend>
    <c:plotVisOnly val="1"/>
    <c:dispBlanksAs val="gap"/>
    <c:showDLblsOverMax val="0"/>
  </c:chart>
  <c:spPr>
    <a:solidFill>
      <a:schemeClr val="bg1"/>
    </a:solidFill>
    <a:ln>
      <a:noFill/>
    </a:ln>
  </c:spPr>
  <c:txPr>
    <a:bodyPr/>
    <a:lstStyle/>
    <a:p>
      <a:pPr>
        <a:defRPr sz="900">
          <a:latin typeface="Arial Narrow" pitchFamily="34" charset="0"/>
        </a:defRPr>
      </a:pPr>
      <a:endParaRPr lang="en-US"/>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16454499148688"/>
          <c:y val="0.15117289351176791"/>
          <c:w val="0.85131559357924169"/>
          <c:h val="0.69408341572502252"/>
        </c:manualLayout>
      </c:layout>
      <c:lineChart>
        <c:grouping val="standard"/>
        <c:varyColors val="0"/>
        <c:ser>
          <c:idx val="0"/>
          <c:order val="0"/>
          <c:tx>
            <c:strRef>
              <c:f>Progressione!$AF$3</c:f>
              <c:strCache>
                <c:ptCount val="1"/>
                <c:pt idx="0">
                  <c:v>PROYECTO vs OPTIMIZADA</c:v>
                </c:pt>
              </c:strCache>
            </c:strRef>
          </c:tx>
          <c:spPr>
            <a:ln>
              <a:solidFill>
                <a:srgbClr val="92D050"/>
              </a:solidFill>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Progressione!$AF$10:$AF$40</c:f>
              <c:numCache>
                <c:formatCode>#,##0</c:formatCode>
                <c:ptCount val="31"/>
                <c:pt idx="0">
                  <c:v>41839.516071448561</c:v>
                </c:pt>
                <c:pt idx="1">
                  <c:v>70771.482029539518</c:v>
                </c:pt>
                <c:pt idx="2">
                  <c:v>101204.59475253434</c:v>
                </c:pt>
                <c:pt idx="3">
                  <c:v>107106.57635744661</c:v>
                </c:pt>
                <c:pt idx="4">
                  <c:v>113194.85247559239</c:v>
                </c:pt>
                <c:pt idx="5">
                  <c:v>119474.34710238455</c:v>
                </c:pt>
                <c:pt idx="6">
                  <c:v>125950.10367871261</c:v>
                </c:pt>
                <c:pt idx="7">
                  <c:v>132627.28784540764</c:v>
                </c:pt>
                <c:pt idx="8">
                  <c:v>139511.19025915311</c:v>
                </c:pt>
                <c:pt idx="9">
                  <c:v>146607.22947117078</c:v>
                </c:pt>
                <c:pt idx="10">
                  <c:v>153920.95487004705</c:v>
                </c:pt>
                <c:pt idx="11">
                  <c:v>161458.04969009268</c:v>
                </c:pt>
                <c:pt idx="12">
                  <c:v>169224.33408667633</c:v>
                </c:pt>
                <c:pt idx="13">
                  <c:v>177225.76827998491</c:v>
                </c:pt>
                <c:pt idx="14">
                  <c:v>185468.45576866204</c:v>
                </c:pt>
                <c:pt idx="15">
                  <c:v>193958.64661492547</c:v>
                </c:pt>
                <c:pt idx="16">
                  <c:v>202702.74080262287</c:v>
                </c:pt>
                <c:pt idx="17">
                  <c:v>211707.29166987212</c:v>
                </c:pt>
                <c:pt idx="18">
                  <c:v>220979.0094178922</c:v>
                </c:pt>
                <c:pt idx="19">
                  <c:v>230524.76469766395</c:v>
                </c:pt>
                <c:pt idx="20">
                  <c:v>240351.59227611971</c:v>
                </c:pt>
                <c:pt idx="21">
                  <c:v>250466.69478359525</c:v>
                </c:pt>
                <c:pt idx="22">
                  <c:v>260877.44654429145</c:v>
                </c:pt>
                <c:pt idx="23">
                  <c:v>271591.3974915492</c:v>
                </c:pt>
                <c:pt idx="24">
                  <c:v>282616.27716978407</c:v>
                </c:pt>
                <c:pt idx="25">
                  <c:v>293959.99882494455</c:v>
                </c:pt>
                <c:pt idx="26">
                  <c:v>305630.66358542652</c:v>
                </c:pt>
                <c:pt idx="27">
                  <c:v>317636.56473536883</c:v>
                </c:pt>
                <c:pt idx="28">
                  <c:v>329986.19208240398</c:v>
                </c:pt>
                <c:pt idx="29">
                  <c:v>342688.23642178997</c:v>
                </c:pt>
                <c:pt idx="30">
                  <c:v>355751.59409913392</c:v>
                </c:pt>
              </c:numCache>
            </c:numRef>
          </c:val>
          <c:smooth val="0"/>
        </c:ser>
        <c:ser>
          <c:idx val="1"/>
          <c:order val="1"/>
          <c:tx>
            <c:strRef>
              <c:f>Progressione!$AG$3</c:f>
              <c:strCache>
                <c:ptCount val="1"/>
                <c:pt idx="0">
                  <c:v>PROYECTO + RED BASICA vs OPTIMIZADA</c:v>
                </c:pt>
              </c:strCache>
            </c:strRef>
          </c:tx>
          <c:spPr>
            <a:ln>
              <a:solidFill>
                <a:srgbClr val="92D050"/>
              </a:solidFill>
              <a:prstDash val="sysDash"/>
            </a:ln>
          </c:spPr>
          <c:marker>
            <c:symbol val="none"/>
          </c:marker>
          <c:cat>
            <c:numRef>
              <c:f>Progressione!$A$10:$A$40</c:f>
              <c:numCache>
                <c:formatCode>General</c:formatCode>
                <c:ptCount val="31"/>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numCache>
            </c:numRef>
          </c:cat>
          <c:val>
            <c:numRef>
              <c:f>Progressione!$AG$10:$AG$40</c:f>
              <c:numCache>
                <c:formatCode>General</c:formatCode>
                <c:ptCount val="31"/>
                <c:pt idx="12" formatCode="#,##0.00">
                  <c:v>363497.67661650805</c:v>
                </c:pt>
                <c:pt idx="13" formatCode="#,##0">
                  <c:v>374999.95466344588</c:v>
                </c:pt>
                <c:pt idx="14" formatCode="#,##0">
                  <c:v>386806.57190074719</c:v>
                </c:pt>
                <c:pt idx="15" formatCode="#,##0">
                  <c:v>398924.91521087586</c:v>
                </c:pt>
                <c:pt idx="16" formatCode="#,##0">
                  <c:v>411362.54188363114</c:v>
                </c:pt>
                <c:pt idx="17" formatCode="#,##0">
                  <c:v>424127.18341798661</c:v>
                </c:pt>
                <c:pt idx="18" formatCode="#,##0">
                  <c:v>437226.74940669321</c:v>
                </c:pt>
                <c:pt idx="19" formatCode="#,##0">
                  <c:v>450669.33150553564</c:v>
                </c:pt>
                <c:pt idx="20" formatCode="#,##0">
                  <c:v>464463.2074890022</c:v>
                </c:pt>
                <c:pt idx="21" formatCode="#,##0">
                  <c:v>478616.84539422253</c:v>
                </c:pt>
                <c:pt idx="22" formatCode="#,##0">
                  <c:v>493138.90775506984</c:v>
                </c:pt>
                <c:pt idx="23" formatCode="#,##0">
                  <c:v>508038.25592835085</c:v>
                </c:pt>
                <c:pt idx="24" formatCode="#,##0">
                  <c:v>523323.95451405522</c:v>
                </c:pt>
                <c:pt idx="25" formatCode="#,##0">
                  <c:v>539005.27587166836</c:v>
                </c:pt>
                <c:pt idx="26" formatCode="#,##0">
                  <c:v>555091.70473461738</c:v>
                </c:pt>
                <c:pt idx="27" formatCode="#,##0">
                  <c:v>571592.94292491255</c:v>
                </c:pt>
                <c:pt idx="28" formatCode="#,##0">
                  <c:v>588518.91417017137</c:v>
                </c:pt>
                <c:pt idx="29" formatCode="#,##0">
                  <c:v>605879.7690251834</c:v>
                </c:pt>
                <c:pt idx="30" formatCode="#,##0">
                  <c:v>623685.88990021218</c:v>
                </c:pt>
              </c:numCache>
            </c:numRef>
          </c:val>
          <c:smooth val="1"/>
        </c:ser>
        <c:dLbls>
          <c:showLegendKey val="0"/>
          <c:showVal val="0"/>
          <c:showCatName val="0"/>
          <c:showSerName val="0"/>
          <c:showPercent val="0"/>
          <c:showBubbleSize val="0"/>
        </c:dLbls>
        <c:marker val="1"/>
        <c:smooth val="0"/>
        <c:axId val="422239616"/>
        <c:axId val="422245504"/>
      </c:lineChart>
      <c:catAx>
        <c:axId val="422239616"/>
        <c:scaling>
          <c:orientation val="minMax"/>
        </c:scaling>
        <c:delete val="0"/>
        <c:axPos val="b"/>
        <c:numFmt formatCode="General" sourceLinked="1"/>
        <c:majorTickMark val="out"/>
        <c:minorTickMark val="none"/>
        <c:tickLblPos val="nextTo"/>
        <c:txPr>
          <a:bodyPr rot="-5400000" vert="horz"/>
          <a:lstStyle/>
          <a:p>
            <a:pPr>
              <a:defRPr>
                <a:latin typeface="Arial" pitchFamily="34" charset="0"/>
                <a:cs typeface="Arial" pitchFamily="34" charset="0"/>
              </a:defRPr>
            </a:pPr>
            <a:endParaRPr lang="en-US"/>
          </a:p>
        </c:txPr>
        <c:crossAx val="422245504"/>
        <c:crosses val="autoZero"/>
        <c:auto val="1"/>
        <c:lblAlgn val="ctr"/>
        <c:lblOffset val="100"/>
        <c:noMultiLvlLbl val="0"/>
      </c:catAx>
      <c:valAx>
        <c:axId val="422245504"/>
        <c:scaling>
          <c:orientation val="minMax"/>
        </c:scaling>
        <c:delete val="0"/>
        <c:axPos val="l"/>
        <c:majorGridlines/>
        <c:title>
          <c:tx>
            <c:rich>
              <a:bodyPr rot="0" vert="horz"/>
              <a:lstStyle/>
              <a:p>
                <a:pPr algn="l">
                  <a:defRPr/>
                </a:pPr>
                <a:r>
                  <a:rPr lang="it-IT"/>
                  <a:t>Ahorr</a:t>
                </a:r>
                <a:r>
                  <a:rPr lang="it-IT" baseline="0"/>
                  <a:t>o de Tiempo </a:t>
                </a:r>
                <a:r>
                  <a:rPr lang="it-IT"/>
                  <a:t>[horas/año *1000]</a:t>
                </a:r>
              </a:p>
            </c:rich>
          </c:tx>
          <c:layout>
            <c:manualLayout>
              <c:xMode val="edge"/>
              <c:yMode val="edge"/>
              <c:x val="1.4301313850191518E-3"/>
              <c:y val="1.9844106513297172E-2"/>
            </c:manualLayout>
          </c:layout>
          <c:overlay val="0"/>
        </c:title>
        <c:numFmt formatCode="#,##0" sourceLinked="1"/>
        <c:majorTickMark val="out"/>
        <c:minorTickMark val="none"/>
        <c:tickLblPos val="nextTo"/>
        <c:txPr>
          <a:bodyPr/>
          <a:lstStyle/>
          <a:p>
            <a:pPr>
              <a:defRPr>
                <a:latin typeface="Arial" pitchFamily="34" charset="0"/>
                <a:cs typeface="Arial" pitchFamily="34" charset="0"/>
              </a:defRPr>
            </a:pPr>
            <a:endParaRPr lang="en-US"/>
          </a:p>
        </c:txPr>
        <c:crossAx val="422239616"/>
        <c:crosses val="autoZero"/>
        <c:crossBetween val="between"/>
        <c:majorUnit val="50000"/>
      </c:valAx>
    </c:plotArea>
    <c:legend>
      <c:legendPos val="r"/>
      <c:layout>
        <c:manualLayout>
          <c:xMode val="edge"/>
          <c:yMode val="edge"/>
          <c:x val="0.53594355505771751"/>
          <c:y val="0.73100186004651024"/>
          <c:w val="0.44631066417892234"/>
          <c:h val="8.6616708696185124E-2"/>
        </c:manualLayout>
      </c:layout>
      <c:overlay val="0"/>
      <c:spPr>
        <a:solidFill>
          <a:sysClr val="window" lastClr="FFFFFF"/>
        </a:solidFill>
      </c:spPr>
    </c:legend>
    <c:plotVisOnly val="1"/>
    <c:dispBlanksAs val="gap"/>
    <c:showDLblsOverMax val="0"/>
  </c:chart>
  <c:spPr>
    <a:solidFill>
      <a:schemeClr val="bg1"/>
    </a:solidFill>
    <a:ln>
      <a:noFill/>
    </a:ln>
  </c:spPr>
  <c:txPr>
    <a:bodyPr/>
    <a:lstStyle/>
    <a:p>
      <a:pPr>
        <a:defRPr sz="900">
          <a:latin typeface="Arial Narrow"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770793993529314E-2"/>
          <c:y val="4.6531028991059847E-2"/>
          <c:w val="0.91767469511490063"/>
          <c:h val="0.44198834496757688"/>
        </c:manualLayout>
      </c:layout>
      <c:barChart>
        <c:barDir val="col"/>
        <c:grouping val="clustered"/>
        <c:varyColors val="0"/>
        <c:ser>
          <c:idx val="0"/>
          <c:order val="0"/>
          <c:tx>
            <c:v>HPM</c:v>
          </c:tx>
          <c:invertIfNegative val="0"/>
          <c:cat>
            <c:strRef>
              <c:f>TARYET!$C$34:$C$56</c:f>
              <c:strCache>
                <c:ptCount val="23"/>
                <c:pt idx="0">
                  <c:v>Ovalo 200 Millas</c:v>
                </c:pt>
                <c:pt idx="1">
                  <c:v>Canta Callao</c:v>
                </c:pt>
                <c:pt idx="2">
                  <c:v>Boca Negra</c:v>
                </c:pt>
                <c:pt idx="3">
                  <c:v>Tomas Valle</c:v>
                </c:pt>
                <c:pt idx="4">
                  <c:v>Quilca</c:v>
                </c:pt>
                <c:pt idx="5">
                  <c:v>Oscar R. Benavides</c:v>
                </c:pt>
                <c:pt idx="6">
                  <c:v>Venezuela</c:v>
                </c:pt>
                <c:pt idx="7">
                  <c:v>La Marina</c:v>
                </c:pt>
                <c:pt idx="8">
                  <c:v>Faucett</c:v>
                </c:pt>
                <c:pt idx="9">
                  <c:v>Rafael Escardo</c:v>
                </c:pt>
                <c:pt idx="10">
                  <c:v>Universitaria</c:v>
                </c:pt>
                <c:pt idx="11">
                  <c:v>Mariacal Castilla</c:v>
                </c:pt>
                <c:pt idx="12">
                  <c:v>Brasil</c:v>
                </c:pt>
                <c:pt idx="13">
                  <c:v>Salaverry</c:v>
                </c:pt>
                <c:pt idx="14">
                  <c:v>Arequipa</c:v>
                </c:pt>
                <c:pt idx="15">
                  <c:v>Paseo de la Republica</c:v>
                </c:pt>
                <c:pt idx="16">
                  <c:v>Jose Galvez</c:v>
                </c:pt>
                <c:pt idx="17">
                  <c:v>Aviación</c:v>
                </c:pt>
                <c:pt idx="18">
                  <c:v>San Luis</c:v>
                </c:pt>
                <c:pt idx="19">
                  <c:v>Panamericana Sur</c:v>
                </c:pt>
                <c:pt idx="20">
                  <c:v>Las Palmeras</c:v>
                </c:pt>
                <c:pt idx="21">
                  <c:v>La Molina</c:v>
                </c:pt>
                <c:pt idx="22">
                  <c:v>Melgarejo</c:v>
                </c:pt>
              </c:strCache>
            </c:strRef>
          </c:cat>
          <c:val>
            <c:numRef>
              <c:f>TARYET!$M$34:$M$56</c:f>
              <c:numCache>
                <c:formatCode>0.00</c:formatCode>
                <c:ptCount val="23"/>
                <c:pt idx="1">
                  <c:v>1.78</c:v>
                </c:pt>
                <c:pt idx="2">
                  <c:v>2.7600000000000002</c:v>
                </c:pt>
                <c:pt idx="3">
                  <c:v>2.1</c:v>
                </c:pt>
                <c:pt idx="4">
                  <c:v>2.3099999999999987</c:v>
                </c:pt>
                <c:pt idx="5">
                  <c:v>15.02</c:v>
                </c:pt>
                <c:pt idx="6">
                  <c:v>2.82</c:v>
                </c:pt>
                <c:pt idx="7">
                  <c:v>3.03</c:v>
                </c:pt>
                <c:pt idx="8">
                  <c:v>1.55</c:v>
                </c:pt>
                <c:pt idx="9">
                  <c:v>4.58</c:v>
                </c:pt>
                <c:pt idx="10">
                  <c:v>5.41</c:v>
                </c:pt>
                <c:pt idx="11">
                  <c:v>3.13</c:v>
                </c:pt>
                <c:pt idx="12">
                  <c:v>4.1199999999999966</c:v>
                </c:pt>
                <c:pt idx="13">
                  <c:v>1.01</c:v>
                </c:pt>
                <c:pt idx="14">
                  <c:v>11.229999999999999</c:v>
                </c:pt>
                <c:pt idx="15">
                  <c:v>10.030000000000001</c:v>
                </c:pt>
                <c:pt idx="16">
                  <c:v>0.96000000000000063</c:v>
                </c:pt>
                <c:pt idx="17">
                  <c:v>2</c:v>
                </c:pt>
                <c:pt idx="18">
                  <c:v>1.61</c:v>
                </c:pt>
                <c:pt idx="19">
                  <c:v>1.52</c:v>
                </c:pt>
                <c:pt idx="20">
                  <c:v>2.04</c:v>
                </c:pt>
                <c:pt idx="21">
                  <c:v>4.83</c:v>
                </c:pt>
                <c:pt idx="22">
                  <c:v>4.25</c:v>
                </c:pt>
              </c:numCache>
            </c:numRef>
          </c:val>
        </c:ser>
        <c:ser>
          <c:idx val="2"/>
          <c:order val="1"/>
          <c:tx>
            <c:v>HPT</c:v>
          </c:tx>
          <c:invertIfNegative val="0"/>
          <c:cat>
            <c:strRef>
              <c:f>TARYET!$T$5:$T$27</c:f>
              <c:strCache>
                <c:ptCount val="23"/>
                <c:pt idx="0">
                  <c:v>Melgarejo</c:v>
                </c:pt>
                <c:pt idx="1">
                  <c:v>La Molina</c:v>
                </c:pt>
                <c:pt idx="2">
                  <c:v>Las Palmeras</c:v>
                </c:pt>
                <c:pt idx="3">
                  <c:v>Panamericana Sur</c:v>
                </c:pt>
                <c:pt idx="4">
                  <c:v>San Luis</c:v>
                </c:pt>
                <c:pt idx="5">
                  <c:v>Aviación</c:v>
                </c:pt>
                <c:pt idx="6">
                  <c:v>Jose Galvez</c:v>
                </c:pt>
                <c:pt idx="7">
                  <c:v>Paseo de la Republica</c:v>
                </c:pt>
                <c:pt idx="8">
                  <c:v>Arequipa</c:v>
                </c:pt>
                <c:pt idx="9">
                  <c:v>Salaverry</c:v>
                </c:pt>
                <c:pt idx="10">
                  <c:v>Brasil</c:v>
                </c:pt>
                <c:pt idx="11">
                  <c:v>Mariacal Castilla</c:v>
                </c:pt>
                <c:pt idx="12">
                  <c:v>Universitaria</c:v>
                </c:pt>
                <c:pt idx="13">
                  <c:v>Rafael Escardo</c:v>
                </c:pt>
                <c:pt idx="14">
                  <c:v>Faucett</c:v>
                </c:pt>
                <c:pt idx="15">
                  <c:v>La Marina</c:v>
                </c:pt>
                <c:pt idx="16">
                  <c:v>Venezuela</c:v>
                </c:pt>
                <c:pt idx="17">
                  <c:v>Oscar R. Benavides</c:v>
                </c:pt>
                <c:pt idx="18">
                  <c:v>Quilca</c:v>
                </c:pt>
                <c:pt idx="19">
                  <c:v>Tomas Valle</c:v>
                </c:pt>
                <c:pt idx="20">
                  <c:v>Boca Negra</c:v>
                </c:pt>
                <c:pt idx="21">
                  <c:v>Canta Callao</c:v>
                </c:pt>
                <c:pt idx="22">
                  <c:v>Ovalo 200 Millas</c:v>
                </c:pt>
              </c:strCache>
            </c:strRef>
          </c:cat>
          <c:val>
            <c:numRef>
              <c:f>TARYET!$N$34:$N$56</c:f>
              <c:numCache>
                <c:formatCode>0.00</c:formatCode>
                <c:ptCount val="23"/>
                <c:pt idx="1">
                  <c:v>2.23</c:v>
                </c:pt>
                <c:pt idx="2">
                  <c:v>4.07</c:v>
                </c:pt>
                <c:pt idx="3">
                  <c:v>4.7</c:v>
                </c:pt>
                <c:pt idx="4">
                  <c:v>2.0299999999999998</c:v>
                </c:pt>
                <c:pt idx="5">
                  <c:v>5.98</c:v>
                </c:pt>
                <c:pt idx="6">
                  <c:v>2.48</c:v>
                </c:pt>
                <c:pt idx="7">
                  <c:v>4.33</c:v>
                </c:pt>
                <c:pt idx="8">
                  <c:v>1.4</c:v>
                </c:pt>
                <c:pt idx="9">
                  <c:v>3.21</c:v>
                </c:pt>
                <c:pt idx="10">
                  <c:v>6.44</c:v>
                </c:pt>
                <c:pt idx="11">
                  <c:v>3.82</c:v>
                </c:pt>
                <c:pt idx="12">
                  <c:v>1.59</c:v>
                </c:pt>
                <c:pt idx="13">
                  <c:v>3.48</c:v>
                </c:pt>
                <c:pt idx="14">
                  <c:v>13.18</c:v>
                </c:pt>
                <c:pt idx="15">
                  <c:v>9.3500000000000068</c:v>
                </c:pt>
                <c:pt idx="16">
                  <c:v>1.6600000000000001</c:v>
                </c:pt>
                <c:pt idx="17">
                  <c:v>1.9700000000000357</c:v>
                </c:pt>
                <c:pt idx="18">
                  <c:v>2.3499999999999988</c:v>
                </c:pt>
                <c:pt idx="19">
                  <c:v>3.29</c:v>
                </c:pt>
                <c:pt idx="20">
                  <c:v>4.79</c:v>
                </c:pt>
                <c:pt idx="21">
                  <c:v>5.83</c:v>
                </c:pt>
                <c:pt idx="22">
                  <c:v>4.22</c:v>
                </c:pt>
              </c:numCache>
            </c:numRef>
          </c:val>
        </c:ser>
        <c:dLbls>
          <c:showLegendKey val="0"/>
          <c:showVal val="0"/>
          <c:showCatName val="0"/>
          <c:showSerName val="0"/>
          <c:showPercent val="0"/>
          <c:showBubbleSize val="0"/>
        </c:dLbls>
        <c:gapWidth val="300"/>
        <c:axId val="215115264"/>
        <c:axId val="215117184"/>
      </c:barChart>
      <c:catAx>
        <c:axId val="215115264"/>
        <c:scaling>
          <c:orientation val="minMax"/>
        </c:scaling>
        <c:delete val="0"/>
        <c:axPos val="b"/>
        <c:title>
          <c:tx>
            <c:rich>
              <a:bodyPr/>
              <a:lstStyle/>
              <a:p>
                <a:pPr>
                  <a:defRPr lang="es-MX"/>
                </a:pPr>
                <a:r>
                  <a:rPr lang="en-US"/>
                  <a:t>Tramos</a:t>
                </a:r>
              </a:p>
            </c:rich>
          </c:tx>
          <c:overlay val="0"/>
        </c:title>
        <c:majorTickMark val="none"/>
        <c:minorTickMark val="none"/>
        <c:tickLblPos val="nextTo"/>
        <c:txPr>
          <a:bodyPr rot="-5400000" vert="horz"/>
          <a:lstStyle/>
          <a:p>
            <a:pPr>
              <a:defRPr lang="es-MX"/>
            </a:pPr>
            <a:endParaRPr lang="en-US"/>
          </a:p>
        </c:txPr>
        <c:crossAx val="215117184"/>
        <c:crosses val="autoZero"/>
        <c:auto val="1"/>
        <c:lblAlgn val="ctr"/>
        <c:lblOffset val="100"/>
        <c:noMultiLvlLbl val="0"/>
      </c:catAx>
      <c:valAx>
        <c:axId val="215117184"/>
        <c:scaling>
          <c:orientation val="minMax"/>
          <c:max val="30"/>
        </c:scaling>
        <c:delete val="0"/>
        <c:axPos val="l"/>
        <c:majorGridlines/>
        <c:title>
          <c:tx>
            <c:rich>
              <a:bodyPr/>
              <a:lstStyle/>
              <a:p>
                <a:pPr>
                  <a:defRPr lang="es-MX"/>
                </a:pPr>
                <a:r>
                  <a:rPr lang="en-US"/>
                  <a:t>Tiempo</a:t>
                </a:r>
                <a:r>
                  <a:rPr lang="en-US" baseline="0"/>
                  <a:t> de Viaje</a:t>
                </a:r>
                <a:r>
                  <a:rPr lang="en-US"/>
                  <a:t> [min]</a:t>
                </a:r>
              </a:p>
            </c:rich>
          </c:tx>
          <c:overlay val="0"/>
        </c:title>
        <c:numFmt formatCode="0.00" sourceLinked="1"/>
        <c:majorTickMark val="out"/>
        <c:minorTickMark val="none"/>
        <c:tickLblPos val="nextTo"/>
        <c:txPr>
          <a:bodyPr/>
          <a:lstStyle/>
          <a:p>
            <a:pPr>
              <a:defRPr lang="es-MX"/>
            </a:pPr>
            <a:endParaRPr lang="en-US"/>
          </a:p>
        </c:txPr>
        <c:crossAx val="215115264"/>
        <c:crosses val="autoZero"/>
        <c:crossBetween val="between"/>
        <c:minorUnit val="2"/>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54301110176463E-2"/>
          <c:y val="4.6570064328530301E-2"/>
          <c:w val="0.90830210766638819"/>
          <c:h val="0.88967774302870883"/>
        </c:manualLayout>
      </c:layout>
      <c:barChart>
        <c:barDir val="col"/>
        <c:grouping val="clustered"/>
        <c:varyColors val="0"/>
        <c:ser>
          <c:idx val="0"/>
          <c:order val="0"/>
          <c:tx>
            <c:v>HPM</c:v>
          </c:tx>
          <c:invertIfNegative val="0"/>
          <c:cat>
            <c:strRef>
              <c:f>TARYET!$C$64:$C$88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TARYET!$I$64:$I$88</c:f>
              <c:numCache>
                <c:formatCode>0.00</c:formatCode>
                <c:ptCount val="25"/>
                <c:pt idx="1">
                  <c:v>34.32</c:v>
                </c:pt>
                <c:pt idx="2">
                  <c:v>23.6</c:v>
                </c:pt>
                <c:pt idx="3">
                  <c:v>20.400000000000002</c:v>
                </c:pt>
                <c:pt idx="4">
                  <c:v>23.759999999999987</c:v>
                </c:pt>
                <c:pt idx="5">
                  <c:v>26.6</c:v>
                </c:pt>
                <c:pt idx="6">
                  <c:v>31.800000000000004</c:v>
                </c:pt>
                <c:pt idx="7">
                  <c:v>15.234374999999998</c:v>
                </c:pt>
                <c:pt idx="8">
                  <c:v>5.3571428571428346</c:v>
                </c:pt>
                <c:pt idx="9">
                  <c:v>5.64</c:v>
                </c:pt>
                <c:pt idx="10">
                  <c:v>12</c:v>
                </c:pt>
                <c:pt idx="11">
                  <c:v>7.9591836734693882</c:v>
                </c:pt>
                <c:pt idx="12">
                  <c:v>5.6000000000000005</c:v>
                </c:pt>
                <c:pt idx="13">
                  <c:v>9.9600000000000026</c:v>
                </c:pt>
                <c:pt idx="14">
                  <c:v>13.5</c:v>
                </c:pt>
                <c:pt idx="15">
                  <c:v>12.75</c:v>
                </c:pt>
                <c:pt idx="16">
                  <c:v>24.2</c:v>
                </c:pt>
                <c:pt idx="17">
                  <c:v>10.5</c:v>
                </c:pt>
                <c:pt idx="18">
                  <c:v>12.319391634981002</c:v>
                </c:pt>
                <c:pt idx="19">
                  <c:v>30.000000000000004</c:v>
                </c:pt>
                <c:pt idx="20">
                  <c:v>30.299999999999986</c:v>
                </c:pt>
                <c:pt idx="21">
                  <c:v>25.680000000000003</c:v>
                </c:pt>
                <c:pt idx="22">
                  <c:v>17.043478260869566</c:v>
                </c:pt>
                <c:pt idx="23">
                  <c:v>19.759036144578289</c:v>
                </c:pt>
                <c:pt idx="24">
                  <c:v>22.204724409448833</c:v>
                </c:pt>
              </c:numCache>
            </c:numRef>
          </c:val>
        </c:ser>
        <c:ser>
          <c:idx val="1"/>
          <c:order val="1"/>
          <c:tx>
            <c:v>HPT</c:v>
          </c:tx>
          <c:invertIfNegative val="0"/>
          <c:cat>
            <c:strRef>
              <c:f>TARYET!$T$64:$T$88</c:f>
              <c:strCache>
                <c:ptCount val="25"/>
                <c:pt idx="0">
                  <c:v>Argentina</c:v>
                </c:pt>
                <c:pt idx="1">
                  <c:v>Almirante Miguel Grau</c:v>
                </c:pt>
                <c:pt idx="2">
                  <c:v>Santa Rosa</c:v>
                </c:pt>
                <c:pt idx="3">
                  <c:v>Faucett</c:v>
                </c:pt>
                <c:pt idx="4">
                  <c:v>Universitaria</c:v>
                </c:pt>
                <c:pt idx="5">
                  <c:v>La Alborada</c:v>
                </c:pt>
                <c:pt idx="6">
                  <c:v>Tingo Maria</c:v>
                </c:pt>
                <c:pt idx="7">
                  <c:v>Aguarico</c:v>
                </c:pt>
                <c:pt idx="8">
                  <c:v>Bolognesi</c:v>
                </c:pt>
                <c:pt idx="9">
                  <c:v>Salaverry</c:v>
                </c:pt>
                <c:pt idx="10">
                  <c:v>Arequipa</c:v>
                </c:pt>
                <c:pt idx="11">
                  <c:v>Petit Thouars</c:v>
                </c:pt>
                <c:pt idx="12">
                  <c:v>Via Expresa</c:v>
                </c:pt>
                <c:pt idx="13">
                  <c:v>Andahuaylas</c:v>
                </c:pt>
                <c:pt idx="14">
                  <c:v>Parinacochas</c:v>
                </c:pt>
                <c:pt idx="15">
                  <c:v>San Pablo</c:v>
                </c:pt>
                <c:pt idx="16">
                  <c:v>Circunvalacion</c:v>
                </c:pt>
                <c:pt idx="17">
                  <c:v>De Las Torres</c:v>
                </c:pt>
                <c:pt idx="18">
                  <c:v>Via Evitamiento</c:v>
                </c:pt>
                <c:pt idx="19">
                  <c:v>La Molina</c:v>
                </c:pt>
                <c:pt idx="20">
                  <c:v>Colectora Industrial</c:v>
                </c:pt>
                <c:pt idx="21">
                  <c:v>Separadora Industrial</c:v>
                </c:pt>
                <c:pt idx="22">
                  <c:v>Las Azucenas</c:v>
                </c:pt>
                <c:pt idx="23">
                  <c:v>Javier Prado</c:v>
                </c:pt>
                <c:pt idx="24">
                  <c:v>Municipalidad De Ate</c:v>
                </c:pt>
              </c:strCache>
            </c:strRef>
          </c:cat>
          <c:val>
            <c:numRef>
              <c:f>TARYET!$J$64:$J$88</c:f>
              <c:numCache>
                <c:formatCode>0.00</c:formatCode>
                <c:ptCount val="25"/>
                <c:pt idx="1">
                  <c:v>31.086956521739129</c:v>
                </c:pt>
                <c:pt idx="2">
                  <c:v>35.400000000000006</c:v>
                </c:pt>
                <c:pt idx="3">
                  <c:v>35.70000000000001</c:v>
                </c:pt>
                <c:pt idx="4">
                  <c:v>26.109890109891058</c:v>
                </c:pt>
                <c:pt idx="5">
                  <c:v>31.919999999999987</c:v>
                </c:pt>
                <c:pt idx="6">
                  <c:v>31.800000000000004</c:v>
                </c:pt>
                <c:pt idx="7">
                  <c:v>4.4982698961939134</c:v>
                </c:pt>
                <c:pt idx="8">
                  <c:v>6.25</c:v>
                </c:pt>
                <c:pt idx="9">
                  <c:v>3.3853541416566642</c:v>
                </c:pt>
                <c:pt idx="10">
                  <c:v>4</c:v>
                </c:pt>
                <c:pt idx="11">
                  <c:v>3.12</c:v>
                </c:pt>
                <c:pt idx="12">
                  <c:v>4.2</c:v>
                </c:pt>
                <c:pt idx="13">
                  <c:v>4.9800000000000004</c:v>
                </c:pt>
                <c:pt idx="14">
                  <c:v>6.75</c:v>
                </c:pt>
                <c:pt idx="15">
                  <c:v>2.3181818181818192</c:v>
                </c:pt>
                <c:pt idx="16">
                  <c:v>30.893617021276597</c:v>
                </c:pt>
                <c:pt idx="17">
                  <c:v>6.5624999999999956</c:v>
                </c:pt>
                <c:pt idx="18">
                  <c:v>12.15</c:v>
                </c:pt>
                <c:pt idx="19">
                  <c:v>18.575851393188891</c:v>
                </c:pt>
                <c:pt idx="20">
                  <c:v>15.15</c:v>
                </c:pt>
                <c:pt idx="21">
                  <c:v>33.4375</c:v>
                </c:pt>
                <c:pt idx="22">
                  <c:v>13.966745843230404</c:v>
                </c:pt>
                <c:pt idx="23">
                  <c:v>24.848484848484826</c:v>
                </c:pt>
                <c:pt idx="24">
                  <c:v>12.645739910313926</c:v>
                </c:pt>
              </c:numCache>
            </c:numRef>
          </c:val>
        </c:ser>
        <c:dLbls>
          <c:showLegendKey val="0"/>
          <c:showVal val="0"/>
          <c:showCatName val="0"/>
          <c:showSerName val="0"/>
          <c:showPercent val="0"/>
          <c:showBubbleSize val="0"/>
        </c:dLbls>
        <c:gapWidth val="300"/>
        <c:axId val="215137664"/>
        <c:axId val="215147648"/>
      </c:barChart>
      <c:catAx>
        <c:axId val="215137664"/>
        <c:scaling>
          <c:orientation val="minMax"/>
        </c:scaling>
        <c:delete val="1"/>
        <c:axPos val="b"/>
        <c:majorTickMark val="none"/>
        <c:minorTickMark val="none"/>
        <c:tickLblPos val="none"/>
        <c:crossAx val="215147648"/>
        <c:crosses val="autoZero"/>
        <c:auto val="1"/>
        <c:lblAlgn val="ctr"/>
        <c:lblOffset val="100"/>
        <c:noMultiLvlLbl val="0"/>
      </c:catAx>
      <c:valAx>
        <c:axId val="215147648"/>
        <c:scaling>
          <c:orientation val="minMax"/>
          <c:max val="50"/>
        </c:scaling>
        <c:delete val="0"/>
        <c:axPos val="l"/>
        <c:majorGridlines/>
        <c:minorGridlines/>
        <c:title>
          <c:tx>
            <c:rich>
              <a:bodyPr/>
              <a:lstStyle/>
              <a:p>
                <a:pPr>
                  <a:defRPr lang="es-MX"/>
                </a:pPr>
                <a:r>
                  <a:rPr lang="en-US"/>
                  <a:t>Velocidad [km/h]</a:t>
                </a:r>
              </a:p>
            </c:rich>
          </c:tx>
          <c:overlay val="0"/>
        </c:title>
        <c:numFmt formatCode="0.00" sourceLinked="1"/>
        <c:majorTickMark val="out"/>
        <c:minorTickMark val="none"/>
        <c:tickLblPos val="nextTo"/>
        <c:txPr>
          <a:bodyPr/>
          <a:lstStyle/>
          <a:p>
            <a:pPr>
              <a:defRPr lang="es-MX"/>
            </a:pPr>
            <a:endParaRPr lang="en-US"/>
          </a:p>
        </c:txPr>
        <c:crossAx val="215137664"/>
        <c:crosses val="autoZero"/>
        <c:crossBetween val="between"/>
        <c:majorUnit val="5"/>
        <c:minorUnit val="5"/>
      </c:valAx>
    </c:plotArea>
    <c:legend>
      <c:legendPos val="r"/>
      <c:layout>
        <c:manualLayout>
          <c:xMode val="edge"/>
          <c:yMode val="edge"/>
          <c:x val="0.91160863766638234"/>
          <c:y val="3.4878501746682937E-2"/>
          <c:w val="6.9843067725013724E-2"/>
          <c:h val="0.16710555302157815"/>
        </c:manualLayout>
      </c:layout>
      <c:overlay val="0"/>
      <c:spPr>
        <a:solidFill>
          <a:schemeClr val="bg1"/>
        </a:solidFill>
      </c:spPr>
      <c:txPr>
        <a:bodyPr/>
        <a:lstStyle/>
        <a:p>
          <a:pPr>
            <a:defRPr lang="es-MX"/>
          </a:pPr>
          <a:endParaRPr lang="en-US"/>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cf0be0ad-272c-4e7f-a157-3f0abda6cde5" ContentTypeId="0x01010046CF21643EE8D14686A648AA6DAD0892" PreviousValue="false"/>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spe:Receivers xmlns:spe="http://schemas.microsoft.com/sharepoint/events"/>
</file>

<file path=customXml/item4.xml><?xml version="1.0" encoding="utf-8"?>
<p:properties xmlns:p="http://schemas.microsoft.com/office/2006/metadata/properties" xmlns:xsi="http://www.w3.org/2001/XMLSchema-instance" xmlns:pc="http://schemas.microsoft.com/office/infopath/2007/PartnerControls">
  <documentManagement>
    <c456731dbc904a5fb605ec556c33e883 xmlns="9c571b2f-e523-4ab2-ba2e-09e151a03ef4">
      <Terms xmlns="http://schemas.microsoft.com/office/infopath/2007/PartnerControls"/>
    </c456731dbc904a5fb605ec556c33e883>
    <Project_x0020_Document_x0020_Type xmlns="9c571b2f-e523-4ab2-ba2e-09e151a03ef4" xsi:nil="true"/>
    <Business_x0020_Area xmlns="9c571b2f-e523-4ab2-ba2e-09e151a03ef4" xsi:nil="true"/>
    <IDBDocs_x0020_Number xmlns="9c571b2f-e523-4ab2-ba2e-09e151a03ef4">38995714</IDBDocs_x0020_Number>
    <TaxCatchAll xmlns="9c571b2f-e523-4ab2-ba2e-09e151a03ef4">
      <Value>5</Value>
      <Value>4</Value>
    </TaxCatchAll>
    <Phase xmlns="9c571b2f-e523-4ab2-ba2e-09e151a03ef4" xsi:nil="true"/>
    <SISCOR_x0020_Number xmlns="9c571b2f-e523-4ab2-ba2e-09e151a03ef4" xsi:nil="true"/>
    <Division_x0020_or_x0020_Unit xmlns="9c571b2f-e523-4ab2-ba2e-09e151a03ef4">INE/TSP</Division_x0020_or_x0020_Unit>
    <o5138a91267540169645e33d09c9ddc6 xmlns="9c571b2f-e523-4ab2-ba2e-09e151a03ef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o5138a91267540169645e33d09c9ddc6>
    <Approval_x0020_Number xmlns="9c571b2f-e523-4ab2-ba2e-09e151a03ef4" xsi:nil="true"/>
    <Document_x0020_Author xmlns="9c571b2f-e523-4ab2-ba2e-09e151a03ef4">Cortes Forero, Rene Alejandro</Document_x0020_Author>
    <e559ffcc31d34167856647188be35015 xmlns="9c571b2f-e523-4ab2-ba2e-09e151a03ef4">
      <Terms xmlns="http://schemas.microsoft.com/office/infopath/2007/PartnerControls"/>
    </e559ffcc31d34167856647188be35015>
    <Fiscal_x0020_Year_x0020_IDB xmlns="9c571b2f-e523-4ab2-ba2e-09e151a03ef4">2013</Fiscal_x0020_Year_x0020_IDB>
    <Other_x0020_Author xmlns="9c571b2f-e523-4ab2-ba2e-09e151a03ef4" xsi:nil="true"/>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fd0e48b6a66848a9885f717e5bbf40c4>
    <Project_x0020_Number xmlns="9c571b2f-e523-4ab2-ba2e-09e151a03ef4">PE-L1147</Project_x0020_Number>
    <Access_x0020_to_x0020_Information_x00a0_Policy xmlns="9c571b2f-e523-4ab2-ba2e-09e151a03ef4">Public</Access_x0020_to_x0020_Information_x00a0_Policy>
    <Package_x0020_Code xmlns="9c571b2f-e523-4ab2-ba2e-09e151a03ef4" xsi:nil="true"/>
    <m555d3814edf4817b4410a4e57f94ce9 xmlns="9c571b2f-e523-4ab2-ba2e-09e151a03ef4">
      <Terms xmlns="http://schemas.microsoft.com/office/infopath/2007/PartnerControls"/>
    </m555d3814edf4817b4410a4e57f94ce9>
    <Key_x0020_Document xmlns="9c571b2f-e523-4ab2-ba2e-09e151a03ef4">false</Key_x0020_Document>
    <j8b96605ee2f4c4e988849e658583fee xmlns="9c571b2f-e523-4ab2-ba2e-09e151a03ef4">
      <Terms xmlns="http://schemas.microsoft.com/office/infopath/2007/PartnerControls"/>
    </j8b96605ee2f4c4e988849e658583fee>
    <Migration_x0020_Info xmlns="9c571b2f-e523-4ab2-ba2e-09e151a03ef4">&lt;Data&gt;&lt;APPLICATION&gt;MS WORD&lt;/APPLICATION&gt;&lt;USER_STAGE&gt;Loan Proposal&lt;/USER_STAGE&gt;&lt;PD_OBJ_TYPE&gt;0&lt;/PD_OBJ_TYPE&gt;&lt;MAKERECORD&gt;N&lt;/MAKERECORD&gt;&lt;/Data&gt;</Migration_x0020_Info>
    <Operation_x0020_Type xmlns="9c571b2f-e523-4ab2-ba2e-09e151a03ef4" xsi:nil="true"/>
    <Document_x0020_Language_x0020_IDB xmlns="9c571b2f-e523-4ab2-ba2e-09e151a03ef4">Spanish</Document_x0020_Language_x0020_IDB>
    <Identifier xmlns="9c571b2f-e523-4ab2-ba2e-09e151a03ef4"> STUDY</Identifier>
    <Disclosure_x0020_Activity xmlns="9c571b2f-e523-4ab2-ba2e-09e151a03ef4">Loan Proposal</Disclosure_x0020_Activity>
    <Webtopic xmlns="9c571b2f-e523-4ab2-ba2e-09e151a03ef4">TR-TRP</Webtopic>
    <Issue_x0020_Date xmlns="9c571b2f-e523-4ab2-ba2e-09e151a03ef4" xsi:nil="true"/>
    <Publication_x0020_Type xmlns="9c571b2f-e523-4ab2-ba2e-09e151a03ef4" xsi:nil="true"/>
    <Abstract xmlns="9c571b2f-e523-4ab2-ba2e-09e151a03ef4" xsi:nil="true"/>
    <KP_x0020_Topics xmlns="9c571b2f-e523-4ab2-ba2e-09e151a03ef4" xsi:nil="true"/>
    <Editor1 xmlns="9c571b2f-e523-4ab2-ba2e-09e151a03ef4" xsi:nil="true"/>
    <Region xmlns="9c571b2f-e523-4ab2-ba2e-09e151a03ef4" xsi:nil="true"/>
    <Publishing_x0020_House xmlns="9c571b2f-e523-4ab2-ba2e-09e151a03ef4"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DE967BCEA31AA34482985C43EAA34B19" ma:contentTypeVersion="0" ma:contentTypeDescription="A content type to manage public (operations) IDB documents" ma:contentTypeScope="" ma:versionID="f8fd4b124c26cc4f514f90cd8d5c839d">
  <xsd:schema xmlns:xsd="http://www.w3.org/2001/XMLSchema" xmlns:xs="http://www.w3.org/2001/XMLSchema" xmlns:p="http://schemas.microsoft.com/office/2006/metadata/properties" xmlns:ns2="9c571b2f-e523-4ab2-ba2e-09e151a03ef4" targetNamespace="http://schemas.microsoft.com/office/2006/metadata/properties" ma:root="true" ma:fieldsID="8abbafa966629a57eee85f3e23f08021"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fd8db7d-50da-443c-8653-131f97d320a8}" ma:internalName="TaxCatchAll" ma:showField="CatchAllData" ma:web="106c4bfc-cac0-47ed-afe3-97dfb807a30b">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fd8db7d-50da-443c-8653-131f97d320a8}" ma:internalName="TaxCatchAllLabel" ma:readOnly="true" ma:showField="CatchAllDataLabel" ma:web="106c4bfc-cac0-47ed-afe3-97dfb807a30b">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31B3AF-82ED-421A-B8C4-7B2C61BDCBFD}"/>
</file>

<file path=customXml/itemProps2.xml><?xml version="1.0" encoding="utf-8"?>
<ds:datastoreItem xmlns:ds="http://schemas.openxmlformats.org/officeDocument/2006/customXml" ds:itemID="{5CB22126-5BB4-4E6E-98DD-866D6BABE53A}"/>
</file>

<file path=customXml/itemProps3.xml><?xml version="1.0" encoding="utf-8"?>
<ds:datastoreItem xmlns:ds="http://schemas.openxmlformats.org/officeDocument/2006/customXml" ds:itemID="{65EFB54E-B6B0-473E-819C-39E9320682CC}"/>
</file>

<file path=customXml/itemProps4.xml><?xml version="1.0" encoding="utf-8"?>
<ds:datastoreItem xmlns:ds="http://schemas.openxmlformats.org/officeDocument/2006/customXml" ds:itemID="{E751B4EA-6969-4A7C-9415-4CD15F597B73}"/>
</file>

<file path=customXml/itemProps5.xml><?xml version="1.0" encoding="utf-8"?>
<ds:datastoreItem xmlns:ds="http://schemas.openxmlformats.org/officeDocument/2006/customXml" ds:itemID="{D4D92D32-C8C2-4D2C-89E6-AD6E942A1C51}"/>
</file>

<file path=customXml/itemProps6.xml><?xml version="1.0" encoding="utf-8"?>
<ds:datastoreItem xmlns:ds="http://schemas.openxmlformats.org/officeDocument/2006/customXml" ds:itemID="{BE941BCB-E12D-40D9-887A-4D8BFDAA493E}"/>
</file>

<file path=docProps/app.xml><?xml version="1.0" encoding="utf-8"?>
<Properties xmlns="http://schemas.openxmlformats.org/officeDocument/2006/extended-properties" xmlns:vt="http://schemas.openxmlformats.org/officeDocument/2006/docPropsVTypes">
  <Template>Normal</Template>
  <TotalTime>1</TotalTime>
  <Pages>339</Pages>
  <Words>66307</Words>
  <Characters>377951</Characters>
  <Application>Microsoft Office Word</Application>
  <DocSecurity>0</DocSecurity>
  <Lines>3149</Lines>
  <Paragraphs>886</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RELAZIONE TECNICA</vt:lpstr>
      <vt:lpstr>RELAZIONE TECNICA</vt:lpstr>
      <vt:lpstr>RELAZIONE TECNICA</vt:lpstr>
    </vt:vector>
  </TitlesOfParts>
  <Company>Geodata S.p.A.</Company>
  <LinksUpToDate>false</LinksUpToDate>
  <CharactersWithSpaces>443372</CharactersWithSpaces>
  <SharedDoc>false</SharedDoc>
  <HLinks>
    <vt:vector size="18" baseType="variant">
      <vt:variant>
        <vt:i4>1245209</vt:i4>
      </vt:variant>
      <vt:variant>
        <vt:i4>15</vt:i4>
      </vt:variant>
      <vt:variant>
        <vt:i4>0</vt:i4>
      </vt:variant>
      <vt:variant>
        <vt:i4>5</vt:i4>
      </vt:variant>
      <vt:variant>
        <vt:lpwstr>http://www.opentrack.ch/</vt:lpwstr>
      </vt:variant>
      <vt:variant>
        <vt:lpwstr/>
      </vt:variant>
      <vt:variant>
        <vt:i4>1704031</vt:i4>
      </vt:variant>
      <vt:variant>
        <vt:i4>12</vt:i4>
      </vt:variant>
      <vt:variant>
        <vt:i4>0</vt:i4>
      </vt:variant>
      <vt:variant>
        <vt:i4>5</vt:i4>
      </vt:variant>
      <vt:variant>
        <vt:lpwstr>http://www.helica.it/ita/tecnologie/aereomobile.html</vt:lpwstr>
      </vt:variant>
      <vt:variant>
        <vt:lpwstr/>
      </vt:variant>
      <vt:variant>
        <vt:i4>1704031</vt:i4>
      </vt:variant>
      <vt:variant>
        <vt:i4>9</vt:i4>
      </vt:variant>
      <vt:variant>
        <vt:i4>0</vt:i4>
      </vt:variant>
      <vt:variant>
        <vt:i4>5</vt:i4>
      </vt:variant>
      <vt:variant>
        <vt:lpwstr>http://www.helica.it/ita/tecnologie/aereomobile.html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EEO_6 - Esudio de Factibilidad del Metro de Lima</dc:title>
  <dc:creator>sea</dc:creator>
  <cp:lastModifiedBy>Inter-American Development Bank</cp:lastModifiedBy>
  <cp:revision>2</cp:revision>
  <cp:lastPrinted>2013-01-22T21:06:00Z</cp:lastPrinted>
  <dcterms:created xsi:type="dcterms:W3CDTF">2014-08-19T20:53:00Z</dcterms:created>
  <dcterms:modified xsi:type="dcterms:W3CDTF">2014-08-19T20:53:00Z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0x01010046CF21643EE8D14686A648AA6DAD089200DE967BCEA31AA34482985C43EAA34B19</vt:lpwstr>
  </property>
  <property fmtid="{D5CDD505-2E9C-101B-9397-08002B2CF9AE}" pid="3" name="TaxKeyword">
    <vt:lpwstr/>
  </property>
  <property fmtid="{D5CDD505-2E9C-101B-9397-08002B2CF9AE}" pid="4" name="Function Operations IDB">
    <vt:lpwstr>5;#IDBDocs|cca77002-e150-4b2d-ab1f-1d7a7cdcae16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4;#Unclassified|a6dff32e-d477-44cd-a56b-85efe9e0a56c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4;#Unclassified|a6dff32e-d477-44cd-a56b-85efe9e0a56c</vt:lpwstr>
  </property>
  <property fmtid="{D5CDD505-2E9C-101B-9397-08002B2CF9AE}" pid="12" name="To:">
    <vt:lpwstr/>
  </property>
  <property fmtid="{D5CDD505-2E9C-101B-9397-08002B2CF9AE}" pid="13" name="From:">
    <vt:lpwstr/>
  </property>
  <property fmtid="{D5CDD505-2E9C-101B-9397-08002B2CF9AE}" pid="14" name="Sector IDB">
    <vt:lpwstr/>
  </property>
  <property fmtid="{D5CDD505-2E9C-101B-9397-08002B2CF9AE}" pid="15" name="Sub-Sector">
    <vt:lpwstr/>
  </property>
</Properties>
</file>