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465" w:rsidRPr="00557935" w:rsidRDefault="00107D7B" w:rsidP="00557935">
      <w:pPr>
        <w:spacing w:before="120" w:after="120"/>
        <w:jc w:val="center"/>
        <w:rPr>
          <w:rFonts w:ascii="Arial" w:hAnsi="Arial" w:cs="Arial"/>
          <w:b/>
          <w:lang w:val="es-ES_tradnl"/>
        </w:rPr>
      </w:pPr>
      <w:r>
        <w:rPr>
          <w:rFonts w:ascii="Arial" w:hAnsi="Arial" w:cs="Arial"/>
          <w:b/>
          <w:lang w:val="es-ES_tradnl"/>
        </w:rPr>
        <w:t>Componente 2</w:t>
      </w:r>
    </w:p>
    <w:p w:rsidR="007C0465" w:rsidRPr="00557935" w:rsidRDefault="007C0465" w:rsidP="00557935">
      <w:pPr>
        <w:spacing w:before="120" w:after="120" w:line="240" w:lineRule="auto"/>
        <w:jc w:val="both"/>
        <w:rPr>
          <w:rFonts w:ascii="Arial" w:hAnsi="Arial" w:cs="Arial"/>
          <w:lang w:val="es-ES_tradnl"/>
        </w:rPr>
      </w:pPr>
      <w:r w:rsidRPr="00557935">
        <w:rPr>
          <w:rFonts w:ascii="Arial" w:hAnsi="Arial" w:cs="Arial"/>
          <w:lang w:val="es-ES_tradnl"/>
        </w:rPr>
        <w:t>Detalle Componente 2:</w:t>
      </w:r>
      <w:r w:rsidRPr="00557935">
        <w:rPr>
          <w:rFonts w:ascii="Arial" w:eastAsia="+mn-ea" w:hAnsi="Arial" w:cs="Arial"/>
          <w:b/>
          <w:bCs/>
          <w:color w:val="000000"/>
          <w:kern w:val="24"/>
        </w:rPr>
        <w:t xml:space="preserve"> Formación de Capital Humano para la Transferencia y Emprendimiento Tecnológico a nivel de la Alianza del Pacífico.</w:t>
      </w:r>
    </w:p>
    <w:p w:rsidR="007C0465" w:rsidRPr="00557935" w:rsidRDefault="007C0465" w:rsidP="00557935">
      <w:pPr>
        <w:spacing w:before="120" w:after="120" w:line="240" w:lineRule="auto"/>
        <w:jc w:val="both"/>
        <w:rPr>
          <w:rFonts w:ascii="Arial" w:hAnsi="Arial" w:cs="Arial"/>
          <w:lang w:val="es-ES_tradnl"/>
        </w:rPr>
      </w:pPr>
      <w:r w:rsidRPr="00557935">
        <w:rPr>
          <w:rFonts w:ascii="Arial" w:hAnsi="Arial" w:cs="Arial"/>
          <w:lang w:val="es-ES_tradnl"/>
        </w:rPr>
        <w:t>Los programas y perfiles de los beneficiarios a beneficiar se pueden desglosar inicialmente en:</w:t>
      </w:r>
    </w:p>
    <w:p w:rsidR="007C0465" w:rsidRPr="00557935" w:rsidRDefault="007C0465" w:rsidP="00557935">
      <w:pPr>
        <w:pStyle w:val="ListParagraph"/>
        <w:numPr>
          <w:ilvl w:val="0"/>
          <w:numId w:val="1"/>
        </w:numPr>
        <w:spacing w:before="120" w:after="120" w:line="240" w:lineRule="auto"/>
        <w:contextualSpacing w:val="0"/>
        <w:jc w:val="both"/>
        <w:rPr>
          <w:rFonts w:ascii="Arial" w:hAnsi="Arial" w:cs="Arial"/>
          <w:lang w:val="es-ES_tradnl"/>
        </w:rPr>
      </w:pPr>
      <w:r w:rsidRPr="00557935">
        <w:rPr>
          <w:rFonts w:ascii="Arial" w:hAnsi="Arial" w:cs="Arial"/>
          <w:b/>
          <w:lang w:val="es-ES_tradnl"/>
        </w:rPr>
        <w:t>Formación de emprendedores y agentes de innovación empresariales</w:t>
      </w:r>
      <w:r w:rsidRPr="00557935">
        <w:rPr>
          <w:rFonts w:ascii="Arial" w:hAnsi="Arial" w:cs="Arial"/>
          <w:lang w:val="es-ES_tradnl"/>
        </w:rPr>
        <w:t xml:space="preserve">. Estos programas contemplan la puesta en marcha de programas tipo diplomados, certificados o maestrías orientados a la formación de grupos de emprendedores y ejecutivos de empresas que ejecuten proyectos concretos de transferencia tecnológica en un esquema regional. Algunas opciones que se han estado evaluando en este sentido son programas de formación impartidos por la Universidad de Texas a través del Tecnológico de Monterrey en México y que podría expandirse a los países de la Alianza del Pacifico. Adicionalmente, se ha considerado coordinar este sub-componente con el </w:t>
      </w:r>
      <w:r w:rsidRPr="00557935">
        <w:rPr>
          <w:rFonts w:ascii="Arial" w:hAnsi="Arial" w:cs="Arial"/>
          <w:b/>
          <w:lang w:val="es-ES_tradnl"/>
        </w:rPr>
        <w:t>Observatorio de la Alianza del Pacífico</w:t>
      </w:r>
      <w:r w:rsidRPr="00557935">
        <w:rPr>
          <w:rFonts w:ascii="Arial" w:hAnsi="Arial" w:cs="Arial"/>
          <w:lang w:val="es-ES_tradnl"/>
        </w:rPr>
        <w:t>, una red de universidades de la región creada en el marco del Consejo Empresarial de la Alianza del Pacifico y cuyo objetivo es coordinar programas entre universidades afiliadas de los cuatro países. En la sección Anexos</w:t>
      </w:r>
      <w:r w:rsidRPr="00557935">
        <w:rPr>
          <w:rStyle w:val="FootnoteReference"/>
          <w:rFonts w:ascii="Arial" w:hAnsi="Arial" w:cs="Arial"/>
          <w:lang w:val="es-ES_tradnl"/>
        </w:rPr>
        <w:footnoteReference w:id="1"/>
      </w:r>
      <w:r w:rsidRPr="00557935">
        <w:rPr>
          <w:rFonts w:ascii="Arial" w:hAnsi="Arial" w:cs="Arial"/>
          <w:lang w:val="es-ES_tradnl"/>
        </w:rPr>
        <w:t>, se incluye un esquema que muestra como los programas de Formación-Ejecución estarían coordinados con las redes que ya se encuentran en funcionamiento (</w:t>
      </w:r>
      <w:proofErr w:type="spellStart"/>
      <w:r w:rsidRPr="00557935">
        <w:rPr>
          <w:rFonts w:ascii="Arial" w:hAnsi="Arial" w:cs="Arial"/>
          <w:lang w:val="es-ES_tradnl"/>
        </w:rPr>
        <w:t>AcelerAP</w:t>
      </w:r>
      <w:proofErr w:type="spellEnd"/>
      <w:r w:rsidRPr="00557935">
        <w:rPr>
          <w:rFonts w:ascii="Arial" w:hAnsi="Arial" w:cs="Arial"/>
          <w:lang w:val="es-ES_tradnl"/>
        </w:rPr>
        <w:t xml:space="preserve">, </w:t>
      </w:r>
      <w:proofErr w:type="spellStart"/>
      <w:r w:rsidRPr="00557935">
        <w:rPr>
          <w:rFonts w:ascii="Arial" w:hAnsi="Arial" w:cs="Arial"/>
          <w:lang w:val="es-ES_tradnl"/>
        </w:rPr>
        <w:t>InnovAP</w:t>
      </w:r>
      <w:proofErr w:type="spellEnd"/>
      <w:r w:rsidRPr="00557935">
        <w:rPr>
          <w:rFonts w:ascii="Arial" w:hAnsi="Arial" w:cs="Arial"/>
          <w:lang w:val="es-ES_tradnl"/>
        </w:rPr>
        <w:t xml:space="preserve">, </w:t>
      </w:r>
      <w:proofErr w:type="spellStart"/>
      <w:r w:rsidRPr="00557935">
        <w:rPr>
          <w:rFonts w:ascii="Arial" w:hAnsi="Arial" w:cs="Arial"/>
          <w:lang w:val="es-ES_tradnl"/>
        </w:rPr>
        <w:t>AngelesAP</w:t>
      </w:r>
      <w:proofErr w:type="spellEnd"/>
      <w:r w:rsidRPr="00557935">
        <w:rPr>
          <w:rFonts w:ascii="Arial" w:hAnsi="Arial" w:cs="Arial"/>
          <w:lang w:val="es-ES_tradnl"/>
        </w:rPr>
        <w:t xml:space="preserve"> y el Observatorio), iniciativas impulsadas, con excepción del Observatorio por el proyecto BPR RG-T2683 mencionado anteriormente. Se orientará la ejecución a que los programas en cada uno de los países tengan contenidos compartidos, así como un canal estructurado para la ejecución de proyectos.</w:t>
      </w:r>
    </w:p>
    <w:p w:rsidR="007C0465" w:rsidRPr="00557935" w:rsidRDefault="007C0465" w:rsidP="00557935">
      <w:pPr>
        <w:pStyle w:val="ListParagraph"/>
        <w:numPr>
          <w:ilvl w:val="0"/>
          <w:numId w:val="1"/>
        </w:numPr>
        <w:spacing w:before="120" w:after="120" w:line="240" w:lineRule="auto"/>
        <w:contextualSpacing w:val="0"/>
        <w:jc w:val="both"/>
        <w:rPr>
          <w:rFonts w:ascii="Arial" w:eastAsia="+mn-ea" w:hAnsi="Arial" w:cs="Arial"/>
          <w:bCs/>
          <w:color w:val="000000"/>
          <w:kern w:val="24"/>
        </w:rPr>
      </w:pPr>
      <w:r w:rsidRPr="00557935">
        <w:rPr>
          <w:rFonts w:ascii="Arial" w:eastAsia="+mn-ea" w:hAnsi="Arial" w:cs="Arial"/>
          <w:b/>
          <w:bCs/>
          <w:color w:val="000000"/>
          <w:kern w:val="24"/>
        </w:rPr>
        <w:t>Formación de administradores de instituciones intermediarias</w:t>
      </w:r>
      <w:r w:rsidRPr="00557935">
        <w:rPr>
          <w:rFonts w:ascii="Arial" w:eastAsia="+mn-ea" w:hAnsi="Arial" w:cs="Arial"/>
          <w:bCs/>
          <w:color w:val="000000"/>
          <w:kern w:val="24"/>
        </w:rPr>
        <w:t>. Estos programas están orientados a la formación de administradores de incubadoras de negocios tecnológicas, administradores de oficinas de transferencia tecnológica, redes de inversionistas tecnológicos, y otros agentes intermediadores.</w:t>
      </w:r>
    </w:p>
    <w:p w:rsidR="007C0465" w:rsidRPr="00557935" w:rsidRDefault="007C0465" w:rsidP="00557935">
      <w:pPr>
        <w:pStyle w:val="ListParagraph"/>
        <w:numPr>
          <w:ilvl w:val="0"/>
          <w:numId w:val="1"/>
        </w:numPr>
        <w:spacing w:before="120" w:after="120" w:line="240" w:lineRule="auto"/>
        <w:contextualSpacing w:val="0"/>
        <w:jc w:val="both"/>
        <w:rPr>
          <w:rFonts w:ascii="Arial" w:eastAsia="+mn-ea" w:hAnsi="Arial" w:cs="Arial"/>
          <w:bCs/>
          <w:color w:val="000000"/>
          <w:kern w:val="24"/>
        </w:rPr>
      </w:pPr>
      <w:r w:rsidRPr="00557935">
        <w:rPr>
          <w:rFonts w:ascii="Arial" w:eastAsia="+mn-ea" w:hAnsi="Arial" w:cs="Arial"/>
          <w:b/>
          <w:bCs/>
          <w:color w:val="000000"/>
          <w:kern w:val="24"/>
        </w:rPr>
        <w:t>Formación de oficiales de Gobierno.</w:t>
      </w:r>
      <w:r w:rsidRPr="00557935">
        <w:rPr>
          <w:rFonts w:ascii="Arial" w:eastAsia="+mn-ea" w:hAnsi="Arial" w:cs="Arial"/>
          <w:bCs/>
          <w:color w:val="000000"/>
          <w:kern w:val="24"/>
        </w:rPr>
        <w:t xml:space="preserve"> Estos programas tienen como objetivo formar a oficiales de gobierno en el diseño e implementación de programas e instrumentos de apoyo y fomento de la transferencia tecnológica e innovación, fortaleciendo ámbitos de política pública en esta materia Estos programas serán coordinados con </w:t>
      </w:r>
      <w:proofErr w:type="spellStart"/>
      <w:r w:rsidRPr="00557935">
        <w:rPr>
          <w:rFonts w:ascii="Arial" w:eastAsia="+mn-ea" w:hAnsi="Arial" w:cs="Arial"/>
          <w:bCs/>
          <w:color w:val="000000"/>
          <w:kern w:val="24"/>
        </w:rPr>
        <w:t>InnovAP</w:t>
      </w:r>
      <w:proofErr w:type="spellEnd"/>
      <w:r w:rsidRPr="00557935">
        <w:rPr>
          <w:rFonts w:ascii="Arial" w:eastAsia="+mn-ea" w:hAnsi="Arial" w:cs="Arial"/>
          <w:bCs/>
          <w:color w:val="000000"/>
          <w:kern w:val="24"/>
        </w:rPr>
        <w:t>.</w:t>
      </w:r>
    </w:p>
    <w:p w:rsidR="007C0465" w:rsidRPr="00557935" w:rsidRDefault="007C0465" w:rsidP="00557935">
      <w:pPr>
        <w:pStyle w:val="ListParagraph"/>
        <w:numPr>
          <w:ilvl w:val="0"/>
          <w:numId w:val="1"/>
        </w:numPr>
        <w:spacing w:before="120" w:after="120" w:line="240" w:lineRule="auto"/>
        <w:contextualSpacing w:val="0"/>
        <w:jc w:val="both"/>
        <w:rPr>
          <w:rFonts w:ascii="Arial" w:eastAsia="+mn-ea" w:hAnsi="Arial" w:cs="Arial"/>
          <w:bCs/>
          <w:color w:val="000000"/>
          <w:kern w:val="24"/>
        </w:rPr>
      </w:pPr>
      <w:r w:rsidRPr="00557935">
        <w:rPr>
          <w:rFonts w:ascii="Arial" w:eastAsia="+mn-ea" w:hAnsi="Arial" w:cs="Arial"/>
          <w:b/>
          <w:bCs/>
          <w:color w:val="000000"/>
          <w:kern w:val="24"/>
        </w:rPr>
        <w:t>Formación de Formadores</w:t>
      </w:r>
      <w:r w:rsidRPr="00557935">
        <w:rPr>
          <w:rFonts w:ascii="Arial" w:eastAsia="+mn-ea" w:hAnsi="Arial" w:cs="Arial"/>
          <w:bCs/>
          <w:color w:val="000000"/>
          <w:kern w:val="24"/>
        </w:rPr>
        <w:t>. Estos programas están orientados a la formación de los profesores y mentores de los programas de formación y ejecución anteriormente descritos.  Se está evaluando la formación de formadores a través de los programas que ya se encuentra implementando el Tecnológico de Monterrey con la Universidad de Texas, dada su prestigio y experiencia en la formación de estas temáticas.</w:t>
      </w:r>
    </w:p>
    <w:p w:rsidR="001F63CD" w:rsidRDefault="002A1105"/>
    <w:sectPr w:rsidR="001F63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105" w:rsidRDefault="002A1105" w:rsidP="007C0465">
      <w:pPr>
        <w:spacing w:after="0" w:line="240" w:lineRule="auto"/>
      </w:pPr>
      <w:r>
        <w:separator/>
      </w:r>
    </w:p>
  </w:endnote>
  <w:endnote w:type="continuationSeparator" w:id="0">
    <w:p w:rsidR="002A1105" w:rsidRDefault="002A1105" w:rsidP="007C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D7B" w:rsidRDefault="00107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D7B" w:rsidRDefault="00107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D7B" w:rsidRDefault="00107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105" w:rsidRDefault="002A1105" w:rsidP="007C0465">
      <w:pPr>
        <w:spacing w:after="0" w:line="240" w:lineRule="auto"/>
      </w:pPr>
      <w:r>
        <w:separator/>
      </w:r>
    </w:p>
  </w:footnote>
  <w:footnote w:type="continuationSeparator" w:id="0">
    <w:p w:rsidR="002A1105" w:rsidRDefault="002A1105" w:rsidP="007C0465">
      <w:pPr>
        <w:spacing w:after="0" w:line="240" w:lineRule="auto"/>
      </w:pPr>
      <w:r>
        <w:continuationSeparator/>
      </w:r>
    </w:p>
  </w:footnote>
  <w:footnote w:id="1">
    <w:p w:rsidR="007C0465" w:rsidRPr="006E2BCC" w:rsidRDefault="007C0465" w:rsidP="00557935">
      <w:pPr>
        <w:pStyle w:val="FootnoteText"/>
        <w:tabs>
          <w:tab w:val="left" w:pos="270"/>
        </w:tabs>
        <w:ind w:left="270" w:hanging="270"/>
        <w:jc w:val="both"/>
        <w:rPr>
          <w:rFonts w:ascii="Arial" w:hAnsi="Arial" w:cs="Arial"/>
          <w:sz w:val="18"/>
          <w:szCs w:val="18"/>
          <w:lang w:val="es-ES_tradnl"/>
        </w:rPr>
      </w:pPr>
      <w:r w:rsidRPr="006E2BCC">
        <w:rPr>
          <w:rStyle w:val="FootnoteReference"/>
          <w:rFonts w:ascii="Arial" w:hAnsi="Arial" w:cs="Arial"/>
          <w:sz w:val="18"/>
          <w:szCs w:val="18"/>
        </w:rPr>
        <w:footnoteRef/>
      </w:r>
      <w:r w:rsidRPr="006E2BCC">
        <w:rPr>
          <w:rFonts w:ascii="Arial" w:hAnsi="Arial" w:cs="Arial"/>
          <w:sz w:val="18"/>
          <w:szCs w:val="18"/>
        </w:rPr>
        <w:t xml:space="preserve"> </w:t>
      </w:r>
      <w:r w:rsidRPr="006E2BCC">
        <w:rPr>
          <w:rFonts w:ascii="Arial" w:hAnsi="Arial" w:cs="Arial"/>
          <w:sz w:val="18"/>
          <w:szCs w:val="18"/>
          <w:lang w:val="es-ES_tradnl"/>
        </w:rPr>
        <w:t>Modelo Nº2, Formación en Transferencia Tecnológica y su relación con las iniciativas en funcionamiento de la Agenda de Innovación de la 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D7B" w:rsidRDefault="00107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085814"/>
      <w:docPartObj>
        <w:docPartGallery w:val="Page Numbers (Top of Page)"/>
        <w:docPartUnique/>
      </w:docPartObj>
    </w:sdtPr>
    <w:sdtEndPr>
      <w:rPr>
        <w:noProof/>
      </w:rPr>
    </w:sdtEndPr>
    <w:sdtContent>
      <w:sdt>
        <w:sdtPr>
          <w:rPr>
            <w:rFonts w:ascii="Arial" w:hAnsi="Arial" w:cs="Arial"/>
            <w:sz w:val="18"/>
            <w:szCs w:val="18"/>
          </w:rPr>
          <w:id w:val="204155437"/>
          <w:docPartObj>
            <w:docPartGallery w:val="Page Numbers (Top of Page)"/>
            <w:docPartUnique/>
          </w:docPartObj>
        </w:sdtPr>
        <w:sdtEndPr/>
        <w:sdtContent>
          <w:p w:rsidR="00557935" w:rsidRPr="00F4009C" w:rsidRDefault="00557935" w:rsidP="00557935">
            <w:pPr>
              <w:pStyle w:val="Header"/>
              <w:jc w:val="right"/>
              <w:rPr>
                <w:rFonts w:ascii="Arial" w:hAnsi="Arial" w:cs="Arial"/>
                <w:sz w:val="18"/>
                <w:szCs w:val="18"/>
                <w:lang w:val="fr-FR"/>
              </w:rPr>
            </w:pPr>
            <w:r>
              <w:rPr>
                <w:rFonts w:ascii="Arial" w:hAnsi="Arial" w:cs="Arial"/>
                <w:sz w:val="18"/>
                <w:szCs w:val="18"/>
                <w:lang w:val="fr-FR"/>
              </w:rPr>
              <w:t>RG- T3098</w:t>
            </w:r>
          </w:p>
          <w:p w:rsidR="00557935" w:rsidRPr="00F4009C" w:rsidRDefault="00107D7B" w:rsidP="00557935">
            <w:pPr>
              <w:pStyle w:val="Header"/>
              <w:jc w:val="right"/>
              <w:rPr>
                <w:rFonts w:ascii="Arial" w:hAnsi="Arial" w:cs="Arial"/>
                <w:sz w:val="18"/>
                <w:szCs w:val="18"/>
                <w:lang w:val="fr-FR"/>
              </w:rPr>
            </w:pPr>
            <w:proofErr w:type="spellStart"/>
            <w:r>
              <w:rPr>
                <w:rFonts w:ascii="Arial" w:hAnsi="Arial" w:cs="Arial"/>
                <w:sz w:val="18"/>
                <w:szCs w:val="18"/>
                <w:lang w:val="fr-FR"/>
              </w:rPr>
              <w:t>Página</w:t>
            </w:r>
            <w:proofErr w:type="spellEnd"/>
            <w:r w:rsidR="00557935" w:rsidRPr="00F4009C">
              <w:rPr>
                <w:rFonts w:ascii="Arial" w:hAnsi="Arial" w:cs="Arial"/>
                <w:sz w:val="18"/>
                <w:szCs w:val="18"/>
                <w:lang w:val="fr-FR"/>
              </w:rPr>
              <w:t xml:space="preserve"> </w:t>
            </w:r>
            <w:r w:rsidR="00557935" w:rsidRPr="00F4009C">
              <w:rPr>
                <w:rFonts w:ascii="Arial" w:hAnsi="Arial" w:cs="Arial"/>
                <w:bCs/>
                <w:sz w:val="18"/>
                <w:szCs w:val="18"/>
              </w:rPr>
              <w:fldChar w:fldCharType="begin"/>
            </w:r>
            <w:r w:rsidR="00557935" w:rsidRPr="00F4009C">
              <w:rPr>
                <w:rFonts w:ascii="Arial" w:hAnsi="Arial" w:cs="Arial"/>
                <w:bCs/>
                <w:sz w:val="18"/>
                <w:szCs w:val="18"/>
                <w:lang w:val="fr-FR"/>
              </w:rPr>
              <w:instrText xml:space="preserve"> PAGE </w:instrText>
            </w:r>
            <w:r w:rsidR="00557935" w:rsidRPr="00F4009C">
              <w:rPr>
                <w:rFonts w:ascii="Arial" w:hAnsi="Arial" w:cs="Arial"/>
                <w:bCs/>
                <w:sz w:val="18"/>
                <w:szCs w:val="18"/>
              </w:rPr>
              <w:fldChar w:fldCharType="separate"/>
            </w:r>
            <w:r w:rsidR="00A1281C">
              <w:rPr>
                <w:rFonts w:ascii="Arial" w:hAnsi="Arial" w:cs="Arial"/>
                <w:bCs/>
                <w:noProof/>
                <w:sz w:val="18"/>
                <w:szCs w:val="18"/>
                <w:lang w:val="fr-FR"/>
              </w:rPr>
              <w:t>1</w:t>
            </w:r>
            <w:r w:rsidR="00557935" w:rsidRPr="00F4009C">
              <w:rPr>
                <w:rFonts w:ascii="Arial" w:hAnsi="Arial" w:cs="Arial"/>
                <w:bCs/>
                <w:sz w:val="18"/>
                <w:szCs w:val="18"/>
              </w:rPr>
              <w:fldChar w:fldCharType="end"/>
            </w:r>
            <w:r>
              <w:rPr>
                <w:rFonts w:ascii="Arial" w:hAnsi="Arial" w:cs="Arial"/>
                <w:sz w:val="18"/>
                <w:szCs w:val="18"/>
                <w:lang w:val="fr-FR"/>
              </w:rPr>
              <w:t xml:space="preserve"> de</w:t>
            </w:r>
            <w:bookmarkStart w:id="0" w:name="_GoBack"/>
            <w:bookmarkEnd w:id="0"/>
            <w:r w:rsidR="00557935" w:rsidRPr="00F4009C">
              <w:rPr>
                <w:rFonts w:ascii="Arial" w:hAnsi="Arial" w:cs="Arial"/>
                <w:sz w:val="18"/>
                <w:szCs w:val="18"/>
                <w:lang w:val="fr-FR"/>
              </w:rPr>
              <w:t xml:space="preserve"> </w:t>
            </w:r>
            <w:r w:rsidR="00557935" w:rsidRPr="00F4009C">
              <w:rPr>
                <w:rFonts w:ascii="Arial" w:hAnsi="Arial" w:cs="Arial"/>
                <w:bCs/>
                <w:sz w:val="18"/>
                <w:szCs w:val="18"/>
              </w:rPr>
              <w:fldChar w:fldCharType="begin"/>
            </w:r>
            <w:r w:rsidR="00557935" w:rsidRPr="00F4009C">
              <w:rPr>
                <w:rFonts w:ascii="Arial" w:hAnsi="Arial" w:cs="Arial"/>
                <w:bCs/>
                <w:sz w:val="18"/>
                <w:szCs w:val="18"/>
                <w:lang w:val="fr-FR"/>
              </w:rPr>
              <w:instrText xml:space="preserve"> NUMPAGES  </w:instrText>
            </w:r>
            <w:r w:rsidR="00557935" w:rsidRPr="00F4009C">
              <w:rPr>
                <w:rFonts w:ascii="Arial" w:hAnsi="Arial" w:cs="Arial"/>
                <w:bCs/>
                <w:sz w:val="18"/>
                <w:szCs w:val="18"/>
              </w:rPr>
              <w:fldChar w:fldCharType="separate"/>
            </w:r>
            <w:r w:rsidR="00A1281C">
              <w:rPr>
                <w:rFonts w:ascii="Arial" w:hAnsi="Arial" w:cs="Arial"/>
                <w:bCs/>
                <w:noProof/>
                <w:sz w:val="18"/>
                <w:szCs w:val="18"/>
                <w:lang w:val="fr-FR"/>
              </w:rPr>
              <w:t>1</w:t>
            </w:r>
            <w:r w:rsidR="00557935" w:rsidRPr="00F4009C">
              <w:rPr>
                <w:rFonts w:ascii="Arial" w:hAnsi="Arial" w:cs="Arial"/>
                <w:bCs/>
                <w:sz w:val="18"/>
                <w:szCs w:val="18"/>
              </w:rPr>
              <w:fldChar w:fldCharType="end"/>
            </w:r>
          </w:p>
        </w:sdtContent>
      </w:sdt>
      <w:p w:rsidR="00557935" w:rsidRDefault="002A1105" w:rsidP="00557935">
        <w:pPr>
          <w:pStyle w:val="Header"/>
          <w:jc w:val="right"/>
          <w:rPr>
            <w:noProof/>
          </w:rPr>
        </w:pPr>
      </w:p>
    </w:sdtContent>
  </w:sdt>
  <w:p w:rsidR="00557935" w:rsidRDefault="00557935" w:rsidP="0055793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D7B" w:rsidRDefault="00107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74B14"/>
    <w:multiLevelType w:val="hybridMultilevel"/>
    <w:tmpl w:val="9E303ACC"/>
    <w:lvl w:ilvl="0" w:tplc="F9303C2A">
      <w:start w:val="1"/>
      <w:numFmt w:val="lowerLetter"/>
      <w:lvlText w:val="%1."/>
      <w:lvlJc w:val="left"/>
      <w:pPr>
        <w:ind w:left="720" w:hanging="360"/>
      </w:pPr>
      <w:rPr>
        <w:rFonts w:asciiTheme="minorHAnsi" w:eastAsiaTheme="minorHAnsi" w:hAnsiTheme="minorHAnsi" w:cstheme="minorBid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65"/>
    <w:rsid w:val="00107D7B"/>
    <w:rsid w:val="002A1105"/>
    <w:rsid w:val="00557935"/>
    <w:rsid w:val="007C0465"/>
    <w:rsid w:val="008921A5"/>
    <w:rsid w:val="00A1281C"/>
    <w:rsid w:val="00F116AA"/>
    <w:rsid w:val="00F6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0C56"/>
  <w15:chartTrackingRefBased/>
  <w15:docId w15:val="{F5B33BE5-0A65-4DAB-BF9D-3891297E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465"/>
    <w:pPr>
      <w:spacing w:after="200" w:line="276" w:lineRule="auto"/>
    </w:pPr>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65"/>
    <w:pPr>
      <w:ind w:left="720"/>
      <w:contextualSpacing/>
    </w:pPr>
  </w:style>
  <w:style w:type="paragraph" w:styleId="FootnoteText">
    <w:name w:val="footnote text"/>
    <w:aliases w:val="ALTS FOOTNOTE,FOOTNOTES,fn,single space,Footnote Text Char Char Char,Car,texto de nota al pie,Texto nota pie Car Car Car Car Car Car Car Car,Texto nota pie Car Car Car,Footnote Text Char Char Char Char Char Char,Texto nota pie IIRSA, Car,F"/>
    <w:basedOn w:val="Normal"/>
    <w:link w:val="FootnoteTextChar"/>
    <w:uiPriority w:val="99"/>
    <w:unhideWhenUsed/>
    <w:rsid w:val="007C0465"/>
    <w:pPr>
      <w:spacing w:after="0" w:line="240" w:lineRule="auto"/>
    </w:pPr>
    <w:rPr>
      <w:sz w:val="20"/>
      <w:szCs w:val="20"/>
    </w:rPr>
  </w:style>
  <w:style w:type="character" w:customStyle="1" w:styleId="FootnoteTextChar">
    <w:name w:val="Footnote Text Char"/>
    <w:aliases w:val="ALTS FOOTNOTE Char,FOOTNOTES Char,fn Char,single space Char,Footnote Text Char Char Char Char,Car Char,texto de nota al pie Char,Texto nota pie Car Car Car Car Car Car Car Car Char,Texto nota pie Car Car Car Char, Car Char,F Char"/>
    <w:basedOn w:val="DefaultParagraphFont"/>
    <w:link w:val="FootnoteText"/>
    <w:uiPriority w:val="99"/>
    <w:rsid w:val="007C0465"/>
    <w:rPr>
      <w:sz w:val="20"/>
      <w:szCs w:val="20"/>
      <w:lang w:val="es-CL"/>
    </w:rPr>
  </w:style>
  <w:style w:type="character" w:styleId="FootnoteReference">
    <w:name w:val="footnote reference"/>
    <w:aliases w:val="Ref. de nota al pie.,FC,ftref,Знак сноски-FN,Ref,de nota al pie,16 Point,Superscript 6 Point,Style 24,titulo 2,pie pddes,Fußnotenzeichen DISS,BVI fnr,Знак сноски 1,referencia nota al pie,Footnote Referencefra, BVI fnr"/>
    <w:uiPriority w:val="99"/>
    <w:unhideWhenUsed/>
    <w:rsid w:val="007C0465"/>
    <w:rPr>
      <w:vertAlign w:val="superscript"/>
    </w:rPr>
  </w:style>
  <w:style w:type="paragraph" w:styleId="Header">
    <w:name w:val="header"/>
    <w:basedOn w:val="Normal"/>
    <w:link w:val="HeaderChar"/>
    <w:uiPriority w:val="99"/>
    <w:unhideWhenUsed/>
    <w:rsid w:val="00557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935"/>
    <w:rPr>
      <w:lang w:val="es-CL"/>
    </w:rPr>
  </w:style>
  <w:style w:type="paragraph" w:styleId="Footer">
    <w:name w:val="footer"/>
    <w:basedOn w:val="Normal"/>
    <w:link w:val="FooterChar"/>
    <w:uiPriority w:val="99"/>
    <w:unhideWhenUsed/>
    <w:rsid w:val="00557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935"/>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0B227439DEA454AA7BBF368F9809821" ma:contentTypeVersion="29" ma:contentTypeDescription="A content type to manage public (operations) IDB documents" ma:contentTypeScope="" ma:versionID="7f60d3e500a5fe0aaffda27b734499da">
  <xsd:schema xmlns:xsd="http://www.w3.org/2001/XMLSchema" xmlns:xs="http://www.w3.org/2001/XMLSchema" xmlns:p="http://schemas.microsoft.com/office/2006/metadata/properties" xmlns:ns2="cdc7663a-08f0-4737-9e8c-148ce897a09c" targetNamespace="http://schemas.microsoft.com/office/2006/metadata/properties" ma:root="true" ma:fieldsID="211d9aa007c657f832f53da7a1ef186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IFD/CTI</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ATN/OC-16505-RG</Approval_x0020_Number>
    <Phase xmlns="cdc7663a-08f0-4737-9e8c-148ce897a09c">ACTIVE</Phase>
    <Document_x0020_Author xmlns="cdc7663a-08f0-4737-9e8c-148ce897a09c">González Alzualde, Yohana Beatriz</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TECHNOLOGY DIFFUSION</TermName>
          <TermId xmlns="http://schemas.microsoft.com/office/infopath/2007/PartnerControls">6ac2ca8c-b322-4b36-a36b-b14cba998c02</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RIN</TermName>
          <TermId xmlns="http://schemas.microsoft.com/office/infopath/2007/PartnerControls">1f24c1c3-8b43-4567-b6c6-b7c857230d8b</TermId>
        </TermInfo>
      </Terms>
    </g511464f9e53401d84b16fa9b379a574>
    <TaxCatchAll xmlns="cdc7663a-08f0-4737-9e8c-148ce897a09c">
      <Value>103</Value>
      <Value>539</Value>
      <Value>44</Value>
      <Value>2</Value>
      <Value>49</Value>
    </TaxCatchAll>
    <Operation_x0020_Type xmlns="cdc7663a-08f0-4737-9e8c-148ce897a09c">TCP</Operation_x0020_Type>
    <Package_x0020_Code xmlns="cdc7663a-08f0-4737-9e8c-148ce897a09c" xsi:nil="true"/>
    <Identifier xmlns="cdc7663a-08f0-4737-9e8c-148ce897a09c" xsi:nil="true"/>
    <Project_x0020_Number xmlns="cdc7663a-08f0-4737-9e8c-148ce897a09c">RG-T3098</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R0001333312</Record_x0020_Number>
    <_dlc_DocId xmlns="cdc7663a-08f0-4737-9e8c-148ce897a09c">EZSHARE-1768465193-19</_dlc_DocId>
    <_dlc_DocIdUrl xmlns="cdc7663a-08f0-4737-9e8c-148ce897a09c">
      <Url>https://idbg.sharepoint.com/teams/EZ-RG-TCP/RG-T3098/_layouts/15/DocIdRedir.aspx?ID=EZSHARE-1768465193-19</Url>
      <Description>EZSHARE-1768465193-19</Description>
    </_dlc_DocIdUrl>
    <Disclosure_x0020_Activity xmlns="cdc7663a-08f0-4737-9e8c-148ce897a09c">Approved 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D54EDBA2-2C54-4E27-86FC-AB57DBB5B1C4}"/>
</file>

<file path=customXml/itemProps2.xml><?xml version="1.0" encoding="utf-8"?>
<ds:datastoreItem xmlns:ds="http://schemas.openxmlformats.org/officeDocument/2006/customXml" ds:itemID="{2F22D455-E0A1-4B15-85A8-BF4E3C6F4928}"/>
</file>

<file path=customXml/itemProps3.xml><?xml version="1.0" encoding="utf-8"?>
<ds:datastoreItem xmlns:ds="http://schemas.openxmlformats.org/officeDocument/2006/customXml" ds:itemID="{F97A0CA7-5EF5-4E91-9999-24C5AE160562}"/>
</file>

<file path=customXml/itemProps4.xml><?xml version="1.0" encoding="utf-8"?>
<ds:datastoreItem xmlns:ds="http://schemas.openxmlformats.org/officeDocument/2006/customXml" ds:itemID="{83508C03-61B1-40C9-949C-A268279093B0}"/>
</file>

<file path=customXml/itemProps5.xml><?xml version="1.0" encoding="utf-8"?>
<ds:datastoreItem xmlns:ds="http://schemas.openxmlformats.org/officeDocument/2006/customXml" ds:itemID="{D33D6145-97A6-4113-B229-10D8A292201B}"/>
</file>

<file path=customXml/itemProps6.xml><?xml version="1.0" encoding="utf-8"?>
<ds:datastoreItem xmlns:ds="http://schemas.openxmlformats.org/officeDocument/2006/customXml" ds:itemID="{BD868B96-2FAD-4E19-9F70-AD5AEEDC9605}"/>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Alzualde, Yohana Beatriz</dc:creator>
  <cp:keywords/>
  <dc:description/>
  <cp:lastModifiedBy>Gonzalez Alzualde, Yohana Beatriz</cp:lastModifiedBy>
  <cp:revision>3</cp:revision>
  <cp:lastPrinted>2017-10-30T15:42:00Z</cp:lastPrinted>
  <dcterms:created xsi:type="dcterms:W3CDTF">2017-10-30T15:42:00Z</dcterms:created>
  <dcterms:modified xsi:type="dcterms:W3CDTF">2017-10-30T15:42:00Z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539;#TECHNOLOGY DIFFUSION|6ac2ca8c-b322-4b36-a36b-b14cba998c02</vt:lpwstr>
  </property>
  <property fmtid="{D5CDD505-2E9C-101B-9397-08002B2CF9AE}" pid="7" name="Fund IDB">
    <vt:lpwstr>49;#RIN|1f24c1c3-8b43-4567-b6c6-b7c857230d8b</vt:lpwstr>
  </property>
  <property fmtid="{D5CDD505-2E9C-101B-9397-08002B2CF9AE}" pid="8" name="Country">
    <vt:lpwstr>44;#Regional|2537a5b7-6d8e-482c-94dc-32c3cc44ff65</vt:lpwstr>
  </property>
  <property fmtid="{D5CDD505-2E9C-101B-9397-08002B2CF9AE}" pid="9" name="Sector IDB">
    <vt:lpwstr>103;#SCIENCE AND TECHNOLOGY|0cc5734e-64eb-4bef-9520-748f3938df0e</vt:lpwstr>
  </property>
  <property fmtid="{D5CDD505-2E9C-101B-9397-08002B2CF9AE}" pid="10" name="Function Operations IDB">
    <vt:lpwstr>2;#Monitoring and Reporting|df3c2aa1-d63e-41aa-b1f5-bb15dee691ca</vt:lpwstr>
  </property>
  <property fmtid="{D5CDD505-2E9C-101B-9397-08002B2CF9AE}" pid="11" name="_dlc_DocIdItemGuid">
    <vt:lpwstr>516ae4b6-da75-4b74-a67a-888798b232d1</vt:lpwstr>
  </property>
  <property fmtid="{D5CDD505-2E9C-101B-9397-08002B2CF9AE}" pid="12" name="RecordPoint_ActiveItemMoved">
    <vt:lpwstr>/teams/EZ-RG-TCP/RG-T3098/15 LifeCycle Milestones/Draft Area/Componente 2 RG-T3098.docx</vt:lpwstr>
  </property>
  <property fmtid="{D5CDD505-2E9C-101B-9397-08002B2CF9AE}" pid="13" name="RecordStorageActiveId">
    <vt:lpwstr>f44c2785-fc6b-4ad3-b731-f83c542a4e10</vt:lpwstr>
  </property>
  <property fmtid="{D5CDD505-2E9C-101B-9397-08002B2CF9AE}" pid="14" name="Disclosure Activity">
    <vt:lpwstr>Approved TC document</vt:lpwstr>
  </property>
  <property fmtid="{D5CDD505-2E9C-101B-9397-08002B2CF9AE}" pid="15" name="ContentTypeId">
    <vt:lpwstr>0x0101001A458A224826124E8B45B1D613300CFC00D0B227439DEA454AA7BBF368F9809821</vt:lpwstr>
  </property>
</Properties>
</file>