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C069A" w14:textId="7A08E62D" w:rsidR="00B80986" w:rsidRPr="007D2EC9" w:rsidRDefault="00B80986" w:rsidP="007D2EC9">
      <w:pPr>
        <w:spacing w:before="120" w:after="120"/>
        <w:jc w:val="center"/>
        <w:rPr>
          <w:rFonts w:ascii="Arial" w:hAnsi="Arial" w:cs="Arial"/>
          <w:b/>
        </w:rPr>
      </w:pPr>
      <w:bookmarkStart w:id="0" w:name="_GoBack"/>
      <w:bookmarkEnd w:id="0"/>
      <w:r w:rsidRPr="007D2EC9">
        <w:rPr>
          <w:rFonts w:ascii="Arial" w:hAnsi="Arial" w:cs="Arial"/>
          <w:b/>
        </w:rPr>
        <w:t>Términos de Referencia de Consultorías</w:t>
      </w:r>
    </w:p>
    <w:p w14:paraId="2552A2AB" w14:textId="0334A2FC" w:rsidR="00B80986" w:rsidRPr="007E51F0" w:rsidRDefault="00DF62F8" w:rsidP="00B80986">
      <w:pPr>
        <w:rPr>
          <w:rFonts w:ascii="Arial" w:hAnsi="Arial" w:cs="Arial"/>
          <w:b/>
          <w:bCs/>
          <w:sz w:val="20"/>
          <w:szCs w:val="20"/>
          <w:lang w:val="es-ES_tradnl"/>
        </w:rPr>
      </w:pPr>
      <w:bookmarkStart w:id="1" w:name="_Hlk495659616"/>
      <w:r w:rsidRPr="00DF62F8" w:rsidDel="00DF62F8">
        <w:rPr>
          <w:rFonts w:ascii="Arial" w:hAnsi="Arial" w:cs="Arial"/>
          <w:b/>
          <w:bCs/>
          <w:sz w:val="20"/>
          <w:szCs w:val="20"/>
          <w:lang w:val="es-ES_tradnl"/>
        </w:rPr>
        <w:t xml:space="preserve"> </w:t>
      </w:r>
      <w:r w:rsidR="00B80986" w:rsidRPr="007E51F0">
        <w:rPr>
          <w:rFonts w:ascii="Arial" w:hAnsi="Arial" w:cs="Arial"/>
          <w:b/>
          <w:bCs/>
          <w:sz w:val="20"/>
          <w:szCs w:val="20"/>
          <w:lang w:val="es-ES_tradnl"/>
        </w:rPr>
        <w:t>Regional</w:t>
      </w:r>
    </w:p>
    <w:p w14:paraId="6E373F34" w14:textId="35D23DAF" w:rsidR="00B80986" w:rsidRPr="007E51F0" w:rsidRDefault="00B80986" w:rsidP="00B80986">
      <w:pPr>
        <w:rPr>
          <w:rFonts w:ascii="Arial" w:hAnsi="Arial" w:cs="Arial"/>
          <w:b/>
          <w:bCs/>
          <w:sz w:val="20"/>
          <w:szCs w:val="20"/>
          <w:lang w:val="es-ES_tradnl"/>
        </w:rPr>
      </w:pPr>
      <w:r w:rsidRPr="007E51F0">
        <w:rPr>
          <w:rFonts w:ascii="Arial" w:hAnsi="Arial" w:cs="Arial"/>
          <w:b/>
          <w:bCs/>
          <w:sz w:val="20"/>
          <w:szCs w:val="20"/>
          <w:lang w:val="es-ES_tradnl"/>
        </w:rPr>
        <w:t>IFD/CTI</w:t>
      </w:r>
    </w:p>
    <w:p w14:paraId="588099DC" w14:textId="77777777" w:rsidR="00B80986" w:rsidRPr="007E51F0" w:rsidRDefault="00B80986" w:rsidP="00B80986">
      <w:pPr>
        <w:rPr>
          <w:rFonts w:ascii="Arial" w:hAnsi="Arial" w:cs="Arial"/>
          <w:b/>
          <w:bCs/>
          <w:sz w:val="20"/>
          <w:szCs w:val="20"/>
          <w:lang w:val="es-ES_tradnl"/>
        </w:rPr>
      </w:pPr>
    </w:p>
    <w:p w14:paraId="589B8362" w14:textId="77777777" w:rsidR="00B80986" w:rsidRPr="007470DD" w:rsidRDefault="00B80986" w:rsidP="00B80986">
      <w:pPr>
        <w:jc w:val="both"/>
        <w:rPr>
          <w:rFonts w:ascii="Arial" w:eastAsiaTheme="majorEastAsia" w:hAnsi="Arial" w:cs="Arial"/>
          <w:b/>
          <w:smallCaps/>
          <w:sz w:val="20"/>
          <w:szCs w:val="20"/>
          <w:lang w:val="es-ES_tradnl"/>
        </w:rPr>
      </w:pPr>
      <w:r w:rsidRPr="007470DD">
        <w:rPr>
          <w:rFonts w:ascii="Arial" w:hAnsi="Arial" w:cs="Arial"/>
          <w:b/>
          <w:smallCaps/>
          <w:sz w:val="20"/>
          <w:szCs w:val="20"/>
        </w:rPr>
        <w:t>Consultoría</w:t>
      </w:r>
      <w:r w:rsidRPr="007470DD">
        <w:rPr>
          <w:rFonts w:ascii="Arial" w:hAnsi="Arial" w:cs="Arial"/>
          <w:b/>
          <w:sz w:val="20"/>
          <w:szCs w:val="20"/>
          <w:lang w:val="es-ES_tradnl"/>
        </w:rPr>
        <w:t xml:space="preserve"> para </w:t>
      </w:r>
      <w:r w:rsidRPr="007470DD">
        <w:rPr>
          <w:rFonts w:ascii="Arial" w:eastAsiaTheme="majorEastAsia" w:hAnsi="Arial" w:cs="Arial"/>
          <w:b/>
          <w:smallCaps/>
          <w:sz w:val="20"/>
          <w:szCs w:val="20"/>
        </w:rPr>
        <w:t xml:space="preserve">Elaboración de Estudios de Levantamiento de Instrumentos de apoyo Públicos para el apoyo a la Transferencia Tecnológica y </w:t>
      </w:r>
      <w:proofErr w:type="spellStart"/>
      <w:r w:rsidRPr="007470DD">
        <w:rPr>
          <w:rFonts w:ascii="Arial" w:eastAsiaTheme="majorEastAsia" w:hAnsi="Arial" w:cs="Arial"/>
          <w:b/>
          <w:smallCaps/>
          <w:sz w:val="20"/>
          <w:szCs w:val="20"/>
        </w:rPr>
        <w:t>Scouting</w:t>
      </w:r>
      <w:proofErr w:type="spellEnd"/>
      <w:r w:rsidRPr="007470DD">
        <w:rPr>
          <w:rFonts w:ascii="Arial" w:eastAsiaTheme="majorEastAsia" w:hAnsi="Arial" w:cs="Arial"/>
          <w:b/>
          <w:smallCaps/>
          <w:sz w:val="20"/>
          <w:szCs w:val="20"/>
        </w:rPr>
        <w:t xml:space="preserve"> de Tecnologías Disponibles</w:t>
      </w:r>
    </w:p>
    <w:p w14:paraId="610C271C" w14:textId="77777777" w:rsidR="00B80986" w:rsidRPr="007470DD" w:rsidRDefault="00B80986" w:rsidP="00B80986">
      <w:pPr>
        <w:rPr>
          <w:rFonts w:ascii="Arial" w:hAnsi="Arial" w:cs="Arial"/>
          <w:iCs/>
          <w:sz w:val="20"/>
          <w:szCs w:val="20"/>
          <w:lang w:val="es-ES_tradnl"/>
        </w:rPr>
      </w:pPr>
    </w:p>
    <w:p w14:paraId="2A453537" w14:textId="77777777" w:rsidR="00B80986" w:rsidRPr="007470DD" w:rsidRDefault="00B80986" w:rsidP="00B80986">
      <w:pPr>
        <w:rPr>
          <w:rFonts w:ascii="Arial" w:hAnsi="Arial" w:cs="Arial"/>
          <w:b/>
          <w:bCs/>
          <w:sz w:val="20"/>
          <w:szCs w:val="20"/>
          <w:lang w:val="es-ES_tradnl"/>
        </w:rPr>
      </w:pPr>
      <w:r w:rsidRPr="007470DD">
        <w:rPr>
          <w:rFonts w:ascii="Arial" w:hAnsi="Arial" w:cs="Arial"/>
          <w:b/>
          <w:bCs/>
          <w:sz w:val="20"/>
          <w:szCs w:val="20"/>
          <w:lang w:val="es-ES_tradnl"/>
        </w:rPr>
        <w:t>TERMINOS DE REFERENCIA</w:t>
      </w:r>
    </w:p>
    <w:p w14:paraId="3C1742DE" w14:textId="77777777" w:rsidR="00B80986" w:rsidRPr="007470DD" w:rsidRDefault="00B80986" w:rsidP="00B80986">
      <w:pPr>
        <w:jc w:val="both"/>
        <w:rPr>
          <w:rFonts w:ascii="Arial" w:hAnsi="Arial" w:cs="Arial"/>
          <w:b/>
          <w:bCs/>
          <w:sz w:val="20"/>
          <w:szCs w:val="20"/>
          <w:lang w:val="es-ES_tradnl"/>
        </w:rPr>
      </w:pPr>
      <w:r w:rsidRPr="007470DD">
        <w:rPr>
          <w:rFonts w:ascii="Arial" w:hAnsi="Arial" w:cs="Arial"/>
          <w:b/>
          <w:bCs/>
          <w:sz w:val="20"/>
          <w:szCs w:val="20"/>
          <w:lang w:val="es-ES_tradnl"/>
        </w:rPr>
        <w:t>Antecedentes</w:t>
      </w:r>
    </w:p>
    <w:p w14:paraId="636D07DA" w14:textId="77777777" w:rsidR="00B80986" w:rsidRPr="0028501B" w:rsidRDefault="00B80986" w:rsidP="00B80986">
      <w:pPr>
        <w:jc w:val="both"/>
        <w:rPr>
          <w:rFonts w:ascii="Arial" w:hAnsi="Arial" w:cs="Arial"/>
          <w:bCs/>
          <w:sz w:val="20"/>
          <w:szCs w:val="20"/>
          <w:lang w:val="es-ES"/>
        </w:rPr>
      </w:pPr>
      <w:r w:rsidRPr="0028501B">
        <w:rPr>
          <w:rFonts w:ascii="Arial" w:hAnsi="Arial" w:cs="Arial"/>
          <w:bCs/>
          <w:sz w:val="20"/>
          <w:szCs w:val="20"/>
          <w:lang w:val="es-ES_tradnl"/>
        </w:rPr>
        <w:t xml:space="preserve">La División de Competitividad, Tecnología e Innovación (IFD/CTI) del Banco Interamericano de Desarrollo (BID) está encargada de promover la creación y crecimiento de empresas dinámicas en los países de América Latina y el Caribe (LAC), fortaleciendo sus capacidades y herramientas para innovar y competir en los mercados internacionales. Los objetivos estratégicos de la división son: Aumentar la inversión del sector privado en innovación y desarrollo tecnológico; Promover el emprendimiento innovador y la creación de nuevas empresas; Impulsar la productividad de las empresas y sus capacidades para formar redes y competir en mercados internacionales; Crear y fortalecer la capacidad de sus instituciones y del entorno para la innovación y el desarrollo productivo. Los instrumentos con los que cuenta la división para llevar adelante estos objetivos estratégicos son los siguientes: Financiación, a través de préstamos y cooperaciones técnicas; </w:t>
      </w:r>
      <w:proofErr w:type="gramStart"/>
      <w:r w:rsidRPr="0028501B">
        <w:rPr>
          <w:rFonts w:ascii="Arial" w:hAnsi="Arial" w:cs="Arial"/>
          <w:bCs/>
          <w:sz w:val="20"/>
          <w:szCs w:val="20"/>
          <w:lang w:val="es-ES_tradnl"/>
        </w:rPr>
        <w:t>Pre-financiación</w:t>
      </w:r>
      <w:proofErr w:type="gramEnd"/>
      <w:r w:rsidRPr="0028501B">
        <w:rPr>
          <w:rFonts w:ascii="Arial" w:hAnsi="Arial" w:cs="Arial"/>
          <w:bCs/>
          <w:sz w:val="20"/>
          <w:szCs w:val="20"/>
          <w:lang w:val="es-ES_tradnl"/>
        </w:rPr>
        <w:t>, a través de programas de asistencia técnica; Fortalecimiento institucional y movilización de recursos; Generación y diseminación de productos de conocimiento; y Apoyo a Diálogos Regionales de Políticas</w:t>
      </w:r>
    </w:p>
    <w:p w14:paraId="68D321CA" w14:textId="77777777" w:rsidR="00B80986" w:rsidRPr="007470DD" w:rsidRDefault="00B80986" w:rsidP="00B80986">
      <w:pPr>
        <w:jc w:val="both"/>
        <w:rPr>
          <w:rFonts w:ascii="Arial" w:hAnsi="Arial" w:cs="Arial"/>
          <w:b/>
          <w:bCs/>
          <w:sz w:val="20"/>
          <w:szCs w:val="20"/>
          <w:lang w:val="es-ES"/>
        </w:rPr>
      </w:pPr>
      <w:r w:rsidRPr="007470DD">
        <w:rPr>
          <w:rFonts w:ascii="Arial" w:hAnsi="Arial" w:cs="Arial"/>
          <w:b/>
          <w:bCs/>
          <w:sz w:val="20"/>
          <w:szCs w:val="20"/>
          <w:lang w:val="es-ES"/>
        </w:rPr>
        <w:t>Objetivo(s) de la Consultoría</w:t>
      </w:r>
    </w:p>
    <w:p w14:paraId="06C43C4C" w14:textId="77777777" w:rsidR="00B80986" w:rsidRPr="007470DD" w:rsidRDefault="00B80986" w:rsidP="00B80986">
      <w:pPr>
        <w:jc w:val="both"/>
        <w:rPr>
          <w:rFonts w:ascii="Arial" w:hAnsi="Arial" w:cs="Arial"/>
          <w:sz w:val="20"/>
          <w:szCs w:val="20"/>
          <w:lang w:val="es-ES_tradnl"/>
        </w:rPr>
      </w:pPr>
      <w:r w:rsidRPr="007470DD">
        <w:rPr>
          <w:rFonts w:ascii="Arial" w:hAnsi="Arial" w:cs="Arial"/>
          <w:bCs/>
          <w:sz w:val="20"/>
          <w:szCs w:val="20"/>
          <w:lang w:val="es-ES_tradnl"/>
        </w:rPr>
        <w:t>La Alianza del Pacífico, oficialmente creada el 28 de abril de 2011, es una iniciativa de integración regional conformada por Chile, Colombia, México y Perú, cuenta con 49 países observadores y Costa Rica y Panamá han solicitado su ingreso oficial. Su objetivo principal es facilitar el movimiento de productos, servicios, capital humano y financiero entre los países participantes y por su naturaleza, amplía considerablemente el tamaño de los mercados de cada país (220 millones de personas y 50% del PIB de Latinoamérica) y ofrece un espacio de interacciones más denso donde los actores de los ecosistemas locales pueden ampliar su espectro de oportunidades aprovechando recursos, conocimientos y mercados transfronterizas que en definitiva, en la medida que maduran, van conformando un ecosistema de Innovación y Emprendimiento a nivel regional que supera a los ecosistemas locales.</w:t>
      </w:r>
    </w:p>
    <w:p w14:paraId="3149D107" w14:textId="77777777" w:rsidR="00B80986" w:rsidRPr="007470DD" w:rsidRDefault="00B80986" w:rsidP="00B80986">
      <w:pPr>
        <w:contextualSpacing/>
        <w:jc w:val="both"/>
        <w:rPr>
          <w:rFonts w:ascii="Arial" w:hAnsi="Arial" w:cs="Arial"/>
          <w:sz w:val="20"/>
          <w:szCs w:val="20"/>
          <w:lang w:val="es-ES_tradnl"/>
        </w:rPr>
      </w:pPr>
      <w:r w:rsidRPr="007470DD">
        <w:rPr>
          <w:rFonts w:ascii="Arial" w:hAnsi="Arial" w:cs="Arial"/>
          <w:sz w:val="20"/>
          <w:szCs w:val="20"/>
          <w:lang w:val="es-ES_tradnl"/>
        </w:rPr>
        <w:t>Si bien los países de la Alianza del Pacifico presentan las mejores capacidades y programas de transferencia y emprendimiento tecnológico en la región, estos distan de ser satisfactorios. El GEM-2016</w:t>
      </w:r>
      <w:r w:rsidRPr="007470DD">
        <w:rPr>
          <w:rStyle w:val="FootnoteReference"/>
          <w:rFonts w:ascii="Arial" w:hAnsi="Arial" w:cs="Arial"/>
          <w:sz w:val="20"/>
          <w:lang w:val="es-ES_tradnl"/>
        </w:rPr>
        <w:footnoteReference w:id="1"/>
      </w:r>
      <w:r w:rsidRPr="007470DD">
        <w:rPr>
          <w:rFonts w:ascii="Arial" w:hAnsi="Arial" w:cs="Arial"/>
          <w:sz w:val="20"/>
          <w:szCs w:val="20"/>
          <w:lang w:val="es-ES_tradnl"/>
        </w:rPr>
        <w:t xml:space="preserve">, a partir de entrevistas a expertos en cada uno de los países y basado en una evaluación de 1 a 10, donde 1 es muy insatisfactorio y 10 muy satisfactorio, en el indicador Transferencia de I+D, Chile aparece con un índice de 3.95, Colombia 3.54, Perú 3.24 y México con 3.70. A su vez, la inversión tanto pública como </w:t>
      </w:r>
      <w:r w:rsidRPr="007470DD">
        <w:rPr>
          <w:rFonts w:ascii="Arial" w:hAnsi="Arial" w:cs="Arial"/>
          <w:sz w:val="20"/>
          <w:szCs w:val="20"/>
          <w:lang w:val="es-ES_tradnl"/>
        </w:rPr>
        <w:lastRenderedPageBreak/>
        <w:t>privada en programas de formación y operación de Oficinas de Transferencia Tecnológica (</w:t>
      </w:r>
      <w:proofErr w:type="spellStart"/>
      <w:r w:rsidRPr="007470DD">
        <w:rPr>
          <w:rFonts w:ascii="Arial" w:hAnsi="Arial" w:cs="Arial"/>
          <w:sz w:val="20"/>
          <w:szCs w:val="20"/>
          <w:lang w:val="es-ES_tradnl"/>
        </w:rPr>
        <w:t>OTTs</w:t>
      </w:r>
      <w:proofErr w:type="spellEnd"/>
      <w:r w:rsidRPr="007470DD">
        <w:rPr>
          <w:rFonts w:ascii="Arial" w:hAnsi="Arial" w:cs="Arial"/>
          <w:sz w:val="20"/>
          <w:szCs w:val="20"/>
          <w:lang w:val="es-ES_tradnl"/>
        </w:rPr>
        <w:t>), incubadoras especializadas en negocios tecnológicos y fondos orientados a estos efectos son también escasos</w:t>
      </w:r>
      <w:r w:rsidRPr="007470DD">
        <w:rPr>
          <w:rStyle w:val="FootnoteReference"/>
          <w:rFonts w:ascii="Arial" w:hAnsi="Arial" w:cs="Arial"/>
          <w:sz w:val="20"/>
          <w:lang w:val="es-ES_tradnl"/>
        </w:rPr>
        <w:footnoteReference w:id="2"/>
      </w:r>
      <w:r w:rsidRPr="007470DD">
        <w:rPr>
          <w:rFonts w:ascii="Arial" w:hAnsi="Arial" w:cs="Arial"/>
          <w:sz w:val="20"/>
          <w:szCs w:val="20"/>
          <w:lang w:val="es-ES_tradnl"/>
        </w:rPr>
        <w:t>. Esto tiene como consecuencia que los esfuerzos de apoyo a la innovación y emprendimiento que ya existen en los países generen proyectos de contenido tecnológico básico y precario.</w:t>
      </w:r>
    </w:p>
    <w:p w14:paraId="77E4D3D4" w14:textId="77777777" w:rsidR="00B80986" w:rsidRPr="007470DD" w:rsidRDefault="00B80986" w:rsidP="00B80986">
      <w:pPr>
        <w:contextualSpacing/>
        <w:jc w:val="both"/>
        <w:rPr>
          <w:rFonts w:ascii="Arial" w:hAnsi="Arial" w:cs="Arial"/>
          <w:sz w:val="20"/>
          <w:szCs w:val="20"/>
          <w:lang w:val="es-ES_tradnl"/>
        </w:rPr>
      </w:pPr>
    </w:p>
    <w:p w14:paraId="209F6780" w14:textId="77777777" w:rsidR="00B80986" w:rsidRPr="007470DD" w:rsidRDefault="00B80986" w:rsidP="00B80986">
      <w:pPr>
        <w:contextualSpacing/>
        <w:jc w:val="both"/>
        <w:rPr>
          <w:rFonts w:ascii="Arial" w:hAnsi="Arial" w:cs="Arial"/>
          <w:sz w:val="20"/>
          <w:szCs w:val="20"/>
          <w:lang w:val="es-ES_tradnl"/>
        </w:rPr>
      </w:pPr>
      <w:r w:rsidRPr="007470DD">
        <w:rPr>
          <w:rFonts w:ascii="Arial" w:hAnsi="Arial" w:cs="Arial"/>
          <w:sz w:val="20"/>
          <w:szCs w:val="20"/>
          <w:lang w:val="es-ES_tradnl"/>
        </w:rPr>
        <w:t xml:space="preserve">Para poder intervenir y fortalecer los diversos instrumentos de financiamiento público orientados a temáticas de emprendimiento y transferencia tecnológica es necesario primero, conocer en detalle el número de instrumentos existentes en los países de la Alianza del Pacífico, sus características principales, rangos presupuestarios, resultados en su implementación entre otros, para de esta forma enfocar la intervención del presente proyecto. A su vez, y desde la perspectiva de mayores oportunidades comerciales para empresas, emprendedores y oficinas de transferencia tecnológica, es relevante conocer las tecnologías disponibles desarrolladas en la región y que tengan potencialidad de escalabilidad y aplicación de diversos contextos.  </w:t>
      </w:r>
    </w:p>
    <w:p w14:paraId="1E525A2A" w14:textId="77777777" w:rsidR="00B80986" w:rsidRPr="007470DD" w:rsidRDefault="00B80986" w:rsidP="00B80986">
      <w:pPr>
        <w:jc w:val="both"/>
        <w:rPr>
          <w:rFonts w:ascii="Arial" w:hAnsi="Arial" w:cs="Arial"/>
          <w:bCs/>
          <w:sz w:val="20"/>
          <w:szCs w:val="20"/>
          <w:lang w:val="es-ES"/>
        </w:rPr>
      </w:pPr>
    </w:p>
    <w:p w14:paraId="5859CDBB" w14:textId="77777777" w:rsidR="00B80986" w:rsidRPr="0028501B" w:rsidRDefault="00B80986" w:rsidP="00B80986">
      <w:pPr>
        <w:jc w:val="both"/>
        <w:rPr>
          <w:rFonts w:ascii="Arial" w:hAnsi="Arial" w:cs="Arial"/>
          <w:b/>
          <w:bCs/>
          <w:sz w:val="20"/>
          <w:szCs w:val="20"/>
          <w:lang w:val="es-ES_tradnl"/>
        </w:rPr>
      </w:pPr>
      <w:r w:rsidRPr="0028501B">
        <w:rPr>
          <w:rFonts w:ascii="Arial" w:hAnsi="Arial" w:cs="Arial"/>
          <w:b/>
          <w:bCs/>
          <w:sz w:val="20"/>
          <w:szCs w:val="20"/>
          <w:lang w:val="es-ES_tradnl"/>
        </w:rPr>
        <w:t>La presente consultoría tiene el siguiente objetivo principal:</w:t>
      </w:r>
    </w:p>
    <w:p w14:paraId="08365BEC" w14:textId="77777777" w:rsidR="00B80986" w:rsidRPr="007470DD" w:rsidRDefault="00B80986" w:rsidP="00B80986">
      <w:pPr>
        <w:jc w:val="both"/>
        <w:rPr>
          <w:rFonts w:ascii="Arial" w:hAnsi="Arial" w:cs="Arial"/>
          <w:bCs/>
          <w:sz w:val="20"/>
          <w:szCs w:val="20"/>
          <w:lang w:val="es-ES"/>
        </w:rPr>
      </w:pPr>
      <w:r w:rsidRPr="007470DD">
        <w:rPr>
          <w:rFonts w:ascii="Arial" w:hAnsi="Arial" w:cs="Arial"/>
          <w:bCs/>
          <w:sz w:val="20"/>
          <w:szCs w:val="20"/>
          <w:lang w:val="es-ES"/>
        </w:rPr>
        <w:t>Desarrollo de un informe de levantamiento que permita profundizar los siguientes ámbitos de transferencia tecnológica en los países de la Alianza del Pacífico (Chile, Colombia, México, Perú</w:t>
      </w:r>
      <w:proofErr w:type="gramStart"/>
      <w:r w:rsidRPr="007470DD">
        <w:rPr>
          <w:rFonts w:ascii="Arial" w:hAnsi="Arial" w:cs="Arial"/>
          <w:bCs/>
          <w:sz w:val="20"/>
          <w:szCs w:val="20"/>
          <w:lang w:val="es-ES"/>
        </w:rPr>
        <w:t>) :</w:t>
      </w:r>
      <w:proofErr w:type="gramEnd"/>
    </w:p>
    <w:p w14:paraId="2871302C" w14:textId="77777777" w:rsidR="00B80986" w:rsidRPr="007470DD" w:rsidRDefault="00B80986" w:rsidP="00B80986">
      <w:pPr>
        <w:pStyle w:val="ListParagraph"/>
        <w:numPr>
          <w:ilvl w:val="0"/>
          <w:numId w:val="4"/>
        </w:numPr>
        <w:spacing w:after="0" w:line="240" w:lineRule="auto"/>
        <w:contextualSpacing w:val="0"/>
        <w:jc w:val="both"/>
        <w:rPr>
          <w:rFonts w:ascii="Arial" w:hAnsi="Arial" w:cs="Arial"/>
          <w:bCs/>
          <w:sz w:val="20"/>
          <w:szCs w:val="20"/>
          <w:lang w:val="es-ES"/>
        </w:rPr>
      </w:pPr>
      <w:r w:rsidRPr="007470DD">
        <w:rPr>
          <w:rFonts w:ascii="Arial" w:hAnsi="Arial" w:cs="Arial"/>
          <w:bCs/>
          <w:sz w:val="20"/>
          <w:szCs w:val="20"/>
          <w:lang w:val="es-ES"/>
        </w:rPr>
        <w:t>Catastro de los instrumentos públicos de financiamiento a iniciativas de transferencia y emprendimiento tecnológico.</w:t>
      </w:r>
    </w:p>
    <w:p w14:paraId="1951CDBF" w14:textId="77777777" w:rsidR="00B80986" w:rsidRPr="007470DD" w:rsidRDefault="00B80986" w:rsidP="00B80986">
      <w:pPr>
        <w:pStyle w:val="ListParagraph"/>
        <w:numPr>
          <w:ilvl w:val="0"/>
          <w:numId w:val="4"/>
        </w:numPr>
        <w:spacing w:after="0" w:line="240" w:lineRule="auto"/>
        <w:contextualSpacing w:val="0"/>
        <w:jc w:val="both"/>
        <w:rPr>
          <w:rFonts w:ascii="Arial" w:hAnsi="Arial" w:cs="Arial"/>
          <w:bCs/>
          <w:sz w:val="20"/>
          <w:szCs w:val="20"/>
          <w:lang w:val="es-ES"/>
        </w:rPr>
      </w:pPr>
      <w:r w:rsidRPr="007470DD">
        <w:rPr>
          <w:rFonts w:ascii="Arial" w:hAnsi="Arial" w:cs="Arial"/>
          <w:bCs/>
          <w:sz w:val="20"/>
          <w:szCs w:val="20"/>
          <w:lang w:val="es-ES"/>
        </w:rPr>
        <w:t>Mapeo de las oficinas públicas y privadas especializadas en ámbito de Transferencia y emprendimiento tecnológico.</w:t>
      </w:r>
    </w:p>
    <w:p w14:paraId="724ECFFB" w14:textId="77777777" w:rsidR="00B80986" w:rsidRPr="007470DD" w:rsidRDefault="00B80986" w:rsidP="00B80986">
      <w:pPr>
        <w:pStyle w:val="ListParagraph"/>
        <w:numPr>
          <w:ilvl w:val="0"/>
          <w:numId w:val="4"/>
        </w:numPr>
        <w:spacing w:after="0" w:line="240" w:lineRule="auto"/>
        <w:contextualSpacing w:val="0"/>
        <w:jc w:val="both"/>
        <w:rPr>
          <w:rFonts w:ascii="Arial" w:hAnsi="Arial" w:cs="Arial"/>
          <w:bCs/>
          <w:sz w:val="20"/>
          <w:szCs w:val="20"/>
          <w:lang w:val="es-ES"/>
        </w:rPr>
      </w:pPr>
      <w:r w:rsidRPr="007470DD">
        <w:rPr>
          <w:rFonts w:ascii="Arial" w:hAnsi="Arial" w:cs="Arial"/>
          <w:bCs/>
          <w:sz w:val="20"/>
          <w:szCs w:val="20"/>
          <w:lang w:val="es-ES"/>
        </w:rPr>
        <w:t>Mapeo de las tecnologías disponibles en la región (</w:t>
      </w:r>
      <w:proofErr w:type="spellStart"/>
      <w:r w:rsidRPr="007470DD">
        <w:rPr>
          <w:rFonts w:ascii="Arial" w:hAnsi="Arial" w:cs="Arial"/>
          <w:bCs/>
          <w:sz w:val="20"/>
          <w:szCs w:val="20"/>
          <w:lang w:val="es-ES"/>
        </w:rPr>
        <w:t>scouting</w:t>
      </w:r>
      <w:proofErr w:type="spellEnd"/>
      <w:r w:rsidRPr="007470DD">
        <w:rPr>
          <w:rFonts w:ascii="Arial" w:hAnsi="Arial" w:cs="Arial"/>
          <w:bCs/>
          <w:sz w:val="20"/>
          <w:szCs w:val="20"/>
          <w:lang w:val="es-ES"/>
        </w:rPr>
        <w:t xml:space="preserve"> tecnológico) vinculada a las oficinas de transferencia tecnológica u otras instituciones afines.</w:t>
      </w:r>
    </w:p>
    <w:p w14:paraId="548DC7D8" w14:textId="77777777" w:rsidR="00B80986" w:rsidRDefault="00B80986" w:rsidP="00B80986">
      <w:pPr>
        <w:jc w:val="both"/>
        <w:rPr>
          <w:rFonts w:ascii="Arial" w:hAnsi="Arial" w:cs="Arial"/>
          <w:b/>
          <w:bCs/>
          <w:sz w:val="20"/>
          <w:szCs w:val="20"/>
          <w:lang w:val="es-ES"/>
        </w:rPr>
      </w:pPr>
    </w:p>
    <w:p w14:paraId="5E388674" w14:textId="77777777" w:rsidR="00B80986" w:rsidRPr="007470DD" w:rsidRDefault="00B80986" w:rsidP="00B80986">
      <w:pPr>
        <w:jc w:val="both"/>
        <w:rPr>
          <w:rFonts w:ascii="Arial" w:hAnsi="Arial" w:cs="Arial"/>
          <w:b/>
          <w:bCs/>
          <w:sz w:val="20"/>
          <w:szCs w:val="20"/>
          <w:lang w:val="es-ES"/>
        </w:rPr>
      </w:pPr>
      <w:r w:rsidRPr="007470DD">
        <w:rPr>
          <w:rFonts w:ascii="Arial" w:hAnsi="Arial" w:cs="Arial"/>
          <w:b/>
          <w:bCs/>
          <w:sz w:val="20"/>
          <w:szCs w:val="20"/>
          <w:lang w:val="es-ES"/>
        </w:rPr>
        <w:t>Informes / Entregables</w:t>
      </w:r>
    </w:p>
    <w:p w14:paraId="398AF9F1" w14:textId="77777777" w:rsidR="00B80986" w:rsidRPr="007470DD" w:rsidRDefault="00B80986" w:rsidP="00B80986">
      <w:pPr>
        <w:jc w:val="both"/>
        <w:rPr>
          <w:rFonts w:ascii="Arial" w:hAnsi="Arial" w:cs="Arial"/>
          <w:sz w:val="20"/>
          <w:szCs w:val="20"/>
          <w:lang w:val="es-ES"/>
        </w:rPr>
      </w:pPr>
      <w:r w:rsidRPr="007470DD">
        <w:rPr>
          <w:rFonts w:ascii="Arial" w:hAnsi="Arial" w:cs="Arial"/>
          <w:sz w:val="20"/>
          <w:szCs w:val="20"/>
          <w:lang w:val="es-ES"/>
        </w:rPr>
        <w:t xml:space="preserve">El contractual responsable deberá presentar los siguientes informes: </w:t>
      </w:r>
    </w:p>
    <w:p w14:paraId="23A35850" w14:textId="77777777" w:rsidR="00B80986" w:rsidRDefault="00B80986" w:rsidP="00B80986">
      <w:pPr>
        <w:pStyle w:val="ListParagraph"/>
        <w:numPr>
          <w:ilvl w:val="0"/>
          <w:numId w:val="3"/>
        </w:numPr>
        <w:spacing w:after="0" w:line="240" w:lineRule="auto"/>
        <w:contextualSpacing w:val="0"/>
        <w:jc w:val="both"/>
        <w:rPr>
          <w:rFonts w:ascii="Arial" w:hAnsi="Arial" w:cs="Arial"/>
          <w:sz w:val="20"/>
          <w:szCs w:val="20"/>
          <w:lang w:val="es-ES"/>
        </w:rPr>
      </w:pPr>
      <w:r w:rsidRPr="007470DD">
        <w:rPr>
          <w:rFonts w:ascii="Arial" w:hAnsi="Arial" w:cs="Arial"/>
          <w:sz w:val="20"/>
          <w:szCs w:val="20"/>
          <w:lang w:val="es-ES"/>
        </w:rPr>
        <w:t xml:space="preserve">Informe 1: Propuesta inicial con las temáticas específicas que contendrá el catastro y mapeos solicitados, metodologías a utilizar, </w:t>
      </w:r>
      <w:proofErr w:type="spellStart"/>
      <w:r w:rsidRPr="007470DD">
        <w:rPr>
          <w:rFonts w:ascii="Arial" w:hAnsi="Arial" w:cs="Arial"/>
          <w:sz w:val="20"/>
          <w:szCs w:val="20"/>
          <w:lang w:val="es-ES"/>
        </w:rPr>
        <w:t>milestones</w:t>
      </w:r>
      <w:proofErr w:type="spellEnd"/>
      <w:r w:rsidRPr="007470DD">
        <w:rPr>
          <w:rFonts w:ascii="Arial" w:hAnsi="Arial" w:cs="Arial"/>
          <w:sz w:val="20"/>
          <w:szCs w:val="20"/>
          <w:lang w:val="es-ES"/>
        </w:rPr>
        <w:t xml:space="preserve"> a cumplir y sus fechas de cumplimiento.</w:t>
      </w:r>
    </w:p>
    <w:p w14:paraId="4C7FACA9" w14:textId="77777777" w:rsidR="00B80986" w:rsidRPr="007470DD" w:rsidRDefault="00B80986" w:rsidP="00B80986">
      <w:pPr>
        <w:pStyle w:val="ListParagraph"/>
        <w:spacing w:after="0" w:line="240" w:lineRule="auto"/>
        <w:contextualSpacing w:val="0"/>
        <w:jc w:val="both"/>
        <w:rPr>
          <w:rFonts w:ascii="Arial" w:hAnsi="Arial" w:cs="Arial"/>
          <w:sz w:val="20"/>
          <w:szCs w:val="20"/>
          <w:lang w:val="es-ES"/>
        </w:rPr>
      </w:pPr>
    </w:p>
    <w:p w14:paraId="590FA0B1" w14:textId="77777777" w:rsidR="00B80986" w:rsidRDefault="00B80986" w:rsidP="00B80986">
      <w:pPr>
        <w:pStyle w:val="ListParagraph"/>
        <w:numPr>
          <w:ilvl w:val="0"/>
          <w:numId w:val="3"/>
        </w:numPr>
        <w:spacing w:after="0" w:line="240" w:lineRule="auto"/>
        <w:contextualSpacing w:val="0"/>
        <w:jc w:val="both"/>
        <w:rPr>
          <w:rFonts w:ascii="Arial" w:hAnsi="Arial" w:cs="Arial"/>
          <w:sz w:val="20"/>
          <w:szCs w:val="20"/>
          <w:lang w:val="es-ES"/>
        </w:rPr>
      </w:pPr>
      <w:r w:rsidRPr="0028501B">
        <w:rPr>
          <w:rFonts w:ascii="Arial" w:hAnsi="Arial" w:cs="Arial"/>
          <w:sz w:val="20"/>
          <w:szCs w:val="20"/>
          <w:lang w:val="es-ES"/>
        </w:rPr>
        <w:t xml:space="preserve">Informe 2: entrega </w:t>
      </w:r>
      <w:proofErr w:type="gramStart"/>
      <w:r w:rsidRPr="0028501B">
        <w:rPr>
          <w:rFonts w:ascii="Arial" w:hAnsi="Arial" w:cs="Arial"/>
          <w:sz w:val="20"/>
          <w:szCs w:val="20"/>
          <w:lang w:val="es-ES"/>
        </w:rPr>
        <w:t>del versión</w:t>
      </w:r>
      <w:proofErr w:type="gramEnd"/>
      <w:r w:rsidRPr="0028501B">
        <w:rPr>
          <w:rFonts w:ascii="Arial" w:hAnsi="Arial" w:cs="Arial"/>
          <w:sz w:val="20"/>
          <w:szCs w:val="20"/>
          <w:lang w:val="es-ES"/>
        </w:rPr>
        <w:t xml:space="preserve"> 1.0 del Informe, el cual será enviado a revisión a BID para los respectivos comentarios y sugerencias. Las fechas de entrega serán determinadas por BID en conjunto con el contractual contratado.</w:t>
      </w:r>
    </w:p>
    <w:p w14:paraId="47948336" w14:textId="77777777" w:rsidR="00B80986" w:rsidRPr="0028501B" w:rsidRDefault="00B80986" w:rsidP="00B80986">
      <w:pPr>
        <w:pStyle w:val="ListParagraph"/>
        <w:rPr>
          <w:rFonts w:ascii="Arial" w:hAnsi="Arial" w:cs="Arial"/>
          <w:sz w:val="20"/>
          <w:szCs w:val="20"/>
          <w:lang w:val="es-ES"/>
        </w:rPr>
      </w:pPr>
    </w:p>
    <w:p w14:paraId="277A9173" w14:textId="77777777" w:rsidR="00B80986" w:rsidRPr="007470DD" w:rsidRDefault="00B80986" w:rsidP="00B80986">
      <w:pPr>
        <w:pStyle w:val="ListParagraph"/>
        <w:numPr>
          <w:ilvl w:val="0"/>
          <w:numId w:val="3"/>
        </w:numPr>
        <w:spacing w:after="0" w:line="240" w:lineRule="auto"/>
        <w:contextualSpacing w:val="0"/>
        <w:jc w:val="both"/>
        <w:rPr>
          <w:rFonts w:ascii="Arial" w:hAnsi="Arial" w:cs="Arial"/>
          <w:sz w:val="20"/>
          <w:szCs w:val="20"/>
          <w:lang w:val="es-ES"/>
        </w:rPr>
      </w:pPr>
      <w:r w:rsidRPr="007470DD">
        <w:rPr>
          <w:rFonts w:ascii="Arial" w:hAnsi="Arial" w:cs="Arial"/>
          <w:sz w:val="20"/>
          <w:szCs w:val="20"/>
          <w:lang w:val="es-ES"/>
        </w:rPr>
        <w:t>Informe 3: entrega de versión final del Informe. Las fechas de entrega serán determinadas por BID en conjunto con el contractual contratado.</w:t>
      </w:r>
    </w:p>
    <w:p w14:paraId="242AB2A9" w14:textId="77777777" w:rsidR="00B80986" w:rsidRPr="007470DD" w:rsidRDefault="00B80986" w:rsidP="00B80986">
      <w:pPr>
        <w:jc w:val="both"/>
        <w:rPr>
          <w:rFonts w:ascii="Arial" w:hAnsi="Arial" w:cs="Arial"/>
          <w:bCs/>
          <w:sz w:val="20"/>
          <w:szCs w:val="20"/>
          <w:lang w:val="es-ES"/>
        </w:rPr>
      </w:pPr>
    </w:p>
    <w:p w14:paraId="1514B49F" w14:textId="77777777" w:rsidR="00B80986" w:rsidRPr="007470DD" w:rsidRDefault="00B80986" w:rsidP="00B80986">
      <w:pPr>
        <w:pStyle w:val="BodyText"/>
        <w:jc w:val="both"/>
        <w:rPr>
          <w:rFonts w:ascii="Arial" w:hAnsi="Arial" w:cs="Arial"/>
          <w:sz w:val="20"/>
          <w:lang w:val="es-ES"/>
        </w:rPr>
      </w:pPr>
      <w:r w:rsidRPr="007470DD">
        <w:rPr>
          <w:rFonts w:ascii="Arial" w:hAnsi="Arial" w:cs="Arial"/>
          <w:sz w:val="20"/>
          <w:lang w:val="es-ES"/>
        </w:rPr>
        <w:t>[Todo informe debe ser sometido al Banco en un archivo electrónico. El informe debe incluir una carátula, documento principal, y todos los anexos. Archivos en formato Zip no serán aceptados como informes finales debido a los reglamentos de la Sección de Administración de Archivos.]</w:t>
      </w:r>
    </w:p>
    <w:p w14:paraId="5661E637" w14:textId="77777777" w:rsidR="00B80986" w:rsidRPr="007470DD" w:rsidRDefault="00B80986" w:rsidP="00B80986">
      <w:pPr>
        <w:pStyle w:val="BodyText"/>
        <w:jc w:val="both"/>
        <w:rPr>
          <w:rFonts w:ascii="Arial" w:hAnsi="Arial" w:cs="Arial"/>
          <w:sz w:val="20"/>
          <w:lang w:val="es-ES"/>
        </w:rPr>
      </w:pPr>
    </w:p>
    <w:p w14:paraId="04C9BD80" w14:textId="77777777" w:rsidR="00B80986" w:rsidRPr="007470DD" w:rsidRDefault="00B80986" w:rsidP="00B80986">
      <w:pPr>
        <w:pStyle w:val="BodyText"/>
        <w:jc w:val="both"/>
        <w:rPr>
          <w:rFonts w:ascii="Arial" w:hAnsi="Arial" w:cs="Arial"/>
          <w:sz w:val="20"/>
          <w:lang w:val="es-ES"/>
        </w:rPr>
      </w:pPr>
    </w:p>
    <w:p w14:paraId="4A779218" w14:textId="77777777" w:rsidR="00B80986" w:rsidRPr="007470DD" w:rsidRDefault="00B80986" w:rsidP="00B80986">
      <w:pPr>
        <w:jc w:val="both"/>
        <w:rPr>
          <w:rFonts w:ascii="Arial" w:hAnsi="Arial" w:cs="Arial"/>
          <w:b/>
          <w:bCs/>
          <w:sz w:val="20"/>
          <w:szCs w:val="20"/>
          <w:lang w:val="es-ES"/>
        </w:rPr>
      </w:pPr>
      <w:r w:rsidRPr="007470DD">
        <w:rPr>
          <w:rFonts w:ascii="Arial" w:hAnsi="Arial" w:cs="Arial"/>
          <w:b/>
          <w:bCs/>
          <w:sz w:val="20"/>
          <w:szCs w:val="20"/>
          <w:lang w:val="es-ES"/>
        </w:rPr>
        <w:lastRenderedPageBreak/>
        <w:t>Cronograma de Pagos</w:t>
      </w:r>
    </w:p>
    <w:p w14:paraId="682C7E34" w14:textId="77777777" w:rsidR="00B80986" w:rsidRPr="006D292B" w:rsidRDefault="00B80986" w:rsidP="00B80986">
      <w:pPr>
        <w:pStyle w:val="ListParagraph"/>
        <w:numPr>
          <w:ilvl w:val="0"/>
          <w:numId w:val="5"/>
        </w:numPr>
        <w:jc w:val="both"/>
        <w:rPr>
          <w:rFonts w:ascii="Arial" w:hAnsi="Arial" w:cs="Arial"/>
          <w:sz w:val="20"/>
          <w:szCs w:val="20"/>
        </w:rPr>
      </w:pPr>
      <w:r w:rsidRPr="006D292B">
        <w:rPr>
          <w:rFonts w:ascii="Arial" w:hAnsi="Arial" w:cs="Arial"/>
          <w:sz w:val="20"/>
          <w:szCs w:val="20"/>
          <w:lang w:val="es-ES"/>
        </w:rPr>
        <w:t>3</w:t>
      </w:r>
      <w:r w:rsidRPr="006D292B">
        <w:rPr>
          <w:rFonts w:ascii="Arial" w:hAnsi="Arial" w:cs="Arial"/>
          <w:sz w:val="20"/>
          <w:szCs w:val="20"/>
        </w:rPr>
        <w:t>0% luego de entregado firmado el contrato y aceptado el informe 1.</w:t>
      </w:r>
    </w:p>
    <w:p w14:paraId="0DF288C7" w14:textId="77777777" w:rsidR="00B80986" w:rsidRPr="006D292B" w:rsidRDefault="00B80986" w:rsidP="00B80986">
      <w:pPr>
        <w:pStyle w:val="ListParagraph"/>
        <w:numPr>
          <w:ilvl w:val="0"/>
          <w:numId w:val="5"/>
        </w:numPr>
        <w:jc w:val="both"/>
        <w:rPr>
          <w:rFonts w:ascii="Arial" w:hAnsi="Arial" w:cs="Arial"/>
          <w:sz w:val="20"/>
          <w:szCs w:val="20"/>
        </w:rPr>
      </w:pPr>
      <w:r w:rsidRPr="006D292B">
        <w:rPr>
          <w:rFonts w:ascii="Arial" w:hAnsi="Arial" w:cs="Arial"/>
          <w:sz w:val="20"/>
          <w:szCs w:val="20"/>
        </w:rPr>
        <w:t>30% luego de entregado y aceptado por parte de BID el informe 2.</w:t>
      </w:r>
    </w:p>
    <w:p w14:paraId="2C7605BF" w14:textId="77777777" w:rsidR="00B80986" w:rsidRPr="006D292B" w:rsidRDefault="00B80986" w:rsidP="00B80986">
      <w:pPr>
        <w:pStyle w:val="ListParagraph"/>
        <w:numPr>
          <w:ilvl w:val="0"/>
          <w:numId w:val="5"/>
        </w:numPr>
        <w:jc w:val="both"/>
        <w:rPr>
          <w:rFonts w:ascii="Arial" w:hAnsi="Arial" w:cs="Arial"/>
          <w:sz w:val="20"/>
          <w:szCs w:val="20"/>
        </w:rPr>
      </w:pPr>
      <w:r w:rsidRPr="006D292B">
        <w:rPr>
          <w:rFonts w:ascii="Arial" w:hAnsi="Arial" w:cs="Arial"/>
          <w:sz w:val="20"/>
          <w:szCs w:val="20"/>
        </w:rPr>
        <w:t>40% luego de entregado y aceptado por parte de BID el informe 3.</w:t>
      </w:r>
    </w:p>
    <w:p w14:paraId="46C746DB" w14:textId="77777777" w:rsidR="00B80986" w:rsidRDefault="00B80986" w:rsidP="00B80986">
      <w:pPr>
        <w:jc w:val="both"/>
        <w:rPr>
          <w:rFonts w:ascii="Arial" w:hAnsi="Arial" w:cs="Arial"/>
          <w:b/>
          <w:bCs/>
          <w:sz w:val="20"/>
          <w:szCs w:val="20"/>
          <w:lang w:val="es-ES"/>
        </w:rPr>
      </w:pPr>
    </w:p>
    <w:p w14:paraId="65F60A8F" w14:textId="77777777" w:rsidR="00B80986" w:rsidRPr="007470DD" w:rsidRDefault="00B80986" w:rsidP="00B80986">
      <w:pPr>
        <w:jc w:val="both"/>
        <w:rPr>
          <w:rFonts w:ascii="Arial" w:hAnsi="Arial" w:cs="Arial"/>
          <w:b/>
          <w:bCs/>
          <w:sz w:val="20"/>
          <w:szCs w:val="20"/>
          <w:lang w:val="es-ES"/>
        </w:rPr>
      </w:pPr>
      <w:r w:rsidRPr="007470DD">
        <w:rPr>
          <w:rFonts w:ascii="Arial" w:hAnsi="Arial" w:cs="Arial"/>
          <w:b/>
          <w:bCs/>
          <w:sz w:val="20"/>
          <w:szCs w:val="20"/>
          <w:lang w:val="es-ES"/>
        </w:rPr>
        <w:t>Calificaciones</w:t>
      </w:r>
    </w:p>
    <w:p w14:paraId="2B000956" w14:textId="77777777" w:rsidR="00B80986" w:rsidRPr="007470DD" w:rsidRDefault="00B80986" w:rsidP="00B80986">
      <w:pPr>
        <w:pStyle w:val="ListParagraph"/>
        <w:numPr>
          <w:ilvl w:val="3"/>
          <w:numId w:val="1"/>
        </w:numPr>
        <w:spacing w:after="0" w:line="240" w:lineRule="auto"/>
        <w:ind w:left="720"/>
        <w:contextualSpacing w:val="0"/>
        <w:jc w:val="both"/>
        <w:rPr>
          <w:rFonts w:ascii="Arial" w:hAnsi="Arial" w:cs="Arial"/>
          <w:sz w:val="20"/>
          <w:szCs w:val="20"/>
        </w:rPr>
      </w:pPr>
      <w:r w:rsidRPr="007470DD">
        <w:rPr>
          <w:rFonts w:ascii="Arial" w:hAnsi="Arial" w:cs="Arial"/>
          <w:sz w:val="20"/>
          <w:szCs w:val="20"/>
        </w:rPr>
        <w:t xml:space="preserve">Título/Nivel Académico &amp; Años de Experiencia Profesional: formación y grado de </w:t>
      </w:r>
      <w:proofErr w:type="gramStart"/>
      <w:r w:rsidRPr="007470DD">
        <w:rPr>
          <w:rFonts w:ascii="Arial" w:hAnsi="Arial" w:cs="Arial"/>
          <w:sz w:val="20"/>
          <w:szCs w:val="20"/>
        </w:rPr>
        <w:t>Maestría  o</w:t>
      </w:r>
      <w:proofErr w:type="gramEnd"/>
      <w:r w:rsidRPr="007470DD">
        <w:rPr>
          <w:rFonts w:ascii="Arial" w:hAnsi="Arial" w:cs="Arial"/>
          <w:sz w:val="20"/>
          <w:szCs w:val="20"/>
        </w:rPr>
        <w:t xml:space="preserve"> PHD en políticas públicas, economía, economía industrial, innovación, emprendimiento o ciencias sociales o STEM (</w:t>
      </w:r>
      <w:proofErr w:type="spellStart"/>
      <w:r w:rsidRPr="007470DD">
        <w:rPr>
          <w:rFonts w:ascii="Arial" w:hAnsi="Arial" w:cs="Arial"/>
          <w:sz w:val="20"/>
          <w:szCs w:val="20"/>
        </w:rPr>
        <w:t>Science</w:t>
      </w:r>
      <w:proofErr w:type="spellEnd"/>
      <w:r w:rsidRPr="007470DD">
        <w:rPr>
          <w:rFonts w:ascii="Arial" w:hAnsi="Arial" w:cs="Arial"/>
          <w:sz w:val="20"/>
          <w:szCs w:val="20"/>
        </w:rPr>
        <w:t xml:space="preserve">, </w:t>
      </w:r>
      <w:proofErr w:type="spellStart"/>
      <w:r w:rsidRPr="007470DD">
        <w:rPr>
          <w:rFonts w:ascii="Arial" w:hAnsi="Arial" w:cs="Arial"/>
          <w:sz w:val="20"/>
          <w:szCs w:val="20"/>
        </w:rPr>
        <w:t>Technology</w:t>
      </w:r>
      <w:proofErr w:type="spellEnd"/>
      <w:r w:rsidRPr="007470DD">
        <w:rPr>
          <w:rFonts w:ascii="Arial" w:hAnsi="Arial" w:cs="Arial"/>
          <w:sz w:val="20"/>
          <w:szCs w:val="20"/>
        </w:rPr>
        <w:t xml:space="preserve">, </w:t>
      </w:r>
      <w:proofErr w:type="spellStart"/>
      <w:r w:rsidRPr="007470DD">
        <w:rPr>
          <w:rFonts w:ascii="Arial" w:hAnsi="Arial" w:cs="Arial"/>
          <w:sz w:val="20"/>
          <w:szCs w:val="20"/>
        </w:rPr>
        <w:t>Engineering</w:t>
      </w:r>
      <w:proofErr w:type="spellEnd"/>
      <w:r w:rsidRPr="007470DD">
        <w:rPr>
          <w:rFonts w:ascii="Arial" w:hAnsi="Arial" w:cs="Arial"/>
          <w:sz w:val="20"/>
          <w:szCs w:val="20"/>
        </w:rPr>
        <w:t xml:space="preserve"> </w:t>
      </w:r>
      <w:proofErr w:type="spellStart"/>
      <w:r w:rsidRPr="007470DD">
        <w:rPr>
          <w:rFonts w:ascii="Arial" w:hAnsi="Arial" w:cs="Arial"/>
          <w:sz w:val="20"/>
          <w:szCs w:val="20"/>
        </w:rPr>
        <w:t>or</w:t>
      </w:r>
      <w:proofErr w:type="spellEnd"/>
      <w:r w:rsidRPr="007470DD">
        <w:rPr>
          <w:rFonts w:ascii="Arial" w:hAnsi="Arial" w:cs="Arial"/>
          <w:sz w:val="20"/>
          <w:szCs w:val="20"/>
        </w:rPr>
        <w:t xml:space="preserve"> </w:t>
      </w:r>
      <w:proofErr w:type="spellStart"/>
      <w:r w:rsidRPr="007470DD">
        <w:rPr>
          <w:rFonts w:ascii="Arial" w:hAnsi="Arial" w:cs="Arial"/>
          <w:sz w:val="20"/>
          <w:szCs w:val="20"/>
        </w:rPr>
        <w:t>Mathematics</w:t>
      </w:r>
      <w:proofErr w:type="spellEnd"/>
      <w:r w:rsidRPr="007470DD">
        <w:rPr>
          <w:rFonts w:ascii="Arial" w:hAnsi="Arial" w:cs="Arial"/>
          <w:sz w:val="20"/>
          <w:szCs w:val="20"/>
        </w:rPr>
        <w:t>). Experiencia comprobada o de al menos 8 años en ámbitos de investigación e implementación de proyectos en temas de políticas públicas de innovación, innovación empresarial, productividad e innovación.</w:t>
      </w:r>
    </w:p>
    <w:p w14:paraId="3B72E59C" w14:textId="77777777" w:rsidR="00B80986" w:rsidRPr="007470DD" w:rsidRDefault="00B80986" w:rsidP="00B80986">
      <w:pPr>
        <w:pStyle w:val="ListParagraph"/>
        <w:numPr>
          <w:ilvl w:val="3"/>
          <w:numId w:val="1"/>
        </w:numPr>
        <w:spacing w:after="0" w:line="240" w:lineRule="auto"/>
        <w:ind w:left="720"/>
        <w:contextualSpacing w:val="0"/>
        <w:jc w:val="both"/>
        <w:rPr>
          <w:rFonts w:ascii="Arial" w:hAnsi="Arial" w:cs="Arial"/>
          <w:sz w:val="20"/>
          <w:szCs w:val="20"/>
        </w:rPr>
      </w:pPr>
      <w:r w:rsidRPr="007470DD">
        <w:rPr>
          <w:rFonts w:ascii="Arial" w:hAnsi="Arial" w:cs="Arial"/>
          <w:sz w:val="20"/>
          <w:szCs w:val="20"/>
        </w:rPr>
        <w:t>Idiomas: Dominio de inglés y español.</w:t>
      </w:r>
    </w:p>
    <w:p w14:paraId="41DF6272" w14:textId="77777777" w:rsidR="00B80986" w:rsidRPr="007470DD" w:rsidRDefault="00B80986" w:rsidP="00B80986">
      <w:pPr>
        <w:pStyle w:val="ListParagraph"/>
        <w:numPr>
          <w:ilvl w:val="0"/>
          <w:numId w:val="1"/>
        </w:numPr>
        <w:spacing w:after="0" w:line="240" w:lineRule="auto"/>
        <w:contextualSpacing w:val="0"/>
        <w:jc w:val="both"/>
        <w:rPr>
          <w:rFonts w:ascii="Arial" w:hAnsi="Arial" w:cs="Arial"/>
          <w:sz w:val="20"/>
          <w:szCs w:val="20"/>
        </w:rPr>
      </w:pPr>
      <w:r w:rsidRPr="007470DD">
        <w:rPr>
          <w:rFonts w:ascii="Arial" w:hAnsi="Arial" w:cs="Arial"/>
          <w:sz w:val="20"/>
          <w:szCs w:val="20"/>
        </w:rPr>
        <w:t>Habilidades: Habilidad reconocida para interactuar con contrapartes gubernamentales de nivel técnico-medio y alto.</w:t>
      </w:r>
    </w:p>
    <w:p w14:paraId="31D081E9" w14:textId="77777777" w:rsidR="00B80986" w:rsidRDefault="00B80986" w:rsidP="00B80986">
      <w:pPr>
        <w:jc w:val="both"/>
        <w:rPr>
          <w:rFonts w:ascii="Arial" w:hAnsi="Arial" w:cs="Arial"/>
          <w:b/>
          <w:bCs/>
          <w:sz w:val="20"/>
          <w:szCs w:val="20"/>
          <w:lang w:val="es-ES"/>
        </w:rPr>
      </w:pPr>
    </w:p>
    <w:p w14:paraId="2714A0F6" w14:textId="77777777" w:rsidR="00B80986" w:rsidRPr="007470DD" w:rsidRDefault="00B80986" w:rsidP="00B80986">
      <w:pPr>
        <w:jc w:val="both"/>
        <w:rPr>
          <w:rFonts w:ascii="Arial" w:hAnsi="Arial" w:cs="Arial"/>
          <w:b/>
          <w:bCs/>
          <w:sz w:val="20"/>
          <w:szCs w:val="20"/>
          <w:lang w:val="es-ES"/>
        </w:rPr>
      </w:pPr>
      <w:r w:rsidRPr="007470DD">
        <w:rPr>
          <w:rFonts w:ascii="Arial" w:hAnsi="Arial" w:cs="Arial"/>
          <w:b/>
          <w:bCs/>
          <w:sz w:val="20"/>
          <w:szCs w:val="20"/>
          <w:lang w:val="es-ES"/>
        </w:rPr>
        <w:t>Características de la Consultoría</w:t>
      </w:r>
    </w:p>
    <w:p w14:paraId="5D6FC49F" w14:textId="77777777" w:rsidR="00B80986" w:rsidRPr="007470DD" w:rsidRDefault="00B80986" w:rsidP="00B80986">
      <w:pPr>
        <w:pStyle w:val="ListParagraph"/>
        <w:numPr>
          <w:ilvl w:val="0"/>
          <w:numId w:val="2"/>
        </w:numPr>
        <w:spacing w:after="0" w:line="240" w:lineRule="auto"/>
        <w:contextualSpacing w:val="0"/>
        <w:jc w:val="both"/>
        <w:rPr>
          <w:rFonts w:ascii="Arial" w:hAnsi="Arial" w:cs="Arial"/>
          <w:sz w:val="20"/>
          <w:szCs w:val="20"/>
          <w:lang w:val="es-ES"/>
        </w:rPr>
      </w:pPr>
      <w:r w:rsidRPr="007470DD">
        <w:rPr>
          <w:rFonts w:ascii="Arial" w:hAnsi="Arial" w:cs="Arial"/>
          <w:sz w:val="20"/>
          <w:szCs w:val="20"/>
          <w:lang w:val="es-ES"/>
        </w:rPr>
        <w:t>Categoría y Modalidad de la Consultoría: Contractual de Productos y Servicios Externos, Suma Alzada</w:t>
      </w:r>
    </w:p>
    <w:p w14:paraId="23D6FE00" w14:textId="77777777" w:rsidR="00B80986" w:rsidRPr="007470DD" w:rsidRDefault="00B80986" w:rsidP="00B80986">
      <w:pPr>
        <w:pStyle w:val="ListParagraph"/>
        <w:numPr>
          <w:ilvl w:val="0"/>
          <w:numId w:val="2"/>
        </w:numPr>
        <w:spacing w:after="0" w:line="240" w:lineRule="auto"/>
        <w:contextualSpacing w:val="0"/>
        <w:jc w:val="both"/>
        <w:rPr>
          <w:rFonts w:ascii="Arial" w:hAnsi="Arial" w:cs="Arial"/>
          <w:sz w:val="20"/>
          <w:szCs w:val="20"/>
          <w:lang w:val="es-ES"/>
        </w:rPr>
      </w:pPr>
      <w:r w:rsidRPr="007470DD">
        <w:rPr>
          <w:rFonts w:ascii="Arial" w:hAnsi="Arial" w:cs="Arial"/>
          <w:sz w:val="20"/>
          <w:szCs w:val="20"/>
          <w:lang w:val="es-ES"/>
        </w:rPr>
        <w:t>Duración del Contrato:  6 meses, iniciando el 1 de febrero de 2018.</w:t>
      </w:r>
    </w:p>
    <w:p w14:paraId="09DB119B" w14:textId="77777777" w:rsidR="00B80986" w:rsidRPr="007470DD" w:rsidRDefault="00B80986" w:rsidP="00B80986">
      <w:pPr>
        <w:pStyle w:val="ListParagraph"/>
        <w:numPr>
          <w:ilvl w:val="0"/>
          <w:numId w:val="2"/>
        </w:numPr>
        <w:spacing w:after="0" w:line="240" w:lineRule="auto"/>
        <w:contextualSpacing w:val="0"/>
        <w:jc w:val="both"/>
        <w:rPr>
          <w:rFonts w:ascii="Arial" w:hAnsi="Arial" w:cs="Arial"/>
          <w:sz w:val="20"/>
          <w:szCs w:val="20"/>
          <w:lang w:val="es-ES"/>
        </w:rPr>
      </w:pPr>
      <w:r w:rsidRPr="007470DD">
        <w:rPr>
          <w:rFonts w:ascii="Arial" w:hAnsi="Arial" w:cs="Arial"/>
          <w:sz w:val="20"/>
          <w:szCs w:val="20"/>
          <w:lang w:val="es-ES"/>
        </w:rPr>
        <w:t>Lugar(es) de trabajo: a distancia y físico cuando se confirme el taller a realizar.</w:t>
      </w:r>
    </w:p>
    <w:p w14:paraId="343F255A" w14:textId="77777777" w:rsidR="00B80986" w:rsidRPr="007470DD" w:rsidRDefault="00B80986" w:rsidP="00B80986">
      <w:pPr>
        <w:pStyle w:val="ListParagraph"/>
        <w:numPr>
          <w:ilvl w:val="0"/>
          <w:numId w:val="2"/>
        </w:numPr>
        <w:spacing w:after="0" w:line="240" w:lineRule="auto"/>
        <w:contextualSpacing w:val="0"/>
        <w:jc w:val="both"/>
        <w:rPr>
          <w:rFonts w:ascii="Arial" w:hAnsi="Arial" w:cs="Arial"/>
          <w:bCs/>
          <w:i/>
          <w:sz w:val="20"/>
          <w:szCs w:val="20"/>
          <w:lang w:val="es-ES"/>
        </w:rPr>
      </w:pPr>
      <w:r w:rsidRPr="007470DD">
        <w:rPr>
          <w:rFonts w:ascii="Arial" w:hAnsi="Arial" w:cs="Arial"/>
          <w:sz w:val="20"/>
          <w:szCs w:val="20"/>
          <w:lang w:val="es-ES"/>
        </w:rPr>
        <w:t xml:space="preserve">Persona responsable: </w:t>
      </w:r>
      <w:r w:rsidRPr="007470DD">
        <w:rPr>
          <w:rFonts w:ascii="Arial" w:hAnsi="Arial" w:cs="Arial"/>
          <w:bCs/>
          <w:sz w:val="20"/>
          <w:szCs w:val="20"/>
          <w:lang w:val="es-ES"/>
        </w:rPr>
        <w:t>La coordinación de la consultoría será responsabilidad de Adrián Magendzo.</w:t>
      </w:r>
    </w:p>
    <w:p w14:paraId="7588B074" w14:textId="77777777" w:rsidR="00B80986" w:rsidRPr="007470DD" w:rsidRDefault="00B80986" w:rsidP="00B80986">
      <w:pPr>
        <w:jc w:val="both"/>
        <w:rPr>
          <w:rFonts w:ascii="Arial" w:hAnsi="Arial" w:cs="Arial"/>
          <w:b/>
          <w:bCs/>
          <w:sz w:val="20"/>
          <w:szCs w:val="20"/>
          <w:lang w:val="es-ES"/>
        </w:rPr>
      </w:pPr>
    </w:p>
    <w:p w14:paraId="17E64C47" w14:textId="77777777" w:rsidR="00B80986" w:rsidRPr="007470DD" w:rsidRDefault="00B80986" w:rsidP="00B80986">
      <w:pPr>
        <w:autoSpaceDE w:val="0"/>
        <w:autoSpaceDN w:val="0"/>
        <w:jc w:val="both"/>
        <w:rPr>
          <w:rFonts w:ascii="Arial" w:hAnsi="Arial" w:cs="Arial"/>
          <w:sz w:val="20"/>
          <w:szCs w:val="20"/>
          <w:lang w:val="es-ES_tradnl"/>
        </w:rPr>
      </w:pPr>
      <w:r w:rsidRPr="007470DD">
        <w:rPr>
          <w:rFonts w:ascii="Arial" w:hAnsi="Arial" w:cs="Arial"/>
          <w:b/>
          <w:bCs/>
          <w:sz w:val="20"/>
          <w:szCs w:val="20"/>
          <w:lang w:val="es-ES_tradnl"/>
        </w:rPr>
        <w:t>Pago y Condiciones:</w:t>
      </w:r>
      <w:r w:rsidRPr="007470DD">
        <w:rPr>
          <w:rFonts w:ascii="Arial" w:hAnsi="Arial" w:cs="Arial"/>
          <w:sz w:val="20"/>
          <w:szCs w:val="20"/>
          <w:lang w:val="es-ES_tradnl"/>
        </w:rPr>
        <w:t xml:space="preserve"> La compensación será determinada </w:t>
      </w:r>
      <w:proofErr w:type="gramStart"/>
      <w:r w:rsidRPr="007470DD">
        <w:rPr>
          <w:rFonts w:ascii="Arial" w:hAnsi="Arial" w:cs="Arial"/>
          <w:sz w:val="20"/>
          <w:szCs w:val="20"/>
          <w:lang w:val="es-ES_tradnl"/>
        </w:rPr>
        <w:t>de acuerdo a</w:t>
      </w:r>
      <w:proofErr w:type="gramEnd"/>
      <w:r w:rsidRPr="007470DD">
        <w:rPr>
          <w:rFonts w:ascii="Arial" w:hAnsi="Arial" w:cs="Arial"/>
          <w:sz w:val="20"/>
          <w:szCs w:val="20"/>
          <w:lang w:val="es-ES_tradnl"/>
        </w:rPr>
        <w:t xml:space="preserve"> las políticas y procedimientos del Banco. Adicionalmente, los candidatos deberán ser ciudadanos de uno de los países miembros del BID.  </w:t>
      </w:r>
    </w:p>
    <w:p w14:paraId="7908F643" w14:textId="77777777" w:rsidR="00B80986" w:rsidRPr="007470DD" w:rsidRDefault="00B80986" w:rsidP="00B80986">
      <w:pPr>
        <w:autoSpaceDE w:val="0"/>
        <w:autoSpaceDN w:val="0"/>
        <w:jc w:val="both"/>
        <w:rPr>
          <w:rFonts w:ascii="Arial" w:hAnsi="Arial" w:cs="Arial"/>
          <w:sz w:val="20"/>
          <w:szCs w:val="20"/>
          <w:lang w:val="es-ES_tradnl"/>
        </w:rPr>
      </w:pPr>
      <w:r w:rsidRPr="007470DD">
        <w:rPr>
          <w:rFonts w:ascii="Arial" w:hAnsi="Arial" w:cs="Arial"/>
          <w:b/>
          <w:bCs/>
          <w:sz w:val="20"/>
          <w:szCs w:val="20"/>
          <w:lang w:val="es-ES_tradnl"/>
        </w:rPr>
        <w:t>Consanguinidad:</w:t>
      </w:r>
      <w:r w:rsidRPr="007470DD">
        <w:rPr>
          <w:rFonts w:ascii="Arial" w:hAnsi="Arial" w:cs="Arial"/>
          <w:sz w:val="20"/>
          <w:szCs w:val="20"/>
          <w:lang w:val="es-ES_tradnl"/>
        </w:rPr>
        <w:t xml:space="preserve"> De conformidad con la política del Banco aplicable, los candidatos con parientes (incluyendo cuarto grado de consanguinidad y segundo grado de afinidad, incluyendo </w:t>
      </w:r>
      <w:r w:rsidRPr="007470DD">
        <w:rPr>
          <w:rFonts w:ascii="Arial" w:hAnsi="Arial" w:cs="Arial"/>
          <w:sz w:val="20"/>
          <w:szCs w:val="20"/>
          <w:lang w:val="es-ES"/>
        </w:rPr>
        <w:t>conyugue</w:t>
      </w:r>
      <w:r w:rsidRPr="007470DD">
        <w:rPr>
          <w:rFonts w:ascii="Arial" w:hAnsi="Arial" w:cs="Arial"/>
          <w:sz w:val="20"/>
          <w:szCs w:val="20"/>
          <w:lang w:val="es-ES_tradnl"/>
        </w:rPr>
        <w:t>) que trabajan para el Banco como funcionario o contractual de la fuerza contractual complementaria, no serán elegibles para proveer servicios al Banco.</w:t>
      </w:r>
    </w:p>
    <w:p w14:paraId="67DC6A90" w14:textId="77777777" w:rsidR="00B80986" w:rsidRPr="007470DD" w:rsidRDefault="00B80986" w:rsidP="00B80986">
      <w:pPr>
        <w:autoSpaceDE w:val="0"/>
        <w:autoSpaceDN w:val="0"/>
        <w:jc w:val="both"/>
        <w:rPr>
          <w:rFonts w:ascii="Arial" w:hAnsi="Arial" w:cs="Arial"/>
          <w:sz w:val="20"/>
          <w:szCs w:val="20"/>
          <w:lang w:val="es-ES_tradnl"/>
        </w:rPr>
      </w:pPr>
      <w:r w:rsidRPr="007470DD">
        <w:rPr>
          <w:rFonts w:ascii="Arial" w:hAnsi="Arial" w:cs="Arial"/>
          <w:sz w:val="20"/>
          <w:szCs w:val="20"/>
          <w:lang w:val="es-ES_tradnl"/>
        </w:rPr>
        <w:t> </w:t>
      </w:r>
      <w:r w:rsidRPr="007470DD">
        <w:rPr>
          <w:rFonts w:ascii="Arial" w:hAnsi="Arial" w:cs="Arial"/>
          <w:b/>
          <w:bCs/>
          <w:sz w:val="20"/>
          <w:szCs w:val="20"/>
          <w:lang w:val="es-ES_tradnl"/>
        </w:rPr>
        <w:t>Diversidad:</w:t>
      </w:r>
      <w:r w:rsidRPr="007470DD">
        <w:rPr>
          <w:rFonts w:ascii="Arial" w:hAnsi="Arial" w:cs="Arial"/>
          <w:sz w:val="20"/>
          <w:szCs w:val="20"/>
          <w:lang w:val="es-ES_tradnl"/>
        </w:rPr>
        <w:t xml:space="preserve"> El Banco </w:t>
      </w:r>
      <w:r w:rsidRPr="007470DD">
        <w:rPr>
          <w:rFonts w:ascii="Arial" w:hAnsi="Arial" w:cs="Arial"/>
          <w:sz w:val="20"/>
          <w:szCs w:val="20"/>
          <w:lang w:val="es-ES"/>
        </w:rPr>
        <w:t>está</w:t>
      </w:r>
      <w:r w:rsidRPr="007470DD">
        <w:rPr>
          <w:rFonts w:ascii="Arial" w:hAnsi="Arial" w:cs="Arial"/>
          <w:sz w:val="20"/>
          <w:szCs w:val="20"/>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bookmarkEnd w:id="1"/>
    <w:p w14:paraId="0DF10AD4" w14:textId="77777777" w:rsidR="00B80986" w:rsidRPr="007470DD" w:rsidRDefault="00B80986" w:rsidP="00B80986">
      <w:pPr>
        <w:jc w:val="both"/>
        <w:rPr>
          <w:rFonts w:ascii="Arial" w:hAnsi="Arial" w:cs="Arial"/>
          <w:b/>
          <w:bCs/>
          <w:iCs/>
          <w:color w:val="000000"/>
          <w:sz w:val="20"/>
          <w:szCs w:val="20"/>
          <w:lang w:val="es-ES"/>
        </w:rPr>
      </w:pPr>
    </w:p>
    <w:p w14:paraId="73392BCC" w14:textId="4B2B045D" w:rsidR="00DF62F8" w:rsidRPr="007E51F0" w:rsidRDefault="00DF62F8" w:rsidP="00B80986">
      <w:pPr>
        <w:rPr>
          <w:rFonts w:ascii="Arial" w:hAnsi="Arial" w:cs="Arial"/>
          <w:b/>
          <w:bCs/>
          <w:sz w:val="20"/>
          <w:szCs w:val="20"/>
          <w:lang w:val="es-ES_tradnl"/>
        </w:rPr>
      </w:pPr>
      <w:r w:rsidRPr="007E51F0" w:rsidDel="00DF62F8">
        <w:rPr>
          <w:rFonts w:ascii="Arial" w:hAnsi="Arial" w:cs="Arial"/>
          <w:b/>
          <w:bCs/>
          <w:sz w:val="20"/>
          <w:szCs w:val="20"/>
          <w:lang w:val="es-ES_tradnl"/>
        </w:rPr>
        <w:t xml:space="preserve"> </w:t>
      </w:r>
    </w:p>
    <w:p w14:paraId="73522791" w14:textId="77777777" w:rsidR="00DF62F8" w:rsidRPr="007E51F0" w:rsidRDefault="00DF62F8">
      <w:pPr>
        <w:spacing w:after="160" w:line="259" w:lineRule="auto"/>
        <w:rPr>
          <w:rFonts w:ascii="Arial" w:hAnsi="Arial" w:cs="Arial"/>
          <w:b/>
          <w:bCs/>
          <w:sz w:val="20"/>
          <w:szCs w:val="20"/>
          <w:lang w:val="es-ES_tradnl"/>
        </w:rPr>
      </w:pPr>
      <w:r w:rsidRPr="007E51F0">
        <w:rPr>
          <w:rFonts w:ascii="Arial" w:hAnsi="Arial" w:cs="Arial"/>
          <w:b/>
          <w:bCs/>
          <w:sz w:val="20"/>
          <w:szCs w:val="20"/>
          <w:lang w:val="es-ES_tradnl"/>
        </w:rPr>
        <w:br w:type="page"/>
      </w:r>
    </w:p>
    <w:p w14:paraId="6AB66ED8" w14:textId="30E2EFA0" w:rsidR="00B80986" w:rsidRPr="007E51F0" w:rsidRDefault="00B80986" w:rsidP="00B80986">
      <w:pPr>
        <w:rPr>
          <w:rFonts w:ascii="Arial" w:hAnsi="Arial" w:cs="Arial"/>
          <w:b/>
          <w:bCs/>
          <w:sz w:val="20"/>
          <w:szCs w:val="20"/>
          <w:lang w:val="es-ES_tradnl"/>
        </w:rPr>
      </w:pPr>
      <w:r w:rsidRPr="007E51F0">
        <w:rPr>
          <w:rFonts w:ascii="Arial" w:hAnsi="Arial" w:cs="Arial"/>
          <w:b/>
          <w:bCs/>
          <w:sz w:val="20"/>
          <w:szCs w:val="20"/>
          <w:lang w:val="es-ES_tradnl"/>
        </w:rPr>
        <w:lastRenderedPageBreak/>
        <w:t>Regional</w:t>
      </w:r>
    </w:p>
    <w:p w14:paraId="73C74190" w14:textId="2ABEF7D6" w:rsidR="00B80986" w:rsidRPr="00055DF9" w:rsidRDefault="00B80986" w:rsidP="00B80986">
      <w:pPr>
        <w:rPr>
          <w:rFonts w:ascii="Arial" w:hAnsi="Arial" w:cs="Arial"/>
          <w:b/>
          <w:bCs/>
          <w:sz w:val="20"/>
          <w:szCs w:val="20"/>
          <w:lang w:val="es-ES_tradnl"/>
        </w:rPr>
      </w:pPr>
      <w:r w:rsidRPr="00055DF9">
        <w:rPr>
          <w:rFonts w:ascii="Arial" w:hAnsi="Arial" w:cs="Arial"/>
          <w:b/>
          <w:bCs/>
          <w:sz w:val="20"/>
          <w:szCs w:val="20"/>
          <w:lang w:val="es-ES_tradnl"/>
        </w:rPr>
        <w:t>IFD/CTI</w:t>
      </w:r>
    </w:p>
    <w:p w14:paraId="3E2B1D22" w14:textId="77777777" w:rsidR="00B80986" w:rsidRPr="00A93B6F" w:rsidRDefault="00B80986" w:rsidP="00B80986">
      <w:pPr>
        <w:jc w:val="both"/>
        <w:rPr>
          <w:rFonts w:ascii="Arial" w:eastAsiaTheme="majorEastAsia" w:hAnsi="Arial" w:cs="Arial"/>
          <w:b/>
          <w:smallCaps/>
          <w:sz w:val="20"/>
          <w:szCs w:val="20"/>
          <w:lang w:val="es-ES_tradnl"/>
        </w:rPr>
      </w:pPr>
      <w:r w:rsidRPr="00A93B6F">
        <w:rPr>
          <w:rFonts w:ascii="Arial" w:hAnsi="Arial" w:cs="Arial"/>
          <w:b/>
          <w:smallCaps/>
          <w:sz w:val="20"/>
          <w:szCs w:val="20"/>
          <w:lang w:val="es-ES_tradnl"/>
        </w:rPr>
        <w:t>Consultoría</w:t>
      </w:r>
      <w:r w:rsidRPr="00A93B6F">
        <w:rPr>
          <w:rFonts w:ascii="Arial" w:hAnsi="Arial" w:cs="Arial"/>
          <w:b/>
          <w:sz w:val="20"/>
          <w:szCs w:val="20"/>
          <w:lang w:val="es-ES_tradnl"/>
        </w:rPr>
        <w:t xml:space="preserve"> para </w:t>
      </w:r>
      <w:r w:rsidRPr="00A93B6F">
        <w:rPr>
          <w:rFonts w:ascii="Arial" w:eastAsiaTheme="majorEastAsia" w:hAnsi="Arial" w:cs="Arial"/>
          <w:b/>
          <w:smallCaps/>
          <w:sz w:val="20"/>
          <w:szCs w:val="20"/>
          <w:lang w:val="es-ES_tradnl"/>
        </w:rPr>
        <w:t>el Apoyo a la Coordinación e implementación del proyecto Fortaleciendo la Transferencia y Emprendimiento Tecnológico en la Alianza del Pacífico</w:t>
      </w:r>
    </w:p>
    <w:p w14:paraId="170989E1" w14:textId="77777777" w:rsidR="00B80986" w:rsidRPr="00A93B6F" w:rsidRDefault="00B80986" w:rsidP="00B80986">
      <w:pPr>
        <w:rPr>
          <w:rFonts w:ascii="Arial" w:hAnsi="Arial" w:cs="Arial"/>
          <w:b/>
          <w:bCs/>
          <w:sz w:val="20"/>
          <w:szCs w:val="20"/>
          <w:lang w:val="es-ES_tradnl"/>
        </w:rPr>
      </w:pPr>
    </w:p>
    <w:p w14:paraId="63FB3F1F" w14:textId="77777777" w:rsidR="00B80986" w:rsidRPr="00A93B6F" w:rsidRDefault="00B80986" w:rsidP="00B80986">
      <w:pPr>
        <w:rPr>
          <w:rFonts w:ascii="Arial" w:hAnsi="Arial" w:cs="Arial"/>
          <w:b/>
          <w:bCs/>
          <w:sz w:val="20"/>
          <w:szCs w:val="20"/>
          <w:lang w:val="es-ES_tradnl"/>
        </w:rPr>
      </w:pPr>
      <w:r w:rsidRPr="00A93B6F">
        <w:rPr>
          <w:rFonts w:ascii="Arial" w:hAnsi="Arial" w:cs="Arial"/>
          <w:b/>
          <w:bCs/>
          <w:sz w:val="20"/>
          <w:szCs w:val="20"/>
          <w:lang w:val="es-ES_tradnl"/>
        </w:rPr>
        <w:t>TERMINOS DE REFERENCIA</w:t>
      </w:r>
    </w:p>
    <w:p w14:paraId="38B185EB" w14:textId="77777777" w:rsidR="00B80986" w:rsidRPr="00A93B6F" w:rsidRDefault="00B80986" w:rsidP="00B80986">
      <w:pPr>
        <w:jc w:val="both"/>
        <w:rPr>
          <w:rFonts w:ascii="Arial" w:hAnsi="Arial" w:cs="Arial"/>
          <w:b/>
          <w:bCs/>
          <w:sz w:val="20"/>
          <w:szCs w:val="20"/>
          <w:lang w:val="es-ES_tradnl"/>
        </w:rPr>
      </w:pPr>
      <w:r w:rsidRPr="00A93B6F">
        <w:rPr>
          <w:rFonts w:ascii="Arial" w:hAnsi="Arial" w:cs="Arial"/>
          <w:b/>
          <w:bCs/>
          <w:sz w:val="20"/>
          <w:szCs w:val="20"/>
          <w:lang w:val="es-ES_tradnl"/>
        </w:rPr>
        <w:t>Antecedentes</w:t>
      </w:r>
    </w:p>
    <w:p w14:paraId="0D6B534E" w14:textId="77777777" w:rsidR="00B80986" w:rsidRPr="00A93B6F" w:rsidRDefault="00B80986" w:rsidP="00B80986">
      <w:pPr>
        <w:jc w:val="both"/>
        <w:rPr>
          <w:rFonts w:ascii="Arial" w:hAnsi="Arial" w:cs="Arial"/>
          <w:bCs/>
          <w:sz w:val="20"/>
          <w:szCs w:val="20"/>
          <w:lang w:val="es-ES"/>
        </w:rPr>
      </w:pPr>
      <w:r w:rsidRPr="00A93B6F">
        <w:rPr>
          <w:rFonts w:ascii="Arial" w:hAnsi="Arial" w:cs="Arial"/>
          <w:bCs/>
          <w:sz w:val="20"/>
          <w:szCs w:val="20"/>
          <w:lang w:val="es-ES_tradnl"/>
        </w:rPr>
        <w:t xml:space="preserve">La División de Competitividad, Tecnología e Innovación (IFD/CTI) del Banco Interamericano de Desarrollo (BID) está encargada de promover la creación y crecimiento de empresas dinámicas en los países de América Latina y el Caribe (LAC), fortaleciendo sus capacidades y herramientas para innovar y competir en los mercados internacionales. Los objetivos estratégicos de la división son: Aumentar la inversión del sector privado en innovación y desarrollo tecnológico; Promover el emprendimiento innovador y la creación de nuevas empresas; Impulsar la productividad de las empresas y sus capacidades para formar redes y competir en mercados internacionales; Crear y fortalecer la capacidad de sus instituciones y del entorno para la innovación y el desarrollo productivo. Los instrumentos con los que cuenta la división para llevar adelante estos objetivos estratégicos son los siguientes: Financiación, a través de préstamos y cooperaciones técnicas; </w:t>
      </w:r>
      <w:proofErr w:type="gramStart"/>
      <w:r w:rsidRPr="00A93B6F">
        <w:rPr>
          <w:rFonts w:ascii="Arial" w:hAnsi="Arial" w:cs="Arial"/>
          <w:bCs/>
          <w:sz w:val="20"/>
          <w:szCs w:val="20"/>
          <w:lang w:val="es-ES_tradnl"/>
        </w:rPr>
        <w:t>Pre-financiación</w:t>
      </w:r>
      <w:proofErr w:type="gramEnd"/>
      <w:r w:rsidRPr="00A93B6F">
        <w:rPr>
          <w:rFonts w:ascii="Arial" w:hAnsi="Arial" w:cs="Arial"/>
          <w:bCs/>
          <w:sz w:val="20"/>
          <w:szCs w:val="20"/>
          <w:lang w:val="es-ES_tradnl"/>
        </w:rPr>
        <w:t>, a través de programas de asistencia técnica; Fortalecimiento institucional y movilización de recursos; Generación y diseminación de productos de conocimiento; y Apoyo a Diálogos Regionales de Políticas.</w:t>
      </w:r>
    </w:p>
    <w:p w14:paraId="69677D06" w14:textId="77777777" w:rsidR="00B80986" w:rsidRPr="00A93B6F" w:rsidRDefault="00B80986" w:rsidP="00B80986">
      <w:pPr>
        <w:jc w:val="both"/>
        <w:rPr>
          <w:rFonts w:ascii="Arial" w:hAnsi="Arial" w:cs="Arial"/>
          <w:b/>
          <w:bCs/>
          <w:sz w:val="20"/>
          <w:szCs w:val="20"/>
          <w:lang w:val="es-ES"/>
        </w:rPr>
      </w:pPr>
      <w:r w:rsidRPr="00A93B6F">
        <w:rPr>
          <w:rFonts w:ascii="Arial" w:hAnsi="Arial" w:cs="Arial"/>
          <w:b/>
          <w:bCs/>
          <w:sz w:val="20"/>
          <w:szCs w:val="20"/>
          <w:lang w:val="es-ES"/>
        </w:rPr>
        <w:t>Objetivo(s) de la Consultoría</w:t>
      </w:r>
    </w:p>
    <w:p w14:paraId="42343708" w14:textId="77777777" w:rsidR="00B80986" w:rsidRPr="00A93B6F" w:rsidRDefault="00B80986" w:rsidP="00B80986">
      <w:pPr>
        <w:jc w:val="both"/>
        <w:rPr>
          <w:rFonts w:ascii="Arial" w:hAnsi="Arial" w:cs="Arial"/>
          <w:sz w:val="20"/>
          <w:szCs w:val="20"/>
          <w:lang w:val="es-ES_tradnl"/>
        </w:rPr>
      </w:pPr>
      <w:r w:rsidRPr="00A93B6F">
        <w:rPr>
          <w:rFonts w:ascii="Arial" w:hAnsi="Arial" w:cs="Arial"/>
          <w:bCs/>
          <w:sz w:val="20"/>
          <w:szCs w:val="20"/>
          <w:lang w:val="es-ES_tradnl"/>
        </w:rPr>
        <w:t>La Alianza del Pacífico, oficialmente creada el 28 de abril de 2011, es una iniciativa de integración regional conformada por Chile, Colombia, México y Perú, cuenta con 49 países observadores y Costa Rica y Panamá han solicitado su ingreso oficial. Su objetivo principal es facilitar el movimiento de productos, servicios, capital humano y financiero entre los países participantes y por su naturaleza, amplía considerablemente el tamaño de los mercados de cada país (220 millones de personas y 50% del PIB de Latinoamérica) y ofrece un espacio de interacciones más denso donde los actores de los ecosistemas locales pueden ampliar su espectro de oportunidades aprovechando recursos, conocimientos y mercados transfronterizas que en definitiva, en la medida que maduran, van conformando un ecosistema de Innovación y Emprendimiento a nivel regional que supera a los ecosistemas locales.</w:t>
      </w:r>
    </w:p>
    <w:p w14:paraId="682FFE4D" w14:textId="77777777" w:rsidR="00B80986" w:rsidRPr="00A93B6F" w:rsidRDefault="00B80986" w:rsidP="00B80986">
      <w:pPr>
        <w:contextualSpacing/>
        <w:jc w:val="both"/>
        <w:rPr>
          <w:rFonts w:ascii="Arial" w:hAnsi="Arial" w:cs="Arial"/>
          <w:sz w:val="20"/>
          <w:szCs w:val="20"/>
          <w:lang w:val="es-ES_tradnl"/>
        </w:rPr>
      </w:pPr>
      <w:r w:rsidRPr="00A93B6F">
        <w:rPr>
          <w:rFonts w:ascii="Arial" w:hAnsi="Arial" w:cs="Arial"/>
          <w:sz w:val="20"/>
          <w:szCs w:val="20"/>
          <w:lang w:val="es-ES_tradnl"/>
        </w:rPr>
        <w:t>Si bien los países de la Alianza del Pacifico presentan las mejores capacidades y programas de transferencia y emprendimiento tecnológico en la región, estos distan de ser satisfactorios. El GEM-2016</w:t>
      </w:r>
      <w:r w:rsidRPr="00A93B6F">
        <w:rPr>
          <w:rStyle w:val="FootnoteReference"/>
          <w:rFonts w:ascii="Arial" w:hAnsi="Arial" w:cs="Arial"/>
          <w:sz w:val="20"/>
          <w:lang w:val="es-ES_tradnl"/>
        </w:rPr>
        <w:footnoteReference w:id="3"/>
      </w:r>
      <w:r w:rsidRPr="00A93B6F">
        <w:rPr>
          <w:rFonts w:ascii="Arial" w:hAnsi="Arial" w:cs="Arial"/>
          <w:sz w:val="20"/>
          <w:szCs w:val="20"/>
          <w:lang w:val="es-ES_tradnl"/>
        </w:rPr>
        <w:t>, a partir de entrevistas a expertos en cada uno de los países y basado en una evaluación de 1 a 10, donde 1 es muy insatisfactorio y 10 muy satisfactorio, en el indicador Transferencia de I+D, Chile aparece con un índice de 3.95, Colombia 3.54, Perú 3.24 y México con 3.70. A su vez, la inversión tanto pública como privada en programas de formación y operación de Oficinas de Transferencia Tecnológica (</w:t>
      </w:r>
      <w:proofErr w:type="spellStart"/>
      <w:r w:rsidRPr="00A93B6F">
        <w:rPr>
          <w:rFonts w:ascii="Arial" w:hAnsi="Arial" w:cs="Arial"/>
          <w:sz w:val="20"/>
          <w:szCs w:val="20"/>
          <w:lang w:val="es-ES_tradnl"/>
        </w:rPr>
        <w:t>OTTs</w:t>
      </w:r>
      <w:proofErr w:type="spellEnd"/>
      <w:r w:rsidRPr="00A93B6F">
        <w:rPr>
          <w:rFonts w:ascii="Arial" w:hAnsi="Arial" w:cs="Arial"/>
          <w:sz w:val="20"/>
          <w:szCs w:val="20"/>
          <w:lang w:val="es-ES_tradnl"/>
        </w:rPr>
        <w:t xml:space="preserve">), incubadoras especializadas en negocios tecnológicos y fondos orientados a estos efectos son también </w:t>
      </w:r>
      <w:r w:rsidRPr="00A93B6F">
        <w:rPr>
          <w:rFonts w:ascii="Arial" w:hAnsi="Arial" w:cs="Arial"/>
          <w:sz w:val="20"/>
          <w:szCs w:val="20"/>
          <w:lang w:val="es-ES_tradnl"/>
        </w:rPr>
        <w:lastRenderedPageBreak/>
        <w:t>escasos</w:t>
      </w:r>
      <w:r w:rsidRPr="00A93B6F">
        <w:rPr>
          <w:rStyle w:val="FootnoteReference"/>
          <w:rFonts w:ascii="Arial" w:hAnsi="Arial" w:cs="Arial"/>
          <w:sz w:val="20"/>
          <w:lang w:val="es-ES_tradnl"/>
        </w:rPr>
        <w:footnoteReference w:id="4"/>
      </w:r>
      <w:r w:rsidRPr="00A93B6F">
        <w:rPr>
          <w:rFonts w:ascii="Arial" w:hAnsi="Arial" w:cs="Arial"/>
          <w:sz w:val="20"/>
          <w:szCs w:val="20"/>
          <w:lang w:val="es-ES_tradnl"/>
        </w:rPr>
        <w:t>. Esto tiene como consecuencia que los esfuerzos de apoyo a la innovación y emprendimiento que ya existen en los países generen proyectos de contenido tecnológico básico y precario.</w:t>
      </w:r>
    </w:p>
    <w:p w14:paraId="143BCC5B" w14:textId="77777777" w:rsidR="00B80986" w:rsidRPr="00A93B6F" w:rsidRDefault="00B80986" w:rsidP="00B80986">
      <w:pPr>
        <w:jc w:val="both"/>
        <w:rPr>
          <w:rFonts w:ascii="Arial" w:hAnsi="Arial" w:cs="Arial"/>
          <w:bCs/>
          <w:sz w:val="20"/>
          <w:szCs w:val="20"/>
          <w:lang w:val="es-ES"/>
        </w:rPr>
      </w:pPr>
    </w:p>
    <w:p w14:paraId="551B869D" w14:textId="77777777" w:rsidR="00B80986" w:rsidRPr="00A93B6F" w:rsidRDefault="00B80986" w:rsidP="00B80986">
      <w:pPr>
        <w:jc w:val="both"/>
        <w:rPr>
          <w:rFonts w:ascii="Arial" w:hAnsi="Arial" w:cs="Arial"/>
          <w:b/>
          <w:bCs/>
          <w:sz w:val="20"/>
          <w:szCs w:val="20"/>
          <w:lang w:val="es-ES_tradnl"/>
        </w:rPr>
      </w:pPr>
      <w:r w:rsidRPr="00A93B6F">
        <w:rPr>
          <w:rFonts w:ascii="Arial" w:hAnsi="Arial" w:cs="Arial"/>
          <w:b/>
          <w:bCs/>
          <w:sz w:val="20"/>
          <w:szCs w:val="20"/>
          <w:lang w:val="es-ES_tradnl"/>
        </w:rPr>
        <w:t>La presente consultoría tiene el siguiente objetivo principal:</w:t>
      </w:r>
    </w:p>
    <w:p w14:paraId="1C0820C9" w14:textId="77777777" w:rsidR="00B80986" w:rsidRPr="00A93B6F" w:rsidRDefault="00B80986" w:rsidP="00B80986">
      <w:pPr>
        <w:jc w:val="both"/>
        <w:rPr>
          <w:rFonts w:ascii="Arial" w:hAnsi="Arial" w:cs="Arial"/>
          <w:sz w:val="20"/>
          <w:szCs w:val="20"/>
          <w:lang w:val="es-ES_tradnl"/>
        </w:rPr>
      </w:pPr>
      <w:r w:rsidRPr="00A93B6F">
        <w:rPr>
          <w:rFonts w:ascii="Arial" w:hAnsi="Arial" w:cs="Arial"/>
          <w:sz w:val="20"/>
          <w:szCs w:val="20"/>
          <w:lang w:val="es-ES_tradnl"/>
        </w:rPr>
        <w:t xml:space="preserve">Coordinar la implementación del proyecto </w:t>
      </w:r>
      <w:r w:rsidRPr="00A93B6F">
        <w:rPr>
          <w:rFonts w:ascii="Arial" w:eastAsia="Times New Roman" w:hAnsi="Arial" w:cs="Arial"/>
          <w:sz w:val="20"/>
          <w:szCs w:val="20"/>
          <w:lang w:val="es-ES_tradnl"/>
        </w:rPr>
        <w:t>Fortaleciendo la Transferencia y Emprendimiento Tecnológico en la Alianza del Pacífico</w:t>
      </w:r>
      <w:r w:rsidRPr="00A93B6F">
        <w:rPr>
          <w:rFonts w:ascii="Arial" w:hAnsi="Arial" w:cs="Arial"/>
          <w:sz w:val="20"/>
          <w:szCs w:val="20"/>
          <w:lang w:val="es-ES_tradnl"/>
        </w:rPr>
        <w:t>, para alcanzar los resultados comprometidos. Algunas de las principales labores a realizar por el seleccionado/a son:</w:t>
      </w:r>
    </w:p>
    <w:p w14:paraId="7EDE7A22" w14:textId="77777777" w:rsidR="00B80986" w:rsidRPr="00A93B6F" w:rsidRDefault="00B80986" w:rsidP="00B80986">
      <w:pPr>
        <w:pStyle w:val="ListParagraph"/>
        <w:numPr>
          <w:ilvl w:val="0"/>
          <w:numId w:val="6"/>
        </w:numPr>
        <w:spacing w:after="0" w:line="240" w:lineRule="auto"/>
        <w:contextualSpacing w:val="0"/>
        <w:jc w:val="both"/>
        <w:rPr>
          <w:rFonts w:ascii="Arial" w:hAnsi="Arial" w:cs="Arial"/>
          <w:sz w:val="20"/>
          <w:szCs w:val="20"/>
          <w:lang w:val="es-ES_tradnl"/>
        </w:rPr>
      </w:pPr>
      <w:r w:rsidRPr="00A93B6F">
        <w:rPr>
          <w:rFonts w:ascii="Arial" w:hAnsi="Arial" w:cs="Arial"/>
          <w:sz w:val="20"/>
          <w:szCs w:val="20"/>
          <w:lang w:val="es-ES_tradnl"/>
        </w:rPr>
        <w:t>Participar en discusiones y negociaciones con actores relevantes del sector público y privado.</w:t>
      </w:r>
    </w:p>
    <w:p w14:paraId="3800769E" w14:textId="77777777" w:rsidR="00B80986" w:rsidRPr="00A93B6F" w:rsidRDefault="00B80986" w:rsidP="00B80986">
      <w:pPr>
        <w:pStyle w:val="ListParagraph"/>
        <w:numPr>
          <w:ilvl w:val="0"/>
          <w:numId w:val="6"/>
        </w:numPr>
        <w:spacing w:after="0" w:line="240" w:lineRule="auto"/>
        <w:contextualSpacing w:val="0"/>
        <w:jc w:val="both"/>
        <w:rPr>
          <w:rFonts w:ascii="Arial" w:hAnsi="Arial" w:cs="Arial"/>
          <w:sz w:val="20"/>
          <w:szCs w:val="20"/>
          <w:lang w:val="es-ES_tradnl"/>
        </w:rPr>
      </w:pPr>
      <w:r w:rsidRPr="00A93B6F">
        <w:rPr>
          <w:rFonts w:ascii="Arial" w:hAnsi="Arial" w:cs="Arial"/>
          <w:sz w:val="20"/>
          <w:szCs w:val="20"/>
          <w:lang w:val="es-ES_tradnl"/>
        </w:rPr>
        <w:t>Coordinar la implementación de las diversas etapas del proyecto, como también en su evaluación y seguimiento.</w:t>
      </w:r>
    </w:p>
    <w:p w14:paraId="04D36671" w14:textId="77777777" w:rsidR="00B80986" w:rsidRPr="00A93B6F" w:rsidRDefault="00B80986" w:rsidP="00B80986">
      <w:pPr>
        <w:pStyle w:val="ListParagraph"/>
        <w:numPr>
          <w:ilvl w:val="0"/>
          <w:numId w:val="6"/>
        </w:numPr>
        <w:spacing w:after="0" w:line="240" w:lineRule="auto"/>
        <w:contextualSpacing w:val="0"/>
        <w:jc w:val="both"/>
        <w:rPr>
          <w:rFonts w:ascii="Arial" w:hAnsi="Arial" w:cs="Arial"/>
          <w:sz w:val="20"/>
          <w:szCs w:val="20"/>
          <w:lang w:val="es-ES_tradnl"/>
        </w:rPr>
      </w:pPr>
      <w:r w:rsidRPr="00A93B6F">
        <w:rPr>
          <w:rFonts w:ascii="Arial" w:hAnsi="Arial" w:cs="Arial"/>
          <w:sz w:val="20"/>
          <w:szCs w:val="20"/>
          <w:lang w:val="es-ES_tradnl"/>
        </w:rPr>
        <w:t xml:space="preserve">Monitoreo continuo de la ejecución del proyecto, con especial orientación a conseguir los resultados acordados </w:t>
      </w:r>
      <w:proofErr w:type="gramStart"/>
      <w:r w:rsidRPr="00A93B6F">
        <w:rPr>
          <w:rFonts w:ascii="Arial" w:hAnsi="Arial" w:cs="Arial"/>
          <w:sz w:val="20"/>
          <w:szCs w:val="20"/>
          <w:lang w:val="es-ES_tradnl"/>
        </w:rPr>
        <w:t>de acuerdo a</w:t>
      </w:r>
      <w:proofErr w:type="gramEnd"/>
      <w:r w:rsidRPr="00A93B6F">
        <w:rPr>
          <w:rFonts w:ascii="Arial" w:hAnsi="Arial" w:cs="Arial"/>
          <w:sz w:val="20"/>
          <w:szCs w:val="20"/>
          <w:lang w:val="es-ES_tradnl"/>
        </w:rPr>
        <w:t xml:space="preserve"> los tiempos y posibilidades de financiamiento del proyecto.</w:t>
      </w:r>
    </w:p>
    <w:p w14:paraId="3D0DA4C3" w14:textId="77777777" w:rsidR="00B80986" w:rsidRPr="00A93B6F" w:rsidRDefault="00B80986" w:rsidP="00B80986">
      <w:pPr>
        <w:pStyle w:val="ListParagraph"/>
        <w:numPr>
          <w:ilvl w:val="0"/>
          <w:numId w:val="6"/>
        </w:numPr>
        <w:spacing w:after="0" w:line="240" w:lineRule="auto"/>
        <w:contextualSpacing w:val="0"/>
        <w:jc w:val="both"/>
        <w:rPr>
          <w:rFonts w:ascii="Arial" w:hAnsi="Arial" w:cs="Arial"/>
          <w:sz w:val="20"/>
          <w:szCs w:val="20"/>
          <w:lang w:val="es-ES_tradnl"/>
        </w:rPr>
      </w:pPr>
      <w:r w:rsidRPr="00A93B6F">
        <w:rPr>
          <w:rFonts w:ascii="Arial" w:hAnsi="Arial" w:cs="Arial"/>
          <w:sz w:val="20"/>
          <w:szCs w:val="20"/>
          <w:lang w:val="es-ES_tradnl"/>
        </w:rPr>
        <w:t xml:space="preserve">Desarrollar, revisar y editar documentos de diversa índole vinculados al proyecto, tanto de ámbitos técnicos, matrices de resultados, softwares de operación, entre otros, en constante coordinación con el </w:t>
      </w:r>
      <w:proofErr w:type="spellStart"/>
      <w:r w:rsidRPr="00A93B6F">
        <w:rPr>
          <w:rFonts w:ascii="Arial" w:hAnsi="Arial" w:cs="Arial"/>
          <w:sz w:val="20"/>
          <w:szCs w:val="20"/>
          <w:lang w:val="es-ES_tradnl"/>
        </w:rPr>
        <w:t>team</w:t>
      </w:r>
      <w:proofErr w:type="spellEnd"/>
      <w:r w:rsidRPr="00A93B6F">
        <w:rPr>
          <w:rFonts w:ascii="Arial" w:hAnsi="Arial" w:cs="Arial"/>
          <w:sz w:val="20"/>
          <w:szCs w:val="20"/>
          <w:lang w:val="es-ES_tradnl"/>
        </w:rPr>
        <w:t xml:space="preserve"> leader del proyecto y los miembros del Grupo Técnico de Innovación de la Alianza del Pacífico.</w:t>
      </w:r>
    </w:p>
    <w:p w14:paraId="4F76B105" w14:textId="77777777" w:rsidR="00B80986" w:rsidRPr="00A93B6F" w:rsidRDefault="00B80986" w:rsidP="00B80986">
      <w:pPr>
        <w:pStyle w:val="ListParagraph"/>
        <w:numPr>
          <w:ilvl w:val="0"/>
          <w:numId w:val="6"/>
        </w:numPr>
        <w:spacing w:after="0" w:line="240" w:lineRule="auto"/>
        <w:contextualSpacing w:val="0"/>
        <w:jc w:val="both"/>
        <w:rPr>
          <w:rFonts w:ascii="Arial" w:hAnsi="Arial" w:cs="Arial"/>
          <w:sz w:val="20"/>
          <w:szCs w:val="20"/>
          <w:lang w:val="es-ES_tradnl"/>
        </w:rPr>
      </w:pPr>
      <w:r w:rsidRPr="00A93B6F">
        <w:rPr>
          <w:rFonts w:ascii="Arial" w:hAnsi="Arial" w:cs="Arial"/>
          <w:sz w:val="20"/>
          <w:szCs w:val="20"/>
          <w:lang w:val="es-ES_tradnl"/>
        </w:rPr>
        <w:t>Identificar las consultorías que puedan ser requeridas en el proyecto y gestionar los procesos necesarios para su contratación y desarrollo.</w:t>
      </w:r>
    </w:p>
    <w:p w14:paraId="1771E10A" w14:textId="77777777" w:rsidR="00B80986" w:rsidRPr="00A93B6F" w:rsidRDefault="00B80986" w:rsidP="00B80986">
      <w:pPr>
        <w:pStyle w:val="ListParagraph"/>
        <w:numPr>
          <w:ilvl w:val="0"/>
          <w:numId w:val="6"/>
        </w:numPr>
        <w:spacing w:after="0" w:line="240" w:lineRule="auto"/>
        <w:contextualSpacing w:val="0"/>
        <w:jc w:val="both"/>
        <w:rPr>
          <w:rFonts w:ascii="Arial" w:hAnsi="Arial" w:cs="Arial"/>
          <w:sz w:val="20"/>
          <w:szCs w:val="20"/>
          <w:lang w:val="es-ES_tradnl"/>
        </w:rPr>
      </w:pPr>
      <w:r w:rsidRPr="00A93B6F">
        <w:rPr>
          <w:rFonts w:ascii="Arial" w:hAnsi="Arial" w:cs="Arial"/>
          <w:sz w:val="20"/>
          <w:szCs w:val="20"/>
          <w:lang w:val="es-ES_tradnl"/>
        </w:rPr>
        <w:t>Contribuir al proceso de posicionamiento comunicacional del proyecto a través de sus redes, uso de redes sociales y gestiones comunicacionales específicas.</w:t>
      </w:r>
    </w:p>
    <w:p w14:paraId="06D2F668" w14:textId="77777777" w:rsidR="00B80986" w:rsidRPr="00A93B6F" w:rsidRDefault="00B80986" w:rsidP="00B80986">
      <w:pPr>
        <w:pStyle w:val="ListParagraph"/>
        <w:numPr>
          <w:ilvl w:val="0"/>
          <w:numId w:val="6"/>
        </w:numPr>
        <w:spacing w:after="0" w:line="240" w:lineRule="auto"/>
        <w:contextualSpacing w:val="0"/>
        <w:jc w:val="both"/>
        <w:rPr>
          <w:rFonts w:ascii="Arial" w:hAnsi="Arial" w:cs="Arial"/>
          <w:sz w:val="20"/>
          <w:szCs w:val="20"/>
          <w:lang w:val="es-ES_tradnl"/>
        </w:rPr>
      </w:pPr>
      <w:r w:rsidRPr="00A93B6F">
        <w:rPr>
          <w:rFonts w:ascii="Arial" w:hAnsi="Arial" w:cs="Arial"/>
          <w:sz w:val="20"/>
          <w:szCs w:val="20"/>
          <w:lang w:val="es-ES_tradnl"/>
        </w:rPr>
        <w:t>Otras actividades priorizadas y de valor para conseguir los objetivos establecidos.</w:t>
      </w:r>
    </w:p>
    <w:p w14:paraId="6643A8FA" w14:textId="77777777" w:rsidR="00B80986" w:rsidRPr="00A93B6F" w:rsidRDefault="00B80986" w:rsidP="00B80986">
      <w:pPr>
        <w:jc w:val="both"/>
        <w:rPr>
          <w:rFonts w:ascii="Arial" w:hAnsi="Arial" w:cs="Arial"/>
          <w:b/>
          <w:bCs/>
          <w:sz w:val="20"/>
          <w:szCs w:val="20"/>
          <w:lang w:val="es-ES_tradnl"/>
        </w:rPr>
      </w:pPr>
    </w:p>
    <w:p w14:paraId="4CB67DAC" w14:textId="77777777" w:rsidR="00B80986" w:rsidRPr="00A93B6F" w:rsidRDefault="00B80986" w:rsidP="00B80986">
      <w:pPr>
        <w:jc w:val="both"/>
        <w:rPr>
          <w:rFonts w:ascii="Arial" w:hAnsi="Arial" w:cs="Arial"/>
          <w:b/>
          <w:bCs/>
          <w:sz w:val="20"/>
          <w:szCs w:val="20"/>
          <w:lang w:val="es-ES"/>
        </w:rPr>
      </w:pPr>
      <w:r w:rsidRPr="00A93B6F">
        <w:rPr>
          <w:rFonts w:ascii="Arial" w:hAnsi="Arial" w:cs="Arial"/>
          <w:b/>
          <w:bCs/>
          <w:sz w:val="20"/>
          <w:szCs w:val="20"/>
          <w:lang w:val="es-ES"/>
        </w:rPr>
        <w:t>Calificaciones</w:t>
      </w:r>
    </w:p>
    <w:p w14:paraId="10001D2F" w14:textId="77777777" w:rsidR="00B80986" w:rsidRPr="00A93B6F" w:rsidRDefault="00B80986" w:rsidP="00B80986">
      <w:pPr>
        <w:pStyle w:val="ListParagraph"/>
        <w:numPr>
          <w:ilvl w:val="3"/>
          <w:numId w:val="1"/>
        </w:numPr>
        <w:spacing w:after="0" w:line="240" w:lineRule="auto"/>
        <w:ind w:left="720"/>
        <w:contextualSpacing w:val="0"/>
        <w:jc w:val="both"/>
        <w:rPr>
          <w:rFonts w:ascii="Arial" w:hAnsi="Arial" w:cs="Arial"/>
          <w:sz w:val="20"/>
          <w:szCs w:val="20"/>
        </w:rPr>
      </w:pPr>
      <w:r w:rsidRPr="00A93B6F">
        <w:rPr>
          <w:rFonts w:ascii="Arial" w:hAnsi="Arial" w:cs="Arial"/>
          <w:sz w:val="20"/>
          <w:szCs w:val="20"/>
        </w:rPr>
        <w:t>Título/Nivel Académico &amp; Años de Experiencia Profesional: formación y grado de Maestría en políticas públicas, economía, innovación, emprendimiento o ciencias sociales o STEM (</w:t>
      </w:r>
      <w:proofErr w:type="spellStart"/>
      <w:r w:rsidRPr="00A93B6F">
        <w:rPr>
          <w:rFonts w:ascii="Arial" w:hAnsi="Arial" w:cs="Arial"/>
          <w:sz w:val="20"/>
          <w:szCs w:val="20"/>
        </w:rPr>
        <w:t>Science</w:t>
      </w:r>
      <w:proofErr w:type="spellEnd"/>
      <w:r w:rsidRPr="00A93B6F">
        <w:rPr>
          <w:rFonts w:ascii="Arial" w:hAnsi="Arial" w:cs="Arial"/>
          <w:sz w:val="20"/>
          <w:szCs w:val="20"/>
        </w:rPr>
        <w:t xml:space="preserve">, </w:t>
      </w:r>
      <w:proofErr w:type="spellStart"/>
      <w:r w:rsidRPr="00A93B6F">
        <w:rPr>
          <w:rFonts w:ascii="Arial" w:hAnsi="Arial" w:cs="Arial"/>
          <w:sz w:val="20"/>
          <w:szCs w:val="20"/>
        </w:rPr>
        <w:t>Technology</w:t>
      </w:r>
      <w:proofErr w:type="spellEnd"/>
      <w:r w:rsidRPr="00A93B6F">
        <w:rPr>
          <w:rFonts w:ascii="Arial" w:hAnsi="Arial" w:cs="Arial"/>
          <w:sz w:val="20"/>
          <w:szCs w:val="20"/>
        </w:rPr>
        <w:t xml:space="preserve">, </w:t>
      </w:r>
      <w:proofErr w:type="spellStart"/>
      <w:r w:rsidRPr="00A93B6F">
        <w:rPr>
          <w:rFonts w:ascii="Arial" w:hAnsi="Arial" w:cs="Arial"/>
          <w:sz w:val="20"/>
          <w:szCs w:val="20"/>
        </w:rPr>
        <w:t>Engineering</w:t>
      </w:r>
      <w:proofErr w:type="spellEnd"/>
      <w:r w:rsidRPr="00A93B6F">
        <w:rPr>
          <w:rFonts w:ascii="Arial" w:hAnsi="Arial" w:cs="Arial"/>
          <w:sz w:val="20"/>
          <w:szCs w:val="20"/>
        </w:rPr>
        <w:t xml:space="preserve"> </w:t>
      </w:r>
      <w:proofErr w:type="spellStart"/>
      <w:r w:rsidRPr="00A93B6F">
        <w:rPr>
          <w:rFonts w:ascii="Arial" w:hAnsi="Arial" w:cs="Arial"/>
          <w:sz w:val="20"/>
          <w:szCs w:val="20"/>
        </w:rPr>
        <w:t>or</w:t>
      </w:r>
      <w:proofErr w:type="spellEnd"/>
      <w:r w:rsidRPr="00A93B6F">
        <w:rPr>
          <w:rFonts w:ascii="Arial" w:hAnsi="Arial" w:cs="Arial"/>
          <w:sz w:val="20"/>
          <w:szCs w:val="20"/>
        </w:rPr>
        <w:t xml:space="preserve"> </w:t>
      </w:r>
      <w:proofErr w:type="spellStart"/>
      <w:r w:rsidRPr="00A93B6F">
        <w:rPr>
          <w:rFonts w:ascii="Arial" w:hAnsi="Arial" w:cs="Arial"/>
          <w:sz w:val="20"/>
          <w:szCs w:val="20"/>
        </w:rPr>
        <w:t>Mathematics</w:t>
      </w:r>
      <w:proofErr w:type="spellEnd"/>
      <w:r w:rsidRPr="00A93B6F">
        <w:rPr>
          <w:rFonts w:ascii="Arial" w:hAnsi="Arial" w:cs="Arial"/>
          <w:sz w:val="20"/>
          <w:szCs w:val="20"/>
        </w:rPr>
        <w:t>). Experiencia comprobada o de al menos 5 años en ámbitos relacionados a innovación, emprendimiento, transferencia tecnológica e implementación de proyectos en temas de políticas públicas de innovación, innovación empresarial, productividad e innovación.</w:t>
      </w:r>
    </w:p>
    <w:p w14:paraId="6F6C448D" w14:textId="77777777" w:rsidR="00B80986" w:rsidRPr="00A93B6F" w:rsidRDefault="00B80986" w:rsidP="00B80986">
      <w:pPr>
        <w:pStyle w:val="ListParagraph"/>
        <w:numPr>
          <w:ilvl w:val="3"/>
          <w:numId w:val="1"/>
        </w:numPr>
        <w:spacing w:after="0" w:line="240" w:lineRule="auto"/>
        <w:ind w:left="720"/>
        <w:contextualSpacing w:val="0"/>
        <w:jc w:val="both"/>
        <w:rPr>
          <w:rFonts w:ascii="Arial" w:hAnsi="Arial" w:cs="Arial"/>
          <w:sz w:val="20"/>
          <w:szCs w:val="20"/>
        </w:rPr>
      </w:pPr>
      <w:r w:rsidRPr="00A93B6F">
        <w:rPr>
          <w:rFonts w:ascii="Arial" w:hAnsi="Arial" w:cs="Arial"/>
          <w:sz w:val="20"/>
          <w:szCs w:val="20"/>
        </w:rPr>
        <w:t>Idiomas: Dominio de inglés y español.</w:t>
      </w:r>
    </w:p>
    <w:p w14:paraId="278EC312" w14:textId="77777777" w:rsidR="00B80986" w:rsidRPr="00A93B6F" w:rsidRDefault="00B80986" w:rsidP="00B80986">
      <w:pPr>
        <w:pStyle w:val="ListParagraph"/>
        <w:numPr>
          <w:ilvl w:val="0"/>
          <w:numId w:val="1"/>
        </w:numPr>
        <w:spacing w:after="0" w:line="240" w:lineRule="auto"/>
        <w:contextualSpacing w:val="0"/>
        <w:jc w:val="both"/>
        <w:rPr>
          <w:rFonts w:ascii="Arial" w:hAnsi="Arial" w:cs="Arial"/>
          <w:sz w:val="20"/>
          <w:szCs w:val="20"/>
        </w:rPr>
      </w:pPr>
      <w:r w:rsidRPr="00A93B6F">
        <w:rPr>
          <w:rFonts w:ascii="Arial" w:hAnsi="Arial" w:cs="Arial"/>
          <w:sz w:val="20"/>
          <w:szCs w:val="20"/>
        </w:rPr>
        <w:t>Habilidades: Habilidad reconocida para interactuar con contrapartes gubernamentales de nivel técnico-medio y alto.</w:t>
      </w:r>
    </w:p>
    <w:p w14:paraId="2ADE481B" w14:textId="77777777" w:rsidR="00B80986" w:rsidRPr="00A93B6F" w:rsidRDefault="00B80986" w:rsidP="00B80986">
      <w:pPr>
        <w:jc w:val="both"/>
        <w:rPr>
          <w:rFonts w:ascii="Arial" w:hAnsi="Arial" w:cs="Arial"/>
          <w:b/>
          <w:bCs/>
          <w:sz w:val="20"/>
          <w:szCs w:val="20"/>
          <w:lang w:val="es-ES"/>
        </w:rPr>
      </w:pPr>
    </w:p>
    <w:p w14:paraId="2C8100FC" w14:textId="77777777" w:rsidR="00B80986" w:rsidRPr="00A93B6F" w:rsidRDefault="00B80986" w:rsidP="00B80986">
      <w:pPr>
        <w:jc w:val="both"/>
        <w:rPr>
          <w:rFonts w:ascii="Arial" w:hAnsi="Arial" w:cs="Arial"/>
          <w:b/>
          <w:bCs/>
          <w:sz w:val="20"/>
          <w:szCs w:val="20"/>
          <w:lang w:val="es-ES"/>
        </w:rPr>
      </w:pPr>
      <w:r w:rsidRPr="00A93B6F">
        <w:rPr>
          <w:rFonts w:ascii="Arial" w:hAnsi="Arial" w:cs="Arial"/>
          <w:b/>
          <w:bCs/>
          <w:sz w:val="20"/>
          <w:szCs w:val="20"/>
          <w:lang w:val="es-ES"/>
        </w:rPr>
        <w:t>Características de la Consultoría</w:t>
      </w:r>
    </w:p>
    <w:p w14:paraId="6C0FA0D5" w14:textId="77777777" w:rsidR="00B80986" w:rsidRPr="00A93B6F" w:rsidRDefault="00B80986" w:rsidP="00B80986">
      <w:pPr>
        <w:pStyle w:val="ListParagraph"/>
        <w:numPr>
          <w:ilvl w:val="0"/>
          <w:numId w:val="2"/>
        </w:numPr>
        <w:spacing w:after="0" w:line="240" w:lineRule="auto"/>
        <w:contextualSpacing w:val="0"/>
        <w:jc w:val="both"/>
        <w:rPr>
          <w:rFonts w:ascii="Arial" w:hAnsi="Arial" w:cs="Arial"/>
          <w:sz w:val="20"/>
          <w:szCs w:val="20"/>
          <w:lang w:val="es-ES"/>
        </w:rPr>
      </w:pPr>
      <w:r w:rsidRPr="00A93B6F">
        <w:rPr>
          <w:rFonts w:ascii="Arial" w:hAnsi="Arial" w:cs="Arial"/>
          <w:sz w:val="20"/>
          <w:szCs w:val="20"/>
          <w:lang w:val="es-ES"/>
        </w:rPr>
        <w:t xml:space="preserve">Categoría y Modalidad de la Consultoría: </w:t>
      </w:r>
      <w:proofErr w:type="spellStart"/>
      <w:r w:rsidRPr="00A93B6F">
        <w:rPr>
          <w:rFonts w:ascii="Arial" w:hAnsi="Arial" w:cs="Arial"/>
          <w:sz w:val="20"/>
          <w:szCs w:val="20"/>
          <w:lang w:val="es-ES"/>
        </w:rPr>
        <w:t>Temporary</w:t>
      </w:r>
      <w:proofErr w:type="spellEnd"/>
      <w:r w:rsidRPr="00A93B6F">
        <w:rPr>
          <w:rFonts w:ascii="Arial" w:hAnsi="Arial" w:cs="Arial"/>
          <w:sz w:val="20"/>
          <w:szCs w:val="20"/>
          <w:lang w:val="es-ES"/>
        </w:rPr>
        <w:t xml:space="preserve"> </w:t>
      </w:r>
      <w:proofErr w:type="spellStart"/>
      <w:r w:rsidRPr="00A93B6F">
        <w:rPr>
          <w:rFonts w:ascii="Arial" w:hAnsi="Arial" w:cs="Arial"/>
          <w:sz w:val="20"/>
          <w:szCs w:val="20"/>
          <w:lang w:val="es-ES"/>
        </w:rPr>
        <w:t>Term</w:t>
      </w:r>
      <w:proofErr w:type="spellEnd"/>
      <w:r w:rsidRPr="00A93B6F">
        <w:rPr>
          <w:rFonts w:ascii="Arial" w:hAnsi="Arial" w:cs="Arial"/>
          <w:sz w:val="20"/>
          <w:szCs w:val="20"/>
          <w:lang w:val="es-ES"/>
        </w:rPr>
        <w:t xml:space="preserve"> Contractual </w:t>
      </w:r>
    </w:p>
    <w:p w14:paraId="2E99EAB0" w14:textId="77777777" w:rsidR="00B80986" w:rsidRPr="00A93B6F" w:rsidRDefault="00B80986" w:rsidP="00B80986">
      <w:pPr>
        <w:pStyle w:val="ListParagraph"/>
        <w:numPr>
          <w:ilvl w:val="0"/>
          <w:numId w:val="2"/>
        </w:numPr>
        <w:spacing w:after="0" w:line="240" w:lineRule="auto"/>
        <w:contextualSpacing w:val="0"/>
        <w:jc w:val="both"/>
        <w:rPr>
          <w:rFonts w:ascii="Arial" w:hAnsi="Arial" w:cs="Arial"/>
          <w:sz w:val="20"/>
          <w:szCs w:val="20"/>
          <w:lang w:val="es-ES"/>
        </w:rPr>
      </w:pPr>
      <w:r w:rsidRPr="00A93B6F">
        <w:rPr>
          <w:rFonts w:ascii="Arial" w:hAnsi="Arial" w:cs="Arial"/>
          <w:sz w:val="20"/>
          <w:szCs w:val="20"/>
          <w:lang w:val="es-ES"/>
        </w:rPr>
        <w:t>Duración del Contrato:  18 meses, iniciando el 1 de febrero de 2018.</w:t>
      </w:r>
    </w:p>
    <w:p w14:paraId="61CD3D93" w14:textId="77777777" w:rsidR="00B80986" w:rsidRPr="00A93B6F" w:rsidRDefault="00B80986" w:rsidP="00B80986">
      <w:pPr>
        <w:pStyle w:val="ListParagraph"/>
        <w:numPr>
          <w:ilvl w:val="0"/>
          <w:numId w:val="2"/>
        </w:numPr>
        <w:spacing w:after="0" w:line="240" w:lineRule="auto"/>
        <w:contextualSpacing w:val="0"/>
        <w:jc w:val="both"/>
        <w:rPr>
          <w:rFonts w:ascii="Arial" w:hAnsi="Arial" w:cs="Arial"/>
          <w:sz w:val="20"/>
          <w:szCs w:val="20"/>
          <w:lang w:val="es-ES"/>
        </w:rPr>
      </w:pPr>
      <w:r w:rsidRPr="00A93B6F">
        <w:rPr>
          <w:rFonts w:ascii="Arial" w:hAnsi="Arial" w:cs="Arial"/>
          <w:sz w:val="20"/>
          <w:szCs w:val="20"/>
          <w:lang w:val="es-ES"/>
        </w:rPr>
        <w:t xml:space="preserve">Lugar(es) de trabajo: </w:t>
      </w:r>
      <w:proofErr w:type="spellStart"/>
      <w:r w:rsidRPr="00A93B6F">
        <w:rPr>
          <w:rFonts w:ascii="Arial" w:hAnsi="Arial" w:cs="Arial"/>
          <w:sz w:val="20"/>
          <w:szCs w:val="20"/>
          <w:lang w:val="es-ES"/>
        </w:rPr>
        <w:t>Headquarters</w:t>
      </w:r>
      <w:proofErr w:type="spellEnd"/>
      <w:r w:rsidRPr="00A93B6F">
        <w:rPr>
          <w:rFonts w:ascii="Arial" w:hAnsi="Arial" w:cs="Arial"/>
          <w:sz w:val="20"/>
          <w:szCs w:val="20"/>
          <w:lang w:val="es-ES"/>
        </w:rPr>
        <w:t xml:space="preserve"> en Washington D.C.</w:t>
      </w:r>
    </w:p>
    <w:p w14:paraId="19C00FDD" w14:textId="77777777" w:rsidR="00B80986" w:rsidRPr="00A93B6F" w:rsidRDefault="00B80986" w:rsidP="00B80986">
      <w:pPr>
        <w:pStyle w:val="ListParagraph"/>
        <w:numPr>
          <w:ilvl w:val="0"/>
          <w:numId w:val="2"/>
        </w:numPr>
        <w:spacing w:after="0" w:line="240" w:lineRule="auto"/>
        <w:contextualSpacing w:val="0"/>
        <w:jc w:val="both"/>
        <w:rPr>
          <w:rFonts w:ascii="Arial" w:hAnsi="Arial" w:cs="Arial"/>
          <w:bCs/>
          <w:i/>
          <w:sz w:val="20"/>
          <w:szCs w:val="20"/>
          <w:lang w:val="es-ES"/>
        </w:rPr>
      </w:pPr>
      <w:r w:rsidRPr="00A93B6F">
        <w:rPr>
          <w:rFonts w:ascii="Arial" w:hAnsi="Arial" w:cs="Arial"/>
          <w:sz w:val="20"/>
          <w:szCs w:val="20"/>
          <w:lang w:val="es-ES"/>
        </w:rPr>
        <w:t xml:space="preserve">Persona responsable: </w:t>
      </w:r>
      <w:r w:rsidRPr="00A93B6F">
        <w:rPr>
          <w:rFonts w:ascii="Arial" w:hAnsi="Arial" w:cs="Arial"/>
          <w:bCs/>
          <w:sz w:val="20"/>
          <w:szCs w:val="20"/>
          <w:lang w:val="es-ES"/>
        </w:rPr>
        <w:t>La coordinación de la consultoría será responsabilidad de Adrián Magendzo.</w:t>
      </w:r>
    </w:p>
    <w:p w14:paraId="782D547E" w14:textId="77777777" w:rsidR="00B80986" w:rsidRPr="00A93B6F" w:rsidRDefault="00B80986" w:rsidP="00B80986">
      <w:pPr>
        <w:autoSpaceDE w:val="0"/>
        <w:autoSpaceDN w:val="0"/>
        <w:jc w:val="both"/>
        <w:rPr>
          <w:rFonts w:ascii="Arial" w:hAnsi="Arial" w:cs="Arial"/>
          <w:sz w:val="20"/>
          <w:szCs w:val="20"/>
          <w:lang w:val="es-ES_tradnl"/>
        </w:rPr>
      </w:pPr>
      <w:r w:rsidRPr="00A93B6F">
        <w:rPr>
          <w:rFonts w:ascii="Arial" w:hAnsi="Arial" w:cs="Arial"/>
          <w:b/>
          <w:bCs/>
          <w:sz w:val="20"/>
          <w:szCs w:val="20"/>
          <w:lang w:val="es-ES_tradnl"/>
        </w:rPr>
        <w:t>Pago y Condiciones:</w:t>
      </w:r>
      <w:r w:rsidRPr="00A93B6F">
        <w:rPr>
          <w:rFonts w:ascii="Arial" w:hAnsi="Arial" w:cs="Arial"/>
          <w:sz w:val="20"/>
          <w:szCs w:val="20"/>
          <w:lang w:val="es-ES_tradnl"/>
        </w:rPr>
        <w:t xml:space="preserve"> La compensación será determinada </w:t>
      </w:r>
      <w:proofErr w:type="gramStart"/>
      <w:r w:rsidRPr="00A93B6F">
        <w:rPr>
          <w:rFonts w:ascii="Arial" w:hAnsi="Arial" w:cs="Arial"/>
          <w:sz w:val="20"/>
          <w:szCs w:val="20"/>
          <w:lang w:val="es-ES_tradnl"/>
        </w:rPr>
        <w:t>de acuerdo a</w:t>
      </w:r>
      <w:proofErr w:type="gramEnd"/>
      <w:r w:rsidRPr="00A93B6F">
        <w:rPr>
          <w:rFonts w:ascii="Arial" w:hAnsi="Arial" w:cs="Arial"/>
          <w:sz w:val="20"/>
          <w:szCs w:val="20"/>
          <w:lang w:val="es-ES_tradnl"/>
        </w:rPr>
        <w:t xml:space="preserve"> las políticas y procedimientos del Banco. Adicionalmente, los candidatos deberán ser ciudadanos de uno de los países miembros del BID.  </w:t>
      </w:r>
    </w:p>
    <w:p w14:paraId="7E0F635A" w14:textId="77777777" w:rsidR="00B80986" w:rsidRPr="00A93B6F" w:rsidRDefault="00B80986" w:rsidP="00B80986">
      <w:pPr>
        <w:autoSpaceDE w:val="0"/>
        <w:autoSpaceDN w:val="0"/>
        <w:jc w:val="both"/>
        <w:rPr>
          <w:rFonts w:ascii="Arial" w:hAnsi="Arial" w:cs="Arial"/>
          <w:sz w:val="20"/>
          <w:szCs w:val="20"/>
          <w:lang w:val="es-ES_tradnl"/>
        </w:rPr>
      </w:pPr>
      <w:r w:rsidRPr="00A93B6F">
        <w:rPr>
          <w:rFonts w:ascii="Arial" w:hAnsi="Arial" w:cs="Arial"/>
          <w:b/>
          <w:sz w:val="20"/>
          <w:szCs w:val="20"/>
          <w:lang w:val="es-ES_tradnl"/>
        </w:rPr>
        <w:lastRenderedPageBreak/>
        <w:t>Visa y permiso de trabajo:</w:t>
      </w:r>
      <w:r w:rsidRPr="00A93B6F">
        <w:rPr>
          <w:rFonts w:ascii="Arial" w:hAnsi="Arial" w:cs="Arial"/>
          <w:sz w:val="20"/>
          <w:szCs w:val="20"/>
          <w:lang w:val="es-ES_tradnl"/>
        </w:rPr>
        <w:t xml:space="preserve"> El Banco, de conformidad con las políticas aplicables, puede presentar una solicitud de visado a las autoridades de inmigración; Sin embargo, la concesión de la visa es a discreción de las autoridades de inmigración. No obstante, es responsabilidad del candidato obtener los permisos de visa o de trabajo necesarios requeridos por las autoridades del país (es) en el que se prestarán los servicios al Banco. Si un candidato no puede obtener una visa o permiso de trabajo para prestar servicios al Banco, la oferta contractual será rescindida.</w:t>
      </w:r>
    </w:p>
    <w:p w14:paraId="2F635E05" w14:textId="77777777" w:rsidR="00B80986" w:rsidRPr="00A93B6F" w:rsidRDefault="00B80986" w:rsidP="00B80986">
      <w:pPr>
        <w:autoSpaceDE w:val="0"/>
        <w:autoSpaceDN w:val="0"/>
        <w:jc w:val="both"/>
        <w:rPr>
          <w:rFonts w:ascii="Arial" w:hAnsi="Arial" w:cs="Arial"/>
          <w:sz w:val="20"/>
          <w:szCs w:val="20"/>
          <w:lang w:val="es-ES_tradnl"/>
        </w:rPr>
      </w:pPr>
      <w:r w:rsidRPr="00A93B6F">
        <w:rPr>
          <w:rFonts w:ascii="Arial" w:hAnsi="Arial" w:cs="Arial"/>
          <w:b/>
          <w:bCs/>
          <w:sz w:val="20"/>
          <w:szCs w:val="20"/>
          <w:lang w:val="es-ES_tradnl"/>
        </w:rPr>
        <w:t>Consanguinidad:</w:t>
      </w:r>
      <w:r w:rsidRPr="00A93B6F">
        <w:rPr>
          <w:rFonts w:ascii="Arial" w:hAnsi="Arial" w:cs="Arial"/>
          <w:sz w:val="20"/>
          <w:szCs w:val="20"/>
          <w:lang w:val="es-ES_tradnl"/>
        </w:rPr>
        <w:t xml:space="preserve"> De conformidad con la política del Banco aplicable, los candidatos con parientes (incluyendo cuarto grado de consanguinidad y segundo grado de afinidad, incluyendo </w:t>
      </w:r>
      <w:r w:rsidRPr="00A93B6F">
        <w:rPr>
          <w:rFonts w:ascii="Arial" w:hAnsi="Arial" w:cs="Arial"/>
          <w:sz w:val="20"/>
          <w:szCs w:val="20"/>
          <w:lang w:val="es-ES"/>
        </w:rPr>
        <w:t>conyugue</w:t>
      </w:r>
      <w:r w:rsidRPr="00A93B6F">
        <w:rPr>
          <w:rFonts w:ascii="Arial" w:hAnsi="Arial" w:cs="Arial"/>
          <w:sz w:val="20"/>
          <w:szCs w:val="20"/>
          <w:lang w:val="es-ES_tradnl"/>
        </w:rPr>
        <w:t>) que trabajan para el Banco como funcionario o contractual de la fuerza contractual complementaria, no serán elegibles para proveer servicios al Banco.</w:t>
      </w:r>
    </w:p>
    <w:p w14:paraId="121AB611" w14:textId="77777777" w:rsidR="00B80986" w:rsidRPr="00A93B6F" w:rsidRDefault="00B80986" w:rsidP="00B80986">
      <w:pPr>
        <w:autoSpaceDE w:val="0"/>
        <w:autoSpaceDN w:val="0"/>
        <w:jc w:val="both"/>
        <w:rPr>
          <w:rFonts w:ascii="Arial" w:hAnsi="Arial" w:cs="Arial"/>
          <w:sz w:val="20"/>
          <w:szCs w:val="20"/>
          <w:lang w:val="es-ES_tradnl"/>
        </w:rPr>
      </w:pPr>
      <w:r w:rsidRPr="00A93B6F">
        <w:rPr>
          <w:rFonts w:ascii="Arial" w:hAnsi="Arial" w:cs="Arial"/>
          <w:sz w:val="20"/>
          <w:szCs w:val="20"/>
          <w:lang w:val="es-ES_tradnl"/>
        </w:rPr>
        <w:t> </w:t>
      </w:r>
      <w:r w:rsidRPr="00A93B6F">
        <w:rPr>
          <w:rFonts w:ascii="Arial" w:hAnsi="Arial" w:cs="Arial"/>
          <w:b/>
          <w:bCs/>
          <w:sz w:val="20"/>
          <w:szCs w:val="20"/>
          <w:lang w:val="es-ES_tradnl"/>
        </w:rPr>
        <w:t>Diversidad:</w:t>
      </w:r>
      <w:r w:rsidRPr="00A93B6F">
        <w:rPr>
          <w:rFonts w:ascii="Arial" w:hAnsi="Arial" w:cs="Arial"/>
          <w:sz w:val="20"/>
          <w:szCs w:val="20"/>
          <w:lang w:val="es-ES_tradnl"/>
        </w:rPr>
        <w:t xml:space="preserve"> El Banco </w:t>
      </w:r>
      <w:r w:rsidRPr="00A93B6F">
        <w:rPr>
          <w:rFonts w:ascii="Arial" w:hAnsi="Arial" w:cs="Arial"/>
          <w:sz w:val="20"/>
          <w:szCs w:val="20"/>
          <w:lang w:val="es-ES"/>
        </w:rPr>
        <w:t>está</w:t>
      </w:r>
      <w:r w:rsidRPr="00A93B6F">
        <w:rPr>
          <w:rFonts w:ascii="Arial" w:hAnsi="Arial" w:cs="Arial"/>
          <w:sz w:val="20"/>
          <w:szCs w:val="20"/>
          <w:lang w:val="es-ES_tradnl"/>
        </w:rPr>
        <w:t xml:space="preserve"> comprometido con la diversidad e inclusión y la igualdad de oportunidades para todos los candidatos. Acogemos la diversidad sobre la base de género, edad, educación, origen nacional, origen étnico, raza, discapacidad, orientación sexual, religión, y estatus de VIH/SIDA. Alentamos a aplicar a mujeres, afrodescendientes y a personas de origen indígena.</w:t>
      </w:r>
    </w:p>
    <w:p w14:paraId="25C77242" w14:textId="77777777" w:rsidR="001F63CD" w:rsidRPr="00B80986" w:rsidRDefault="007A0B8D">
      <w:pPr>
        <w:rPr>
          <w:lang w:val="es-ES_tradnl"/>
        </w:rPr>
      </w:pPr>
    </w:p>
    <w:sectPr w:rsidR="001F63CD" w:rsidRPr="00B809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708B" w14:textId="77777777" w:rsidR="007A0B8D" w:rsidRDefault="007A0B8D" w:rsidP="00B80986">
      <w:pPr>
        <w:spacing w:after="0" w:line="240" w:lineRule="auto"/>
      </w:pPr>
      <w:r>
        <w:separator/>
      </w:r>
    </w:p>
  </w:endnote>
  <w:endnote w:type="continuationSeparator" w:id="0">
    <w:p w14:paraId="5C6B9369" w14:textId="77777777" w:rsidR="007A0B8D" w:rsidRDefault="007A0B8D" w:rsidP="00B8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5E560" w14:textId="77777777" w:rsidR="007A0B8D" w:rsidRDefault="007A0B8D" w:rsidP="00B80986">
      <w:pPr>
        <w:spacing w:after="0" w:line="240" w:lineRule="auto"/>
      </w:pPr>
      <w:r>
        <w:separator/>
      </w:r>
    </w:p>
  </w:footnote>
  <w:footnote w:type="continuationSeparator" w:id="0">
    <w:p w14:paraId="3CF5F333" w14:textId="77777777" w:rsidR="007A0B8D" w:rsidRDefault="007A0B8D" w:rsidP="00B80986">
      <w:pPr>
        <w:spacing w:after="0" w:line="240" w:lineRule="auto"/>
      </w:pPr>
      <w:r>
        <w:continuationSeparator/>
      </w:r>
    </w:p>
  </w:footnote>
  <w:footnote w:id="1">
    <w:p w14:paraId="3D2699D2" w14:textId="77777777" w:rsidR="00B80986" w:rsidRPr="00B30B62" w:rsidRDefault="00B80986" w:rsidP="00B80986">
      <w:pPr>
        <w:pStyle w:val="FootnoteText"/>
        <w:jc w:val="both"/>
        <w:rPr>
          <w:rFonts w:ascii="Arial" w:eastAsiaTheme="minorEastAsia" w:hAnsi="Arial" w:cs="Arial"/>
          <w:sz w:val="16"/>
          <w:szCs w:val="16"/>
          <w:lang w:val="es-ES_tradnl"/>
        </w:rPr>
      </w:pPr>
      <w:r>
        <w:rPr>
          <w:rStyle w:val="FootnoteReference"/>
        </w:rPr>
        <w:footnoteRef/>
      </w:r>
      <w:r>
        <w:t xml:space="preserve"> </w:t>
      </w:r>
      <w:r w:rsidRPr="00B30B62">
        <w:rPr>
          <w:rFonts w:ascii="Arial" w:eastAsiaTheme="minorEastAsia" w:hAnsi="Arial" w:cs="Arial"/>
          <w:sz w:val="16"/>
          <w:szCs w:val="16"/>
          <w:lang w:val="es-ES_tradnl"/>
        </w:rPr>
        <w:t xml:space="preserve">Global </w:t>
      </w:r>
      <w:proofErr w:type="spellStart"/>
      <w:r w:rsidRPr="00B30B62">
        <w:rPr>
          <w:rFonts w:ascii="Arial" w:eastAsiaTheme="minorEastAsia" w:hAnsi="Arial" w:cs="Arial"/>
          <w:sz w:val="16"/>
          <w:szCs w:val="16"/>
          <w:lang w:val="es-ES_tradnl"/>
        </w:rPr>
        <w:t>Entrepreneurship</w:t>
      </w:r>
      <w:proofErr w:type="spellEnd"/>
      <w:r w:rsidRPr="00B30B62">
        <w:rPr>
          <w:rFonts w:ascii="Arial" w:eastAsiaTheme="minorEastAsia" w:hAnsi="Arial" w:cs="Arial"/>
          <w:sz w:val="16"/>
          <w:szCs w:val="16"/>
          <w:lang w:val="es-ES_tradnl"/>
        </w:rPr>
        <w:t xml:space="preserve"> Monitor 2017. Global </w:t>
      </w:r>
      <w:proofErr w:type="spellStart"/>
      <w:r w:rsidRPr="00B30B62">
        <w:rPr>
          <w:rFonts w:ascii="Arial" w:eastAsiaTheme="minorEastAsia" w:hAnsi="Arial" w:cs="Arial"/>
          <w:sz w:val="16"/>
          <w:szCs w:val="16"/>
          <w:lang w:val="es-ES_tradnl"/>
        </w:rPr>
        <w:t>Report</w:t>
      </w:r>
      <w:proofErr w:type="spellEnd"/>
      <w:r w:rsidRPr="00B30B62">
        <w:rPr>
          <w:rFonts w:ascii="Arial" w:eastAsiaTheme="minorEastAsia" w:hAnsi="Arial" w:cs="Arial"/>
          <w:sz w:val="16"/>
          <w:szCs w:val="16"/>
          <w:lang w:val="es-ES_tradnl"/>
        </w:rPr>
        <w:t xml:space="preserve"> 206/2017. </w:t>
      </w:r>
      <w:proofErr w:type="spellStart"/>
      <w:r w:rsidRPr="00B30B62">
        <w:rPr>
          <w:rFonts w:ascii="Arial" w:eastAsiaTheme="minorEastAsia" w:hAnsi="Arial" w:cs="Arial"/>
          <w:sz w:val="16"/>
          <w:szCs w:val="16"/>
          <w:lang w:val="es-ES_tradnl"/>
        </w:rPr>
        <w:t>Babson</w:t>
      </w:r>
      <w:proofErr w:type="spellEnd"/>
      <w:r w:rsidRPr="00B30B62">
        <w:rPr>
          <w:rFonts w:ascii="Arial" w:eastAsiaTheme="minorEastAsia" w:hAnsi="Arial" w:cs="Arial"/>
          <w:sz w:val="16"/>
          <w:szCs w:val="16"/>
          <w:lang w:val="es-ES_tradnl"/>
        </w:rPr>
        <w:t xml:space="preserve"> </w:t>
      </w:r>
      <w:proofErr w:type="spellStart"/>
      <w:r w:rsidRPr="00B30B62">
        <w:rPr>
          <w:rFonts w:ascii="Arial" w:eastAsiaTheme="minorEastAsia" w:hAnsi="Arial" w:cs="Arial"/>
          <w:sz w:val="16"/>
          <w:szCs w:val="16"/>
          <w:lang w:val="es-ES_tradnl"/>
        </w:rPr>
        <w:t>College</w:t>
      </w:r>
      <w:proofErr w:type="spellEnd"/>
      <w:r w:rsidRPr="00B30B62">
        <w:rPr>
          <w:rFonts w:ascii="Arial" w:eastAsiaTheme="minorEastAsia" w:hAnsi="Arial" w:cs="Arial"/>
          <w:sz w:val="16"/>
          <w:szCs w:val="16"/>
          <w:lang w:val="es-ES_tradnl"/>
        </w:rPr>
        <w:t xml:space="preserve">, </w:t>
      </w:r>
      <w:proofErr w:type="spellStart"/>
      <w:r w:rsidRPr="00B30B62">
        <w:rPr>
          <w:rFonts w:ascii="Arial" w:eastAsiaTheme="minorEastAsia" w:hAnsi="Arial" w:cs="Arial"/>
          <w:sz w:val="16"/>
          <w:szCs w:val="16"/>
          <w:lang w:val="es-ES_tradnl"/>
        </w:rPr>
        <w:t>Unirazak</w:t>
      </w:r>
      <w:proofErr w:type="spellEnd"/>
      <w:r w:rsidRPr="00B30B62">
        <w:rPr>
          <w:rFonts w:ascii="Arial" w:eastAsiaTheme="minorEastAsia" w:hAnsi="Arial" w:cs="Arial"/>
          <w:sz w:val="16"/>
          <w:szCs w:val="16"/>
          <w:lang w:val="es-ES_tradnl"/>
        </w:rPr>
        <w:t>, Universidad del Desarrollo, Tecnológico de Monterrey</w:t>
      </w:r>
    </w:p>
  </w:footnote>
  <w:footnote w:id="2">
    <w:p w14:paraId="0CE7DE71" w14:textId="77777777" w:rsidR="00B80986" w:rsidRPr="006C105F" w:rsidRDefault="00B80986" w:rsidP="00B80986">
      <w:pPr>
        <w:pStyle w:val="FootnoteText"/>
      </w:pPr>
      <w:r>
        <w:rPr>
          <w:rStyle w:val="FootnoteReference"/>
        </w:rPr>
        <w:footnoteRef/>
      </w:r>
      <w:r>
        <w:t xml:space="preserve"> </w:t>
      </w:r>
      <w:r w:rsidRPr="00B30B62">
        <w:rPr>
          <w:rFonts w:ascii="Arial" w:eastAsiaTheme="minorEastAsia" w:hAnsi="Arial" w:cs="Arial"/>
          <w:sz w:val="16"/>
          <w:szCs w:val="16"/>
          <w:lang w:val="es-ES_tradnl"/>
        </w:rPr>
        <w:t xml:space="preserve">Barro, Senén, 2015. La Transferencia de I+D, La Innovación y el Emprendimiento en las universidades: Educación superior en Iberoamérica. Informe 2015. Red </w:t>
      </w:r>
      <w:proofErr w:type="spellStart"/>
      <w:r w:rsidRPr="00B30B62">
        <w:rPr>
          <w:rFonts w:ascii="Arial" w:eastAsiaTheme="minorEastAsia" w:hAnsi="Arial" w:cs="Arial"/>
          <w:sz w:val="16"/>
          <w:szCs w:val="16"/>
          <w:lang w:val="es-ES_tradnl"/>
        </w:rPr>
        <w:t>Emprendia</w:t>
      </w:r>
      <w:proofErr w:type="spellEnd"/>
      <w:r w:rsidRPr="00B30B62">
        <w:rPr>
          <w:rFonts w:ascii="Arial" w:eastAsiaTheme="minorEastAsia" w:hAnsi="Arial" w:cs="Arial"/>
          <w:sz w:val="16"/>
          <w:szCs w:val="16"/>
          <w:lang w:val="es-ES_tradnl"/>
        </w:rPr>
        <w:t xml:space="preserve">, </w:t>
      </w:r>
      <w:proofErr w:type="spellStart"/>
      <w:r w:rsidRPr="00B30B62">
        <w:rPr>
          <w:rFonts w:ascii="Arial" w:eastAsiaTheme="minorEastAsia" w:hAnsi="Arial" w:cs="Arial"/>
          <w:sz w:val="16"/>
          <w:szCs w:val="16"/>
          <w:lang w:val="es-ES_tradnl"/>
        </w:rPr>
        <w:t>Universia</w:t>
      </w:r>
      <w:proofErr w:type="spellEnd"/>
      <w:r w:rsidRPr="00B30B62">
        <w:rPr>
          <w:rFonts w:ascii="Arial" w:eastAsiaTheme="minorEastAsia" w:hAnsi="Arial" w:cs="Arial"/>
          <w:sz w:val="16"/>
          <w:szCs w:val="16"/>
          <w:lang w:val="es-ES_tradnl"/>
        </w:rPr>
        <w:t>.</w:t>
      </w:r>
    </w:p>
  </w:footnote>
  <w:footnote w:id="3">
    <w:p w14:paraId="364D3DAA" w14:textId="77777777" w:rsidR="00B80986" w:rsidRPr="00B30B62" w:rsidRDefault="00B80986" w:rsidP="00B80986">
      <w:pPr>
        <w:pStyle w:val="FootnoteText"/>
        <w:jc w:val="both"/>
        <w:rPr>
          <w:rFonts w:ascii="Arial" w:eastAsiaTheme="minorEastAsia" w:hAnsi="Arial" w:cs="Arial"/>
          <w:sz w:val="16"/>
          <w:szCs w:val="16"/>
          <w:lang w:val="es-ES_tradnl"/>
        </w:rPr>
      </w:pPr>
      <w:r>
        <w:rPr>
          <w:rStyle w:val="FootnoteReference"/>
        </w:rPr>
        <w:footnoteRef/>
      </w:r>
      <w:r>
        <w:t xml:space="preserve"> </w:t>
      </w:r>
      <w:r w:rsidRPr="00B30B62">
        <w:rPr>
          <w:rFonts w:ascii="Arial" w:eastAsiaTheme="minorEastAsia" w:hAnsi="Arial" w:cs="Arial"/>
          <w:sz w:val="16"/>
          <w:szCs w:val="16"/>
          <w:lang w:val="es-ES_tradnl"/>
        </w:rPr>
        <w:t xml:space="preserve">Global </w:t>
      </w:r>
      <w:proofErr w:type="spellStart"/>
      <w:r w:rsidRPr="00B30B62">
        <w:rPr>
          <w:rFonts w:ascii="Arial" w:eastAsiaTheme="minorEastAsia" w:hAnsi="Arial" w:cs="Arial"/>
          <w:sz w:val="16"/>
          <w:szCs w:val="16"/>
          <w:lang w:val="es-ES_tradnl"/>
        </w:rPr>
        <w:t>Entrepreneurship</w:t>
      </w:r>
      <w:proofErr w:type="spellEnd"/>
      <w:r w:rsidRPr="00B30B62">
        <w:rPr>
          <w:rFonts w:ascii="Arial" w:eastAsiaTheme="minorEastAsia" w:hAnsi="Arial" w:cs="Arial"/>
          <w:sz w:val="16"/>
          <w:szCs w:val="16"/>
          <w:lang w:val="es-ES_tradnl"/>
        </w:rPr>
        <w:t xml:space="preserve"> Monitor 2017. Global </w:t>
      </w:r>
      <w:proofErr w:type="spellStart"/>
      <w:r w:rsidRPr="00B30B62">
        <w:rPr>
          <w:rFonts w:ascii="Arial" w:eastAsiaTheme="minorEastAsia" w:hAnsi="Arial" w:cs="Arial"/>
          <w:sz w:val="16"/>
          <w:szCs w:val="16"/>
          <w:lang w:val="es-ES_tradnl"/>
        </w:rPr>
        <w:t>Report</w:t>
      </w:r>
      <w:proofErr w:type="spellEnd"/>
      <w:r w:rsidRPr="00B30B62">
        <w:rPr>
          <w:rFonts w:ascii="Arial" w:eastAsiaTheme="minorEastAsia" w:hAnsi="Arial" w:cs="Arial"/>
          <w:sz w:val="16"/>
          <w:szCs w:val="16"/>
          <w:lang w:val="es-ES_tradnl"/>
        </w:rPr>
        <w:t xml:space="preserve"> 206/2017. </w:t>
      </w:r>
      <w:proofErr w:type="spellStart"/>
      <w:r w:rsidRPr="00B30B62">
        <w:rPr>
          <w:rFonts w:ascii="Arial" w:eastAsiaTheme="minorEastAsia" w:hAnsi="Arial" w:cs="Arial"/>
          <w:sz w:val="16"/>
          <w:szCs w:val="16"/>
          <w:lang w:val="es-ES_tradnl"/>
        </w:rPr>
        <w:t>Babson</w:t>
      </w:r>
      <w:proofErr w:type="spellEnd"/>
      <w:r w:rsidRPr="00B30B62">
        <w:rPr>
          <w:rFonts w:ascii="Arial" w:eastAsiaTheme="minorEastAsia" w:hAnsi="Arial" w:cs="Arial"/>
          <w:sz w:val="16"/>
          <w:szCs w:val="16"/>
          <w:lang w:val="es-ES_tradnl"/>
        </w:rPr>
        <w:t xml:space="preserve"> </w:t>
      </w:r>
      <w:proofErr w:type="spellStart"/>
      <w:r w:rsidRPr="00B30B62">
        <w:rPr>
          <w:rFonts w:ascii="Arial" w:eastAsiaTheme="minorEastAsia" w:hAnsi="Arial" w:cs="Arial"/>
          <w:sz w:val="16"/>
          <w:szCs w:val="16"/>
          <w:lang w:val="es-ES_tradnl"/>
        </w:rPr>
        <w:t>College</w:t>
      </w:r>
      <w:proofErr w:type="spellEnd"/>
      <w:r w:rsidRPr="00B30B62">
        <w:rPr>
          <w:rFonts w:ascii="Arial" w:eastAsiaTheme="minorEastAsia" w:hAnsi="Arial" w:cs="Arial"/>
          <w:sz w:val="16"/>
          <w:szCs w:val="16"/>
          <w:lang w:val="es-ES_tradnl"/>
        </w:rPr>
        <w:t xml:space="preserve">, </w:t>
      </w:r>
      <w:proofErr w:type="spellStart"/>
      <w:r w:rsidRPr="00B30B62">
        <w:rPr>
          <w:rFonts w:ascii="Arial" w:eastAsiaTheme="minorEastAsia" w:hAnsi="Arial" w:cs="Arial"/>
          <w:sz w:val="16"/>
          <w:szCs w:val="16"/>
          <w:lang w:val="es-ES_tradnl"/>
        </w:rPr>
        <w:t>Unirazak</w:t>
      </w:r>
      <w:proofErr w:type="spellEnd"/>
      <w:r w:rsidRPr="00B30B62">
        <w:rPr>
          <w:rFonts w:ascii="Arial" w:eastAsiaTheme="minorEastAsia" w:hAnsi="Arial" w:cs="Arial"/>
          <w:sz w:val="16"/>
          <w:szCs w:val="16"/>
          <w:lang w:val="es-ES_tradnl"/>
        </w:rPr>
        <w:t>, Universidad del Desarrollo, Tecnológico de Monterrey</w:t>
      </w:r>
    </w:p>
  </w:footnote>
  <w:footnote w:id="4">
    <w:p w14:paraId="4C436777" w14:textId="77777777" w:rsidR="00B80986" w:rsidRPr="006C105F" w:rsidRDefault="00B80986" w:rsidP="00B80986">
      <w:pPr>
        <w:pStyle w:val="FootnoteText"/>
      </w:pPr>
      <w:r>
        <w:rPr>
          <w:rStyle w:val="FootnoteReference"/>
        </w:rPr>
        <w:footnoteRef/>
      </w:r>
      <w:r>
        <w:t xml:space="preserve"> </w:t>
      </w:r>
      <w:r w:rsidRPr="00B30B62">
        <w:rPr>
          <w:rFonts w:ascii="Arial" w:eastAsiaTheme="minorEastAsia" w:hAnsi="Arial" w:cs="Arial"/>
          <w:sz w:val="16"/>
          <w:szCs w:val="16"/>
          <w:lang w:val="es-ES_tradnl"/>
        </w:rPr>
        <w:t xml:space="preserve">Barro, Senén, 2015. La Transferencia de I+D, La Innovación y el Emprendimiento en las universidades: Educación superior en Iberoamérica. Informe 2015. Red </w:t>
      </w:r>
      <w:proofErr w:type="spellStart"/>
      <w:r w:rsidRPr="00B30B62">
        <w:rPr>
          <w:rFonts w:ascii="Arial" w:eastAsiaTheme="minorEastAsia" w:hAnsi="Arial" w:cs="Arial"/>
          <w:sz w:val="16"/>
          <w:szCs w:val="16"/>
          <w:lang w:val="es-ES_tradnl"/>
        </w:rPr>
        <w:t>Emprendia</w:t>
      </w:r>
      <w:proofErr w:type="spellEnd"/>
      <w:r w:rsidRPr="00B30B62">
        <w:rPr>
          <w:rFonts w:ascii="Arial" w:eastAsiaTheme="minorEastAsia" w:hAnsi="Arial" w:cs="Arial"/>
          <w:sz w:val="16"/>
          <w:szCs w:val="16"/>
          <w:lang w:val="es-ES_tradnl"/>
        </w:rPr>
        <w:t xml:space="preserve">, </w:t>
      </w:r>
      <w:proofErr w:type="spellStart"/>
      <w:r w:rsidRPr="00B30B62">
        <w:rPr>
          <w:rFonts w:ascii="Arial" w:eastAsiaTheme="minorEastAsia" w:hAnsi="Arial" w:cs="Arial"/>
          <w:sz w:val="16"/>
          <w:szCs w:val="16"/>
          <w:lang w:val="es-ES_tradnl"/>
        </w:rPr>
        <w:t>Universia</w:t>
      </w:r>
      <w:proofErr w:type="spellEnd"/>
      <w:r w:rsidRPr="00B30B62">
        <w:rPr>
          <w:rFonts w:ascii="Arial" w:eastAsiaTheme="minorEastAsia" w:hAnsi="Arial" w:cs="Arial"/>
          <w:sz w:val="16"/>
          <w:szCs w:val="16"/>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085814"/>
      <w:docPartObj>
        <w:docPartGallery w:val="Page Numbers (Top of Page)"/>
        <w:docPartUnique/>
      </w:docPartObj>
    </w:sdtPr>
    <w:sdtEndPr>
      <w:rPr>
        <w:noProof/>
      </w:rPr>
    </w:sdtEndPr>
    <w:sdtContent>
      <w:sdt>
        <w:sdtPr>
          <w:rPr>
            <w:rFonts w:ascii="Arial" w:hAnsi="Arial" w:cs="Arial"/>
            <w:sz w:val="18"/>
            <w:szCs w:val="18"/>
          </w:rPr>
          <w:id w:val="204155437"/>
          <w:docPartObj>
            <w:docPartGallery w:val="Page Numbers (Top of Page)"/>
            <w:docPartUnique/>
          </w:docPartObj>
        </w:sdtPr>
        <w:sdtEndPr/>
        <w:sdtContent>
          <w:p w14:paraId="3D485E39" w14:textId="77777777" w:rsidR="007D2EC9" w:rsidRPr="00C4616E" w:rsidRDefault="007D2EC9" w:rsidP="007D2EC9">
            <w:pPr>
              <w:pStyle w:val="Header"/>
              <w:jc w:val="right"/>
              <w:rPr>
                <w:rFonts w:ascii="Arial" w:hAnsi="Arial" w:cs="Arial"/>
                <w:sz w:val="18"/>
                <w:szCs w:val="18"/>
                <w:lang w:val="pt-BR"/>
              </w:rPr>
            </w:pPr>
            <w:r w:rsidRPr="00C4616E">
              <w:rPr>
                <w:rFonts w:ascii="Arial" w:hAnsi="Arial" w:cs="Arial"/>
                <w:sz w:val="18"/>
                <w:szCs w:val="18"/>
                <w:lang w:val="pt-BR"/>
              </w:rPr>
              <w:t>Anexo III –RG- T3098</w:t>
            </w:r>
          </w:p>
          <w:p w14:paraId="1C539198" w14:textId="0F58FCF8" w:rsidR="007D2EC9" w:rsidRPr="00C4616E" w:rsidRDefault="007E51F0" w:rsidP="007D2EC9">
            <w:pPr>
              <w:pStyle w:val="Header"/>
              <w:jc w:val="right"/>
              <w:rPr>
                <w:rFonts w:ascii="Arial" w:hAnsi="Arial" w:cs="Arial"/>
                <w:sz w:val="18"/>
                <w:szCs w:val="18"/>
                <w:lang w:val="pt-BR"/>
              </w:rPr>
            </w:pPr>
            <w:r w:rsidRPr="00C4616E">
              <w:rPr>
                <w:rFonts w:ascii="Arial" w:hAnsi="Arial" w:cs="Arial"/>
                <w:sz w:val="18"/>
                <w:szCs w:val="18"/>
                <w:lang w:val="pt-BR"/>
              </w:rPr>
              <w:t>Página</w:t>
            </w:r>
            <w:r w:rsidR="007D2EC9" w:rsidRPr="00C4616E">
              <w:rPr>
                <w:rFonts w:ascii="Arial" w:hAnsi="Arial" w:cs="Arial"/>
                <w:sz w:val="18"/>
                <w:szCs w:val="18"/>
                <w:lang w:val="pt-BR"/>
              </w:rPr>
              <w:t xml:space="preserve"> </w:t>
            </w:r>
            <w:r w:rsidR="007D2EC9" w:rsidRPr="00F4009C">
              <w:rPr>
                <w:rFonts w:ascii="Arial" w:hAnsi="Arial" w:cs="Arial"/>
                <w:bCs/>
                <w:sz w:val="18"/>
                <w:szCs w:val="18"/>
              </w:rPr>
              <w:fldChar w:fldCharType="begin"/>
            </w:r>
            <w:r w:rsidR="007D2EC9" w:rsidRPr="00C4616E">
              <w:rPr>
                <w:rFonts w:ascii="Arial" w:hAnsi="Arial" w:cs="Arial"/>
                <w:bCs/>
                <w:sz w:val="18"/>
                <w:szCs w:val="18"/>
                <w:lang w:val="pt-BR"/>
              </w:rPr>
              <w:instrText xml:space="preserve"> PAGE </w:instrText>
            </w:r>
            <w:r w:rsidR="007D2EC9" w:rsidRPr="00F4009C">
              <w:rPr>
                <w:rFonts w:ascii="Arial" w:hAnsi="Arial" w:cs="Arial"/>
                <w:bCs/>
                <w:sz w:val="18"/>
                <w:szCs w:val="18"/>
              </w:rPr>
              <w:fldChar w:fldCharType="separate"/>
            </w:r>
            <w:r w:rsidR="00C4616E">
              <w:rPr>
                <w:rFonts w:ascii="Arial" w:hAnsi="Arial" w:cs="Arial"/>
                <w:bCs/>
                <w:noProof/>
                <w:sz w:val="18"/>
                <w:szCs w:val="18"/>
                <w:lang w:val="pt-BR"/>
              </w:rPr>
              <w:t>5</w:t>
            </w:r>
            <w:r w:rsidR="007D2EC9" w:rsidRPr="00F4009C">
              <w:rPr>
                <w:rFonts w:ascii="Arial" w:hAnsi="Arial" w:cs="Arial"/>
                <w:bCs/>
                <w:sz w:val="18"/>
                <w:szCs w:val="18"/>
              </w:rPr>
              <w:fldChar w:fldCharType="end"/>
            </w:r>
            <w:r w:rsidR="007D2EC9" w:rsidRPr="00C4616E">
              <w:rPr>
                <w:rFonts w:ascii="Arial" w:hAnsi="Arial" w:cs="Arial"/>
                <w:sz w:val="18"/>
                <w:szCs w:val="18"/>
                <w:lang w:val="pt-BR"/>
              </w:rPr>
              <w:t xml:space="preserve"> </w:t>
            </w:r>
            <w:r w:rsidRPr="00C4616E">
              <w:rPr>
                <w:rFonts w:ascii="Arial" w:hAnsi="Arial" w:cs="Arial"/>
                <w:sz w:val="18"/>
                <w:szCs w:val="18"/>
                <w:lang w:val="pt-BR"/>
              </w:rPr>
              <w:t>de</w:t>
            </w:r>
            <w:r w:rsidR="007D2EC9" w:rsidRPr="00C4616E">
              <w:rPr>
                <w:rFonts w:ascii="Arial" w:hAnsi="Arial" w:cs="Arial"/>
                <w:sz w:val="18"/>
                <w:szCs w:val="18"/>
                <w:lang w:val="pt-BR"/>
              </w:rPr>
              <w:t xml:space="preserve"> </w:t>
            </w:r>
            <w:r w:rsidR="007D2EC9" w:rsidRPr="00F4009C">
              <w:rPr>
                <w:rFonts w:ascii="Arial" w:hAnsi="Arial" w:cs="Arial"/>
                <w:bCs/>
                <w:sz w:val="18"/>
                <w:szCs w:val="18"/>
              </w:rPr>
              <w:fldChar w:fldCharType="begin"/>
            </w:r>
            <w:r w:rsidR="007D2EC9" w:rsidRPr="00C4616E">
              <w:rPr>
                <w:rFonts w:ascii="Arial" w:hAnsi="Arial" w:cs="Arial"/>
                <w:bCs/>
                <w:sz w:val="18"/>
                <w:szCs w:val="18"/>
                <w:lang w:val="pt-BR"/>
              </w:rPr>
              <w:instrText xml:space="preserve"> NUMPAGES  </w:instrText>
            </w:r>
            <w:r w:rsidR="007D2EC9" w:rsidRPr="00F4009C">
              <w:rPr>
                <w:rFonts w:ascii="Arial" w:hAnsi="Arial" w:cs="Arial"/>
                <w:bCs/>
                <w:sz w:val="18"/>
                <w:szCs w:val="18"/>
              </w:rPr>
              <w:fldChar w:fldCharType="separate"/>
            </w:r>
            <w:r w:rsidR="00C4616E">
              <w:rPr>
                <w:rFonts w:ascii="Arial" w:hAnsi="Arial" w:cs="Arial"/>
                <w:bCs/>
                <w:noProof/>
                <w:sz w:val="18"/>
                <w:szCs w:val="18"/>
                <w:lang w:val="pt-BR"/>
              </w:rPr>
              <w:t>6</w:t>
            </w:r>
            <w:r w:rsidR="007D2EC9" w:rsidRPr="00F4009C">
              <w:rPr>
                <w:rFonts w:ascii="Arial" w:hAnsi="Arial" w:cs="Arial"/>
                <w:bCs/>
                <w:sz w:val="18"/>
                <w:szCs w:val="18"/>
              </w:rPr>
              <w:fldChar w:fldCharType="end"/>
            </w:r>
          </w:p>
        </w:sdtContent>
      </w:sdt>
      <w:p w14:paraId="4D052260" w14:textId="77777777" w:rsidR="007D2EC9" w:rsidRDefault="007A0B8D" w:rsidP="007D2EC9">
        <w:pPr>
          <w:pStyle w:val="Header"/>
          <w:jc w:val="right"/>
          <w:rPr>
            <w:noProof/>
          </w:rPr>
        </w:pPr>
      </w:p>
    </w:sdtContent>
  </w:sdt>
  <w:p w14:paraId="59049284" w14:textId="77777777" w:rsidR="007D2EC9" w:rsidRDefault="007D2EC9" w:rsidP="007D2EC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4122D"/>
    <w:multiLevelType w:val="hybridMultilevel"/>
    <w:tmpl w:val="12D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44F22"/>
    <w:multiLevelType w:val="hybridMultilevel"/>
    <w:tmpl w:val="01A6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828EE"/>
    <w:multiLevelType w:val="hybridMultilevel"/>
    <w:tmpl w:val="86E0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955FA"/>
    <w:multiLevelType w:val="hybridMultilevel"/>
    <w:tmpl w:val="2C147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361EDF"/>
    <w:multiLevelType w:val="hybridMultilevel"/>
    <w:tmpl w:val="4AC4A23C"/>
    <w:lvl w:ilvl="0" w:tplc="8E3C2F1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937CE"/>
    <w:multiLevelType w:val="hybridMultilevel"/>
    <w:tmpl w:val="608E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86"/>
    <w:rsid w:val="00055DF9"/>
    <w:rsid w:val="00076C6F"/>
    <w:rsid w:val="006D2825"/>
    <w:rsid w:val="00785B40"/>
    <w:rsid w:val="007A0B8D"/>
    <w:rsid w:val="007D2EC9"/>
    <w:rsid w:val="007E51F0"/>
    <w:rsid w:val="008921A5"/>
    <w:rsid w:val="00A05600"/>
    <w:rsid w:val="00AB1F71"/>
    <w:rsid w:val="00B80986"/>
    <w:rsid w:val="00C4616E"/>
    <w:rsid w:val="00DF62F8"/>
    <w:rsid w:val="00F6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D968"/>
  <w15:chartTrackingRefBased/>
  <w15:docId w15:val="{4D0886CD-EDE5-4C50-91B5-93BB1A10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986"/>
    <w:pPr>
      <w:spacing w:after="200" w:line="276" w:lineRule="auto"/>
    </w:pPr>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986"/>
    <w:pPr>
      <w:ind w:left="720"/>
      <w:contextualSpacing/>
    </w:pPr>
  </w:style>
  <w:style w:type="paragraph" w:styleId="FootnoteText">
    <w:name w:val="footnote text"/>
    <w:aliases w:val="ALTS FOOTNOTE,FOOTNOTES,fn,single space,Footnote Text Char Char Char,Car,texto de nota al pie,Texto nota pie Car Car Car Car Car Car Car Car,Texto nota pie Car Car Car,Footnote Text Char Char Char Char Char Char,Texto nota pie IIRSA, Car,F"/>
    <w:basedOn w:val="Normal"/>
    <w:link w:val="FootnoteTextChar"/>
    <w:uiPriority w:val="99"/>
    <w:unhideWhenUsed/>
    <w:rsid w:val="00B80986"/>
    <w:pPr>
      <w:spacing w:after="0" w:line="240" w:lineRule="auto"/>
    </w:pPr>
    <w:rPr>
      <w:sz w:val="20"/>
      <w:szCs w:val="20"/>
    </w:rPr>
  </w:style>
  <w:style w:type="character" w:customStyle="1" w:styleId="FootnoteTextChar">
    <w:name w:val="Footnote Text Char"/>
    <w:aliases w:val="ALTS FOOTNOTE Char,FOOTNOTES Char,fn Char,single space Char,Footnote Text Char Char Char Char,Car Char,texto de nota al pie Char,Texto nota pie Car Car Car Car Car Car Car Car Char,Texto nota pie Car Car Car Char, Car Char,F Char"/>
    <w:basedOn w:val="DefaultParagraphFont"/>
    <w:link w:val="FootnoteText"/>
    <w:uiPriority w:val="99"/>
    <w:rsid w:val="00B80986"/>
    <w:rPr>
      <w:sz w:val="20"/>
      <w:szCs w:val="20"/>
      <w:lang w:val="es-CL"/>
    </w:rPr>
  </w:style>
  <w:style w:type="character" w:styleId="FootnoteReference">
    <w:name w:val="footnote reference"/>
    <w:aliases w:val="Ref. de nota al pie.,FC,ftref,Знак сноски-FN,Ref,de nota al pie,16 Point,Superscript 6 Point,Style 24,titulo 2,pie pddes,Fußnotenzeichen DISS,BVI fnr,Знак сноски 1,referencia nota al pie,Footnote Referencefra, BVI fnr"/>
    <w:uiPriority w:val="99"/>
    <w:unhideWhenUsed/>
    <w:rsid w:val="00B80986"/>
    <w:rPr>
      <w:vertAlign w:val="superscript"/>
    </w:rPr>
  </w:style>
  <w:style w:type="paragraph" w:styleId="BodyText">
    <w:name w:val="Body Text"/>
    <w:basedOn w:val="Normal"/>
    <w:link w:val="BodyTextChar"/>
    <w:semiHidden/>
    <w:rsid w:val="00B8098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B8098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D2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EC9"/>
    <w:rPr>
      <w:lang w:val="es-CL"/>
    </w:rPr>
  </w:style>
  <w:style w:type="paragraph" w:styleId="Footer">
    <w:name w:val="footer"/>
    <w:basedOn w:val="Normal"/>
    <w:link w:val="FooterChar"/>
    <w:uiPriority w:val="99"/>
    <w:unhideWhenUsed/>
    <w:rsid w:val="007D2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EC9"/>
    <w:rPr>
      <w:lang w:val="es-CL"/>
    </w:rPr>
  </w:style>
  <w:style w:type="paragraph" w:styleId="BalloonText">
    <w:name w:val="Balloon Text"/>
    <w:basedOn w:val="Normal"/>
    <w:link w:val="BalloonTextChar"/>
    <w:uiPriority w:val="99"/>
    <w:semiHidden/>
    <w:unhideWhenUsed/>
    <w:rsid w:val="00DF6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F8"/>
    <w:rPr>
      <w:rFonts w:ascii="Segoe UI" w:hAnsi="Segoe UI" w:cs="Segoe UI"/>
      <w:sz w:val="18"/>
      <w:szCs w:val="18"/>
      <w:lang w:val="es-CL"/>
    </w:rPr>
  </w:style>
  <w:style w:type="character" w:styleId="CommentReference">
    <w:name w:val="annotation reference"/>
    <w:basedOn w:val="DefaultParagraphFont"/>
    <w:uiPriority w:val="99"/>
    <w:semiHidden/>
    <w:unhideWhenUsed/>
    <w:rsid w:val="00DF62F8"/>
    <w:rPr>
      <w:sz w:val="16"/>
      <w:szCs w:val="16"/>
    </w:rPr>
  </w:style>
  <w:style w:type="paragraph" w:styleId="CommentText">
    <w:name w:val="annotation text"/>
    <w:basedOn w:val="Normal"/>
    <w:link w:val="CommentTextChar"/>
    <w:uiPriority w:val="99"/>
    <w:semiHidden/>
    <w:unhideWhenUsed/>
    <w:rsid w:val="00DF62F8"/>
    <w:pPr>
      <w:spacing w:line="240" w:lineRule="auto"/>
    </w:pPr>
    <w:rPr>
      <w:sz w:val="20"/>
      <w:szCs w:val="20"/>
    </w:rPr>
  </w:style>
  <w:style w:type="character" w:customStyle="1" w:styleId="CommentTextChar">
    <w:name w:val="Comment Text Char"/>
    <w:basedOn w:val="DefaultParagraphFont"/>
    <w:link w:val="CommentText"/>
    <w:uiPriority w:val="99"/>
    <w:semiHidden/>
    <w:rsid w:val="00DF62F8"/>
    <w:rPr>
      <w:sz w:val="20"/>
      <w:szCs w:val="20"/>
      <w:lang w:val="es-CL"/>
    </w:rPr>
  </w:style>
  <w:style w:type="paragraph" w:styleId="CommentSubject">
    <w:name w:val="annotation subject"/>
    <w:basedOn w:val="CommentText"/>
    <w:next w:val="CommentText"/>
    <w:link w:val="CommentSubjectChar"/>
    <w:uiPriority w:val="99"/>
    <w:semiHidden/>
    <w:unhideWhenUsed/>
    <w:rsid w:val="00DF62F8"/>
    <w:rPr>
      <w:b/>
      <w:bCs/>
    </w:rPr>
  </w:style>
  <w:style w:type="character" w:customStyle="1" w:styleId="CommentSubjectChar">
    <w:name w:val="Comment Subject Char"/>
    <w:basedOn w:val="CommentTextChar"/>
    <w:link w:val="CommentSubject"/>
    <w:uiPriority w:val="99"/>
    <w:semiHidden/>
    <w:rsid w:val="00DF62F8"/>
    <w:rPr>
      <w:b/>
      <w:bCs/>
      <w:sz w:val="20"/>
      <w:szCs w:val="2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D0B227439DEA454AA7BBF368F9809821" ma:contentTypeVersion="29" ma:contentTypeDescription="A content type to manage public (operations) IDB documents" ma:contentTypeScope="" ma:versionID="7f60d3e500a5fe0aaffda27b734499da">
  <xsd:schema xmlns:xsd="http://www.w3.org/2001/XMLSchema" xmlns:xs="http://www.w3.org/2001/XMLSchema" xmlns:p="http://schemas.microsoft.com/office/2006/metadata/properties" xmlns:ns2="cdc7663a-08f0-4737-9e8c-148ce897a09c" targetNamespace="http://schemas.microsoft.com/office/2006/metadata/properties" ma:root="true" ma:fieldsID="211d9aa007c657f832f53da7a1ef186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IFD/CTI</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Other_x0020_Author xmlns="cdc7663a-08f0-4737-9e8c-148ce897a09c" xsi:nil="true"/>
    <Migration_x0020_Info xmlns="cdc7663a-08f0-4737-9e8c-148ce897a09c" xsi:nil="true"/>
    <Approval_x0020_Number xmlns="cdc7663a-08f0-4737-9e8c-148ce897a09c">ATN/OC-16505-RG;</Approval_x0020_Number>
    <Phase xmlns="cdc7663a-08f0-4737-9e8c-148ce897a09c">ACTIVE</Phase>
    <Document_x0020_Author xmlns="cdc7663a-08f0-4737-9e8c-148ce897a09c">González Alzualde, Yohana Beatriz</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TECHNOLOGY DIFFUSION</TermName>
          <TermId xmlns="http://schemas.microsoft.com/office/infopath/2007/PartnerControls">6ac2ca8c-b322-4b36-a36b-b14cba998c02</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TaxCatchAll xmlns="cdc7663a-08f0-4737-9e8c-148ce897a09c">
      <Value>103</Value>
      <Value>539</Value>
      <Value>44</Value>
      <Value>107</Value>
      <Value>2</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RG-T3098</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R0001333309</Record_x0020_Number>
    <_dlc_DocId xmlns="cdc7663a-08f0-4737-9e8c-148ce897a09c">EZSHARE-1768465193-16</_dlc_DocId>
    <_dlc_DocIdUrl xmlns="cdc7663a-08f0-4737-9e8c-148ce897a09c">
      <Url>https://idbg.sharepoint.com/teams/EZ-RG-TCP/RG-T3098/_layouts/15/DocIdRedir.aspx?ID=EZSHARE-1768465193-16</Url>
      <Description>EZSHARE-1768465193-16</Description>
    </_dlc_DocIdUrl>
    <Disclosure_x0020_Activity xmlns="cdc7663a-08f0-4737-9e8c-148ce897a09c">Approved TC document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440A10FE-CAFF-4AEB-AE7F-F723321521B4}"/>
</file>

<file path=customXml/itemProps2.xml><?xml version="1.0" encoding="utf-8"?>
<ds:datastoreItem xmlns:ds="http://schemas.openxmlformats.org/officeDocument/2006/customXml" ds:itemID="{216D79B8-78EE-4DA4-AE5C-FD5CC3FAF49C}"/>
</file>

<file path=customXml/itemProps3.xml><?xml version="1.0" encoding="utf-8"?>
<ds:datastoreItem xmlns:ds="http://schemas.openxmlformats.org/officeDocument/2006/customXml" ds:itemID="{2ADFBED4-7FD7-4119-A74A-4B3D4474CB70}"/>
</file>

<file path=customXml/itemProps4.xml><?xml version="1.0" encoding="utf-8"?>
<ds:datastoreItem xmlns:ds="http://schemas.openxmlformats.org/officeDocument/2006/customXml" ds:itemID="{AB6B1393-0806-4B9C-A0D0-EB5CE2578419}"/>
</file>

<file path=customXml/itemProps5.xml><?xml version="1.0" encoding="utf-8"?>
<ds:datastoreItem xmlns:ds="http://schemas.openxmlformats.org/officeDocument/2006/customXml" ds:itemID="{E04B525E-41DA-4013-977F-D65EBEAA5EFE}"/>
</file>

<file path=customXml/itemProps6.xml><?xml version="1.0" encoding="utf-8"?>
<ds:datastoreItem xmlns:ds="http://schemas.openxmlformats.org/officeDocument/2006/customXml" ds:itemID="{A694AA89-4BB2-4674-B08A-DBB00FD81F5B}"/>
</file>

<file path=docProps/app.xml><?xml version="1.0" encoding="utf-8"?>
<Properties xmlns="http://schemas.openxmlformats.org/officeDocument/2006/extended-properties" xmlns:vt="http://schemas.openxmlformats.org/officeDocument/2006/docPropsVTypes">
  <Template>Normal.dotm</Template>
  <TotalTime>0</TotalTime>
  <Pages>6</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Alzualde, Yohana Beatriz</dc:creator>
  <cp:keywords/>
  <dc:description/>
  <cp:lastModifiedBy>Gonzalez Alzualde, Yohana Beatriz</cp:lastModifiedBy>
  <cp:revision>3</cp:revision>
  <cp:lastPrinted>2017-10-30T15:37:00Z</cp:lastPrinted>
  <dcterms:created xsi:type="dcterms:W3CDTF">2017-10-30T15:19:00Z</dcterms:created>
  <dcterms:modified xsi:type="dcterms:W3CDTF">2017-10-30T15:37:00Z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539;#TECHNOLOGY DIFFUSION|6ac2ca8c-b322-4b36-a36b-b14cba998c02</vt:lpwstr>
  </property>
  <property fmtid="{D5CDD505-2E9C-101B-9397-08002B2CF9AE}" pid="7" name="Fund IDB">
    <vt:lpwstr>107;#TBD|d62f6e05-3e80-4abd-9bb4-5f10b4906ff6</vt:lpwstr>
  </property>
  <property fmtid="{D5CDD505-2E9C-101B-9397-08002B2CF9AE}" pid="8" name="Country">
    <vt:lpwstr>44;#Regional|2537a5b7-6d8e-482c-94dc-32c3cc44ff65</vt:lpwstr>
  </property>
  <property fmtid="{D5CDD505-2E9C-101B-9397-08002B2CF9AE}" pid="9" name="Sector IDB">
    <vt:lpwstr>103;#SCIENCE AND TECHNOLOGY|0cc5734e-64eb-4bef-9520-748f3938df0e</vt:lpwstr>
  </property>
  <property fmtid="{D5CDD505-2E9C-101B-9397-08002B2CF9AE}" pid="10" name="Function Operations IDB">
    <vt:lpwstr>2;#Monitoring and Reporting|df3c2aa1-d63e-41aa-b1f5-bb15dee691ca</vt:lpwstr>
  </property>
  <property fmtid="{D5CDD505-2E9C-101B-9397-08002B2CF9AE}" pid="11" name="_dlc_DocIdItemGuid">
    <vt:lpwstr>aecf1fe3-57cc-44cf-b92c-9738e8c01fab</vt:lpwstr>
  </property>
  <property fmtid="{D5CDD505-2E9C-101B-9397-08002B2CF9AE}" pid="12" name="RecordPoint_ActiveItemMoved">
    <vt:lpwstr>/teams/EZ-RG-TCP/RG-T3098/15 LifeCycle Milestones/Draft Area/Anexo III RG-T3098.docx</vt:lpwstr>
  </property>
  <property fmtid="{D5CDD505-2E9C-101B-9397-08002B2CF9AE}" pid="13" name="RecordStorageActiveId">
    <vt:lpwstr>d8b38125-ed34-490a-9127-209a85502fed</vt:lpwstr>
  </property>
  <property fmtid="{D5CDD505-2E9C-101B-9397-08002B2CF9AE}" pid="14" name="Disclosure Activity">
    <vt:lpwstr>Approved TC document</vt:lpwstr>
  </property>
  <property fmtid="{D5CDD505-2E9C-101B-9397-08002B2CF9AE}" pid="15" name="ContentTypeId">
    <vt:lpwstr>0x0101001A458A224826124E8B45B1D613300CFC00D0B227439DEA454AA7BBF368F9809821</vt:lpwstr>
  </property>
</Properties>
</file>