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A89E1" w14:textId="77777777" w:rsidR="006125BA" w:rsidRDefault="003A4B66">
      <w:pPr>
        <w:spacing w:before="240" w:after="240" w:line="276" w:lineRule="auto"/>
        <w:jc w:val="center"/>
        <w:rPr>
          <w:rFonts w:ascii="Arial" w:hAnsi="Arial" w:cs="Arial"/>
          <w:b/>
          <w:smallCaps/>
          <w:lang w:val="pt-BR"/>
        </w:rPr>
      </w:pPr>
      <w:bookmarkStart w:id="0" w:name="_GoBack"/>
      <w:bookmarkEnd w:id="0"/>
      <w:r w:rsidRPr="003A4B66">
        <w:rPr>
          <w:rFonts w:ascii="Arial" w:hAnsi="Arial" w:cs="Arial"/>
          <w:b/>
          <w:smallCaps/>
          <w:lang w:val="pt-BR"/>
        </w:rPr>
        <w:t>Nota Técnica sobre Condiç</w:t>
      </w:r>
      <w:r>
        <w:rPr>
          <w:rFonts w:ascii="Arial" w:hAnsi="Arial" w:cs="Arial"/>
          <w:b/>
          <w:smallCaps/>
          <w:lang w:val="pt-BR"/>
        </w:rPr>
        <w:t>ão Financeira</w:t>
      </w:r>
    </w:p>
    <w:p w14:paraId="18C83E87" w14:textId="6CA3AFB8" w:rsidR="003A4B66" w:rsidRPr="003A4B66" w:rsidRDefault="003A4B66">
      <w:pPr>
        <w:spacing w:before="240" w:after="240" w:line="276" w:lineRule="auto"/>
        <w:jc w:val="center"/>
        <w:rPr>
          <w:rFonts w:ascii="Arial" w:hAnsi="Arial" w:cs="Arial"/>
          <w:b/>
          <w:smallCaps/>
          <w:lang w:val="pt-BR"/>
        </w:rPr>
      </w:pPr>
      <w:r>
        <w:rPr>
          <w:rFonts w:ascii="Arial" w:hAnsi="Arial" w:cs="Arial"/>
          <w:b/>
          <w:smallCaps/>
          <w:lang w:val="pt-BR"/>
        </w:rPr>
        <w:t xml:space="preserve">Estado do </w:t>
      </w:r>
      <w:r w:rsidR="002B2ED6">
        <w:rPr>
          <w:rFonts w:ascii="Arial" w:hAnsi="Arial" w:cs="Arial"/>
          <w:b/>
          <w:smallCaps/>
          <w:lang w:val="pt-BR"/>
        </w:rPr>
        <w:t>Rio Grande do Sul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760"/>
      </w:tblGrid>
      <w:tr w:rsidR="006125BA" w:rsidRPr="000F7BBD" w14:paraId="7F05FB66" w14:textId="77777777" w:rsidTr="000F7BBD">
        <w:tc>
          <w:tcPr>
            <w:tcW w:w="2880" w:type="dxa"/>
            <w:shd w:val="clear" w:color="auto" w:fill="auto"/>
          </w:tcPr>
          <w:p w14:paraId="551386F3" w14:textId="77777777" w:rsidR="006125BA" w:rsidRPr="000F7BBD" w:rsidRDefault="000D76F4">
            <w:pPr>
              <w:autoSpaceDE w:val="0"/>
              <w:autoSpaceDN w:val="0"/>
              <w:adjustRightInd w:val="0"/>
              <w:ind w:right="-200"/>
              <w:jc w:val="both"/>
              <w:rPr>
                <w:rFonts w:ascii="Arial" w:hAnsi="Arial" w:cs="Arial"/>
                <w:smallCaps/>
                <w:sz w:val="22"/>
                <w:szCs w:val="22"/>
                <w:u w:val="single"/>
              </w:rPr>
            </w:pPr>
            <w:r w:rsidRPr="000F7BBD">
              <w:rPr>
                <w:rFonts w:ascii="Arial" w:hAnsi="Arial" w:cs="Arial"/>
                <w:b/>
                <w:smallCaps/>
                <w:sz w:val="22"/>
                <w:szCs w:val="22"/>
              </w:rPr>
              <w:t>País:</w:t>
            </w:r>
            <w:r w:rsidRPr="000F7BBD">
              <w:rPr>
                <w:rFonts w:ascii="Arial" w:hAnsi="Arial" w:cs="Arial"/>
                <w:smallCaps/>
                <w:sz w:val="22"/>
                <w:szCs w:val="22"/>
              </w:rPr>
              <w:t xml:space="preserve">  </w:t>
            </w:r>
          </w:p>
        </w:tc>
        <w:tc>
          <w:tcPr>
            <w:tcW w:w="5760" w:type="dxa"/>
            <w:shd w:val="clear" w:color="auto" w:fill="auto"/>
          </w:tcPr>
          <w:p w14:paraId="692D042C" w14:textId="77777777" w:rsidR="006125BA" w:rsidRPr="000F7BBD" w:rsidRDefault="000D76F4">
            <w:pPr>
              <w:autoSpaceDE w:val="0"/>
              <w:autoSpaceDN w:val="0"/>
              <w:adjustRightInd w:val="0"/>
              <w:jc w:val="both"/>
              <w:rPr>
                <w:rFonts w:ascii="Arial" w:hAnsi="Arial" w:cs="Arial"/>
                <w:sz w:val="22"/>
                <w:szCs w:val="22"/>
                <w:u w:val="single"/>
              </w:rPr>
            </w:pPr>
            <w:r w:rsidRPr="000F7BBD">
              <w:rPr>
                <w:rFonts w:ascii="Arial" w:hAnsi="Arial" w:cs="Arial"/>
                <w:sz w:val="22"/>
                <w:szCs w:val="22"/>
              </w:rPr>
              <w:t>Brasil</w:t>
            </w:r>
            <w:r w:rsidRPr="000F7BBD">
              <w:rPr>
                <w:rFonts w:ascii="Arial" w:hAnsi="Arial" w:cs="Arial"/>
                <w:i/>
                <w:sz w:val="22"/>
                <w:szCs w:val="22"/>
                <w:u w:val="single"/>
              </w:rPr>
              <w:t xml:space="preserve"> </w:t>
            </w:r>
          </w:p>
        </w:tc>
      </w:tr>
      <w:tr w:rsidR="006125BA" w:rsidRPr="000F7BBD" w14:paraId="73A08ADB" w14:textId="77777777" w:rsidTr="000F7BBD">
        <w:tc>
          <w:tcPr>
            <w:tcW w:w="2880" w:type="dxa"/>
            <w:shd w:val="clear" w:color="auto" w:fill="auto"/>
          </w:tcPr>
          <w:p w14:paraId="238A7C15" w14:textId="77777777" w:rsidR="006125BA" w:rsidRPr="000F7BBD" w:rsidRDefault="000D76F4">
            <w:pPr>
              <w:autoSpaceDE w:val="0"/>
              <w:autoSpaceDN w:val="0"/>
              <w:adjustRightInd w:val="0"/>
              <w:ind w:right="-200"/>
              <w:jc w:val="both"/>
              <w:rPr>
                <w:rFonts w:ascii="Arial" w:hAnsi="Arial" w:cs="Arial"/>
                <w:smallCaps/>
                <w:sz w:val="22"/>
                <w:szCs w:val="22"/>
              </w:rPr>
            </w:pPr>
            <w:proofErr w:type="spellStart"/>
            <w:r w:rsidRPr="000F7BBD">
              <w:rPr>
                <w:rFonts w:ascii="Arial" w:hAnsi="Arial" w:cs="Arial"/>
                <w:b/>
                <w:smallCaps/>
                <w:sz w:val="22"/>
                <w:szCs w:val="22"/>
              </w:rPr>
              <w:t>Pro</w:t>
            </w:r>
            <w:r w:rsidR="00AC7E08">
              <w:rPr>
                <w:rFonts w:ascii="Arial" w:hAnsi="Arial" w:cs="Arial"/>
                <w:b/>
                <w:smallCaps/>
                <w:sz w:val="22"/>
                <w:szCs w:val="22"/>
              </w:rPr>
              <w:t>jeto</w:t>
            </w:r>
            <w:proofErr w:type="spellEnd"/>
            <w:r w:rsidRPr="000F7BBD">
              <w:rPr>
                <w:rFonts w:ascii="Arial" w:hAnsi="Arial" w:cs="Arial"/>
                <w:b/>
                <w:smallCaps/>
                <w:sz w:val="22"/>
                <w:szCs w:val="22"/>
              </w:rPr>
              <w:t xml:space="preserve"> </w:t>
            </w:r>
            <w:proofErr w:type="spellStart"/>
            <w:r w:rsidRPr="000F7BBD">
              <w:rPr>
                <w:rFonts w:ascii="Arial" w:hAnsi="Arial" w:cs="Arial"/>
                <w:b/>
                <w:smallCaps/>
                <w:sz w:val="22"/>
                <w:szCs w:val="22"/>
              </w:rPr>
              <w:t>Nº</w:t>
            </w:r>
            <w:proofErr w:type="spellEnd"/>
            <w:r w:rsidRPr="000F7BBD">
              <w:rPr>
                <w:rFonts w:ascii="Arial" w:hAnsi="Arial" w:cs="Arial"/>
                <w:b/>
                <w:smallCaps/>
                <w:sz w:val="22"/>
                <w:szCs w:val="22"/>
              </w:rPr>
              <w:t>:</w:t>
            </w:r>
          </w:p>
        </w:tc>
        <w:tc>
          <w:tcPr>
            <w:tcW w:w="5760" w:type="dxa"/>
            <w:shd w:val="clear" w:color="auto" w:fill="auto"/>
          </w:tcPr>
          <w:p w14:paraId="12C6E735" w14:textId="6832B4B3" w:rsidR="006125BA" w:rsidRPr="000F7BBD" w:rsidRDefault="000D76F4">
            <w:pPr>
              <w:autoSpaceDE w:val="0"/>
              <w:autoSpaceDN w:val="0"/>
              <w:adjustRightInd w:val="0"/>
              <w:jc w:val="both"/>
              <w:rPr>
                <w:rFonts w:ascii="Arial" w:hAnsi="Arial" w:cs="Arial"/>
                <w:sz w:val="22"/>
                <w:szCs w:val="22"/>
              </w:rPr>
            </w:pPr>
            <w:r w:rsidRPr="000F7BBD">
              <w:rPr>
                <w:rFonts w:ascii="Arial" w:hAnsi="Arial" w:cs="Arial"/>
                <w:sz w:val="22"/>
                <w:szCs w:val="22"/>
              </w:rPr>
              <w:t>BR-L15</w:t>
            </w:r>
            <w:r w:rsidR="0022208F">
              <w:rPr>
                <w:rFonts w:ascii="Arial" w:hAnsi="Arial" w:cs="Arial"/>
                <w:sz w:val="22"/>
                <w:szCs w:val="22"/>
              </w:rPr>
              <w:t>34</w:t>
            </w:r>
          </w:p>
        </w:tc>
      </w:tr>
      <w:tr w:rsidR="006125BA" w:rsidRPr="002A05E7" w14:paraId="6D5DA504" w14:textId="77777777" w:rsidTr="000F7BBD">
        <w:tc>
          <w:tcPr>
            <w:tcW w:w="2880" w:type="dxa"/>
            <w:shd w:val="clear" w:color="auto" w:fill="auto"/>
          </w:tcPr>
          <w:p w14:paraId="70FBF302" w14:textId="77777777" w:rsidR="006125BA" w:rsidRPr="000F7BBD" w:rsidRDefault="000D76F4">
            <w:pPr>
              <w:autoSpaceDE w:val="0"/>
              <w:autoSpaceDN w:val="0"/>
              <w:adjustRightInd w:val="0"/>
              <w:ind w:right="-200"/>
              <w:jc w:val="both"/>
              <w:rPr>
                <w:rFonts w:ascii="Arial" w:hAnsi="Arial" w:cs="Arial"/>
                <w:smallCaps/>
                <w:sz w:val="22"/>
                <w:szCs w:val="22"/>
              </w:rPr>
            </w:pPr>
            <w:r w:rsidRPr="000F7BBD">
              <w:rPr>
                <w:rFonts w:ascii="Arial" w:hAnsi="Arial" w:cs="Arial"/>
                <w:b/>
                <w:smallCaps/>
                <w:sz w:val="22"/>
                <w:szCs w:val="22"/>
              </w:rPr>
              <w:t>No</w:t>
            </w:r>
            <w:r w:rsidR="00AC7E08">
              <w:rPr>
                <w:rFonts w:ascii="Arial" w:hAnsi="Arial" w:cs="Arial"/>
                <w:b/>
                <w:smallCaps/>
                <w:sz w:val="22"/>
                <w:szCs w:val="22"/>
              </w:rPr>
              <w:t>m</w:t>
            </w:r>
            <w:r w:rsidRPr="000F7BBD">
              <w:rPr>
                <w:rFonts w:ascii="Arial" w:hAnsi="Arial" w:cs="Arial"/>
                <w:b/>
                <w:smallCaps/>
                <w:sz w:val="22"/>
                <w:szCs w:val="22"/>
              </w:rPr>
              <w:t>e</w:t>
            </w:r>
            <w:r w:rsidRPr="000F7BBD">
              <w:rPr>
                <w:rFonts w:ascii="Arial" w:hAnsi="Arial" w:cs="Arial"/>
                <w:smallCaps/>
                <w:sz w:val="22"/>
                <w:szCs w:val="22"/>
              </w:rPr>
              <w:t xml:space="preserve">: </w:t>
            </w:r>
          </w:p>
        </w:tc>
        <w:tc>
          <w:tcPr>
            <w:tcW w:w="5760" w:type="dxa"/>
            <w:shd w:val="clear" w:color="auto" w:fill="auto"/>
          </w:tcPr>
          <w:p w14:paraId="0CA692E2" w14:textId="22B867C6" w:rsidR="006125BA" w:rsidRPr="00AC7E08" w:rsidRDefault="000D76F4">
            <w:pPr>
              <w:autoSpaceDE w:val="0"/>
              <w:autoSpaceDN w:val="0"/>
              <w:adjustRightInd w:val="0"/>
              <w:jc w:val="both"/>
              <w:rPr>
                <w:rFonts w:ascii="Arial" w:hAnsi="Arial" w:cs="Arial"/>
                <w:sz w:val="22"/>
                <w:szCs w:val="22"/>
                <w:lang w:val="pt-BR"/>
              </w:rPr>
            </w:pPr>
            <w:r w:rsidRPr="00AC7E08">
              <w:rPr>
                <w:rFonts w:ascii="Arial" w:hAnsi="Arial" w:cs="Arial"/>
                <w:sz w:val="22"/>
                <w:szCs w:val="22"/>
                <w:lang w:val="pt-BR"/>
              </w:rPr>
              <w:t>Pro</w:t>
            </w:r>
            <w:r w:rsidR="00AC7E08" w:rsidRPr="00AC7E08">
              <w:rPr>
                <w:rFonts w:ascii="Arial" w:hAnsi="Arial" w:cs="Arial"/>
                <w:sz w:val="22"/>
                <w:szCs w:val="22"/>
                <w:lang w:val="pt-BR"/>
              </w:rPr>
              <w:t xml:space="preserve">jeto de </w:t>
            </w:r>
            <w:r w:rsidRPr="00AC7E08">
              <w:rPr>
                <w:rFonts w:ascii="Arial" w:hAnsi="Arial" w:cs="Arial"/>
                <w:sz w:val="22"/>
                <w:szCs w:val="22"/>
                <w:lang w:val="pt-BR"/>
              </w:rPr>
              <w:t>Moderniza</w:t>
            </w:r>
            <w:r w:rsidR="00AC7E08" w:rsidRPr="00AC7E08">
              <w:rPr>
                <w:rFonts w:ascii="Arial" w:hAnsi="Arial" w:cs="Arial"/>
                <w:sz w:val="22"/>
                <w:szCs w:val="22"/>
                <w:lang w:val="pt-BR"/>
              </w:rPr>
              <w:t>ção da</w:t>
            </w:r>
            <w:r w:rsidRPr="00AC7E08">
              <w:rPr>
                <w:rFonts w:ascii="Arial" w:hAnsi="Arial" w:cs="Arial"/>
                <w:sz w:val="22"/>
                <w:szCs w:val="22"/>
                <w:lang w:val="pt-BR"/>
              </w:rPr>
              <w:t xml:space="preserve"> Gest</w:t>
            </w:r>
            <w:r w:rsidR="00AC7E08" w:rsidRPr="00AC7E08">
              <w:rPr>
                <w:rFonts w:ascii="Arial" w:hAnsi="Arial" w:cs="Arial"/>
                <w:sz w:val="22"/>
                <w:szCs w:val="22"/>
                <w:lang w:val="pt-BR"/>
              </w:rPr>
              <w:t>ão</w:t>
            </w:r>
            <w:r w:rsidR="00AC7E08">
              <w:rPr>
                <w:rFonts w:ascii="Arial" w:hAnsi="Arial" w:cs="Arial"/>
                <w:sz w:val="22"/>
                <w:szCs w:val="22"/>
                <w:lang w:val="pt-BR"/>
              </w:rPr>
              <w:t xml:space="preserve"> </w:t>
            </w:r>
            <w:r w:rsidRPr="00AC7E08">
              <w:rPr>
                <w:rFonts w:ascii="Arial" w:hAnsi="Arial" w:cs="Arial"/>
                <w:sz w:val="22"/>
                <w:szCs w:val="22"/>
                <w:lang w:val="pt-BR"/>
              </w:rPr>
              <w:t>Fiscal d</w:t>
            </w:r>
            <w:r w:rsidR="00AC7E08">
              <w:rPr>
                <w:rFonts w:ascii="Arial" w:hAnsi="Arial" w:cs="Arial"/>
                <w:sz w:val="22"/>
                <w:szCs w:val="22"/>
                <w:lang w:val="pt-BR"/>
              </w:rPr>
              <w:t>o</w:t>
            </w:r>
            <w:r w:rsidRPr="00AC7E08">
              <w:rPr>
                <w:rFonts w:ascii="Arial" w:hAnsi="Arial" w:cs="Arial"/>
                <w:sz w:val="22"/>
                <w:szCs w:val="22"/>
                <w:lang w:val="pt-BR"/>
              </w:rPr>
              <w:t xml:space="preserve"> Estado d</w:t>
            </w:r>
            <w:r w:rsidR="0022208F">
              <w:rPr>
                <w:rFonts w:ascii="Arial" w:hAnsi="Arial" w:cs="Arial"/>
                <w:sz w:val="22"/>
                <w:szCs w:val="22"/>
                <w:lang w:val="pt-BR"/>
              </w:rPr>
              <w:t>o Rio Grande do Sul</w:t>
            </w:r>
            <w:r w:rsidRPr="00AC7E08">
              <w:rPr>
                <w:rFonts w:ascii="Arial" w:hAnsi="Arial" w:cs="Arial"/>
                <w:sz w:val="22"/>
                <w:szCs w:val="22"/>
                <w:lang w:val="pt-BR"/>
              </w:rPr>
              <w:t xml:space="preserve"> – PROFISCO II</w:t>
            </w:r>
            <w:r w:rsidR="00065A12" w:rsidRPr="00AC7E08">
              <w:rPr>
                <w:rFonts w:ascii="Arial" w:hAnsi="Arial" w:cs="Arial"/>
                <w:sz w:val="22"/>
                <w:szCs w:val="22"/>
                <w:lang w:val="pt-BR"/>
              </w:rPr>
              <w:t>―</w:t>
            </w:r>
            <w:r w:rsidR="0022208F">
              <w:rPr>
                <w:rFonts w:ascii="Arial" w:hAnsi="Arial" w:cs="Arial"/>
                <w:sz w:val="22"/>
                <w:szCs w:val="22"/>
                <w:lang w:val="pt-BR"/>
              </w:rPr>
              <w:t>R</w:t>
            </w:r>
            <w:r w:rsidR="00065A12" w:rsidRPr="00AC7E08">
              <w:rPr>
                <w:rFonts w:ascii="Arial" w:hAnsi="Arial" w:cs="Arial"/>
                <w:sz w:val="22"/>
                <w:szCs w:val="22"/>
                <w:lang w:val="pt-BR"/>
              </w:rPr>
              <w:t>S</w:t>
            </w:r>
          </w:p>
        </w:tc>
      </w:tr>
      <w:tr w:rsidR="006125BA" w:rsidRPr="002A05E7" w14:paraId="65185F0A" w14:textId="77777777" w:rsidTr="000F7BBD">
        <w:tc>
          <w:tcPr>
            <w:tcW w:w="2880" w:type="dxa"/>
            <w:shd w:val="clear" w:color="auto" w:fill="auto"/>
          </w:tcPr>
          <w:p w14:paraId="3C907E25" w14:textId="77777777" w:rsidR="006125BA" w:rsidRPr="000F7BBD" w:rsidRDefault="000D76F4">
            <w:pPr>
              <w:autoSpaceDE w:val="0"/>
              <w:autoSpaceDN w:val="0"/>
              <w:adjustRightInd w:val="0"/>
              <w:ind w:right="-200"/>
              <w:rPr>
                <w:rFonts w:ascii="Arial" w:hAnsi="Arial" w:cs="Arial"/>
                <w:smallCaps/>
                <w:sz w:val="22"/>
                <w:szCs w:val="22"/>
              </w:rPr>
            </w:pPr>
            <w:r w:rsidRPr="000F7BBD">
              <w:rPr>
                <w:rFonts w:ascii="Arial" w:hAnsi="Arial" w:cs="Arial"/>
                <w:b/>
                <w:smallCaps/>
                <w:sz w:val="22"/>
                <w:szCs w:val="22"/>
              </w:rPr>
              <w:t xml:space="preserve">Organismo </w:t>
            </w:r>
            <w:proofErr w:type="spellStart"/>
            <w:r w:rsidRPr="000F7BBD">
              <w:rPr>
                <w:rFonts w:ascii="Arial" w:hAnsi="Arial" w:cs="Arial"/>
                <w:b/>
                <w:smallCaps/>
                <w:sz w:val="22"/>
                <w:szCs w:val="22"/>
              </w:rPr>
              <w:t>E</w:t>
            </w:r>
            <w:r w:rsidR="00AC7E08">
              <w:rPr>
                <w:rFonts w:ascii="Arial" w:hAnsi="Arial" w:cs="Arial"/>
                <w:b/>
                <w:smallCaps/>
                <w:sz w:val="22"/>
                <w:szCs w:val="22"/>
              </w:rPr>
              <w:t>x</w:t>
            </w:r>
            <w:r w:rsidRPr="000F7BBD">
              <w:rPr>
                <w:rFonts w:ascii="Arial" w:hAnsi="Arial" w:cs="Arial"/>
                <w:b/>
                <w:smallCaps/>
                <w:sz w:val="22"/>
                <w:szCs w:val="22"/>
              </w:rPr>
              <w:t>ecutor</w:t>
            </w:r>
            <w:proofErr w:type="spellEnd"/>
            <w:r w:rsidRPr="000F7BBD">
              <w:rPr>
                <w:rFonts w:ascii="Arial" w:hAnsi="Arial" w:cs="Arial"/>
                <w:b/>
                <w:smallCaps/>
                <w:sz w:val="22"/>
                <w:szCs w:val="22"/>
              </w:rPr>
              <w:t xml:space="preserve"> (OE): </w:t>
            </w:r>
            <w:r w:rsidRPr="000F7BBD">
              <w:rPr>
                <w:rFonts w:ascii="Arial" w:hAnsi="Arial" w:cs="Arial"/>
                <w:smallCaps/>
                <w:sz w:val="22"/>
                <w:szCs w:val="22"/>
              </w:rPr>
              <w:t xml:space="preserve"> </w:t>
            </w:r>
          </w:p>
        </w:tc>
        <w:tc>
          <w:tcPr>
            <w:tcW w:w="5760" w:type="dxa"/>
            <w:shd w:val="clear" w:color="auto" w:fill="auto"/>
          </w:tcPr>
          <w:p w14:paraId="0E44164E" w14:textId="08AA4D31" w:rsidR="006125BA" w:rsidRPr="00AC7E08" w:rsidRDefault="00BF3A4B">
            <w:pPr>
              <w:autoSpaceDE w:val="0"/>
              <w:autoSpaceDN w:val="0"/>
              <w:adjustRightInd w:val="0"/>
              <w:jc w:val="both"/>
              <w:rPr>
                <w:rFonts w:ascii="Arial" w:hAnsi="Arial" w:cs="Arial"/>
                <w:sz w:val="22"/>
                <w:szCs w:val="22"/>
                <w:lang w:val="pt-BR"/>
              </w:rPr>
            </w:pPr>
            <w:r w:rsidRPr="00AC7E08">
              <w:rPr>
                <w:rFonts w:ascii="Arial" w:hAnsi="Arial" w:cs="Arial"/>
                <w:sz w:val="22"/>
                <w:szCs w:val="22"/>
                <w:lang w:val="pt-BR"/>
              </w:rPr>
              <w:t>Secretaria</w:t>
            </w:r>
            <w:r w:rsidR="000F7BBD" w:rsidRPr="00AC7E08">
              <w:rPr>
                <w:rFonts w:ascii="Arial" w:hAnsi="Arial" w:cs="Arial"/>
                <w:sz w:val="22"/>
                <w:szCs w:val="22"/>
                <w:lang w:val="pt-BR"/>
              </w:rPr>
              <w:t xml:space="preserve"> de Estado de </w:t>
            </w:r>
            <w:r w:rsidR="00AC7E08" w:rsidRPr="00AC7E08">
              <w:rPr>
                <w:rFonts w:ascii="Arial" w:hAnsi="Arial" w:cs="Arial"/>
                <w:sz w:val="22"/>
                <w:szCs w:val="22"/>
                <w:lang w:val="pt-BR"/>
              </w:rPr>
              <w:t>Fazenda</w:t>
            </w:r>
            <w:r w:rsidR="000F7BBD" w:rsidRPr="00AC7E08">
              <w:rPr>
                <w:rFonts w:ascii="Arial" w:hAnsi="Arial" w:cs="Arial"/>
                <w:sz w:val="22"/>
                <w:szCs w:val="22"/>
                <w:lang w:val="pt-BR"/>
              </w:rPr>
              <w:t xml:space="preserve"> (SEF</w:t>
            </w:r>
            <w:r w:rsidR="005849B2" w:rsidRPr="00AC7E08">
              <w:rPr>
                <w:rFonts w:ascii="Arial" w:hAnsi="Arial" w:cs="Arial"/>
                <w:sz w:val="22"/>
                <w:szCs w:val="22"/>
                <w:lang w:val="pt-BR"/>
              </w:rPr>
              <w:t>AZ</w:t>
            </w:r>
            <w:r w:rsidR="000F7BBD" w:rsidRPr="00AC7E08">
              <w:rPr>
                <w:rFonts w:ascii="Arial" w:hAnsi="Arial" w:cs="Arial"/>
                <w:sz w:val="22"/>
                <w:szCs w:val="22"/>
                <w:lang w:val="pt-BR"/>
              </w:rPr>
              <w:t>/</w:t>
            </w:r>
            <w:r w:rsidR="0022208F">
              <w:rPr>
                <w:rFonts w:ascii="Arial" w:hAnsi="Arial" w:cs="Arial"/>
                <w:sz w:val="22"/>
                <w:szCs w:val="22"/>
                <w:lang w:val="pt-BR"/>
              </w:rPr>
              <w:t>R</w:t>
            </w:r>
            <w:r w:rsidR="005849B2" w:rsidRPr="00AC7E08">
              <w:rPr>
                <w:rFonts w:ascii="Arial" w:hAnsi="Arial" w:cs="Arial"/>
                <w:sz w:val="22"/>
                <w:szCs w:val="22"/>
                <w:lang w:val="pt-BR"/>
              </w:rPr>
              <w:t>S</w:t>
            </w:r>
            <w:r w:rsidR="000F7BBD" w:rsidRPr="00AC7E08">
              <w:rPr>
                <w:rFonts w:ascii="Arial" w:hAnsi="Arial" w:cs="Arial"/>
                <w:sz w:val="22"/>
                <w:szCs w:val="22"/>
                <w:lang w:val="pt-BR"/>
              </w:rPr>
              <w:t>)</w:t>
            </w:r>
          </w:p>
        </w:tc>
      </w:tr>
    </w:tbl>
    <w:p w14:paraId="7302DF04" w14:textId="77777777" w:rsidR="006125BA" w:rsidRPr="00444778" w:rsidRDefault="003A4B66" w:rsidP="009F0EB2">
      <w:pPr>
        <w:numPr>
          <w:ilvl w:val="0"/>
          <w:numId w:val="1"/>
        </w:numPr>
        <w:autoSpaceDE w:val="0"/>
        <w:autoSpaceDN w:val="0"/>
        <w:adjustRightInd w:val="0"/>
        <w:spacing w:before="240" w:after="240"/>
        <w:ind w:left="540" w:hanging="540"/>
        <w:jc w:val="center"/>
        <w:rPr>
          <w:rFonts w:ascii="Arial" w:hAnsi="Arial" w:cs="Arial"/>
          <w:b/>
        </w:rPr>
      </w:pPr>
      <w:r>
        <w:rPr>
          <w:rFonts w:ascii="Arial" w:hAnsi="Arial" w:cs="Arial"/>
          <w:b/>
          <w:smallCaps/>
        </w:rPr>
        <w:t>Antecedentes e Marco Legal</w:t>
      </w:r>
    </w:p>
    <w:p w14:paraId="50329B3B" w14:textId="77777777" w:rsidR="00AE651C" w:rsidRDefault="00AC7E08" w:rsidP="009F0EB2">
      <w:pPr>
        <w:pStyle w:val="ListParagraph"/>
        <w:numPr>
          <w:ilvl w:val="1"/>
          <w:numId w:val="1"/>
        </w:numPr>
        <w:spacing w:before="120" w:after="120"/>
        <w:contextualSpacing w:val="0"/>
        <w:jc w:val="both"/>
        <w:rPr>
          <w:rFonts w:ascii="Arial" w:hAnsi="Arial" w:cs="Arial"/>
          <w:sz w:val="22"/>
          <w:szCs w:val="22"/>
          <w:lang w:val="pt-BR"/>
        </w:rPr>
      </w:pPr>
      <w:r w:rsidRPr="00AE651C">
        <w:rPr>
          <w:rFonts w:ascii="Arial" w:hAnsi="Arial" w:cs="Arial"/>
          <w:sz w:val="22"/>
          <w:szCs w:val="22"/>
          <w:lang w:val="pt-BR"/>
        </w:rPr>
        <w:t>A Secretaria do Tesouro Nacional, na condição de órgão central de administração financeira do Governo Federal, mantém permanente relação com as prefeituras e com os</w:t>
      </w:r>
      <w:r w:rsidR="00AE651C">
        <w:rPr>
          <w:rFonts w:ascii="Arial" w:hAnsi="Arial" w:cs="Arial"/>
          <w:sz w:val="22"/>
          <w:szCs w:val="22"/>
          <w:lang w:val="pt-BR"/>
        </w:rPr>
        <w:t xml:space="preserve"> </w:t>
      </w:r>
      <w:r w:rsidRPr="00AE651C">
        <w:rPr>
          <w:rFonts w:ascii="Arial" w:hAnsi="Arial" w:cs="Arial"/>
          <w:sz w:val="22"/>
          <w:szCs w:val="22"/>
          <w:lang w:val="pt-BR"/>
        </w:rPr>
        <w:t>governos estaduais.</w:t>
      </w:r>
    </w:p>
    <w:p w14:paraId="407A0D29" w14:textId="77777777" w:rsidR="00AE651C" w:rsidRDefault="00AC7E08" w:rsidP="009F0EB2">
      <w:pPr>
        <w:pStyle w:val="ListParagraph"/>
        <w:numPr>
          <w:ilvl w:val="1"/>
          <w:numId w:val="1"/>
        </w:numPr>
        <w:spacing w:before="120" w:after="120"/>
        <w:contextualSpacing w:val="0"/>
        <w:jc w:val="both"/>
        <w:rPr>
          <w:rFonts w:ascii="Arial" w:hAnsi="Arial" w:cs="Arial"/>
          <w:sz w:val="22"/>
          <w:szCs w:val="22"/>
          <w:lang w:val="pt-BR"/>
        </w:rPr>
      </w:pPr>
      <w:r w:rsidRPr="00AE651C">
        <w:rPr>
          <w:rFonts w:ascii="Arial" w:hAnsi="Arial" w:cs="Arial"/>
          <w:sz w:val="22"/>
          <w:szCs w:val="22"/>
          <w:lang w:val="pt-BR"/>
        </w:rPr>
        <w:t>A Lei de Responsabilidade Fiscal (Lei Complementar n. 101, de 2000), por meio do seu art. 35, vedou novos contratos de refinanciamento de dívidas e os últimos contratos firmados com os estados, no âmbito da Lei n. 9.496, de 1997, instituíram a obrigação de que fossem firmados os Programas de Reestruturação e Ajuste Fiscal, de maneira a que fosse monitorada a situação fiscal daqueles que refinanciaram suas dívidas, atividade atribuída à Secretaria do Tesouro Nacional.</w:t>
      </w:r>
    </w:p>
    <w:p w14:paraId="2557B8DC" w14:textId="77777777" w:rsidR="00AE651C" w:rsidRDefault="00AC7E08" w:rsidP="009F0EB2">
      <w:pPr>
        <w:pStyle w:val="ListParagraph"/>
        <w:numPr>
          <w:ilvl w:val="1"/>
          <w:numId w:val="1"/>
        </w:numPr>
        <w:spacing w:before="120" w:after="120"/>
        <w:contextualSpacing w:val="0"/>
        <w:jc w:val="both"/>
        <w:rPr>
          <w:rFonts w:ascii="Arial" w:hAnsi="Arial" w:cs="Arial"/>
          <w:sz w:val="22"/>
          <w:szCs w:val="22"/>
          <w:lang w:val="pt-BR"/>
        </w:rPr>
      </w:pPr>
      <w:r w:rsidRPr="00AE651C">
        <w:rPr>
          <w:rFonts w:ascii="Arial" w:hAnsi="Arial" w:cs="Arial"/>
          <w:sz w:val="22"/>
          <w:szCs w:val="22"/>
          <w:lang w:val="pt-BR"/>
        </w:rPr>
        <w:t>Em eventual situação de inadimplência, cabe à Secretaria do Tesouro Nacional reaver os recursos mediante execução das garantias previstas em contrato ou em lei, particularmente constituídas pelas transferências federais ou pelos recursos de arrecadação própria dos estados ou municípios.</w:t>
      </w:r>
    </w:p>
    <w:p w14:paraId="315B9708" w14:textId="77777777" w:rsidR="00AE651C" w:rsidRDefault="00AC7E08" w:rsidP="009F0EB2">
      <w:pPr>
        <w:pStyle w:val="ListParagraph"/>
        <w:numPr>
          <w:ilvl w:val="1"/>
          <w:numId w:val="1"/>
        </w:numPr>
        <w:spacing w:before="120" w:after="120"/>
        <w:contextualSpacing w:val="0"/>
        <w:jc w:val="both"/>
        <w:rPr>
          <w:rFonts w:ascii="Arial" w:hAnsi="Arial" w:cs="Arial"/>
          <w:sz w:val="22"/>
          <w:szCs w:val="22"/>
          <w:lang w:val="pt-BR"/>
        </w:rPr>
      </w:pPr>
      <w:r w:rsidRPr="00AE651C">
        <w:rPr>
          <w:rFonts w:ascii="Arial" w:hAnsi="Arial" w:cs="Arial"/>
          <w:sz w:val="22"/>
          <w:szCs w:val="22"/>
          <w:lang w:val="pt-BR"/>
        </w:rPr>
        <w:t>Nesse contexto, a STN realiza a verificação dos limites e condições para que estados e municípios possam firmar operações de crédito, cabendo a ela analisar a concessão de garantias da União (avais e outras garantias) a estados ou municípios. A competência está prevista no art. 32 da Lei de Responsabilidade Fiscal.</w:t>
      </w:r>
    </w:p>
    <w:p w14:paraId="21BDCFD8" w14:textId="77777777" w:rsidR="00AE651C" w:rsidRDefault="00AC7E08" w:rsidP="009F0EB2">
      <w:pPr>
        <w:pStyle w:val="ListParagraph"/>
        <w:numPr>
          <w:ilvl w:val="1"/>
          <w:numId w:val="1"/>
        </w:numPr>
        <w:spacing w:before="120" w:after="120"/>
        <w:contextualSpacing w:val="0"/>
        <w:jc w:val="both"/>
        <w:rPr>
          <w:rFonts w:ascii="Arial" w:hAnsi="Arial" w:cs="Arial"/>
          <w:sz w:val="22"/>
          <w:szCs w:val="22"/>
          <w:lang w:val="pt-BR"/>
        </w:rPr>
      </w:pPr>
      <w:r w:rsidRPr="00AE651C">
        <w:rPr>
          <w:rFonts w:ascii="Arial" w:hAnsi="Arial" w:cs="Arial"/>
          <w:sz w:val="22"/>
          <w:szCs w:val="22"/>
          <w:lang w:val="pt-BR"/>
        </w:rPr>
        <w:t>Em decorrência dessas atividades e, ainda, da atividade de consolidação das contas nacionais, a Secretaria do Tesouro Nacional dispõe de informações estatísticas relevantes das finanças municipais e estaduais, as quais são disponibilizadas ao público em geral.</w:t>
      </w:r>
    </w:p>
    <w:p w14:paraId="09DB6551" w14:textId="77777777" w:rsidR="00AE651C" w:rsidRDefault="00AC7E08" w:rsidP="009F0EB2">
      <w:pPr>
        <w:pStyle w:val="ListParagraph"/>
        <w:numPr>
          <w:ilvl w:val="1"/>
          <w:numId w:val="1"/>
        </w:numPr>
        <w:spacing w:before="120" w:after="120"/>
        <w:contextualSpacing w:val="0"/>
        <w:jc w:val="both"/>
        <w:rPr>
          <w:rFonts w:ascii="Arial" w:hAnsi="Arial" w:cs="Arial"/>
          <w:sz w:val="22"/>
          <w:szCs w:val="22"/>
          <w:lang w:val="pt-BR"/>
        </w:rPr>
      </w:pPr>
      <w:r w:rsidRPr="00AE651C">
        <w:rPr>
          <w:rFonts w:ascii="Arial" w:hAnsi="Arial" w:cs="Arial"/>
          <w:sz w:val="22"/>
          <w:szCs w:val="22"/>
          <w:lang w:val="pt-BR"/>
        </w:rPr>
        <w:t>Os programas de ajuste Fiscal foram firmados pelos 25 Estados que refinanciaram suas dívidas, a partir de 1997, no âmbito da Lei n. 9.496. Somente não refinanciaram dívidas os estados do Amapá e Tocantins.</w:t>
      </w:r>
      <w:r w:rsidR="00AE651C" w:rsidRPr="00AE651C">
        <w:rPr>
          <w:rFonts w:ascii="Arial" w:hAnsi="Arial" w:cs="Arial"/>
          <w:sz w:val="22"/>
          <w:szCs w:val="22"/>
          <w:lang w:val="pt-BR"/>
        </w:rPr>
        <w:t xml:space="preserve"> </w:t>
      </w:r>
    </w:p>
    <w:p w14:paraId="40CA91B8" w14:textId="77777777" w:rsidR="00AE651C" w:rsidRDefault="00AC7E08" w:rsidP="009F0EB2">
      <w:pPr>
        <w:pStyle w:val="ListParagraph"/>
        <w:numPr>
          <w:ilvl w:val="1"/>
          <w:numId w:val="1"/>
        </w:numPr>
        <w:spacing w:before="120" w:after="120"/>
        <w:contextualSpacing w:val="0"/>
        <w:jc w:val="both"/>
        <w:rPr>
          <w:rFonts w:ascii="Arial" w:hAnsi="Arial" w:cs="Arial"/>
          <w:sz w:val="22"/>
          <w:szCs w:val="22"/>
          <w:lang w:val="pt-BR"/>
        </w:rPr>
      </w:pPr>
      <w:r w:rsidRPr="00AE651C">
        <w:rPr>
          <w:rFonts w:ascii="Arial" w:hAnsi="Arial" w:cs="Arial"/>
          <w:sz w:val="22"/>
          <w:szCs w:val="22"/>
          <w:lang w:val="pt-BR"/>
        </w:rPr>
        <w:t>Os programas são revisados, pelo menos, a cada dois anos e apresentam metas anuais para um triênio. Consideram a evolução das finanças estaduais, os indicadores macroeconômicos para o novo período e a política fiscal adotada pelos governos estaduais.</w:t>
      </w:r>
      <w:r w:rsidR="00AE651C" w:rsidRPr="00AE651C">
        <w:rPr>
          <w:rFonts w:ascii="Arial" w:hAnsi="Arial" w:cs="Arial"/>
          <w:sz w:val="22"/>
          <w:szCs w:val="22"/>
          <w:lang w:val="pt-BR"/>
        </w:rPr>
        <w:t xml:space="preserve"> </w:t>
      </w:r>
      <w:r w:rsidRPr="00AE651C">
        <w:rPr>
          <w:rFonts w:ascii="Arial" w:hAnsi="Arial" w:cs="Arial"/>
          <w:sz w:val="22"/>
          <w:szCs w:val="22"/>
          <w:lang w:val="pt-BR"/>
        </w:rPr>
        <w:t>A cada ano é avaliado o cumprimento das metas e compromissos do exercício anterior. Também anualmente poderá ser realizada a atualização de metas para o novo triênio. </w:t>
      </w:r>
    </w:p>
    <w:p w14:paraId="364509A6" w14:textId="77777777" w:rsidR="00AE651C" w:rsidRDefault="00AC7E08" w:rsidP="009F0EB2">
      <w:pPr>
        <w:pStyle w:val="ListParagraph"/>
        <w:numPr>
          <w:ilvl w:val="1"/>
          <w:numId w:val="1"/>
        </w:numPr>
        <w:spacing w:before="120" w:after="120"/>
        <w:contextualSpacing w:val="0"/>
        <w:jc w:val="both"/>
        <w:rPr>
          <w:rFonts w:ascii="Arial" w:hAnsi="Arial" w:cs="Arial"/>
          <w:sz w:val="22"/>
          <w:szCs w:val="22"/>
          <w:lang w:val="pt-BR"/>
        </w:rPr>
      </w:pPr>
      <w:r w:rsidRPr="00AE651C">
        <w:rPr>
          <w:rFonts w:ascii="Arial" w:hAnsi="Arial" w:cs="Arial"/>
          <w:sz w:val="22"/>
          <w:szCs w:val="22"/>
          <w:lang w:val="pt-BR"/>
        </w:rPr>
        <w:t xml:space="preserve">As propostas de metas fiscais são apresentadas pelos Estados e Distrito Federal e são avaliadas pelo Ministério da Fazenda. A sua concordância é manifestada com base em metodologias de análise técnica de responsabilidade da Secretaria do Tesouro Nacional. Objetiva-se preservar a solvência do ente federado, </w:t>
      </w:r>
      <w:r w:rsidRPr="00AE651C">
        <w:rPr>
          <w:rFonts w:ascii="Arial" w:hAnsi="Arial" w:cs="Arial"/>
          <w:sz w:val="22"/>
          <w:szCs w:val="22"/>
          <w:lang w:val="pt-BR"/>
        </w:rPr>
        <w:lastRenderedPageBreak/>
        <w:t>particularmente em relação à sua capacidade de honrar os compromissos assumidos com a União.</w:t>
      </w:r>
    </w:p>
    <w:p w14:paraId="5BC065AC" w14:textId="77777777" w:rsidR="006125BA" w:rsidRPr="002B3A0B" w:rsidRDefault="00EC1E56" w:rsidP="009F0EB2">
      <w:pPr>
        <w:numPr>
          <w:ilvl w:val="0"/>
          <w:numId w:val="1"/>
        </w:numPr>
        <w:autoSpaceDE w:val="0"/>
        <w:autoSpaceDN w:val="0"/>
        <w:adjustRightInd w:val="0"/>
        <w:spacing w:before="240" w:after="240"/>
        <w:ind w:left="540" w:hanging="540"/>
        <w:jc w:val="center"/>
        <w:rPr>
          <w:rFonts w:ascii="Arial" w:hAnsi="Arial" w:cs="Arial"/>
          <w:b/>
          <w:smallCaps/>
          <w:lang w:val="pt-BR"/>
        </w:rPr>
      </w:pPr>
      <w:r w:rsidRPr="002B3A0B">
        <w:rPr>
          <w:rFonts w:ascii="Arial" w:hAnsi="Arial" w:cs="Arial"/>
          <w:b/>
          <w:smallCaps/>
          <w:lang w:val="pt-BR"/>
        </w:rPr>
        <w:t xml:space="preserve">Relatórios e </w:t>
      </w:r>
      <w:r w:rsidR="003A4B66" w:rsidRPr="002B3A0B">
        <w:rPr>
          <w:rFonts w:ascii="Arial" w:hAnsi="Arial" w:cs="Arial"/>
          <w:b/>
          <w:smallCaps/>
          <w:lang w:val="pt-BR"/>
        </w:rPr>
        <w:t>Indicadores de Performance</w:t>
      </w:r>
    </w:p>
    <w:p w14:paraId="7F09689F" w14:textId="77777777" w:rsidR="00AE651C" w:rsidRPr="00951B12" w:rsidRDefault="00AC7E08" w:rsidP="009F0EB2">
      <w:pPr>
        <w:pStyle w:val="ListParagraph"/>
        <w:numPr>
          <w:ilvl w:val="1"/>
          <w:numId w:val="1"/>
        </w:numPr>
        <w:spacing w:before="240" w:after="240"/>
        <w:contextualSpacing w:val="0"/>
        <w:jc w:val="both"/>
        <w:rPr>
          <w:rFonts w:ascii="Arial" w:hAnsi="Arial" w:cs="Arial"/>
          <w:sz w:val="22"/>
          <w:szCs w:val="22"/>
          <w:lang w:val="pt-BR"/>
        </w:rPr>
      </w:pPr>
      <w:r w:rsidRPr="00951B12">
        <w:rPr>
          <w:rFonts w:ascii="Arial" w:hAnsi="Arial" w:cs="Arial"/>
          <w:sz w:val="22"/>
          <w:szCs w:val="22"/>
          <w:lang w:val="pt-BR"/>
        </w:rPr>
        <w:t>A previsão ou inclusão de novas operações de crédito é realizada caso a caso, quando é avaliada a preservação de uma programação orçamentária e financeira equilibrada, bem como a solvência da dívida ao longo do tempo e uma trajetória consistente de redução do endividamento, nos casos em que a relação dívida/receita é maior do que um.</w:t>
      </w:r>
    </w:p>
    <w:p w14:paraId="26FFA69B" w14:textId="77777777" w:rsidR="00AC7E08" w:rsidRPr="00951B12" w:rsidRDefault="00AC7E08" w:rsidP="009F0EB2">
      <w:pPr>
        <w:pStyle w:val="ListParagraph"/>
        <w:numPr>
          <w:ilvl w:val="1"/>
          <w:numId w:val="1"/>
        </w:numPr>
        <w:spacing w:before="120" w:after="120"/>
        <w:contextualSpacing w:val="0"/>
        <w:jc w:val="both"/>
        <w:rPr>
          <w:rFonts w:ascii="Arial" w:hAnsi="Arial" w:cs="Arial"/>
          <w:sz w:val="22"/>
          <w:szCs w:val="22"/>
          <w:lang w:val="pt-BR"/>
        </w:rPr>
      </w:pPr>
      <w:r w:rsidRPr="00951B12">
        <w:rPr>
          <w:rFonts w:ascii="Arial" w:hAnsi="Arial" w:cs="Arial"/>
          <w:sz w:val="22"/>
          <w:szCs w:val="22"/>
          <w:lang w:val="pt-BR" w:eastAsia="es-ES_tradnl"/>
        </w:rPr>
        <w:t>Os relatórios fiscais dos estados e municípios exigidos pela Lei de Responsabilidade Fiscal são, basicamente:</w:t>
      </w:r>
    </w:p>
    <w:p w14:paraId="38A7521D" w14:textId="77777777" w:rsidR="00AC7E08" w:rsidRPr="00951B12" w:rsidRDefault="00AC7E08" w:rsidP="009F0EB2">
      <w:pPr>
        <w:numPr>
          <w:ilvl w:val="0"/>
          <w:numId w:val="3"/>
        </w:numPr>
        <w:ind w:left="1080" w:right="245"/>
        <w:jc w:val="both"/>
        <w:rPr>
          <w:rFonts w:ascii="Arial" w:hAnsi="Arial" w:cs="Arial"/>
          <w:sz w:val="22"/>
          <w:szCs w:val="22"/>
          <w:lang w:val="pt-BR" w:eastAsia="es-ES_tradnl"/>
        </w:rPr>
      </w:pPr>
      <w:r w:rsidRPr="00951B12">
        <w:rPr>
          <w:rFonts w:ascii="Arial" w:hAnsi="Arial" w:cs="Arial"/>
          <w:sz w:val="22"/>
          <w:szCs w:val="22"/>
          <w:lang w:val="pt-BR" w:eastAsia="es-ES_tradnl"/>
        </w:rPr>
        <w:t>Relatório Resumido da Execução Orçamentária (RREO), de periodicidade bimestral;</w:t>
      </w:r>
    </w:p>
    <w:p w14:paraId="0605F928" w14:textId="77777777" w:rsidR="00AC7E08" w:rsidRPr="00951B12" w:rsidRDefault="00AC7E08" w:rsidP="009F0EB2">
      <w:pPr>
        <w:numPr>
          <w:ilvl w:val="0"/>
          <w:numId w:val="3"/>
        </w:numPr>
        <w:ind w:left="1080" w:right="245"/>
        <w:jc w:val="both"/>
        <w:rPr>
          <w:rFonts w:ascii="Arial" w:hAnsi="Arial" w:cs="Arial"/>
          <w:sz w:val="22"/>
          <w:szCs w:val="22"/>
          <w:lang w:val="pt-BR" w:eastAsia="es-ES_tradnl"/>
        </w:rPr>
      </w:pPr>
      <w:r w:rsidRPr="00951B12">
        <w:rPr>
          <w:rFonts w:ascii="Arial" w:hAnsi="Arial" w:cs="Arial"/>
          <w:sz w:val="22"/>
          <w:szCs w:val="22"/>
          <w:lang w:val="pt-BR" w:eastAsia="es-ES_tradnl"/>
        </w:rPr>
        <w:t>Relatório de Gestão Fiscal (RGF), de periodicidade quadrimestral ou semestral; e</w:t>
      </w:r>
    </w:p>
    <w:p w14:paraId="2E34261C" w14:textId="77777777" w:rsidR="00AC7E08" w:rsidRPr="00951B12" w:rsidRDefault="00AC7E08" w:rsidP="009F0EB2">
      <w:pPr>
        <w:numPr>
          <w:ilvl w:val="0"/>
          <w:numId w:val="3"/>
        </w:numPr>
        <w:ind w:left="1080" w:right="245"/>
        <w:jc w:val="both"/>
        <w:rPr>
          <w:rFonts w:ascii="Arial" w:hAnsi="Arial" w:cs="Arial"/>
          <w:sz w:val="22"/>
          <w:szCs w:val="22"/>
          <w:lang w:eastAsia="es-ES_tradnl"/>
        </w:rPr>
      </w:pPr>
      <w:proofErr w:type="spellStart"/>
      <w:r w:rsidRPr="00951B12">
        <w:rPr>
          <w:rFonts w:ascii="Arial" w:hAnsi="Arial" w:cs="Arial"/>
          <w:sz w:val="22"/>
          <w:szCs w:val="22"/>
          <w:lang w:eastAsia="es-ES_tradnl"/>
        </w:rPr>
        <w:t>Balanço</w:t>
      </w:r>
      <w:proofErr w:type="spellEnd"/>
      <w:r w:rsidRPr="00951B12">
        <w:rPr>
          <w:rFonts w:ascii="Arial" w:hAnsi="Arial" w:cs="Arial"/>
          <w:sz w:val="22"/>
          <w:szCs w:val="22"/>
          <w:lang w:eastAsia="es-ES_tradnl"/>
        </w:rPr>
        <w:t xml:space="preserve"> Anual.</w:t>
      </w:r>
    </w:p>
    <w:p w14:paraId="21A6CAF4" w14:textId="77777777" w:rsidR="00AC7E08" w:rsidRPr="00951B12" w:rsidRDefault="00AC7E08" w:rsidP="009F0EB2">
      <w:pPr>
        <w:pStyle w:val="ListParagraph"/>
        <w:numPr>
          <w:ilvl w:val="1"/>
          <w:numId w:val="1"/>
        </w:numPr>
        <w:shd w:val="clear" w:color="auto" w:fill="FFFFFF"/>
        <w:spacing w:before="240" w:after="240"/>
        <w:contextualSpacing w:val="0"/>
        <w:jc w:val="both"/>
        <w:rPr>
          <w:rFonts w:ascii="Arial" w:hAnsi="Arial" w:cs="Arial"/>
          <w:sz w:val="22"/>
          <w:szCs w:val="22"/>
          <w:lang w:val="pt-BR" w:eastAsia="es-ES_tradnl"/>
        </w:rPr>
      </w:pPr>
      <w:r w:rsidRPr="00951B12">
        <w:rPr>
          <w:rFonts w:ascii="Arial" w:hAnsi="Arial" w:cs="Arial"/>
          <w:sz w:val="22"/>
          <w:szCs w:val="22"/>
          <w:lang w:val="pt-BR" w:eastAsia="es-ES_tradnl"/>
        </w:rPr>
        <w:t xml:space="preserve">Os relatórios fiscais apresentam informações consolidadas e indicadores a respeito da execução orçamentária, a realização das receitas estimadas para o exercício, o cumprimento dos gastos mínimos nas áreas de saúde e educação, o atendimento dos limites </w:t>
      </w:r>
      <w:r w:rsidRPr="00067FD3">
        <w:rPr>
          <w:rFonts w:ascii="Arial" w:hAnsi="Arial" w:cs="Arial"/>
          <w:sz w:val="22"/>
          <w:szCs w:val="22"/>
          <w:lang w:val="pt-BR" w:eastAsia="es-ES_tradnl"/>
        </w:rPr>
        <w:t>de gastos de pessoal</w:t>
      </w:r>
      <w:r w:rsidRPr="00951B12">
        <w:rPr>
          <w:rFonts w:ascii="Arial" w:hAnsi="Arial" w:cs="Arial"/>
          <w:sz w:val="22"/>
          <w:szCs w:val="22"/>
          <w:lang w:val="pt-BR" w:eastAsia="es-ES_tradnl"/>
        </w:rPr>
        <w:t>, a execução e os limites de inscrição de restos a pagar, os limites da dívida consolidada líquida, de operações de crédito, dentre outros.</w:t>
      </w:r>
    </w:p>
    <w:p w14:paraId="16C4B0C2" w14:textId="77777777" w:rsidR="00AE651C" w:rsidRPr="00951B12" w:rsidRDefault="00AC7E08" w:rsidP="009F0EB2">
      <w:pPr>
        <w:pStyle w:val="ListParagraph"/>
        <w:numPr>
          <w:ilvl w:val="0"/>
          <w:numId w:val="4"/>
        </w:numPr>
        <w:spacing w:before="240" w:after="240"/>
        <w:contextualSpacing w:val="0"/>
        <w:jc w:val="both"/>
        <w:outlineLvl w:val="2"/>
        <w:rPr>
          <w:rFonts w:ascii="Arial" w:hAnsi="Arial" w:cs="Arial"/>
          <w:b/>
          <w:bCs/>
          <w:sz w:val="22"/>
          <w:szCs w:val="22"/>
          <w:lang w:val="pt-BR" w:eastAsia="es-ES_tradnl"/>
        </w:rPr>
      </w:pPr>
      <w:r w:rsidRPr="00951B12">
        <w:rPr>
          <w:rFonts w:ascii="Arial" w:hAnsi="Arial" w:cs="Arial"/>
          <w:b/>
          <w:bCs/>
          <w:sz w:val="22"/>
          <w:szCs w:val="22"/>
          <w:lang w:val="pt-BR" w:eastAsia="es-ES_tradnl"/>
        </w:rPr>
        <w:t>Principais indicadores fiscais</w:t>
      </w:r>
    </w:p>
    <w:p w14:paraId="12BDCC36" w14:textId="77777777" w:rsidR="00AC7E08" w:rsidRPr="00951B12" w:rsidRDefault="00AE651C" w:rsidP="00EC1E56">
      <w:pPr>
        <w:shd w:val="clear" w:color="auto" w:fill="FFFFFF"/>
        <w:spacing w:before="240" w:after="240"/>
        <w:jc w:val="both"/>
        <w:rPr>
          <w:rFonts w:ascii="Arial" w:hAnsi="Arial" w:cs="Arial"/>
          <w:sz w:val="22"/>
          <w:szCs w:val="22"/>
          <w:lang w:val="pt-BR" w:eastAsia="es-ES_tradnl"/>
        </w:rPr>
      </w:pPr>
      <w:r w:rsidRPr="00951B12">
        <w:rPr>
          <w:rFonts w:ascii="Arial" w:hAnsi="Arial" w:cs="Arial"/>
          <w:sz w:val="22"/>
          <w:szCs w:val="22"/>
          <w:lang w:val="pt-BR" w:eastAsia="es-ES_tradnl"/>
        </w:rPr>
        <w:t xml:space="preserve">2.4 </w:t>
      </w:r>
      <w:r w:rsidR="00A95F6B" w:rsidRPr="00951B12">
        <w:rPr>
          <w:rFonts w:ascii="Arial" w:hAnsi="Arial" w:cs="Arial"/>
          <w:sz w:val="22"/>
          <w:szCs w:val="22"/>
          <w:lang w:val="pt-BR" w:eastAsia="es-ES_tradnl"/>
        </w:rPr>
        <w:t>De</w:t>
      </w:r>
      <w:r w:rsidR="00AC7E08" w:rsidRPr="00951B12">
        <w:rPr>
          <w:rFonts w:ascii="Arial" w:hAnsi="Arial" w:cs="Arial"/>
          <w:sz w:val="22"/>
          <w:szCs w:val="22"/>
          <w:lang w:val="pt-BR" w:eastAsia="es-ES_tradnl"/>
        </w:rPr>
        <w:t>ntre os principais indicadores fiscais, podemos citar a Dívida Consolidada Líquida (DCL), a Receita Corrente Líquida (RCL) e a relação entre as duas, ou seja, DCL/RCL.</w:t>
      </w:r>
    </w:p>
    <w:p w14:paraId="164FDCE8" w14:textId="77777777" w:rsidR="00AC7E08" w:rsidRPr="00951B12" w:rsidRDefault="00A95F6B" w:rsidP="00444778">
      <w:pPr>
        <w:spacing w:before="120" w:after="120"/>
        <w:jc w:val="both"/>
        <w:outlineLvl w:val="2"/>
        <w:rPr>
          <w:rFonts w:ascii="Arial" w:hAnsi="Arial" w:cs="Arial"/>
          <w:sz w:val="22"/>
          <w:szCs w:val="22"/>
          <w:lang w:val="pt-BR" w:eastAsia="es-ES_tradnl"/>
        </w:rPr>
      </w:pPr>
      <w:r w:rsidRPr="00951B12">
        <w:rPr>
          <w:rFonts w:ascii="Arial" w:hAnsi="Arial" w:cs="Arial"/>
          <w:b/>
          <w:bCs/>
          <w:sz w:val="22"/>
          <w:szCs w:val="22"/>
          <w:lang w:val="pt-BR" w:eastAsia="es-ES_tradnl"/>
        </w:rPr>
        <w:t xml:space="preserve">A.1. </w:t>
      </w:r>
      <w:r w:rsidR="00AC7E08" w:rsidRPr="00951B12">
        <w:rPr>
          <w:rFonts w:ascii="Arial" w:hAnsi="Arial" w:cs="Arial"/>
          <w:b/>
          <w:bCs/>
          <w:sz w:val="22"/>
          <w:szCs w:val="22"/>
          <w:lang w:val="pt-BR" w:eastAsia="es-ES_tradnl"/>
        </w:rPr>
        <w:t>Dívida Consolidada Líquida (DCL)</w:t>
      </w:r>
      <w:r w:rsidR="00444778" w:rsidRPr="00951B12">
        <w:rPr>
          <w:rFonts w:ascii="Arial" w:hAnsi="Arial" w:cs="Arial"/>
          <w:b/>
          <w:bCs/>
          <w:sz w:val="22"/>
          <w:szCs w:val="22"/>
          <w:lang w:val="pt-BR" w:eastAsia="es-ES_tradnl"/>
        </w:rPr>
        <w:t xml:space="preserve">: </w:t>
      </w:r>
      <w:r w:rsidR="00AC7E08" w:rsidRPr="00951B12">
        <w:rPr>
          <w:rFonts w:ascii="Arial" w:hAnsi="Arial" w:cs="Arial"/>
          <w:sz w:val="22"/>
          <w:szCs w:val="22"/>
          <w:lang w:val="pt-BR" w:eastAsia="es-ES_tradnl"/>
        </w:rPr>
        <w:t>De acordo com o Manual de Demonstrativos Fiscais (MDF)</w:t>
      </w:r>
      <w:r w:rsidRPr="00951B12">
        <w:rPr>
          <w:rStyle w:val="FootnoteReference"/>
          <w:rFonts w:ascii="Arial" w:hAnsi="Arial"/>
          <w:sz w:val="22"/>
          <w:szCs w:val="22"/>
          <w:lang w:val="pt-BR" w:eastAsia="es-ES_tradnl"/>
        </w:rPr>
        <w:footnoteReference w:id="2"/>
      </w:r>
      <w:r w:rsidR="00AC7E08" w:rsidRPr="00951B12">
        <w:rPr>
          <w:rFonts w:ascii="Arial" w:hAnsi="Arial" w:cs="Arial"/>
          <w:sz w:val="22"/>
          <w:szCs w:val="22"/>
          <w:lang w:val="pt-BR" w:eastAsia="es-ES_tradnl"/>
        </w:rPr>
        <w:t xml:space="preserve"> da STN, a DCL representa o montante da Dívida Consolidada (DC) deduzido o saldo relativo aos haveres financeiros (disponibilidade de caixa e demais haveres financeiros). Caso o valor dos haveres financeiros seja inferior aos Restos a Pagar processados (exceto precatórios), não haverá deduções na DC, e logo a Dívida Consolidada Líquida(DCL) será igual à Dívida Consolidada. Por sua vez, a Dívida Consolidada (DC) ou fundada, para fins fiscais, corresponde ao montante total das obrigações financeiras, apurado sem duplicidade (excluídas as obrigações entre órgãos da administração direta e entre estes e as entidades da administração indireta), assumidas:</w:t>
      </w:r>
    </w:p>
    <w:p w14:paraId="10DA66FB" w14:textId="77777777" w:rsidR="00AC7E08" w:rsidRPr="00951B12" w:rsidRDefault="00AC7E08" w:rsidP="00EC1E56">
      <w:pPr>
        <w:shd w:val="clear" w:color="auto" w:fill="FFFFFF"/>
        <w:ind w:left="720"/>
        <w:jc w:val="both"/>
        <w:rPr>
          <w:rFonts w:ascii="Arial" w:hAnsi="Arial" w:cs="Arial"/>
          <w:sz w:val="22"/>
          <w:szCs w:val="22"/>
          <w:lang w:val="pt-BR" w:eastAsia="es-ES_tradnl"/>
        </w:rPr>
      </w:pPr>
      <w:r w:rsidRPr="00951B12">
        <w:rPr>
          <w:rFonts w:ascii="Arial" w:hAnsi="Arial" w:cs="Arial"/>
          <w:sz w:val="22"/>
          <w:szCs w:val="22"/>
          <w:lang w:val="pt-BR" w:eastAsia="es-ES_tradnl"/>
        </w:rPr>
        <w:t>a) pela realização de operações de crédito com a emissão de títulos públicos, para amortização em prazo superior a 12 (doze) meses (dívida mobiliária);</w:t>
      </w:r>
    </w:p>
    <w:p w14:paraId="25AD7597" w14:textId="77777777" w:rsidR="00AC7E08" w:rsidRPr="00951B12" w:rsidRDefault="00AC7E08" w:rsidP="00EC1E56">
      <w:pPr>
        <w:shd w:val="clear" w:color="auto" w:fill="FFFFFF"/>
        <w:ind w:left="720"/>
        <w:jc w:val="both"/>
        <w:rPr>
          <w:rFonts w:ascii="Arial" w:hAnsi="Arial" w:cs="Arial"/>
          <w:sz w:val="22"/>
          <w:szCs w:val="22"/>
          <w:lang w:val="pt-BR" w:eastAsia="es-ES_tradnl"/>
        </w:rPr>
      </w:pPr>
      <w:r w:rsidRPr="00951B12">
        <w:rPr>
          <w:rFonts w:ascii="Arial" w:hAnsi="Arial" w:cs="Arial"/>
          <w:sz w:val="22"/>
          <w:szCs w:val="22"/>
          <w:lang w:val="pt-BR" w:eastAsia="es-ES_tradnl"/>
        </w:rPr>
        <w:t>b) pela realização de operações de crédito em virtude de leis, contratos (dívida contratual), convênios ou tratados, para amortização em prazo superior a 12 (doze) meses;</w:t>
      </w:r>
    </w:p>
    <w:p w14:paraId="0A84E37F" w14:textId="77777777" w:rsidR="00AC7E08" w:rsidRPr="00951B12" w:rsidRDefault="00AC7E08" w:rsidP="00EC1E56">
      <w:pPr>
        <w:shd w:val="clear" w:color="auto" w:fill="FFFFFF"/>
        <w:ind w:left="720"/>
        <w:jc w:val="both"/>
        <w:rPr>
          <w:rFonts w:ascii="Arial" w:hAnsi="Arial" w:cs="Arial"/>
          <w:sz w:val="22"/>
          <w:szCs w:val="22"/>
          <w:lang w:val="pt-BR" w:eastAsia="es-ES_tradnl"/>
        </w:rPr>
      </w:pPr>
      <w:r w:rsidRPr="00951B12">
        <w:rPr>
          <w:rFonts w:ascii="Arial" w:hAnsi="Arial" w:cs="Arial"/>
          <w:sz w:val="22"/>
          <w:szCs w:val="22"/>
          <w:lang w:val="pt-BR" w:eastAsia="es-ES_tradnl"/>
        </w:rPr>
        <w:lastRenderedPageBreak/>
        <w:t>c) com os precatórios judiciais emitidos a partir de 5 de maio de 2000 e não pagos durante a execução do orçamento em que houverem sido incluídos;</w:t>
      </w:r>
    </w:p>
    <w:p w14:paraId="2718371C" w14:textId="77777777" w:rsidR="00AC7E08" w:rsidRPr="00951B12" w:rsidRDefault="00AC7E08" w:rsidP="00EC1E56">
      <w:pPr>
        <w:shd w:val="clear" w:color="auto" w:fill="FFFFFF"/>
        <w:ind w:left="720"/>
        <w:jc w:val="both"/>
        <w:rPr>
          <w:rFonts w:ascii="Arial" w:hAnsi="Arial" w:cs="Arial"/>
          <w:sz w:val="22"/>
          <w:szCs w:val="22"/>
          <w:lang w:val="pt-BR" w:eastAsia="es-ES_tradnl"/>
        </w:rPr>
      </w:pPr>
      <w:r w:rsidRPr="00951B12">
        <w:rPr>
          <w:rFonts w:ascii="Arial" w:hAnsi="Arial" w:cs="Arial"/>
          <w:sz w:val="22"/>
          <w:szCs w:val="22"/>
          <w:lang w:val="pt-BR" w:eastAsia="es-ES_tradnl"/>
        </w:rPr>
        <w:t>d) pela realização de operações de crédito de prazo inferior a 12 (doze) meses, que tenham constado como receitas no orçamento.</w:t>
      </w:r>
    </w:p>
    <w:p w14:paraId="6706FAF2" w14:textId="77777777" w:rsidR="00AC7E08" w:rsidRPr="00951B12" w:rsidRDefault="00A95F6B" w:rsidP="00444778">
      <w:pPr>
        <w:spacing w:before="120" w:after="120"/>
        <w:jc w:val="both"/>
        <w:outlineLvl w:val="2"/>
        <w:rPr>
          <w:rFonts w:ascii="Arial" w:hAnsi="Arial" w:cs="Arial"/>
          <w:sz w:val="22"/>
          <w:szCs w:val="22"/>
          <w:lang w:val="pt-BR" w:eastAsia="es-ES_tradnl"/>
        </w:rPr>
      </w:pPr>
      <w:r w:rsidRPr="00951B12">
        <w:rPr>
          <w:rFonts w:ascii="Arial" w:hAnsi="Arial" w:cs="Arial"/>
          <w:b/>
          <w:bCs/>
          <w:sz w:val="22"/>
          <w:szCs w:val="22"/>
          <w:lang w:val="pt-BR" w:eastAsia="es-ES_tradnl"/>
        </w:rPr>
        <w:t xml:space="preserve">A.2. </w:t>
      </w:r>
      <w:r w:rsidR="00AC7E08" w:rsidRPr="00951B12">
        <w:rPr>
          <w:rFonts w:ascii="Arial" w:hAnsi="Arial" w:cs="Arial"/>
          <w:b/>
          <w:bCs/>
          <w:sz w:val="22"/>
          <w:szCs w:val="22"/>
          <w:lang w:val="pt-BR" w:eastAsia="es-ES_tradnl"/>
        </w:rPr>
        <w:t>Receita Corrente Líquida (RCL)</w:t>
      </w:r>
      <w:r w:rsidR="00444778" w:rsidRPr="00951B12">
        <w:rPr>
          <w:rFonts w:ascii="Arial" w:hAnsi="Arial" w:cs="Arial"/>
          <w:b/>
          <w:bCs/>
          <w:sz w:val="22"/>
          <w:szCs w:val="22"/>
          <w:lang w:val="pt-BR" w:eastAsia="es-ES_tradnl"/>
        </w:rPr>
        <w:t xml:space="preserve">: </w:t>
      </w:r>
      <w:r w:rsidR="00AC7E08" w:rsidRPr="00951B12">
        <w:rPr>
          <w:rFonts w:ascii="Arial" w:hAnsi="Arial" w:cs="Arial"/>
          <w:sz w:val="22"/>
          <w:szCs w:val="22"/>
          <w:lang w:val="pt-BR" w:eastAsia="es-ES_tradnl"/>
        </w:rPr>
        <w:t>De acordo com o MDF da STN, a RCL é o somatório das receitas tributárias, de contribuições, patrimoniais, agropecuárias, industriais, de serviços, transferências correntes e outras receitas correntes do ente da Federação, deduzidos alguns itens exaustivamente explicitados pela própria LRF, não cabendo interpretações que extrapolem os dispositivos legais.</w:t>
      </w:r>
      <w:r w:rsidR="00444778" w:rsidRPr="00951B12">
        <w:rPr>
          <w:rFonts w:ascii="Arial" w:hAnsi="Arial" w:cs="Arial"/>
          <w:sz w:val="22"/>
          <w:szCs w:val="22"/>
          <w:lang w:val="pt-BR" w:eastAsia="es-ES_tradnl"/>
        </w:rPr>
        <w:t xml:space="preserve"> </w:t>
      </w:r>
      <w:r w:rsidR="00AC7E08" w:rsidRPr="00951B12">
        <w:rPr>
          <w:rFonts w:ascii="Arial" w:hAnsi="Arial" w:cs="Arial"/>
          <w:sz w:val="22"/>
          <w:szCs w:val="22"/>
          <w:lang w:val="pt-BR" w:eastAsia="es-ES_tradnl"/>
        </w:rPr>
        <w:t>Conforme a LRF, em seu art. 2º, inciso IV: </w:t>
      </w:r>
    </w:p>
    <w:p w14:paraId="11D60496" w14:textId="77777777" w:rsidR="00AC7E08" w:rsidRPr="00951B12" w:rsidRDefault="00AC7E08" w:rsidP="00444778">
      <w:pPr>
        <w:shd w:val="clear" w:color="auto" w:fill="FFFFFF"/>
        <w:spacing w:before="120" w:after="120"/>
        <w:ind w:left="600"/>
        <w:jc w:val="both"/>
        <w:rPr>
          <w:rFonts w:ascii="Arial" w:hAnsi="Arial" w:cs="Arial"/>
          <w:sz w:val="22"/>
          <w:szCs w:val="22"/>
          <w:lang w:val="pt-BR" w:eastAsia="es-ES_tradnl"/>
        </w:rPr>
      </w:pPr>
      <w:r w:rsidRPr="00951B12">
        <w:rPr>
          <w:rFonts w:ascii="Arial" w:hAnsi="Arial" w:cs="Arial"/>
          <w:i/>
          <w:iCs/>
          <w:sz w:val="22"/>
          <w:szCs w:val="22"/>
          <w:lang w:val="pt-BR" w:eastAsia="es-ES_tradnl"/>
        </w:rPr>
        <w:t xml:space="preserve">"IV - </w:t>
      </w:r>
      <w:proofErr w:type="gramStart"/>
      <w:r w:rsidRPr="00951B12">
        <w:rPr>
          <w:rFonts w:ascii="Arial" w:hAnsi="Arial" w:cs="Arial"/>
          <w:i/>
          <w:iCs/>
          <w:sz w:val="22"/>
          <w:szCs w:val="22"/>
          <w:lang w:val="pt-BR" w:eastAsia="es-ES_tradnl"/>
        </w:rPr>
        <w:t>receita</w:t>
      </w:r>
      <w:proofErr w:type="gramEnd"/>
      <w:r w:rsidRPr="00951B12">
        <w:rPr>
          <w:rFonts w:ascii="Arial" w:hAnsi="Arial" w:cs="Arial"/>
          <w:i/>
          <w:iCs/>
          <w:sz w:val="22"/>
          <w:szCs w:val="22"/>
          <w:lang w:val="pt-BR" w:eastAsia="es-ES_tradnl"/>
        </w:rPr>
        <w:t xml:space="preserve"> corrente líquida: somatório das receitas tributárias, de contribuições, patrimoniais, industriais, agropecuárias, de serviços, transferências correntes e outras receitas também correntes, deduzidos:</w:t>
      </w:r>
    </w:p>
    <w:p w14:paraId="5A7AACD5" w14:textId="77777777" w:rsidR="00AC7E08" w:rsidRPr="00951B12" w:rsidRDefault="00AC7E08" w:rsidP="00444778">
      <w:pPr>
        <w:shd w:val="clear" w:color="auto" w:fill="FFFFFF"/>
        <w:spacing w:before="120" w:after="120"/>
        <w:ind w:left="600"/>
        <w:jc w:val="both"/>
        <w:rPr>
          <w:rFonts w:ascii="Arial" w:hAnsi="Arial" w:cs="Arial"/>
          <w:sz w:val="22"/>
          <w:szCs w:val="22"/>
          <w:lang w:val="pt-BR" w:eastAsia="es-ES_tradnl"/>
        </w:rPr>
      </w:pPr>
      <w:r w:rsidRPr="00951B12">
        <w:rPr>
          <w:rFonts w:ascii="Arial" w:hAnsi="Arial" w:cs="Arial"/>
          <w:i/>
          <w:iCs/>
          <w:sz w:val="22"/>
          <w:szCs w:val="22"/>
          <w:lang w:val="pt-BR" w:eastAsia="es-ES_tradnl"/>
        </w:rPr>
        <w:t>a) na União, os valores transferidos aos Estados e Municípios por determinação constitucional ou legal, e as contribuições mencionadas na alínea a do inciso I e no inciso II do art. 195, e no art. 239 da Constituição;</w:t>
      </w:r>
    </w:p>
    <w:p w14:paraId="2F454604" w14:textId="77777777" w:rsidR="00AC7E08" w:rsidRPr="00951B12" w:rsidRDefault="00AC7E08" w:rsidP="00444778">
      <w:pPr>
        <w:shd w:val="clear" w:color="auto" w:fill="FFFFFF"/>
        <w:spacing w:before="120" w:after="120"/>
        <w:ind w:left="600"/>
        <w:jc w:val="both"/>
        <w:rPr>
          <w:rFonts w:ascii="Arial" w:hAnsi="Arial" w:cs="Arial"/>
          <w:sz w:val="22"/>
          <w:szCs w:val="22"/>
          <w:lang w:val="pt-BR" w:eastAsia="es-ES_tradnl"/>
        </w:rPr>
      </w:pPr>
      <w:r w:rsidRPr="00951B12">
        <w:rPr>
          <w:rFonts w:ascii="Arial" w:hAnsi="Arial" w:cs="Arial"/>
          <w:i/>
          <w:iCs/>
          <w:sz w:val="22"/>
          <w:szCs w:val="22"/>
          <w:lang w:val="pt-BR" w:eastAsia="es-ES_tradnl"/>
        </w:rPr>
        <w:t>b) nos Estados, as parcelas entregues aos Municípios por determinação constitucional;</w:t>
      </w:r>
    </w:p>
    <w:p w14:paraId="0F9BCABE" w14:textId="77777777" w:rsidR="00AC7E08" w:rsidRPr="00951B12" w:rsidRDefault="00AC7E08" w:rsidP="00444778">
      <w:pPr>
        <w:shd w:val="clear" w:color="auto" w:fill="FFFFFF"/>
        <w:spacing w:before="120" w:after="120"/>
        <w:ind w:left="600"/>
        <w:jc w:val="both"/>
        <w:rPr>
          <w:rFonts w:ascii="Arial" w:hAnsi="Arial" w:cs="Arial"/>
          <w:sz w:val="22"/>
          <w:szCs w:val="22"/>
          <w:lang w:val="pt-BR" w:eastAsia="es-ES_tradnl"/>
        </w:rPr>
      </w:pPr>
      <w:r w:rsidRPr="00951B12">
        <w:rPr>
          <w:rFonts w:ascii="Arial" w:hAnsi="Arial" w:cs="Arial"/>
          <w:i/>
          <w:iCs/>
          <w:sz w:val="22"/>
          <w:szCs w:val="22"/>
          <w:lang w:val="pt-BR" w:eastAsia="es-ES_tradnl"/>
        </w:rPr>
        <w:t>c) na União, nos Estados e nos Municípios, a contribuição dos servidores para o custeio do seu sistema de previdência e assistência social e as receitas provenientes da compensação financeira citada no § 9º do art. 201 da Constituição." </w:t>
      </w:r>
    </w:p>
    <w:p w14:paraId="66BD92D8" w14:textId="77777777" w:rsidR="00AC7E08" w:rsidRPr="00951B12" w:rsidRDefault="00A95F6B" w:rsidP="00444778">
      <w:pPr>
        <w:spacing w:before="120" w:after="120"/>
        <w:jc w:val="both"/>
        <w:outlineLvl w:val="2"/>
        <w:rPr>
          <w:rFonts w:ascii="Arial" w:hAnsi="Arial" w:cs="Arial"/>
          <w:sz w:val="22"/>
          <w:szCs w:val="22"/>
          <w:lang w:val="pt-BR" w:eastAsia="es-ES_tradnl"/>
        </w:rPr>
      </w:pPr>
      <w:r w:rsidRPr="00951B12">
        <w:rPr>
          <w:rFonts w:ascii="Arial" w:hAnsi="Arial" w:cs="Arial"/>
          <w:b/>
          <w:bCs/>
          <w:sz w:val="22"/>
          <w:szCs w:val="22"/>
          <w:lang w:val="pt-BR" w:eastAsia="es-ES_tradnl"/>
        </w:rPr>
        <w:t xml:space="preserve">A.3. </w:t>
      </w:r>
      <w:r w:rsidR="00AC7E08" w:rsidRPr="00951B12">
        <w:rPr>
          <w:rFonts w:ascii="Arial" w:hAnsi="Arial" w:cs="Arial"/>
          <w:b/>
          <w:bCs/>
          <w:sz w:val="22"/>
          <w:szCs w:val="22"/>
          <w:lang w:val="pt-BR" w:eastAsia="es-ES_tradnl"/>
        </w:rPr>
        <w:t>DCL/RCL</w:t>
      </w:r>
      <w:r w:rsidR="00444778" w:rsidRPr="00951B12">
        <w:rPr>
          <w:rFonts w:ascii="Arial" w:hAnsi="Arial" w:cs="Arial"/>
          <w:b/>
          <w:bCs/>
          <w:sz w:val="22"/>
          <w:szCs w:val="22"/>
          <w:lang w:val="pt-BR" w:eastAsia="es-ES_tradnl"/>
        </w:rPr>
        <w:t xml:space="preserve">: </w:t>
      </w:r>
      <w:r w:rsidR="00AC7E08" w:rsidRPr="00951B12">
        <w:rPr>
          <w:rFonts w:ascii="Arial" w:hAnsi="Arial" w:cs="Arial"/>
          <w:sz w:val="22"/>
          <w:szCs w:val="22"/>
          <w:lang w:val="pt-BR" w:eastAsia="es-ES_tradnl"/>
        </w:rPr>
        <w:t>Os limites percentuais da relação DCL/RCL dos Estados, do Distrito Federal e dos Municípios estão previstos na Resolução do Senado Federal nº 40, de 20/12/2001, e são os seguintes:</w:t>
      </w:r>
      <w:r w:rsidR="00444778" w:rsidRPr="00951B12">
        <w:rPr>
          <w:rFonts w:ascii="Arial" w:hAnsi="Arial" w:cs="Arial"/>
          <w:sz w:val="22"/>
          <w:szCs w:val="22"/>
          <w:lang w:val="pt-BR" w:eastAsia="es-ES_tradnl"/>
        </w:rPr>
        <w:t xml:space="preserve"> </w:t>
      </w:r>
    </w:p>
    <w:p w14:paraId="11B74EAD" w14:textId="77777777" w:rsidR="00AC7E08" w:rsidRPr="00951B12" w:rsidRDefault="00AC7E08" w:rsidP="00EC1E56">
      <w:pPr>
        <w:shd w:val="clear" w:color="auto" w:fill="FFFFFF"/>
        <w:jc w:val="both"/>
        <w:rPr>
          <w:rFonts w:ascii="Arial" w:hAnsi="Arial" w:cs="Arial"/>
          <w:sz w:val="22"/>
          <w:szCs w:val="22"/>
          <w:lang w:val="pt-BR" w:eastAsia="es-ES_tradnl"/>
        </w:rPr>
      </w:pPr>
      <w:r w:rsidRPr="00951B12">
        <w:rPr>
          <w:rFonts w:ascii="Arial" w:hAnsi="Arial" w:cs="Arial"/>
          <w:sz w:val="22"/>
          <w:szCs w:val="22"/>
          <w:lang w:val="pt-BR" w:eastAsia="es-ES_tradnl"/>
        </w:rPr>
        <w:t xml:space="preserve">        </w:t>
      </w:r>
      <w:r w:rsidR="00A95F6B" w:rsidRPr="00951B12">
        <w:rPr>
          <w:rFonts w:ascii="Arial" w:hAnsi="Arial" w:cs="Arial"/>
          <w:sz w:val="22"/>
          <w:szCs w:val="22"/>
          <w:lang w:val="pt-BR" w:eastAsia="es-ES_tradnl"/>
        </w:rPr>
        <w:tab/>
      </w:r>
      <w:r w:rsidRPr="00951B12">
        <w:rPr>
          <w:rFonts w:ascii="Arial" w:hAnsi="Arial" w:cs="Arial"/>
          <w:sz w:val="22"/>
          <w:szCs w:val="22"/>
          <w:lang w:val="pt-BR" w:eastAsia="es-ES_tradnl"/>
        </w:rPr>
        <w:t>a) no caso dos Estados e do Distrito Federal:  &lt; 2,0</w:t>
      </w:r>
    </w:p>
    <w:p w14:paraId="4051ED08" w14:textId="77777777" w:rsidR="00A95F6B" w:rsidRPr="00951B12" w:rsidRDefault="00AC7E08" w:rsidP="00EC1E56">
      <w:pPr>
        <w:shd w:val="clear" w:color="auto" w:fill="FFFFFF"/>
        <w:jc w:val="both"/>
        <w:rPr>
          <w:rFonts w:ascii="Arial" w:hAnsi="Arial" w:cs="Arial"/>
          <w:sz w:val="22"/>
          <w:szCs w:val="22"/>
          <w:lang w:val="pt-BR" w:eastAsia="es-ES_tradnl"/>
        </w:rPr>
      </w:pPr>
      <w:r w:rsidRPr="00951B12">
        <w:rPr>
          <w:rFonts w:ascii="Arial" w:hAnsi="Arial" w:cs="Arial"/>
          <w:sz w:val="22"/>
          <w:szCs w:val="22"/>
          <w:lang w:val="pt-BR" w:eastAsia="es-ES_tradnl"/>
        </w:rPr>
        <w:t>       </w:t>
      </w:r>
      <w:r w:rsidR="00A95F6B" w:rsidRPr="00951B12">
        <w:rPr>
          <w:rFonts w:ascii="Arial" w:hAnsi="Arial" w:cs="Arial"/>
          <w:sz w:val="22"/>
          <w:szCs w:val="22"/>
          <w:lang w:val="pt-BR" w:eastAsia="es-ES_tradnl"/>
        </w:rPr>
        <w:tab/>
      </w:r>
      <w:r w:rsidRPr="00951B12">
        <w:rPr>
          <w:rFonts w:ascii="Arial" w:hAnsi="Arial" w:cs="Arial"/>
          <w:sz w:val="22"/>
          <w:szCs w:val="22"/>
          <w:lang w:val="pt-BR" w:eastAsia="es-ES_tradnl"/>
        </w:rPr>
        <w:t>b) no caso dos Municípios: &lt; 1,2</w:t>
      </w:r>
    </w:p>
    <w:p w14:paraId="21FF2FDD" w14:textId="77777777" w:rsidR="00A95F6B" w:rsidRPr="00951B12" w:rsidRDefault="002B3A0B" w:rsidP="009F0EB2">
      <w:pPr>
        <w:pStyle w:val="ListParagraph"/>
        <w:numPr>
          <w:ilvl w:val="0"/>
          <w:numId w:val="1"/>
        </w:numPr>
        <w:spacing w:before="240" w:after="240"/>
        <w:contextualSpacing w:val="0"/>
        <w:jc w:val="both"/>
        <w:rPr>
          <w:rFonts w:ascii="Arial" w:hAnsi="Arial" w:cs="Arial"/>
          <w:b/>
          <w:lang w:val="pt-BR"/>
        </w:rPr>
      </w:pPr>
      <w:r w:rsidRPr="00951B12">
        <w:rPr>
          <w:rFonts w:ascii="Arial" w:hAnsi="Arial" w:cs="Arial"/>
          <w:b/>
          <w:lang w:val="pt-BR"/>
        </w:rPr>
        <w:t xml:space="preserve">Análise de Projetos e Contextualização </w:t>
      </w:r>
    </w:p>
    <w:p w14:paraId="55DBF099" w14:textId="77777777" w:rsidR="00951B12" w:rsidRDefault="00AC7E08" w:rsidP="009F0EB2">
      <w:pPr>
        <w:pStyle w:val="ListParagraph"/>
        <w:numPr>
          <w:ilvl w:val="1"/>
          <w:numId w:val="1"/>
        </w:numPr>
        <w:spacing w:before="120" w:after="120"/>
        <w:contextualSpacing w:val="0"/>
        <w:jc w:val="both"/>
        <w:rPr>
          <w:rFonts w:ascii="Arial" w:hAnsi="Arial" w:cs="Arial"/>
          <w:bCs/>
          <w:i/>
          <w:sz w:val="22"/>
          <w:szCs w:val="22"/>
          <w:lang w:val="pt-BR"/>
        </w:rPr>
      </w:pPr>
      <w:r w:rsidRPr="00951B12">
        <w:rPr>
          <w:rFonts w:ascii="Arial" w:hAnsi="Arial" w:cs="Arial"/>
          <w:sz w:val="22"/>
          <w:szCs w:val="22"/>
          <w:lang w:val="pt-BR"/>
        </w:rPr>
        <w:t>Desde o ano 2000, a Lei de Responsabilidade Fiscal (LRF)</w:t>
      </w:r>
      <w:r w:rsidRPr="00951B12">
        <w:rPr>
          <w:rStyle w:val="FootnoteReference"/>
          <w:rFonts w:ascii="Arial" w:hAnsi="Arial" w:cs="Arial"/>
          <w:sz w:val="22"/>
          <w:szCs w:val="22"/>
          <w:lang w:val="pt-BR"/>
        </w:rPr>
        <w:footnoteReference w:id="3"/>
      </w:r>
      <w:r w:rsidRPr="00951B12">
        <w:rPr>
          <w:rFonts w:ascii="Arial" w:hAnsi="Arial" w:cs="Arial"/>
          <w:sz w:val="22"/>
          <w:szCs w:val="22"/>
          <w:lang w:val="pt-BR"/>
        </w:rPr>
        <w:t xml:space="preserve"> determina a necessidade de ação planejada e transparente para prevenir riscos e corrigir desvios capazes de afetar o equilíbrio das contas públicas. Mais recentemente, em 2003, a Emenda Constitucional nº 42/2003 determinou uma maior integração entre os fiscos e, desde 2009, o Brasil iniciou, nos três níveis de governo, o processo de convergência às normas internacionais de contabilidade, o qual deve contribuir para o cumprimento da </w:t>
      </w:r>
      <w:r w:rsidRPr="00951B12">
        <w:rPr>
          <w:rFonts w:ascii="Arial" w:hAnsi="Arial" w:cs="Arial"/>
          <w:bCs/>
          <w:i/>
          <w:sz w:val="22"/>
          <w:szCs w:val="22"/>
          <w:lang w:val="pt-BR"/>
        </w:rPr>
        <w:t>Lei da Transparência</w:t>
      </w:r>
      <w:r w:rsidRPr="00951B12">
        <w:rPr>
          <w:rStyle w:val="FootnoteReference"/>
          <w:rFonts w:ascii="Arial" w:hAnsi="Arial" w:cs="Arial"/>
          <w:bCs/>
          <w:i/>
          <w:sz w:val="22"/>
          <w:szCs w:val="22"/>
          <w:lang w:val="pt-BR"/>
        </w:rPr>
        <w:footnoteReference w:id="4"/>
      </w:r>
      <w:r w:rsidRPr="00951B12">
        <w:rPr>
          <w:rFonts w:ascii="Arial" w:hAnsi="Arial" w:cs="Arial"/>
          <w:bCs/>
          <w:i/>
          <w:sz w:val="22"/>
          <w:szCs w:val="22"/>
          <w:lang w:val="pt-BR"/>
        </w:rPr>
        <w:t xml:space="preserve"> e da Lei de Acesso à informação (LAI)</w:t>
      </w:r>
      <w:r w:rsidRPr="00951B12">
        <w:rPr>
          <w:rStyle w:val="FootnoteReference"/>
          <w:rFonts w:ascii="Arial" w:hAnsi="Arial" w:cs="Arial"/>
          <w:bCs/>
          <w:i/>
          <w:sz w:val="22"/>
          <w:szCs w:val="22"/>
          <w:lang w:val="pt-BR"/>
        </w:rPr>
        <w:footnoteReference w:id="5"/>
      </w:r>
      <w:r w:rsidRPr="00951B12">
        <w:rPr>
          <w:rFonts w:ascii="Arial" w:hAnsi="Arial" w:cs="Arial"/>
          <w:bCs/>
          <w:i/>
          <w:sz w:val="22"/>
          <w:szCs w:val="22"/>
          <w:lang w:val="pt-BR"/>
        </w:rPr>
        <w:t>.</w:t>
      </w:r>
    </w:p>
    <w:p w14:paraId="71AA0A13" w14:textId="77777777" w:rsidR="00951B12" w:rsidRPr="00951B12" w:rsidRDefault="002B3A0B" w:rsidP="009F0EB2">
      <w:pPr>
        <w:pStyle w:val="ListParagraph"/>
        <w:numPr>
          <w:ilvl w:val="1"/>
          <w:numId w:val="1"/>
        </w:numPr>
        <w:spacing w:before="120" w:after="120"/>
        <w:contextualSpacing w:val="0"/>
        <w:jc w:val="both"/>
        <w:rPr>
          <w:rFonts w:ascii="Arial" w:hAnsi="Arial" w:cs="Arial"/>
          <w:bCs/>
          <w:i/>
          <w:sz w:val="22"/>
          <w:szCs w:val="22"/>
          <w:lang w:val="pt-BR"/>
        </w:rPr>
      </w:pPr>
      <w:r w:rsidRPr="00951B12">
        <w:rPr>
          <w:rFonts w:ascii="Arial" w:hAnsi="Arial" w:cs="Arial"/>
          <w:b/>
          <w:sz w:val="22"/>
          <w:szCs w:val="22"/>
          <w:lang w:val="pt-BR"/>
        </w:rPr>
        <w:t xml:space="preserve">Linha de Crédito Condicional para Projetos de Investimento do Programa de Modernização da Gestão Fiscal no Brasil – CCLIP-PROFISCO – </w:t>
      </w:r>
      <w:r w:rsidR="00AC7E08" w:rsidRPr="00951B12">
        <w:rPr>
          <w:rFonts w:ascii="Arial" w:hAnsi="Arial" w:cs="Arial"/>
          <w:sz w:val="22"/>
          <w:szCs w:val="22"/>
          <w:lang w:val="pt-BR"/>
        </w:rPr>
        <w:t xml:space="preserve">Em 2008 o BID e o Governo Federal Brasileiro estabeleceram as bases para o desenvolvimento do PROFISCO (BR-X1005), por meio de uma Linha de Crédito Condicional para Projetos de Investimento (CCLIP), com o objetivo de contribuir para a integração dos fiscos e a modernização da gestão fiscal, financeira e patrimonial dos beneficiários. </w:t>
      </w:r>
    </w:p>
    <w:p w14:paraId="23517BB5" w14:textId="77777777" w:rsidR="00951B12" w:rsidRPr="00951B12" w:rsidRDefault="00AC7E08" w:rsidP="009F0EB2">
      <w:pPr>
        <w:pStyle w:val="ListParagraph"/>
        <w:numPr>
          <w:ilvl w:val="1"/>
          <w:numId w:val="1"/>
        </w:numPr>
        <w:spacing w:before="120" w:after="120"/>
        <w:contextualSpacing w:val="0"/>
        <w:jc w:val="both"/>
        <w:rPr>
          <w:rFonts w:ascii="Arial" w:hAnsi="Arial" w:cs="Arial"/>
          <w:bCs/>
          <w:i/>
          <w:sz w:val="22"/>
          <w:szCs w:val="22"/>
          <w:lang w:val="pt-BR"/>
        </w:rPr>
      </w:pPr>
      <w:r w:rsidRPr="00951B12">
        <w:rPr>
          <w:rFonts w:ascii="Arial" w:hAnsi="Arial" w:cs="Arial"/>
          <w:sz w:val="22"/>
          <w:szCs w:val="22"/>
          <w:lang w:val="pt-BR"/>
        </w:rPr>
        <w:lastRenderedPageBreak/>
        <w:t>Este instrumento de financiamento viabilizou a preparação e contratação de uma série de operações individuais de crédito entre o BID e diversos Estados, como mutuários, com interveniência da União como fiadora. As operações do PROFISCO (BR-X1005) foram enquadradas na excepcionalidade para contratação de operações de crédito garantidas pela União prevista em Resolução do Senado Federal</w:t>
      </w:r>
      <w:r w:rsidRPr="00951B12">
        <w:rPr>
          <w:lang w:val="pt-BR"/>
        </w:rPr>
        <w:footnoteReference w:id="6"/>
      </w:r>
      <w:r w:rsidRPr="00951B12">
        <w:rPr>
          <w:rFonts w:ascii="Arial" w:hAnsi="Arial" w:cs="Arial"/>
          <w:sz w:val="22"/>
          <w:szCs w:val="22"/>
          <w:lang w:val="pt-BR"/>
        </w:rPr>
        <w:t xml:space="preserve">, uma vez que estavam alinhadas com a estratégia do Governo Federal de modernização da administração das receitas e da gestão fiscal, financeira e patrimonial. </w:t>
      </w:r>
    </w:p>
    <w:p w14:paraId="08038B86" w14:textId="19F62293" w:rsidR="00AC7E08" w:rsidRPr="00E73525" w:rsidRDefault="00AC7E08" w:rsidP="009F0EB2">
      <w:pPr>
        <w:pStyle w:val="ListParagraph"/>
        <w:numPr>
          <w:ilvl w:val="1"/>
          <w:numId w:val="1"/>
        </w:numPr>
        <w:spacing w:before="120" w:after="120"/>
        <w:contextualSpacing w:val="0"/>
        <w:jc w:val="both"/>
        <w:rPr>
          <w:rFonts w:ascii="Arial" w:hAnsi="Arial" w:cs="Arial"/>
          <w:bCs/>
          <w:i/>
          <w:sz w:val="22"/>
          <w:szCs w:val="22"/>
          <w:lang w:val="pt-BR"/>
        </w:rPr>
      </w:pPr>
      <w:bookmarkStart w:id="1" w:name="_Hlk20833546"/>
      <w:r w:rsidRPr="00951B12">
        <w:rPr>
          <w:rFonts w:ascii="Arial" w:hAnsi="Arial" w:cs="Arial"/>
          <w:sz w:val="22"/>
          <w:szCs w:val="22"/>
          <w:lang w:val="pt-BR"/>
        </w:rPr>
        <w:t>A exemplo do PROFISCO I, a linha de crédito CLLIP-PROFISCO II tem tratamento excepcional conferido pelo governo federal para a contratação de operações de crédito externo para projetos de investimento de melhoria da administração das receitas e da gestão fiscal, financeira e patrimonial, consubstanciada nos seguintes documentos: (i) Resolução de excepcionalidade do Senado Federal</w:t>
      </w:r>
      <w:r w:rsidRPr="00951B12">
        <w:rPr>
          <w:lang w:val="pt-BR"/>
        </w:rPr>
        <w:footnoteReference w:id="7"/>
      </w:r>
      <w:r w:rsidRPr="00951B12">
        <w:rPr>
          <w:rFonts w:ascii="Arial" w:hAnsi="Arial" w:cs="Arial"/>
          <w:sz w:val="22"/>
          <w:szCs w:val="22"/>
          <w:lang w:val="pt-BR"/>
        </w:rPr>
        <w:t>; (</w:t>
      </w:r>
      <w:proofErr w:type="spellStart"/>
      <w:r w:rsidRPr="00951B12">
        <w:rPr>
          <w:rFonts w:ascii="Arial" w:hAnsi="Arial" w:cs="Arial"/>
          <w:sz w:val="22"/>
          <w:szCs w:val="22"/>
          <w:lang w:val="pt-BR"/>
        </w:rPr>
        <w:t>ii</w:t>
      </w:r>
      <w:proofErr w:type="spellEnd"/>
      <w:r w:rsidRPr="00951B12">
        <w:rPr>
          <w:rFonts w:ascii="Arial" w:hAnsi="Arial" w:cs="Arial"/>
          <w:sz w:val="22"/>
          <w:szCs w:val="22"/>
          <w:lang w:val="pt-BR"/>
        </w:rPr>
        <w:t>) autorização da Secretaria do Tesouro Nacional do Ministério da Fazenda (STN/MF) para que os Estados e o Distrito Federal incluam os valores estimados para contratação de operações de crédito no âmbito da Linha de Crédito nos informes de renegociação dos seus respectivos Programas de Reestruturação e Ajuste Fiscal (PAF), como exceção aos limites de endividamento.</w:t>
      </w:r>
    </w:p>
    <w:p w14:paraId="129916FB" w14:textId="340699CF" w:rsidR="00E73525" w:rsidRPr="00E73525" w:rsidRDefault="00E73525" w:rsidP="00E73525">
      <w:pPr>
        <w:pStyle w:val="ListParagraph"/>
        <w:numPr>
          <w:ilvl w:val="1"/>
          <w:numId w:val="1"/>
        </w:numPr>
        <w:spacing w:before="120" w:after="120"/>
        <w:contextualSpacing w:val="0"/>
        <w:jc w:val="both"/>
        <w:rPr>
          <w:rFonts w:ascii="Arial" w:hAnsi="Arial" w:cs="Arial"/>
          <w:i/>
          <w:sz w:val="22"/>
          <w:szCs w:val="22"/>
          <w:lang w:val="pt-BR"/>
        </w:rPr>
      </w:pPr>
      <w:r w:rsidRPr="00E73525">
        <w:rPr>
          <w:rFonts w:ascii="Arial" w:hAnsi="Arial" w:cs="Arial"/>
          <w:sz w:val="22"/>
          <w:szCs w:val="22"/>
          <w:lang w:val="pt-BR"/>
        </w:rPr>
        <w:t>É importante enfatizar que a classificação D recebida pelo Rio Grande do Sul relacionada à sua capacidade de pagamento não representa obstáculo para obter garantia soberana da União para sua operação de credito dentro da linha de crédito PROFISCO II dado que, a exemplo do PROFISCO I, a linha de crédito CLLIP-PROFISCO II tem tratamento excepcional conferido pelo governo federal para a contratação de operações de crédito externo para projetos de investimento de melhoria da administração das receitas e da gestão fiscal, financeira e patrimonial, consubstanciada nos seguintes documentos: (i) Resolução de excepcionalidade do Senado Federal</w:t>
      </w:r>
      <w:r w:rsidRPr="00E73525">
        <w:rPr>
          <w:vertAlign w:val="superscript"/>
          <w:lang w:val="pt-BR"/>
        </w:rPr>
        <w:footnoteReference w:id="8"/>
      </w:r>
      <w:r w:rsidRPr="00E73525">
        <w:rPr>
          <w:rFonts w:ascii="Arial" w:hAnsi="Arial" w:cs="Arial"/>
          <w:sz w:val="22"/>
          <w:szCs w:val="22"/>
          <w:lang w:val="pt-BR"/>
        </w:rPr>
        <w:t>; (</w:t>
      </w:r>
      <w:proofErr w:type="spellStart"/>
      <w:r w:rsidRPr="00E73525">
        <w:rPr>
          <w:rFonts w:ascii="Arial" w:hAnsi="Arial" w:cs="Arial"/>
          <w:sz w:val="22"/>
          <w:szCs w:val="22"/>
          <w:lang w:val="pt-BR"/>
        </w:rPr>
        <w:t>ii</w:t>
      </w:r>
      <w:proofErr w:type="spellEnd"/>
      <w:r w:rsidRPr="00E73525">
        <w:rPr>
          <w:rFonts w:ascii="Arial" w:hAnsi="Arial" w:cs="Arial"/>
          <w:sz w:val="22"/>
          <w:szCs w:val="22"/>
          <w:lang w:val="pt-BR"/>
        </w:rPr>
        <w:t>) autorização da Secretaria do Tesouro Nacional do Ministério da Fazenda (STN/MF) para que os Estados e o Distrito Federal incluam os valores estimados para contratação de operações de crédito no âmbito da Linha de Crédito nos informes de renegociação dos seus respectivos Programas de Reestruturação e Ajuste Fiscal (PAF), como exceção aos limites de endividamento.</w:t>
      </w:r>
    </w:p>
    <w:p w14:paraId="7C477AA1" w14:textId="471EBFAE" w:rsidR="00E73525" w:rsidRDefault="00E73525" w:rsidP="00E73525">
      <w:pPr>
        <w:pStyle w:val="ListParagraph"/>
        <w:spacing w:before="120" w:after="120"/>
        <w:ind w:left="360"/>
        <w:contextualSpacing w:val="0"/>
        <w:jc w:val="both"/>
        <w:rPr>
          <w:rFonts w:ascii="Arial" w:hAnsi="Arial" w:cs="Arial"/>
          <w:sz w:val="22"/>
          <w:szCs w:val="22"/>
          <w:lang w:val="pt-BR"/>
        </w:rPr>
      </w:pPr>
    </w:p>
    <w:p w14:paraId="01AC4F28" w14:textId="3A97F0E0" w:rsidR="00E73525" w:rsidRDefault="00E73525" w:rsidP="00E73525">
      <w:pPr>
        <w:pStyle w:val="ListParagraph"/>
        <w:spacing w:before="120" w:after="120"/>
        <w:ind w:left="360"/>
        <w:contextualSpacing w:val="0"/>
        <w:jc w:val="both"/>
        <w:rPr>
          <w:rFonts w:ascii="Arial" w:hAnsi="Arial" w:cs="Arial"/>
          <w:sz w:val="22"/>
          <w:szCs w:val="22"/>
          <w:lang w:val="pt-BR"/>
        </w:rPr>
      </w:pPr>
    </w:p>
    <w:p w14:paraId="7200A34E" w14:textId="77777777" w:rsidR="00E73525" w:rsidRPr="00E73525" w:rsidRDefault="00E73525" w:rsidP="00E73525">
      <w:pPr>
        <w:pStyle w:val="ListParagraph"/>
        <w:spacing w:before="120" w:after="120"/>
        <w:ind w:left="360"/>
        <w:contextualSpacing w:val="0"/>
        <w:jc w:val="both"/>
        <w:rPr>
          <w:rFonts w:ascii="Arial" w:hAnsi="Arial" w:cs="Arial"/>
          <w:i/>
          <w:sz w:val="22"/>
          <w:szCs w:val="22"/>
          <w:lang w:val="pt-BR"/>
        </w:rPr>
      </w:pPr>
    </w:p>
    <w:bookmarkEnd w:id="1"/>
    <w:p w14:paraId="0B0C5313" w14:textId="77777777" w:rsidR="00EC1E56" w:rsidRPr="00951B12" w:rsidRDefault="00AC7E08" w:rsidP="009F0EB2">
      <w:pPr>
        <w:pStyle w:val="ListParagraph"/>
        <w:numPr>
          <w:ilvl w:val="0"/>
          <w:numId w:val="5"/>
        </w:numPr>
        <w:spacing w:before="240" w:after="240"/>
        <w:contextualSpacing w:val="0"/>
        <w:jc w:val="both"/>
        <w:rPr>
          <w:rFonts w:ascii="Arial" w:hAnsi="Arial" w:cs="Arial"/>
          <w:b/>
          <w:sz w:val="22"/>
          <w:szCs w:val="22"/>
          <w:lang w:val="pt-BR"/>
        </w:rPr>
      </w:pPr>
      <w:r w:rsidRPr="00951B12">
        <w:rPr>
          <w:rFonts w:ascii="Arial" w:hAnsi="Arial" w:cs="Arial"/>
          <w:b/>
          <w:sz w:val="22"/>
          <w:szCs w:val="22"/>
          <w:lang w:val="pt-BR"/>
        </w:rPr>
        <w:lastRenderedPageBreak/>
        <w:t>Elegibilidade dos mutuários</w:t>
      </w:r>
    </w:p>
    <w:p w14:paraId="72DBA6A3" w14:textId="77777777" w:rsidR="00AC7E08" w:rsidRPr="00951B12" w:rsidRDefault="00AC7E08" w:rsidP="009F0EB2">
      <w:pPr>
        <w:pStyle w:val="ListParagraph"/>
        <w:numPr>
          <w:ilvl w:val="1"/>
          <w:numId w:val="1"/>
        </w:numPr>
        <w:spacing w:before="240" w:after="240"/>
        <w:jc w:val="both"/>
        <w:rPr>
          <w:rFonts w:ascii="Arial" w:hAnsi="Arial" w:cs="Arial"/>
          <w:sz w:val="22"/>
          <w:szCs w:val="22"/>
          <w:lang w:val="pt-BR"/>
        </w:rPr>
      </w:pPr>
      <w:r w:rsidRPr="00951B12">
        <w:rPr>
          <w:rFonts w:ascii="Arial" w:hAnsi="Arial" w:cs="Arial"/>
          <w:sz w:val="22"/>
          <w:szCs w:val="22"/>
          <w:lang w:val="pt-BR"/>
        </w:rPr>
        <w:t>Será elegível como mutuário no âmbito da Linha de Crédito CCLIP, o ente federado que conte com a recomendação favorável da COFIEX</w:t>
      </w:r>
      <w:r w:rsidRPr="00951B12">
        <w:rPr>
          <w:rStyle w:val="FootnoteReference"/>
          <w:rFonts w:ascii="Arial" w:hAnsi="Arial" w:cs="Arial"/>
          <w:sz w:val="22"/>
          <w:szCs w:val="22"/>
          <w:lang w:val="pt-BR"/>
        </w:rPr>
        <w:footnoteReference w:id="9"/>
      </w:r>
      <w:r w:rsidRPr="00951B12">
        <w:rPr>
          <w:rFonts w:ascii="Arial" w:hAnsi="Arial" w:cs="Arial"/>
          <w:sz w:val="22"/>
          <w:szCs w:val="22"/>
          <w:lang w:val="pt-BR"/>
        </w:rPr>
        <w:t>, para preparar o Projeto, visando o apoio financeiro de fontes externas.</w:t>
      </w:r>
    </w:p>
    <w:p w14:paraId="6F94B7E5" w14:textId="77777777" w:rsidR="00444778" w:rsidRPr="00951B12" w:rsidRDefault="00AC7E08" w:rsidP="009F0EB2">
      <w:pPr>
        <w:pStyle w:val="ListParagraph"/>
        <w:numPr>
          <w:ilvl w:val="1"/>
          <w:numId w:val="1"/>
        </w:numPr>
        <w:spacing w:before="120" w:after="120"/>
        <w:contextualSpacing w:val="0"/>
        <w:jc w:val="both"/>
        <w:rPr>
          <w:rFonts w:ascii="Arial" w:hAnsi="Arial" w:cs="Arial"/>
          <w:sz w:val="22"/>
          <w:szCs w:val="22"/>
          <w:lang w:val="pt-BR"/>
        </w:rPr>
      </w:pPr>
      <w:r w:rsidRPr="00951B12">
        <w:rPr>
          <w:rFonts w:ascii="Arial" w:hAnsi="Arial" w:cs="Arial"/>
          <w:sz w:val="22"/>
          <w:szCs w:val="22"/>
          <w:lang w:val="pt-BR"/>
        </w:rPr>
        <w:t>A análise realizada pela COFIEX</w:t>
      </w:r>
      <w:r w:rsidRPr="00951B12">
        <w:rPr>
          <w:rStyle w:val="FootnoteReference"/>
          <w:rFonts w:ascii="Arial" w:hAnsi="Arial" w:cs="Arial"/>
          <w:sz w:val="22"/>
          <w:szCs w:val="22"/>
          <w:lang w:val="pt-BR"/>
        </w:rPr>
        <w:footnoteReference w:id="10"/>
      </w:r>
      <w:r w:rsidRPr="00951B12">
        <w:rPr>
          <w:rFonts w:ascii="Arial" w:hAnsi="Arial" w:cs="Arial"/>
          <w:sz w:val="22"/>
          <w:szCs w:val="22"/>
          <w:lang w:val="pt-BR"/>
        </w:rPr>
        <w:t xml:space="preserve"> atende integralmente aos requisitos de uma Linha de Crédito CCLIP no que diz respeito a: (i) capacidade fiscal e institucional do órgão executor; (</w:t>
      </w:r>
      <w:proofErr w:type="spellStart"/>
      <w:r w:rsidRPr="00951B12">
        <w:rPr>
          <w:rFonts w:ascii="Arial" w:hAnsi="Arial" w:cs="Arial"/>
          <w:sz w:val="22"/>
          <w:szCs w:val="22"/>
          <w:lang w:val="pt-BR"/>
        </w:rPr>
        <w:t>ii</w:t>
      </w:r>
      <w:proofErr w:type="spellEnd"/>
      <w:r w:rsidRPr="00951B12">
        <w:rPr>
          <w:rFonts w:ascii="Arial" w:hAnsi="Arial" w:cs="Arial"/>
          <w:sz w:val="22"/>
          <w:szCs w:val="22"/>
          <w:lang w:val="pt-BR"/>
        </w:rPr>
        <w:t>) experiência na execução de projetos financiados com recursos externos; e, (</w:t>
      </w:r>
      <w:proofErr w:type="spellStart"/>
      <w:r w:rsidRPr="00951B12">
        <w:rPr>
          <w:rFonts w:ascii="Arial" w:hAnsi="Arial" w:cs="Arial"/>
          <w:sz w:val="22"/>
          <w:szCs w:val="22"/>
          <w:lang w:val="pt-BR"/>
        </w:rPr>
        <w:t>iii</w:t>
      </w:r>
      <w:proofErr w:type="spellEnd"/>
      <w:r w:rsidRPr="00951B12">
        <w:rPr>
          <w:rFonts w:ascii="Arial" w:hAnsi="Arial" w:cs="Arial"/>
          <w:sz w:val="22"/>
          <w:szCs w:val="22"/>
          <w:lang w:val="pt-BR"/>
        </w:rPr>
        <w:t xml:space="preserve">) aspectos técnicos da proposta. </w:t>
      </w:r>
    </w:p>
    <w:p w14:paraId="375FAF9F" w14:textId="77777777" w:rsidR="00444778" w:rsidRPr="00951B12" w:rsidRDefault="00AC7E08" w:rsidP="009F0EB2">
      <w:pPr>
        <w:pStyle w:val="ListParagraph"/>
        <w:numPr>
          <w:ilvl w:val="1"/>
          <w:numId w:val="1"/>
        </w:numPr>
        <w:spacing w:before="120" w:after="120"/>
        <w:contextualSpacing w:val="0"/>
        <w:jc w:val="both"/>
        <w:rPr>
          <w:rFonts w:ascii="Arial" w:hAnsi="Arial" w:cs="Arial"/>
          <w:sz w:val="22"/>
          <w:szCs w:val="22"/>
          <w:lang w:val="pt-BR"/>
        </w:rPr>
      </w:pPr>
      <w:r w:rsidRPr="00951B12">
        <w:rPr>
          <w:rFonts w:ascii="Arial" w:hAnsi="Arial" w:cs="Arial"/>
          <w:sz w:val="22"/>
          <w:szCs w:val="22"/>
          <w:lang w:val="pt-BR"/>
        </w:rPr>
        <w:t>A Recomendação da COFIEX baseia-se no atendimento aos seguintes requisitos mínimos: (i) compatibilidade da proposta com as prioridades do Governo Federal; (</w:t>
      </w:r>
      <w:proofErr w:type="spellStart"/>
      <w:r w:rsidRPr="00951B12">
        <w:rPr>
          <w:rFonts w:ascii="Arial" w:hAnsi="Arial" w:cs="Arial"/>
          <w:sz w:val="22"/>
          <w:szCs w:val="22"/>
          <w:lang w:val="pt-BR"/>
        </w:rPr>
        <w:t>ii</w:t>
      </w:r>
      <w:proofErr w:type="spellEnd"/>
      <w:r w:rsidRPr="00951B12">
        <w:rPr>
          <w:rFonts w:ascii="Arial" w:hAnsi="Arial" w:cs="Arial"/>
          <w:sz w:val="22"/>
          <w:szCs w:val="22"/>
          <w:lang w:val="pt-BR"/>
        </w:rPr>
        <w:t>) compatibilidade do financiamento externo com as políticas do Governo Federal; (</w:t>
      </w:r>
      <w:proofErr w:type="spellStart"/>
      <w:r w:rsidRPr="00951B12">
        <w:rPr>
          <w:rFonts w:ascii="Arial" w:hAnsi="Arial" w:cs="Arial"/>
          <w:sz w:val="22"/>
          <w:szCs w:val="22"/>
          <w:lang w:val="pt-BR"/>
        </w:rPr>
        <w:t>iii</w:t>
      </w:r>
      <w:proofErr w:type="spellEnd"/>
      <w:r w:rsidRPr="00951B12">
        <w:rPr>
          <w:rFonts w:ascii="Arial" w:hAnsi="Arial" w:cs="Arial"/>
          <w:sz w:val="22"/>
          <w:szCs w:val="22"/>
          <w:lang w:val="pt-BR"/>
        </w:rPr>
        <w:t>) compatibilidade da proposta com as metas fiscais do setor público; (</w:t>
      </w:r>
      <w:proofErr w:type="spellStart"/>
      <w:r w:rsidRPr="00951B12">
        <w:rPr>
          <w:rFonts w:ascii="Arial" w:hAnsi="Arial" w:cs="Arial"/>
          <w:sz w:val="22"/>
          <w:szCs w:val="22"/>
          <w:lang w:val="pt-BR"/>
        </w:rPr>
        <w:t>iv</w:t>
      </w:r>
      <w:proofErr w:type="spellEnd"/>
      <w:r w:rsidRPr="00951B12">
        <w:rPr>
          <w:rFonts w:ascii="Arial" w:hAnsi="Arial" w:cs="Arial"/>
          <w:sz w:val="22"/>
          <w:szCs w:val="22"/>
          <w:lang w:val="pt-BR"/>
        </w:rPr>
        <w:t>) avaliação dos aspectos técnicos da proposta; e, (v) avaliação do desempenho da carteira de projetos em execução do proponente mutuário e do órgão executor.</w:t>
      </w:r>
    </w:p>
    <w:p w14:paraId="6CE14219" w14:textId="77777777" w:rsidR="00444778" w:rsidRPr="00951B12" w:rsidRDefault="00AC7E08" w:rsidP="009F0EB2">
      <w:pPr>
        <w:pStyle w:val="ListParagraph"/>
        <w:numPr>
          <w:ilvl w:val="1"/>
          <w:numId w:val="1"/>
        </w:numPr>
        <w:spacing w:before="120" w:after="120"/>
        <w:contextualSpacing w:val="0"/>
        <w:jc w:val="both"/>
        <w:rPr>
          <w:rFonts w:ascii="Arial" w:hAnsi="Arial" w:cs="Arial"/>
          <w:sz w:val="22"/>
          <w:szCs w:val="22"/>
          <w:lang w:val="pt-BR"/>
        </w:rPr>
      </w:pPr>
      <w:r w:rsidRPr="00951B12">
        <w:rPr>
          <w:rFonts w:ascii="Arial" w:hAnsi="Arial" w:cs="Arial"/>
          <w:sz w:val="22"/>
          <w:szCs w:val="22"/>
          <w:lang w:val="pt-BR"/>
        </w:rPr>
        <w:t xml:space="preserve">No caso de entidades do Governo Federal, as recomendações da COFIEX estão condicionadas, adicionalmente, ao enquadramento do projeto dentro dos programas, ações e recursos previstos no Plano Plurianual (PPA), bem como à observância de fontes vinculadas de recursos, alternativas ao financiamento externo. </w:t>
      </w:r>
    </w:p>
    <w:p w14:paraId="18B1A309" w14:textId="77777777" w:rsidR="00AC7E08" w:rsidRPr="00951B12" w:rsidRDefault="00AC7E08" w:rsidP="009F0EB2">
      <w:pPr>
        <w:pStyle w:val="ListParagraph"/>
        <w:numPr>
          <w:ilvl w:val="1"/>
          <w:numId w:val="1"/>
        </w:numPr>
        <w:spacing w:before="120" w:after="120"/>
        <w:contextualSpacing w:val="0"/>
        <w:jc w:val="both"/>
        <w:rPr>
          <w:rFonts w:ascii="Arial" w:hAnsi="Arial" w:cs="Arial"/>
          <w:sz w:val="22"/>
          <w:szCs w:val="22"/>
          <w:lang w:val="pt-BR"/>
        </w:rPr>
      </w:pPr>
      <w:r w:rsidRPr="00951B12">
        <w:rPr>
          <w:rFonts w:ascii="Arial" w:hAnsi="Arial" w:cs="Arial"/>
          <w:sz w:val="22"/>
          <w:szCs w:val="22"/>
          <w:lang w:val="pt-BR"/>
        </w:rPr>
        <w:t>Nos casos dos Estados as recomendações da COFIEX estão condicionadas, adicionalmente, ao atendimento dos seguintes requisitos específicos: (i) capacidade de pagamento e de aporte de contrapartida do proponente mutuário, apurada pelo Ministério da Fazenda; e, (</w:t>
      </w:r>
      <w:proofErr w:type="spellStart"/>
      <w:r w:rsidRPr="00951B12">
        <w:rPr>
          <w:rFonts w:ascii="Arial" w:hAnsi="Arial" w:cs="Arial"/>
          <w:sz w:val="22"/>
          <w:szCs w:val="22"/>
          <w:lang w:val="pt-BR"/>
        </w:rPr>
        <w:t>ii</w:t>
      </w:r>
      <w:proofErr w:type="spellEnd"/>
      <w:r w:rsidRPr="00951B12">
        <w:rPr>
          <w:rFonts w:ascii="Arial" w:hAnsi="Arial" w:cs="Arial"/>
          <w:sz w:val="22"/>
          <w:szCs w:val="22"/>
          <w:lang w:val="pt-BR"/>
        </w:rPr>
        <w:t xml:space="preserve">) avaliação do cumprimento do contrato de renegociação da dívida entre o proponente mutuário e a União e do PAF a ele associado, quando existirem. </w:t>
      </w:r>
    </w:p>
    <w:p w14:paraId="71C83DC0" w14:textId="317CB46A" w:rsidR="00AC7E08" w:rsidRPr="00951B12" w:rsidRDefault="003A4B66" w:rsidP="009F0EB2">
      <w:pPr>
        <w:pStyle w:val="ListParagraph"/>
        <w:numPr>
          <w:ilvl w:val="0"/>
          <w:numId w:val="1"/>
        </w:numPr>
        <w:spacing w:before="240" w:after="240"/>
        <w:contextualSpacing w:val="0"/>
        <w:jc w:val="both"/>
        <w:rPr>
          <w:rFonts w:ascii="Arial" w:hAnsi="Arial" w:cs="Arial"/>
          <w:b/>
          <w:lang w:val="pt-BR"/>
        </w:rPr>
      </w:pPr>
      <w:bookmarkStart w:id="2" w:name="_Hlk20950029"/>
      <w:r w:rsidRPr="00951B12">
        <w:rPr>
          <w:rFonts w:ascii="Arial" w:hAnsi="Arial" w:cs="Arial"/>
          <w:b/>
          <w:lang w:val="pt-BR"/>
        </w:rPr>
        <w:t xml:space="preserve">Análise da Capacidade de Pagamento - </w:t>
      </w:r>
      <w:r w:rsidR="00AC7E08" w:rsidRPr="00951B12">
        <w:rPr>
          <w:rFonts w:ascii="Arial" w:hAnsi="Arial" w:cs="Arial"/>
          <w:b/>
          <w:lang w:val="pt-BR"/>
        </w:rPr>
        <w:t>Estado d</w:t>
      </w:r>
      <w:r w:rsidR="003E544E">
        <w:rPr>
          <w:rFonts w:ascii="Arial" w:hAnsi="Arial" w:cs="Arial"/>
          <w:b/>
          <w:lang w:val="pt-BR"/>
        </w:rPr>
        <w:t>o Rio Grande do Sul</w:t>
      </w:r>
    </w:p>
    <w:bookmarkEnd w:id="2"/>
    <w:p w14:paraId="29F5D268" w14:textId="33042BEC" w:rsidR="00AC7E08" w:rsidRPr="0061645E" w:rsidRDefault="0083087F" w:rsidP="009F0EB2">
      <w:pPr>
        <w:pStyle w:val="ListParagraph"/>
        <w:numPr>
          <w:ilvl w:val="1"/>
          <w:numId w:val="1"/>
        </w:numPr>
        <w:spacing w:before="240" w:after="240"/>
        <w:contextualSpacing w:val="0"/>
        <w:jc w:val="both"/>
        <w:rPr>
          <w:rFonts w:ascii="Arial" w:hAnsi="Arial" w:cs="Arial"/>
          <w:sz w:val="22"/>
          <w:szCs w:val="22"/>
          <w:lang w:val="pt-BR" w:eastAsia="pt-BR"/>
        </w:rPr>
      </w:pPr>
      <w:r>
        <w:rPr>
          <w:rFonts w:ascii="Arial" w:hAnsi="Arial" w:cs="Arial"/>
          <w:sz w:val="22"/>
          <w:szCs w:val="22"/>
          <w:lang w:val="pt-BR"/>
        </w:rPr>
        <w:t xml:space="preserve">A situação fiscal do Rio Grande do Sul inspira cuidados. </w:t>
      </w:r>
      <w:r w:rsidR="002B671D">
        <w:rPr>
          <w:rFonts w:ascii="Arial" w:hAnsi="Arial" w:cs="Arial"/>
          <w:sz w:val="22"/>
          <w:szCs w:val="22"/>
          <w:lang w:val="pt-BR"/>
        </w:rPr>
        <w:t xml:space="preserve">O Estado começou a adotar medidas para mitigar o risco </w:t>
      </w:r>
      <w:r w:rsidR="00BB282A" w:rsidRPr="0061645E">
        <w:rPr>
          <w:rFonts w:ascii="Arial" w:hAnsi="Arial" w:cs="Arial"/>
          <w:sz w:val="22"/>
          <w:szCs w:val="22"/>
          <w:lang w:val="pt-BR"/>
        </w:rPr>
        <w:t>de alocação de contrapartida</w:t>
      </w:r>
      <w:r w:rsidR="00B05022">
        <w:rPr>
          <w:rFonts w:ascii="Arial" w:hAnsi="Arial" w:cs="Arial"/>
          <w:sz w:val="22"/>
          <w:szCs w:val="22"/>
          <w:lang w:val="pt-BR"/>
        </w:rPr>
        <w:t xml:space="preserve"> assim como melhor a </w:t>
      </w:r>
      <w:r w:rsidR="00BB282A" w:rsidRPr="0061645E">
        <w:rPr>
          <w:rFonts w:ascii="Arial" w:hAnsi="Arial" w:cs="Arial"/>
          <w:sz w:val="22"/>
          <w:szCs w:val="22"/>
          <w:lang w:val="pt-BR" w:eastAsia="pt-BR"/>
        </w:rPr>
        <w:t>capacidade de endividamento entre o período que compreende o pagamento dos compromissos de amortização da dívida e os resultados do projeto</w:t>
      </w:r>
      <w:r w:rsidR="00AC7E08" w:rsidRPr="0061645E">
        <w:rPr>
          <w:rFonts w:ascii="Arial" w:hAnsi="Arial" w:cs="Arial"/>
          <w:sz w:val="22"/>
          <w:szCs w:val="22"/>
          <w:lang w:val="pt-BR" w:eastAsia="pt-BR"/>
        </w:rPr>
        <w:t>.</w:t>
      </w:r>
    </w:p>
    <w:p w14:paraId="6E1FBF4D" w14:textId="1586B7CD" w:rsidR="00E36E1C" w:rsidRPr="00FE6CD5" w:rsidRDefault="00BB282A" w:rsidP="009F0EB2">
      <w:pPr>
        <w:pStyle w:val="ListParagraph"/>
        <w:numPr>
          <w:ilvl w:val="1"/>
          <w:numId w:val="1"/>
        </w:numPr>
        <w:spacing w:before="120" w:after="120"/>
        <w:contextualSpacing w:val="0"/>
        <w:jc w:val="both"/>
        <w:rPr>
          <w:rFonts w:ascii="Arial" w:hAnsi="Arial" w:cs="Arial"/>
          <w:sz w:val="22"/>
          <w:szCs w:val="22"/>
          <w:lang w:val="pt-BR" w:eastAsia="pt-BR"/>
        </w:rPr>
      </w:pPr>
      <w:r w:rsidRPr="0061645E">
        <w:rPr>
          <w:rFonts w:ascii="Arial" w:hAnsi="Arial" w:cs="Arial"/>
          <w:sz w:val="22"/>
          <w:szCs w:val="22"/>
          <w:lang w:val="pt-BR"/>
        </w:rPr>
        <w:t>A Secretaria do Tesouro Nacional</w:t>
      </w:r>
      <w:r w:rsidRPr="0061645E">
        <w:rPr>
          <w:rFonts w:ascii="Arial" w:eastAsia="Times New Roman" w:hAnsi="Arial" w:cs="Arial"/>
          <w:sz w:val="22"/>
          <w:szCs w:val="22"/>
          <w:lang w:val="pt-PT" w:eastAsia="es-ES_tradnl"/>
        </w:rPr>
        <w:t xml:space="preserve"> faz uma avaliação da capacidade de pagamento dos governos subnacionais, a fim de oferecer ou não garantias soberanas para os empréstimos assumidos por esses governos. Na última avaliação do Tesouro Nacional, o </w:t>
      </w:r>
      <w:r w:rsidR="00B05022">
        <w:rPr>
          <w:rFonts w:ascii="Arial" w:eastAsia="Times New Roman" w:hAnsi="Arial" w:cs="Arial"/>
          <w:sz w:val="22"/>
          <w:szCs w:val="22"/>
          <w:lang w:val="pt-PT" w:eastAsia="es-ES_tradnl"/>
        </w:rPr>
        <w:t>Rio Grande do Sul recebeu a nota D</w:t>
      </w:r>
      <w:r w:rsidRPr="0061645E">
        <w:rPr>
          <w:rFonts w:ascii="Arial" w:eastAsia="Times New Roman" w:hAnsi="Arial" w:cs="Arial"/>
          <w:sz w:val="22"/>
          <w:szCs w:val="22"/>
          <w:lang w:val="pt-PT" w:eastAsia="es-ES_tradnl"/>
        </w:rPr>
        <w:t xml:space="preserve">, o que indicaria problemas financeiros. </w:t>
      </w:r>
      <w:r w:rsidR="007D58C4">
        <w:rPr>
          <w:rFonts w:ascii="Arial" w:eastAsia="Times New Roman" w:hAnsi="Arial" w:cs="Arial"/>
          <w:sz w:val="22"/>
          <w:szCs w:val="22"/>
          <w:lang w:val="pt-PT" w:eastAsia="es-ES_tradnl"/>
        </w:rPr>
        <w:t>O</w:t>
      </w:r>
      <w:r w:rsidRPr="0061645E">
        <w:rPr>
          <w:rFonts w:ascii="Arial" w:eastAsia="Times New Roman" w:hAnsi="Arial" w:cs="Arial"/>
          <w:sz w:val="22"/>
          <w:szCs w:val="22"/>
          <w:lang w:val="pt-PT" w:eastAsia="es-ES_tradnl"/>
        </w:rPr>
        <w:t xml:space="preserve"> estado </w:t>
      </w:r>
      <w:r w:rsidR="00C236C6" w:rsidRPr="0061645E">
        <w:rPr>
          <w:rFonts w:ascii="Arial" w:eastAsia="Times New Roman" w:hAnsi="Arial" w:cs="Arial"/>
          <w:sz w:val="22"/>
          <w:szCs w:val="22"/>
          <w:lang w:val="pt-PT" w:eastAsia="es-ES_tradnl"/>
        </w:rPr>
        <w:t>ob</w:t>
      </w:r>
      <w:r w:rsidRPr="0061645E">
        <w:rPr>
          <w:rFonts w:ascii="Arial" w:eastAsia="Times New Roman" w:hAnsi="Arial" w:cs="Arial"/>
          <w:sz w:val="22"/>
          <w:szCs w:val="22"/>
          <w:lang w:val="pt-PT" w:eastAsia="es-ES_tradnl"/>
        </w:rPr>
        <w:t>teve categoria</w:t>
      </w:r>
      <w:r w:rsidR="008D5B0A">
        <w:rPr>
          <w:rFonts w:ascii="Arial" w:eastAsia="Times New Roman" w:hAnsi="Arial" w:cs="Arial"/>
          <w:sz w:val="22"/>
          <w:szCs w:val="22"/>
          <w:lang w:val="pt-PT" w:eastAsia="es-ES_tradnl"/>
        </w:rPr>
        <w:t>s</w:t>
      </w:r>
      <w:r w:rsidRPr="0061645E">
        <w:rPr>
          <w:rFonts w:ascii="Arial" w:eastAsia="Times New Roman" w:hAnsi="Arial" w:cs="Arial"/>
          <w:sz w:val="22"/>
          <w:szCs w:val="22"/>
          <w:lang w:val="pt-PT" w:eastAsia="es-ES_tradnl"/>
        </w:rPr>
        <w:t xml:space="preserve"> C entre os três indicadores. No indicador de endividamento, o estado tem uma dívida consolidada </w:t>
      </w:r>
      <w:r w:rsidR="008D5B0A">
        <w:rPr>
          <w:rFonts w:ascii="Arial" w:eastAsia="Times New Roman" w:hAnsi="Arial" w:cs="Arial"/>
          <w:sz w:val="22"/>
          <w:szCs w:val="22"/>
          <w:lang w:val="pt-PT" w:eastAsia="es-ES_tradnl"/>
        </w:rPr>
        <w:t xml:space="preserve">duas vezes acima </w:t>
      </w:r>
      <w:r w:rsidRPr="0061645E">
        <w:rPr>
          <w:rFonts w:ascii="Arial" w:eastAsia="Times New Roman" w:hAnsi="Arial" w:cs="Arial"/>
          <w:sz w:val="22"/>
          <w:szCs w:val="22"/>
          <w:lang w:val="pt-PT" w:eastAsia="es-ES_tradnl"/>
        </w:rPr>
        <w:t>d</w:t>
      </w:r>
      <w:r w:rsidR="00C236C6" w:rsidRPr="0061645E">
        <w:rPr>
          <w:rFonts w:ascii="Arial" w:eastAsia="Times New Roman" w:hAnsi="Arial" w:cs="Arial"/>
          <w:sz w:val="22"/>
          <w:szCs w:val="22"/>
          <w:lang w:val="pt-PT" w:eastAsia="es-ES_tradnl"/>
        </w:rPr>
        <w:t xml:space="preserve">e sua receita corrente </w:t>
      </w:r>
      <w:r w:rsidRPr="0061645E">
        <w:rPr>
          <w:rFonts w:ascii="Arial" w:eastAsia="Times New Roman" w:hAnsi="Arial" w:cs="Arial"/>
          <w:sz w:val="22"/>
          <w:szCs w:val="22"/>
          <w:lang w:val="pt-PT" w:eastAsia="es-ES_tradnl"/>
        </w:rPr>
        <w:t>líquid</w:t>
      </w:r>
      <w:r w:rsidR="00C236C6" w:rsidRPr="0061645E">
        <w:rPr>
          <w:rFonts w:ascii="Arial" w:eastAsia="Times New Roman" w:hAnsi="Arial" w:cs="Arial"/>
          <w:sz w:val="22"/>
          <w:szCs w:val="22"/>
          <w:lang w:val="pt-PT" w:eastAsia="es-ES_tradnl"/>
        </w:rPr>
        <w:t>a</w:t>
      </w:r>
      <w:r w:rsidRPr="0061645E">
        <w:rPr>
          <w:rFonts w:ascii="Arial" w:eastAsia="Times New Roman" w:hAnsi="Arial" w:cs="Arial"/>
          <w:sz w:val="22"/>
          <w:szCs w:val="22"/>
          <w:lang w:val="pt-PT" w:eastAsia="es-ES_tradnl"/>
        </w:rPr>
        <w:t xml:space="preserve"> (</w:t>
      </w:r>
      <w:r w:rsidR="008D5B0A">
        <w:rPr>
          <w:rFonts w:ascii="Arial" w:eastAsia="Times New Roman" w:hAnsi="Arial" w:cs="Arial"/>
          <w:sz w:val="22"/>
          <w:szCs w:val="22"/>
          <w:lang w:val="pt-PT" w:eastAsia="es-ES_tradnl"/>
        </w:rPr>
        <w:t>216,3</w:t>
      </w:r>
      <w:r w:rsidRPr="0061645E">
        <w:rPr>
          <w:rFonts w:ascii="Arial" w:eastAsia="Times New Roman" w:hAnsi="Arial" w:cs="Arial"/>
          <w:sz w:val="22"/>
          <w:szCs w:val="22"/>
          <w:lang w:val="pt-PT" w:eastAsia="es-ES_tradnl"/>
        </w:rPr>
        <w:t xml:space="preserve">%). No indicador de liquidez, suas obrigações financeiras </w:t>
      </w:r>
      <w:r w:rsidR="008D5B0A">
        <w:rPr>
          <w:rFonts w:ascii="Arial" w:eastAsia="Times New Roman" w:hAnsi="Arial" w:cs="Arial"/>
          <w:sz w:val="22"/>
          <w:szCs w:val="22"/>
          <w:lang w:val="pt-PT" w:eastAsia="es-ES_tradnl"/>
        </w:rPr>
        <w:t xml:space="preserve">são </w:t>
      </w:r>
      <w:r w:rsidRPr="0061645E">
        <w:rPr>
          <w:rFonts w:ascii="Arial" w:eastAsia="Times New Roman" w:hAnsi="Arial" w:cs="Arial"/>
          <w:sz w:val="22"/>
          <w:szCs w:val="22"/>
          <w:lang w:val="pt-PT" w:eastAsia="es-ES_tradnl"/>
        </w:rPr>
        <w:t xml:space="preserve">substancialmente </w:t>
      </w:r>
      <w:r w:rsidR="00C236C6" w:rsidRPr="0061645E">
        <w:rPr>
          <w:rFonts w:ascii="Arial" w:eastAsia="Times New Roman" w:hAnsi="Arial" w:cs="Arial"/>
          <w:sz w:val="22"/>
          <w:szCs w:val="22"/>
          <w:lang w:val="pt-PT" w:eastAsia="es-ES_tradnl"/>
        </w:rPr>
        <w:t>m</w:t>
      </w:r>
      <w:r w:rsidR="008D5B0A">
        <w:rPr>
          <w:rFonts w:ascii="Arial" w:eastAsia="Times New Roman" w:hAnsi="Arial" w:cs="Arial"/>
          <w:sz w:val="22"/>
          <w:szCs w:val="22"/>
          <w:lang w:val="pt-PT" w:eastAsia="es-ES_tradnl"/>
        </w:rPr>
        <w:t xml:space="preserve">aiores que </w:t>
      </w:r>
      <w:r w:rsidRPr="0061645E">
        <w:rPr>
          <w:rFonts w:ascii="Arial" w:eastAsia="Times New Roman" w:hAnsi="Arial" w:cs="Arial"/>
          <w:sz w:val="22"/>
          <w:szCs w:val="22"/>
          <w:lang w:val="pt-PT" w:eastAsia="es-ES_tradnl"/>
        </w:rPr>
        <w:t>sua disponibilidade de caixa (</w:t>
      </w:r>
      <w:r w:rsidR="008D5B0A">
        <w:rPr>
          <w:rFonts w:ascii="Arial" w:eastAsia="Times New Roman" w:hAnsi="Arial" w:cs="Arial"/>
          <w:sz w:val="22"/>
          <w:szCs w:val="22"/>
          <w:lang w:val="pt-PT" w:eastAsia="es-ES_tradnl"/>
        </w:rPr>
        <w:t>641</w:t>
      </w:r>
      <w:r w:rsidRPr="0061645E">
        <w:rPr>
          <w:rFonts w:ascii="Arial" w:eastAsia="Times New Roman" w:hAnsi="Arial" w:cs="Arial"/>
          <w:sz w:val="22"/>
          <w:szCs w:val="22"/>
          <w:lang w:val="pt-PT" w:eastAsia="es-ES_tradnl"/>
        </w:rPr>
        <w:t>%). A classificação C no indicador de poupança líquida</w:t>
      </w:r>
      <w:r w:rsidR="00C236C6" w:rsidRPr="0061645E">
        <w:rPr>
          <w:rFonts w:ascii="Arial" w:eastAsia="Times New Roman" w:hAnsi="Arial" w:cs="Arial"/>
          <w:sz w:val="22"/>
          <w:szCs w:val="22"/>
          <w:lang w:val="pt-PT" w:eastAsia="es-ES_tradnl"/>
        </w:rPr>
        <w:t>,</w:t>
      </w:r>
      <w:r w:rsidRPr="0061645E">
        <w:rPr>
          <w:rFonts w:ascii="Arial" w:eastAsia="Times New Roman" w:hAnsi="Arial" w:cs="Arial"/>
          <w:sz w:val="22"/>
          <w:szCs w:val="22"/>
          <w:lang w:val="pt-PT" w:eastAsia="es-ES_tradnl"/>
        </w:rPr>
        <w:t xml:space="preserve"> que mede </w:t>
      </w:r>
      <w:r w:rsidR="00C236C6" w:rsidRPr="0061645E">
        <w:rPr>
          <w:rFonts w:ascii="Arial" w:eastAsia="Times New Roman" w:hAnsi="Arial" w:cs="Arial"/>
          <w:sz w:val="22"/>
          <w:szCs w:val="22"/>
          <w:lang w:val="pt-PT" w:eastAsia="es-ES_tradnl"/>
        </w:rPr>
        <w:t xml:space="preserve">os gastos correntes como proporção </w:t>
      </w:r>
      <w:r w:rsidR="00C236C6" w:rsidRPr="0061645E">
        <w:rPr>
          <w:rFonts w:ascii="Arial" w:eastAsia="Times New Roman" w:hAnsi="Arial" w:cs="Arial"/>
          <w:sz w:val="22"/>
          <w:szCs w:val="22"/>
          <w:lang w:val="pt-PT" w:eastAsia="es-ES_tradnl"/>
        </w:rPr>
        <w:lastRenderedPageBreak/>
        <w:t>da receita corrente ajustada</w:t>
      </w:r>
      <w:r w:rsidRPr="0061645E">
        <w:rPr>
          <w:rFonts w:ascii="Arial" w:eastAsia="Times New Roman" w:hAnsi="Arial" w:cs="Arial"/>
          <w:sz w:val="22"/>
          <w:szCs w:val="22"/>
          <w:lang w:val="pt-PT" w:eastAsia="es-ES_tradnl"/>
        </w:rPr>
        <w:t xml:space="preserve"> ajustad</w:t>
      </w:r>
      <w:r w:rsidR="00C236C6" w:rsidRPr="0061645E">
        <w:rPr>
          <w:rFonts w:ascii="Arial" w:eastAsia="Times New Roman" w:hAnsi="Arial" w:cs="Arial"/>
          <w:sz w:val="22"/>
          <w:szCs w:val="22"/>
          <w:lang w:val="pt-PT" w:eastAsia="es-ES_tradnl"/>
        </w:rPr>
        <w:t>a</w:t>
      </w:r>
      <w:r w:rsidRPr="0061645E">
        <w:rPr>
          <w:rFonts w:ascii="Arial" w:eastAsia="Times New Roman" w:hAnsi="Arial" w:cs="Arial"/>
          <w:sz w:val="22"/>
          <w:szCs w:val="22"/>
          <w:lang w:val="pt-PT" w:eastAsia="es-ES_tradnl"/>
        </w:rPr>
        <w:t xml:space="preserve"> (</w:t>
      </w:r>
      <w:r w:rsidR="008D5B0A">
        <w:rPr>
          <w:rFonts w:ascii="Arial" w:eastAsia="Times New Roman" w:hAnsi="Arial" w:cs="Arial"/>
          <w:sz w:val="22"/>
          <w:szCs w:val="22"/>
          <w:lang w:val="pt-PT" w:eastAsia="es-ES_tradnl"/>
        </w:rPr>
        <w:t>101,95</w:t>
      </w:r>
      <w:r w:rsidRPr="0061645E">
        <w:rPr>
          <w:rFonts w:ascii="Arial" w:eastAsia="Times New Roman" w:hAnsi="Arial" w:cs="Arial"/>
          <w:sz w:val="22"/>
          <w:szCs w:val="22"/>
          <w:lang w:val="pt-PT" w:eastAsia="es-ES_tradnl"/>
        </w:rPr>
        <w:t>%)</w:t>
      </w:r>
      <w:r w:rsidR="00C236C6" w:rsidRPr="0061645E">
        <w:rPr>
          <w:rFonts w:ascii="Arial" w:eastAsia="Times New Roman" w:hAnsi="Arial" w:cs="Arial"/>
          <w:sz w:val="22"/>
          <w:szCs w:val="22"/>
          <w:lang w:val="pt-PT" w:eastAsia="es-ES_tradnl"/>
        </w:rPr>
        <w:t>,</w:t>
      </w:r>
      <w:r w:rsidRPr="0061645E">
        <w:rPr>
          <w:rFonts w:ascii="Arial" w:eastAsia="Times New Roman" w:hAnsi="Arial" w:cs="Arial"/>
          <w:sz w:val="22"/>
          <w:szCs w:val="22"/>
          <w:lang w:val="pt-PT" w:eastAsia="es-ES_tradnl"/>
        </w:rPr>
        <w:t xml:space="preserve"> </w:t>
      </w:r>
      <w:r w:rsidR="008D5B0A">
        <w:rPr>
          <w:rFonts w:ascii="Arial" w:eastAsia="Times New Roman" w:hAnsi="Arial" w:cs="Arial"/>
          <w:sz w:val="22"/>
          <w:szCs w:val="22"/>
          <w:lang w:val="pt-PT" w:eastAsia="es-ES_tradnl"/>
        </w:rPr>
        <w:t xml:space="preserve">também recebeu </w:t>
      </w:r>
      <w:r w:rsidRPr="0061645E">
        <w:rPr>
          <w:rFonts w:ascii="Arial" w:eastAsia="Times New Roman" w:hAnsi="Arial" w:cs="Arial"/>
          <w:sz w:val="22"/>
          <w:szCs w:val="22"/>
          <w:lang w:val="pt-PT" w:eastAsia="es-ES_tradnl"/>
        </w:rPr>
        <w:t xml:space="preserve">a classificação </w:t>
      </w:r>
      <w:r w:rsidR="008D5B0A">
        <w:rPr>
          <w:rFonts w:ascii="Arial" w:eastAsia="Times New Roman" w:hAnsi="Arial" w:cs="Arial"/>
          <w:sz w:val="22"/>
          <w:szCs w:val="22"/>
          <w:lang w:val="pt-PT" w:eastAsia="es-ES_tradnl"/>
        </w:rPr>
        <w:t>C</w:t>
      </w:r>
      <w:r w:rsidRPr="0061645E">
        <w:rPr>
          <w:rFonts w:ascii="Arial" w:eastAsia="Times New Roman" w:hAnsi="Arial" w:cs="Arial"/>
          <w:sz w:val="22"/>
          <w:szCs w:val="22"/>
          <w:lang w:val="pt-PT" w:eastAsia="es-ES_tradnl"/>
        </w:rPr>
        <w:t xml:space="preserve">. </w:t>
      </w:r>
      <w:r w:rsidR="008D5B0A">
        <w:rPr>
          <w:rFonts w:ascii="Arial" w:eastAsia="Times New Roman" w:hAnsi="Arial" w:cs="Arial"/>
          <w:sz w:val="22"/>
          <w:szCs w:val="22"/>
          <w:lang w:val="pt-PT" w:eastAsia="es-ES_tradnl"/>
        </w:rPr>
        <w:t xml:space="preserve">Embora a capacidade de pagamento do Rio Grande do Sul possa ser caracterizada como dificil, </w:t>
      </w:r>
      <w:r w:rsidRPr="008D5B0A">
        <w:rPr>
          <w:rFonts w:ascii="Arial" w:eastAsia="Times New Roman" w:hAnsi="Arial" w:cs="Arial"/>
          <w:sz w:val="22"/>
          <w:szCs w:val="22"/>
          <w:lang w:val="pt-PT" w:eastAsia="es-ES_tradnl"/>
        </w:rPr>
        <w:t xml:space="preserve">o governo está tomando medidas para </w:t>
      </w:r>
      <w:r w:rsidR="008D5B0A">
        <w:rPr>
          <w:rFonts w:ascii="Arial" w:eastAsia="Times New Roman" w:hAnsi="Arial" w:cs="Arial"/>
          <w:sz w:val="22"/>
          <w:szCs w:val="22"/>
          <w:lang w:val="pt-PT" w:eastAsia="es-ES_tradnl"/>
        </w:rPr>
        <w:t>melhorar os tr</w:t>
      </w:r>
      <w:r w:rsidR="002A05E7">
        <w:rPr>
          <w:rFonts w:ascii="Arial" w:eastAsia="Times New Roman" w:hAnsi="Arial" w:cs="Arial"/>
          <w:sz w:val="22"/>
          <w:szCs w:val="22"/>
          <w:lang w:val="pt-PT" w:eastAsia="es-ES_tradnl"/>
        </w:rPr>
        <w:t>ê</w:t>
      </w:r>
      <w:r w:rsidR="008D5B0A">
        <w:rPr>
          <w:rFonts w:ascii="Arial" w:eastAsia="Times New Roman" w:hAnsi="Arial" w:cs="Arial"/>
          <w:sz w:val="22"/>
          <w:szCs w:val="22"/>
          <w:lang w:val="pt-PT" w:eastAsia="es-ES_tradnl"/>
        </w:rPr>
        <w:t>s indicadores discutidos</w:t>
      </w:r>
      <w:r w:rsidR="00E36E1C">
        <w:rPr>
          <w:rFonts w:ascii="Arial" w:eastAsia="Times New Roman" w:hAnsi="Arial" w:cs="Arial"/>
          <w:sz w:val="22"/>
          <w:szCs w:val="22"/>
          <w:lang w:val="pt-PT" w:eastAsia="es-ES_tradnl"/>
        </w:rPr>
        <w:t>, no sentido de retomar o equilibrio de suas contas. Entre as principais, pode-se destacar:</w:t>
      </w:r>
    </w:p>
    <w:p w14:paraId="268A036B" w14:textId="4ECA433F" w:rsidR="00FE6CD5" w:rsidRPr="00FE6CD5" w:rsidRDefault="00E36E1C"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FE6CD5">
        <w:rPr>
          <w:rFonts w:ascii="Arial" w:eastAsia="Times New Roman" w:hAnsi="Arial" w:cs="Arial"/>
          <w:b/>
          <w:bCs/>
          <w:sz w:val="22"/>
          <w:szCs w:val="22"/>
          <w:lang w:val="pt-PT" w:eastAsia="es-ES_tradnl"/>
        </w:rPr>
        <w:t>Dívida com a União:</w:t>
      </w:r>
      <w:r w:rsidRPr="00FE6CD5">
        <w:rPr>
          <w:rFonts w:ascii="Arial" w:eastAsia="Times New Roman" w:hAnsi="Arial" w:cs="Arial"/>
          <w:sz w:val="22"/>
          <w:szCs w:val="22"/>
          <w:lang w:val="pt-PT" w:eastAsia="es-ES_tradnl"/>
        </w:rPr>
        <w:t xml:space="preserve"> Renegociação da Dívida com a União (LC nº 148/2014, 151/2015 e 156/2016) permitindo a redução dos indexadores da dívida de 6% ao ano mais correção pelo IGP-DI para 4% ao ano corrigidos pelo IPCA, limitados a SELIC (redução no estoque da dívida em 2028 em torno de R$ 22 bilhões, dos quais R$ 5 bilhões no saldo da dívida ao final de 2017); alongamento do prazo total por 20 anos, carência total das parcelas da dívida de julho/2016 a dezembro/2016 e parcial de janeiro/2017 a junho/2018 e parcelamento em 24 vezes das parcelas não pagas relativo ao período de abril a junho de 2016 (impacto no fluxo de caixa de R$ 5,4 bilhões entre 2016 e 2018 e redução da parcela mensal em cerca de R$ 50 milhões/mês)</w:t>
      </w:r>
      <w:r w:rsidR="00FE6CD5">
        <w:rPr>
          <w:rFonts w:ascii="Arial" w:eastAsia="Times New Roman" w:hAnsi="Arial" w:cs="Arial"/>
          <w:sz w:val="22"/>
          <w:szCs w:val="22"/>
          <w:lang w:val="pt-PT" w:eastAsia="es-ES_tradnl"/>
        </w:rPr>
        <w:t xml:space="preserve">. Adicionalmente, está sendo negociado </w:t>
      </w:r>
      <w:r w:rsidRPr="00FE6CD5">
        <w:rPr>
          <w:rFonts w:ascii="Arial" w:eastAsia="Times New Roman" w:hAnsi="Arial" w:cs="Arial"/>
          <w:sz w:val="22"/>
          <w:szCs w:val="22"/>
          <w:lang w:val="pt-PT" w:eastAsia="es-ES_tradnl"/>
        </w:rPr>
        <w:t>com governo federal a adesão ao Regime de Recuperação Fiscal (cuja expectativa é de efetivo ingresso ainda em 2019) e a suspensão temporária do pagamento das parcelas da dívida com a União por força da liminar obtida em 2017, antecipando os efeitos da adesão do Estado ao Regime de Recuperação Fiscal (item descrito mais adiante).</w:t>
      </w:r>
    </w:p>
    <w:p w14:paraId="10C55653" w14:textId="553327C8" w:rsidR="00E36E1C" w:rsidRPr="00FE6CD5" w:rsidRDefault="00E36E1C"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FE6CD5">
        <w:rPr>
          <w:rFonts w:ascii="Arial" w:eastAsia="Times New Roman" w:hAnsi="Arial" w:cs="Arial"/>
          <w:b/>
          <w:bCs/>
          <w:sz w:val="22"/>
          <w:szCs w:val="22"/>
          <w:lang w:val="pt-PT" w:eastAsia="es-ES_tradnl"/>
        </w:rPr>
        <w:t>Previdência:</w:t>
      </w:r>
      <w:r w:rsidRPr="00FE6CD5">
        <w:rPr>
          <w:rFonts w:ascii="Arial" w:eastAsia="Times New Roman" w:hAnsi="Arial" w:cs="Arial"/>
          <w:sz w:val="22"/>
          <w:szCs w:val="22"/>
          <w:lang w:val="pt-PT" w:eastAsia="es-ES_tradnl"/>
        </w:rPr>
        <w:t xml:space="preserve"> Foi instituído o Regime de Previdência Complementar para os novos servidores (LC nº 14.750/15). A partir de agosto de 2016, os servidores que ingressarem no Estado terão seus proventos de aposentadoria e pensão limitados ao teto do Regime Geral da Previdência Social – RGPS. Aumento para 14% da Contribuição para os servidores vinculados ao Regime Próprio de Previdência, civis e militares, de todos os Poderes (LC’s nº 14.967/16 e nº 14.968/16).</w:t>
      </w:r>
    </w:p>
    <w:p w14:paraId="7D8D62C0" w14:textId="77777777" w:rsidR="00E36E1C" w:rsidRPr="00E36E1C" w:rsidRDefault="00E36E1C"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E36E1C">
        <w:rPr>
          <w:rFonts w:ascii="Arial" w:eastAsia="Times New Roman" w:hAnsi="Arial" w:cs="Arial"/>
          <w:b/>
          <w:bCs/>
          <w:sz w:val="22"/>
          <w:szCs w:val="22"/>
          <w:lang w:val="pt-PT" w:eastAsia="es-ES_tradnl"/>
        </w:rPr>
        <w:t>Lei de Responsabilidade Fiscal Estadual</w:t>
      </w:r>
      <w:r w:rsidRPr="00E36E1C">
        <w:rPr>
          <w:rFonts w:ascii="Arial" w:eastAsia="Times New Roman" w:hAnsi="Arial" w:cs="Arial"/>
          <w:sz w:val="22"/>
          <w:szCs w:val="22"/>
          <w:lang w:val="pt-PT" w:eastAsia="es-ES_tradnl"/>
        </w:rPr>
        <w:t xml:space="preserve">: De forma pioneira, foi aprovada a “Lei de Responsabilidade Fiscal Estadual” (LC nº 14.836/16), estabelecendo normas de finanças públicas voltadas para a responsabilidade da gestão fiscal e criando mecanismos prudenciais de controle com o objetivo de alcançar o equilíbrio financeiro das contas públicas. </w:t>
      </w:r>
    </w:p>
    <w:p w14:paraId="2B139E01" w14:textId="77777777" w:rsidR="00FE6CD5" w:rsidRDefault="00E36E1C"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E36E1C">
        <w:rPr>
          <w:rFonts w:ascii="Arial" w:eastAsia="Times New Roman" w:hAnsi="Arial" w:cs="Arial"/>
          <w:b/>
          <w:bCs/>
          <w:sz w:val="22"/>
          <w:szCs w:val="22"/>
          <w:lang w:val="pt-PT" w:eastAsia="es-ES_tradnl"/>
        </w:rPr>
        <w:t>Outras iniciativas</w:t>
      </w:r>
      <w:r w:rsidRPr="00E36E1C">
        <w:rPr>
          <w:rFonts w:ascii="Arial" w:eastAsia="Times New Roman" w:hAnsi="Arial" w:cs="Arial"/>
          <w:sz w:val="22"/>
          <w:szCs w:val="22"/>
          <w:lang w:val="pt-PT" w:eastAsia="es-ES_tradnl"/>
        </w:rPr>
        <w:t>: Fim dos saques dos depósitos judiciais em janeiro de 2018, cujo passivo acumulado supera R$ 10,7 bilhões; equalização das alíquotas do ICMS com outros Estados (2016-2020); criação do Fundo de Proteção e Amparo Social do Estado – AMPARA/RS, instituição da Câmara de Conciliação de Precatórios, que possibilitará seus pagamentos com deságio de até 40% e do COMPENSA-RS para compensar débitos inscritos em dívida ativa com precatórios vencidos.</w:t>
      </w:r>
    </w:p>
    <w:p w14:paraId="6AA9CEED" w14:textId="70092D16" w:rsidR="00E36E1C" w:rsidRPr="00E36E1C" w:rsidRDefault="00E36E1C" w:rsidP="009F0EB2">
      <w:pPr>
        <w:pStyle w:val="ListParagraph"/>
        <w:numPr>
          <w:ilvl w:val="1"/>
          <w:numId w:val="1"/>
        </w:numPr>
        <w:spacing w:before="120" w:after="120"/>
        <w:contextualSpacing w:val="0"/>
        <w:jc w:val="both"/>
        <w:rPr>
          <w:rFonts w:ascii="Arial" w:eastAsia="Times New Roman" w:hAnsi="Arial" w:cs="Arial"/>
          <w:sz w:val="22"/>
          <w:szCs w:val="22"/>
          <w:lang w:val="pt-PT" w:eastAsia="es-ES_tradnl"/>
        </w:rPr>
      </w:pPr>
      <w:r w:rsidRPr="00E36E1C">
        <w:rPr>
          <w:rFonts w:ascii="Arial" w:eastAsia="Times New Roman" w:hAnsi="Arial" w:cs="Arial"/>
          <w:sz w:val="22"/>
          <w:szCs w:val="22"/>
          <w:lang w:val="pt-PT" w:eastAsia="es-ES_tradnl"/>
        </w:rPr>
        <w:t>Para a Gestão 2019-2022 as ações visando o equilíbrio fiscal estão contempladas no âmbito do Programa RS Sustentável estruturado em três eixos: Racionalização das Despesas, Modernização das Receitas e Desestatização e Parcerias Privadas.</w:t>
      </w:r>
    </w:p>
    <w:p w14:paraId="0F745A9A" w14:textId="77777777" w:rsidR="00E36E1C" w:rsidRPr="00E36E1C" w:rsidRDefault="00E36E1C"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E36E1C">
        <w:rPr>
          <w:rFonts w:ascii="Arial" w:eastAsia="Times New Roman" w:hAnsi="Arial" w:cs="Arial"/>
          <w:b/>
          <w:bCs/>
          <w:sz w:val="22"/>
          <w:szCs w:val="22"/>
          <w:lang w:val="pt-PT" w:eastAsia="es-ES_tradnl"/>
        </w:rPr>
        <w:t>O Eixo Racionalização das Despesas</w:t>
      </w:r>
      <w:r w:rsidRPr="00E36E1C">
        <w:rPr>
          <w:rFonts w:ascii="Arial" w:eastAsia="Times New Roman" w:hAnsi="Arial" w:cs="Arial"/>
          <w:sz w:val="22"/>
          <w:szCs w:val="22"/>
          <w:lang w:val="pt-PT" w:eastAsia="es-ES_tradnl"/>
        </w:rPr>
        <w:t xml:space="preserve"> engloba as iniciativas voltadas à Revisão das Despesas de Pessoal (alterações na estrutura remuneratória, atualização de Estatutos, estabelecimento de políticas de treinamento e de valorização dos servidores); Reforma da Previdência Estadual (implantação no âmbito estadual das regras da Reforma Constitucional PEC 06/2019 – civis </w:t>
      </w:r>
      <w:r w:rsidRPr="00E36E1C">
        <w:rPr>
          <w:rFonts w:ascii="Arial" w:eastAsia="Times New Roman" w:hAnsi="Arial" w:cs="Arial"/>
          <w:sz w:val="22"/>
          <w:szCs w:val="22"/>
          <w:lang w:val="pt-PT" w:eastAsia="es-ES_tradnl"/>
        </w:rPr>
        <w:lastRenderedPageBreak/>
        <w:t>e PL 1645/2019 - militares e outras de alçada local); Plano de Precatórios (Plano de Quitação de Precatórios compatível com a capacidade de pagamento do Estado); Eficiência do Gasto Corrente (controle de gastos discricionários, em termos de volume e de qualidade e quitação de restos a pagar de acordo com a capacidade do Estado); e Regime de Recuperação Fiscal (adesão ao Regime e acompanhamento das medidas de ajuste fiscal).</w:t>
      </w:r>
    </w:p>
    <w:p w14:paraId="7DC48D20" w14:textId="77777777" w:rsidR="00E36E1C" w:rsidRPr="00E36E1C" w:rsidRDefault="00E36E1C"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E36E1C">
        <w:rPr>
          <w:rFonts w:ascii="Arial" w:eastAsia="Times New Roman" w:hAnsi="Arial" w:cs="Arial"/>
          <w:b/>
          <w:bCs/>
          <w:sz w:val="22"/>
          <w:szCs w:val="22"/>
          <w:lang w:val="pt-PT" w:eastAsia="es-ES_tradnl"/>
        </w:rPr>
        <w:t>As ações do Eixo Modernização das Receitas</w:t>
      </w:r>
      <w:r w:rsidRPr="00E36E1C">
        <w:rPr>
          <w:rFonts w:ascii="Arial" w:eastAsia="Times New Roman" w:hAnsi="Arial" w:cs="Arial"/>
          <w:sz w:val="22"/>
          <w:szCs w:val="22"/>
          <w:lang w:val="pt-PT" w:eastAsia="es-ES_tradnl"/>
        </w:rPr>
        <w:t xml:space="preserve"> consistem na execução dos Planos de otimização e eficiência da Administração Tributária, Recuperação de Dívida Ativa e Administração Patrimonial (ações com resultados perenes), bem como Operações Financeiras para Gestão da Liquidez (ações visando a busca de oportunidades pontuais de receitas extraordinárias, exclusivamente para gestão de liquidez, mas vedada utilização como lastro para novos gastos recorrentes).</w:t>
      </w:r>
    </w:p>
    <w:p w14:paraId="1B080421" w14:textId="77777777" w:rsidR="00FE6CD5" w:rsidRDefault="00FE6CD5"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FE6CD5">
        <w:rPr>
          <w:rFonts w:ascii="Arial" w:eastAsia="Times New Roman" w:hAnsi="Arial" w:cs="Arial"/>
          <w:b/>
          <w:bCs/>
          <w:sz w:val="22"/>
          <w:szCs w:val="22"/>
          <w:lang w:val="pt-PT" w:eastAsia="es-ES_tradnl"/>
        </w:rPr>
        <w:t>O</w:t>
      </w:r>
      <w:r w:rsidR="00E36E1C" w:rsidRPr="00E36E1C">
        <w:rPr>
          <w:rFonts w:ascii="Arial" w:eastAsia="Times New Roman" w:hAnsi="Arial" w:cs="Arial"/>
          <w:b/>
          <w:bCs/>
          <w:sz w:val="22"/>
          <w:szCs w:val="22"/>
          <w:lang w:val="pt-PT" w:eastAsia="es-ES_tradnl"/>
        </w:rPr>
        <w:t xml:space="preserve"> Eixo Desestatização e Parcerias Privadas</w:t>
      </w:r>
      <w:r w:rsidR="00E36E1C" w:rsidRPr="00E36E1C">
        <w:rPr>
          <w:rFonts w:ascii="Arial" w:eastAsia="Times New Roman" w:hAnsi="Arial" w:cs="Arial"/>
          <w:sz w:val="22"/>
          <w:szCs w:val="22"/>
          <w:lang w:val="pt-PT" w:eastAsia="es-ES_tradnl"/>
        </w:rPr>
        <w:t xml:space="preserve"> abarca as Privatizações, Aberturas de Capital, Concessões e Parcerias Público-Privadas, objetivando o aumento dos investimentos em infraestrutura do Estado em parceria com o setor privado</w:t>
      </w:r>
      <w:r>
        <w:rPr>
          <w:rFonts w:ascii="Arial" w:eastAsia="Times New Roman" w:hAnsi="Arial" w:cs="Arial"/>
          <w:sz w:val="22"/>
          <w:szCs w:val="22"/>
          <w:lang w:val="pt-PT" w:eastAsia="es-ES_tradnl"/>
        </w:rPr>
        <w:t>.</w:t>
      </w:r>
    </w:p>
    <w:p w14:paraId="7A890E93" w14:textId="77777777" w:rsidR="00FE6CD5" w:rsidRDefault="00E36E1C" w:rsidP="009F0EB2">
      <w:pPr>
        <w:pStyle w:val="ListParagraph"/>
        <w:numPr>
          <w:ilvl w:val="1"/>
          <w:numId w:val="1"/>
        </w:numPr>
        <w:spacing w:before="120" w:after="120"/>
        <w:contextualSpacing w:val="0"/>
        <w:jc w:val="both"/>
        <w:rPr>
          <w:rFonts w:ascii="Arial" w:eastAsia="Times New Roman" w:hAnsi="Arial" w:cs="Arial"/>
          <w:sz w:val="22"/>
          <w:szCs w:val="22"/>
          <w:lang w:val="pt-PT" w:eastAsia="es-ES_tradnl"/>
        </w:rPr>
      </w:pPr>
      <w:r w:rsidRPr="00E36E1C">
        <w:rPr>
          <w:rFonts w:ascii="Arial" w:eastAsia="Times New Roman" w:hAnsi="Arial" w:cs="Arial"/>
          <w:sz w:val="22"/>
          <w:szCs w:val="22"/>
          <w:lang w:val="pt-PT" w:eastAsia="es-ES_tradnl"/>
        </w:rPr>
        <w:t>Os principais avanços e resultados das ações voltadas ao equilíbrio e sustentabilidade fiscal obtidos em 2019 foram os seguintes:</w:t>
      </w:r>
    </w:p>
    <w:p w14:paraId="1B9C6FAE" w14:textId="6C25A071" w:rsidR="00E36E1C" w:rsidRPr="00FE6CD5" w:rsidRDefault="00E36E1C"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FE6CD5">
        <w:rPr>
          <w:rFonts w:ascii="Arial" w:eastAsia="Times New Roman" w:hAnsi="Arial" w:cs="Arial"/>
          <w:b/>
          <w:bCs/>
          <w:sz w:val="22"/>
          <w:szCs w:val="22"/>
          <w:lang w:val="pt-PT" w:eastAsia="es-ES_tradnl"/>
        </w:rPr>
        <w:t>Racionalização das Despesas Correntes</w:t>
      </w:r>
      <w:r w:rsidR="00FE6CD5" w:rsidRPr="00FE6CD5">
        <w:rPr>
          <w:rFonts w:ascii="Arial" w:eastAsia="Times New Roman" w:hAnsi="Arial" w:cs="Arial"/>
          <w:sz w:val="22"/>
          <w:szCs w:val="22"/>
          <w:lang w:val="pt-PT" w:eastAsia="es-ES_tradnl"/>
        </w:rPr>
        <w:t xml:space="preserve">. </w:t>
      </w:r>
      <w:r w:rsidRPr="00FE6CD5">
        <w:rPr>
          <w:rFonts w:ascii="Arial" w:eastAsia="Times New Roman" w:hAnsi="Arial" w:cs="Arial"/>
          <w:sz w:val="22"/>
          <w:szCs w:val="22"/>
          <w:lang w:val="pt-PT" w:eastAsia="es-ES_tradnl"/>
        </w:rPr>
        <w:t>Decretos do início da gestão e contingenciamento inicial: Em 02/01/2019, a Administração Estadual editou os Decretos nº 54.475, 54.476, 54. 478 e 54.479 dispondo sobre a Racionalização e Controle de despesas públicas em geral (inclui medidas como padronização do índice de reajuste pelo IPCA; redução de veículos cedidos ou subutilizados e das cotas de combustíveis; redução do montante gasto no exercício anterior em 50% para diárias, passagens aéreas e participação em cursos e de 30% em serviços gráficos; reavaliação de programas, projetos, serviços e licitações a serem iniciados ou pendentes; auditoria sobre contratações dispensáveis; suspensão da eficácia dos atos dos últimos 180 dias de 2018 que não cumpriram os artigos 16 e 17 da Lei de Responsabilidade Fiscal); Racionalização e Controle de Despesas de Pessoal (veda a criação de gastos com pessoal, como novos cargos, empregos e funções, permitindo apenas a transformação dos atuais desde que não se aumente a despesa e também determina a suspensão do pagamento de horas extras e que sejam feitos novos concursos públicos); Limitação da Despesa Pública para exercício até a publicação da Programação Financeira do ano (libera apenas empenho de 1/12 das dotações aprovadas na Lei Orçamentária Anual de 2019 e contingencia os investimentos em 100% e “outras despesas correntes” em 25%); Revisão de Gastos Futuros não liquidados (determina a análise prévia pela Contadoria e Auditoria-Geral do Estado de restos a pagar e de despesas de exercícios anteriores acima de R$ 100 mil por fatura); Criação de Grupo Técnico para renegociação de contratos (com objetivo de auxiliar os gestores na renegociação do valor e do quantitativo dos contratos com fornecedores); Contingenciamento Inicial do Orçamento: R$ 530 milhões.</w:t>
      </w:r>
    </w:p>
    <w:p w14:paraId="380533FD" w14:textId="77012399" w:rsidR="00E36E1C" w:rsidRPr="00E36E1C" w:rsidRDefault="00E36E1C"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E36E1C">
        <w:rPr>
          <w:rFonts w:ascii="Arial" w:eastAsia="Times New Roman" w:hAnsi="Arial" w:cs="Arial"/>
          <w:b/>
          <w:bCs/>
          <w:sz w:val="22"/>
          <w:szCs w:val="22"/>
          <w:lang w:val="pt-PT" w:eastAsia="es-ES_tradnl"/>
        </w:rPr>
        <w:t>Outras ações voltadas à melhoria da gestão do gasto</w:t>
      </w:r>
      <w:r w:rsidRPr="00E36E1C">
        <w:rPr>
          <w:rFonts w:ascii="Arial" w:eastAsia="Times New Roman" w:hAnsi="Arial" w:cs="Arial"/>
          <w:sz w:val="22"/>
          <w:szCs w:val="22"/>
          <w:lang w:val="pt-PT" w:eastAsia="es-ES_tradnl"/>
        </w:rPr>
        <w:t>: estabelecimento de calendário mensal para a Folha de Pagamentos do Servidores Públicos do Poder Executivo e a conversão da Licença Prêmio em Licença Capacitação (EC nº 75/2019).</w:t>
      </w:r>
    </w:p>
    <w:p w14:paraId="43A4E3DF" w14:textId="77777777" w:rsidR="00FE6CD5" w:rsidRDefault="00E36E1C"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E36E1C">
        <w:rPr>
          <w:rFonts w:ascii="Arial" w:eastAsia="Times New Roman" w:hAnsi="Arial" w:cs="Arial"/>
          <w:b/>
          <w:bCs/>
          <w:sz w:val="22"/>
          <w:szCs w:val="22"/>
          <w:lang w:val="pt-PT" w:eastAsia="es-ES_tradnl"/>
        </w:rPr>
        <w:lastRenderedPageBreak/>
        <w:t xml:space="preserve">Modernização das Receitas: </w:t>
      </w:r>
      <w:r w:rsidRPr="00FE6CD5">
        <w:rPr>
          <w:rFonts w:ascii="Arial" w:eastAsia="Times New Roman" w:hAnsi="Arial" w:cs="Arial"/>
          <w:sz w:val="22"/>
          <w:szCs w:val="22"/>
          <w:lang w:val="pt-PT" w:eastAsia="es-ES_tradnl"/>
        </w:rPr>
        <w:t>Decreto nº 54.477/2019 dispondo sobre as iniciativas para a Otimização e Eficiência das Receitas estabelecendo a criação de planos de trabalho pelas Secretarias da Fazenda, do Planejamento e Procuradoria Geral do Estado (PGE) para simplificar e dar eficácia à arrecadação de receitas, aprimorar o processo de recuperação de valores da dívida ativa e de administração do patrimônio imobiliário do Estado.</w:t>
      </w:r>
      <w:r w:rsidR="00FE6CD5" w:rsidRPr="00FE6CD5">
        <w:rPr>
          <w:rFonts w:ascii="Arial" w:eastAsia="Times New Roman" w:hAnsi="Arial" w:cs="Arial"/>
          <w:sz w:val="22"/>
          <w:szCs w:val="22"/>
          <w:lang w:val="pt-PT" w:eastAsia="es-ES_tradnl"/>
        </w:rPr>
        <w:t xml:space="preserve"> </w:t>
      </w:r>
    </w:p>
    <w:p w14:paraId="133DA0AE" w14:textId="47E552C3" w:rsidR="00E36E1C" w:rsidRPr="00FE6CD5" w:rsidRDefault="00E36E1C"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FE6CD5">
        <w:rPr>
          <w:rFonts w:ascii="Arial" w:eastAsia="Times New Roman" w:hAnsi="Arial" w:cs="Arial"/>
          <w:b/>
          <w:bCs/>
          <w:sz w:val="22"/>
          <w:szCs w:val="22"/>
          <w:lang w:val="pt-PT" w:eastAsia="es-ES_tradnl"/>
        </w:rPr>
        <w:t>Lançamento do Programa Receita 2030</w:t>
      </w:r>
      <w:r w:rsidRPr="00FE6CD5">
        <w:rPr>
          <w:rFonts w:ascii="Arial" w:eastAsia="Times New Roman" w:hAnsi="Arial" w:cs="Arial"/>
          <w:sz w:val="22"/>
          <w:szCs w:val="22"/>
          <w:lang w:val="pt-PT" w:eastAsia="es-ES_tradnl"/>
        </w:rPr>
        <w:t xml:space="preserve"> -  Rumo à Receita Digital contemplando 30 iniciativas para a modernização da administração tributária do RS visando o equilíbrio das finanças públicas estaduais, a otimização das oportunidades de arrecadação, maximização das obrigações acessórias dos contribuintes e transparência à sociedade. O resultado esperado do Programa consiste em ganho de R$ 6,8 bilhões na Gestão 2019-2022. </w:t>
      </w:r>
    </w:p>
    <w:p w14:paraId="32CDAF00" w14:textId="5766DF96" w:rsidR="00E36E1C" w:rsidRPr="00E36E1C" w:rsidRDefault="00FE6CD5"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E36E1C">
        <w:rPr>
          <w:rFonts w:ascii="Arial" w:eastAsia="Times New Roman" w:hAnsi="Arial" w:cs="Arial"/>
          <w:b/>
          <w:bCs/>
          <w:sz w:val="22"/>
          <w:szCs w:val="22"/>
          <w:lang w:val="pt-PT" w:eastAsia="es-ES_tradnl"/>
        </w:rPr>
        <w:t>Plano de Gestão do Patrimônio</w:t>
      </w:r>
      <w:r w:rsidRPr="00E36E1C">
        <w:rPr>
          <w:rFonts w:ascii="Arial" w:eastAsia="Times New Roman" w:hAnsi="Arial" w:cs="Arial"/>
          <w:sz w:val="22"/>
          <w:szCs w:val="22"/>
          <w:lang w:val="pt-PT" w:eastAsia="es-ES_tradnl"/>
        </w:rPr>
        <w:t xml:space="preserve"> </w:t>
      </w:r>
      <w:r>
        <w:rPr>
          <w:rFonts w:ascii="Arial" w:eastAsia="Times New Roman" w:hAnsi="Arial" w:cs="Arial"/>
          <w:sz w:val="22"/>
          <w:szCs w:val="22"/>
          <w:lang w:val="pt-PT" w:eastAsia="es-ES_tradnl"/>
        </w:rPr>
        <w:t xml:space="preserve">- </w:t>
      </w:r>
      <w:r w:rsidR="00E36E1C" w:rsidRPr="00E36E1C">
        <w:rPr>
          <w:rFonts w:ascii="Arial" w:eastAsia="Times New Roman" w:hAnsi="Arial" w:cs="Arial"/>
          <w:sz w:val="22"/>
          <w:szCs w:val="22"/>
          <w:lang w:val="pt-PT" w:eastAsia="es-ES_tradnl"/>
        </w:rPr>
        <w:t xml:space="preserve">Iniciada a venda de imóveis do Estado no âmbito do </w:t>
      </w:r>
      <w:r>
        <w:rPr>
          <w:rFonts w:ascii="Arial" w:eastAsia="Times New Roman" w:hAnsi="Arial" w:cs="Arial"/>
          <w:sz w:val="22"/>
          <w:szCs w:val="22"/>
          <w:lang w:val="pt-PT" w:eastAsia="es-ES_tradnl"/>
        </w:rPr>
        <w:t xml:space="preserve">plano </w:t>
      </w:r>
      <w:r w:rsidR="00E36E1C" w:rsidRPr="00E36E1C">
        <w:rPr>
          <w:rFonts w:ascii="Arial" w:eastAsia="Times New Roman" w:hAnsi="Arial" w:cs="Arial"/>
          <w:sz w:val="22"/>
          <w:szCs w:val="22"/>
          <w:lang w:val="pt-PT" w:eastAsia="es-ES_tradnl"/>
        </w:rPr>
        <w:t>cuja estimativa de receitas de alienações e diminuição de despesas e dívidas por meio de permuta de imóveis deve atingir R$ 700 milhões até 2022.</w:t>
      </w:r>
    </w:p>
    <w:p w14:paraId="246EF4E9" w14:textId="77777777" w:rsidR="00E36E1C" w:rsidRPr="00E36E1C" w:rsidRDefault="00E36E1C"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E36E1C">
        <w:rPr>
          <w:rFonts w:ascii="Arial" w:eastAsia="Times New Roman" w:hAnsi="Arial" w:cs="Arial"/>
          <w:b/>
          <w:bCs/>
          <w:sz w:val="22"/>
          <w:szCs w:val="22"/>
          <w:lang w:val="pt-PT" w:eastAsia="es-ES_tradnl"/>
        </w:rPr>
        <w:t>Programa COMPENSA-RS e Precatórios</w:t>
      </w:r>
      <w:r w:rsidRPr="00E36E1C">
        <w:rPr>
          <w:rFonts w:ascii="Arial" w:eastAsia="Times New Roman" w:hAnsi="Arial" w:cs="Arial"/>
          <w:sz w:val="22"/>
          <w:szCs w:val="22"/>
          <w:lang w:val="pt-PT" w:eastAsia="es-ES_tradnl"/>
        </w:rPr>
        <w:t xml:space="preserve">: o Programa COMPENSA-RS, instituído por meio da Lei nº 15.038/2017, destina-se à compensação dos débitos inscritos em Dívida Ativa até 25 de março de 2015 com precatórios vencidos do Estado e permite a compensação de até 85% do valor atualizado do débito, com o restante devendo ser pago diretamente aos cofres públicos, como condição para a adesão, sendo 10% em dinheiro (em até três parcelas) e os outros 5% podendo ser parcelados em até 60 vezes. O COMPENSA-RS se constitui em um programa de longo prazo, haja vista continuar aberto para compensações até 2024, a teor das previsões das Emendas Constitucionais nº 94/16 e nº 99/17 e da Lei Estadual nº 15.038/17. Até setembro/2019 já foram compensados mais de R$ 800 milhões de Precatórios com Dívida Ativa. Com os resultados do COMPENSA-RS e de outras iniciativas, 2019 será o primeiro ano em que o valor pago de Precatórios (cerca de R$ 1,2 bilhão referentes ao pagamento de 1,5% da Receita Corrente Líquida mais o valor compensado com Dívida Ativa) será superior ao valor das novas inscrições (R$ 931,97 milhões). </w:t>
      </w:r>
    </w:p>
    <w:p w14:paraId="67E707FE" w14:textId="54EE7463" w:rsidR="00E36E1C" w:rsidRPr="00FE6CD5" w:rsidRDefault="00E36E1C"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E36E1C">
        <w:rPr>
          <w:rFonts w:ascii="Arial" w:eastAsia="Times New Roman" w:hAnsi="Arial" w:cs="Arial"/>
          <w:b/>
          <w:bCs/>
          <w:sz w:val="22"/>
          <w:szCs w:val="22"/>
          <w:lang w:val="pt-PT" w:eastAsia="es-ES_tradnl"/>
        </w:rPr>
        <w:t>Desestatização e Parcerias Privadas</w:t>
      </w:r>
      <w:r w:rsidRPr="00E36E1C">
        <w:rPr>
          <w:rFonts w:ascii="Arial" w:eastAsia="Times New Roman" w:hAnsi="Arial" w:cs="Arial"/>
          <w:sz w:val="22"/>
          <w:szCs w:val="22"/>
          <w:lang w:val="pt-PT" w:eastAsia="es-ES_tradnl"/>
        </w:rPr>
        <w:t>:</w:t>
      </w:r>
      <w:r w:rsidR="00FE6CD5">
        <w:rPr>
          <w:rFonts w:ascii="Arial" w:eastAsia="Times New Roman" w:hAnsi="Arial" w:cs="Arial"/>
          <w:sz w:val="22"/>
          <w:szCs w:val="22"/>
          <w:lang w:val="pt-PT" w:eastAsia="es-ES_tradnl"/>
        </w:rPr>
        <w:t xml:space="preserve"> </w:t>
      </w:r>
      <w:r w:rsidRPr="00FE6CD5">
        <w:rPr>
          <w:rFonts w:ascii="Arial" w:eastAsia="Times New Roman" w:hAnsi="Arial" w:cs="Arial"/>
          <w:sz w:val="22"/>
          <w:szCs w:val="22"/>
          <w:lang w:val="pt-PT" w:eastAsia="es-ES_tradnl"/>
        </w:rPr>
        <w:t>Lançamento do Programa RS Parcerias: em março de 2019 foi lançado o Programa visando a promoção de concessões e parcerias públicos-privadas, na mesma oportunidade foram apresentados os primeiros projetos, que são a concessão das rodovias RSC-287 e ERS-324, da Estação Rodoviária de Porto Alegre e do Parque Zoológico de Sapucaia do Sul, que somam investimentos de R$ 3,4 bilhões nos próximos 30 anos. Outros lotes de concessões estão previstos nos setor rodoviário, hidroviário, aeroportuário, de infraestrutura, construção e administração de escolas, prédios públicos e presídios.</w:t>
      </w:r>
    </w:p>
    <w:p w14:paraId="6B906C0A" w14:textId="77777777" w:rsidR="00E36E1C" w:rsidRPr="00E36E1C" w:rsidRDefault="00E36E1C"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E36E1C">
        <w:rPr>
          <w:rFonts w:ascii="Arial" w:eastAsia="Times New Roman" w:hAnsi="Arial" w:cs="Arial"/>
          <w:b/>
          <w:bCs/>
          <w:sz w:val="22"/>
          <w:szCs w:val="22"/>
          <w:lang w:val="pt-PT" w:eastAsia="es-ES_tradnl"/>
        </w:rPr>
        <w:t>Privatização de empresas</w:t>
      </w:r>
      <w:r w:rsidRPr="00E36E1C">
        <w:rPr>
          <w:rFonts w:ascii="Arial" w:eastAsia="Times New Roman" w:hAnsi="Arial" w:cs="Arial"/>
          <w:sz w:val="22"/>
          <w:szCs w:val="22"/>
          <w:lang w:val="pt-PT" w:eastAsia="es-ES_tradnl"/>
        </w:rPr>
        <w:t xml:space="preserve">: importantes avanços foram obtidos para a privatização das empresas do setor de energia (CEEE – energia elétrica, CRM – mineração e Sulgás – gás) com a aprovação da EC nº 77/2019 para a retirada da exigência de plebiscito para a privatização e aprovação das leis autorizativas nº 15.298/2019, 15.299/2019 e 15.300/2019; também foi assinado em maio/2019 o Acordo de Cooperação Técnica entre o Estado e o BNDES para Desestatizações/PPPs para a modelagem já iniciada da </w:t>
      </w:r>
      <w:r w:rsidRPr="00E36E1C">
        <w:rPr>
          <w:rFonts w:ascii="Arial" w:eastAsia="Times New Roman" w:hAnsi="Arial" w:cs="Arial"/>
          <w:sz w:val="22"/>
          <w:szCs w:val="22"/>
          <w:lang w:val="pt-PT" w:eastAsia="es-ES_tradnl"/>
        </w:rPr>
        <w:lastRenderedPageBreak/>
        <w:t>privatização das referidas empresas, bem como para IPO da empresa de saneamento – Corsan.</w:t>
      </w:r>
    </w:p>
    <w:p w14:paraId="4288C43A" w14:textId="77777777" w:rsidR="00865FE1" w:rsidRDefault="00E36E1C"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E36E1C">
        <w:rPr>
          <w:rFonts w:ascii="Arial" w:eastAsia="Times New Roman" w:hAnsi="Arial" w:cs="Arial"/>
          <w:b/>
          <w:bCs/>
          <w:sz w:val="22"/>
          <w:szCs w:val="22"/>
          <w:lang w:val="pt-PT" w:eastAsia="es-ES_tradnl"/>
        </w:rPr>
        <w:t>Regime de Recuperação Fiscal (RRF)</w:t>
      </w:r>
      <w:r w:rsidRPr="00E36E1C">
        <w:rPr>
          <w:rFonts w:ascii="Arial" w:eastAsia="Times New Roman" w:hAnsi="Arial" w:cs="Arial"/>
          <w:sz w:val="22"/>
          <w:szCs w:val="22"/>
          <w:lang w:val="pt-PT" w:eastAsia="es-ES_tradnl"/>
        </w:rPr>
        <w:t>:</w:t>
      </w:r>
    </w:p>
    <w:p w14:paraId="1D3BDB1B" w14:textId="77777777" w:rsidR="00865FE1" w:rsidRDefault="00E36E1C" w:rsidP="009F0EB2">
      <w:pPr>
        <w:pStyle w:val="ListParagraph"/>
        <w:numPr>
          <w:ilvl w:val="3"/>
          <w:numId w:val="1"/>
        </w:numPr>
        <w:spacing w:before="120" w:after="120"/>
        <w:contextualSpacing w:val="0"/>
        <w:jc w:val="both"/>
        <w:rPr>
          <w:rFonts w:ascii="Arial" w:eastAsia="Times New Roman" w:hAnsi="Arial" w:cs="Arial"/>
          <w:sz w:val="22"/>
          <w:szCs w:val="22"/>
          <w:lang w:val="pt-PT" w:eastAsia="es-ES_tradnl"/>
        </w:rPr>
      </w:pPr>
      <w:r w:rsidRPr="00865FE1">
        <w:rPr>
          <w:rFonts w:ascii="Arial" w:eastAsia="Times New Roman" w:hAnsi="Arial" w:cs="Arial"/>
          <w:b/>
          <w:bCs/>
          <w:sz w:val="22"/>
          <w:szCs w:val="22"/>
          <w:lang w:val="pt-PT" w:eastAsia="es-ES_tradnl"/>
        </w:rPr>
        <w:t>Leis Autorizativas</w:t>
      </w:r>
      <w:r w:rsidRPr="00865FE1">
        <w:rPr>
          <w:rFonts w:ascii="Arial" w:eastAsia="Times New Roman" w:hAnsi="Arial" w:cs="Arial"/>
          <w:sz w:val="22"/>
          <w:szCs w:val="22"/>
          <w:lang w:val="pt-PT" w:eastAsia="es-ES_tradnl"/>
        </w:rPr>
        <w:t>: com as leis aprovadas para as privatizações das empresas CEEE, CRM e Sulgás, o Estado do RS completou a lista de autorização legislativas referentes às medidas obrigatórias previstas na LC federal nº 159/2017 necessárias para a adesão ao Regime de Recuperação Fiscal.</w:t>
      </w:r>
    </w:p>
    <w:p w14:paraId="5AE4BEC0" w14:textId="4B2E0FC0" w:rsidR="00E36E1C" w:rsidRPr="00865FE1" w:rsidRDefault="00E36E1C" w:rsidP="009F0EB2">
      <w:pPr>
        <w:pStyle w:val="ListParagraph"/>
        <w:numPr>
          <w:ilvl w:val="3"/>
          <w:numId w:val="1"/>
        </w:numPr>
        <w:spacing w:before="120" w:after="120"/>
        <w:contextualSpacing w:val="0"/>
        <w:jc w:val="both"/>
        <w:rPr>
          <w:rFonts w:ascii="Arial" w:eastAsia="Times New Roman" w:hAnsi="Arial" w:cs="Arial"/>
          <w:sz w:val="22"/>
          <w:szCs w:val="22"/>
          <w:lang w:val="pt-PT" w:eastAsia="es-ES_tradnl"/>
        </w:rPr>
      </w:pPr>
      <w:r w:rsidRPr="00865FE1">
        <w:rPr>
          <w:rFonts w:ascii="Arial" w:eastAsia="Times New Roman" w:hAnsi="Arial" w:cs="Arial"/>
          <w:b/>
          <w:bCs/>
          <w:sz w:val="22"/>
          <w:szCs w:val="22"/>
          <w:lang w:val="pt-PT" w:eastAsia="es-ES_tradnl"/>
        </w:rPr>
        <w:t>Negociações STN e ME</w:t>
      </w:r>
      <w:r w:rsidRPr="00865FE1">
        <w:rPr>
          <w:rFonts w:ascii="Arial" w:eastAsia="Times New Roman" w:hAnsi="Arial" w:cs="Arial"/>
          <w:sz w:val="22"/>
          <w:szCs w:val="22"/>
          <w:lang w:val="pt-PT" w:eastAsia="es-ES_tradnl"/>
        </w:rPr>
        <w:t>: as negociações para o ingresso ao RRF foram retomadas no início do ano, com reunião realizada pelo Sr. Governador com o Sr. Ministro da Economia (fevereiro/2019), missão realizada pela Secretaria do Tesouro Nacional no RS (março/2019) e contato permanente entre equipes técnicas da STN e da SEFAZ-RS. Em relação ao Plano de Recuperação Fiscal, o RS já encaminhou à STN o cenário-base contemplando as projeções fiscais para período 2019-2025 bem como as Notas Técnicas explicativas (julho/2019), a STN analisou o cenário-base e realizou alguns apontamentos (agosto/2019), a SEFAZ</w:t>
      </w:r>
      <w:r w:rsidRPr="002A05E7">
        <w:rPr>
          <w:rFonts w:ascii="Arial" w:eastAsia="Times New Roman" w:hAnsi="Arial" w:cs="Arial"/>
          <w:sz w:val="22"/>
          <w:szCs w:val="22"/>
          <w:lang w:val="pt-PT" w:eastAsia="es-ES_tradnl"/>
        </w:rPr>
        <w:t xml:space="preserve">-RS elaborou novo cenário-base contemplando os apontamentos da STN, definiu as medidas de ajuste fiscal e elaborou o Cenário Ajustado – cenário com as medidas de ajuste e as respectivas Notas Técnicas (agosto-setembro/2019). </w:t>
      </w:r>
      <w:r w:rsidR="002A05E7" w:rsidRPr="002A05E7">
        <w:rPr>
          <w:rFonts w:ascii="Arial" w:eastAsia="Times New Roman" w:hAnsi="Arial" w:cs="Arial"/>
          <w:sz w:val="22"/>
          <w:szCs w:val="22"/>
          <w:lang w:val="pt-PT" w:eastAsia="es-ES_tradnl"/>
        </w:rPr>
        <w:t xml:space="preserve">A Secretaria da Fazenda e a STN estão discutindo </w:t>
      </w:r>
      <w:r w:rsidRPr="002A05E7">
        <w:rPr>
          <w:rFonts w:ascii="Arial" w:eastAsia="Times New Roman" w:hAnsi="Arial" w:cs="Arial"/>
          <w:sz w:val="22"/>
          <w:szCs w:val="22"/>
          <w:lang w:val="pt-PT" w:eastAsia="es-ES_tradnl"/>
        </w:rPr>
        <w:t>o Plano de Recuperação Fiscal completo (Cenário-Base, Medidas de Ajuste e Cenário Ajustado). O RRF, cuja adesão</w:t>
      </w:r>
      <w:r w:rsidR="002A05E7" w:rsidRPr="002A05E7">
        <w:rPr>
          <w:rFonts w:ascii="Arial" w:eastAsia="Times New Roman" w:hAnsi="Arial" w:cs="Arial"/>
          <w:sz w:val="22"/>
          <w:szCs w:val="22"/>
          <w:lang w:val="pt-PT" w:eastAsia="es-ES_tradnl"/>
        </w:rPr>
        <w:t>,</w:t>
      </w:r>
      <w:r w:rsidRPr="002A05E7">
        <w:rPr>
          <w:rFonts w:ascii="Arial" w:eastAsia="Times New Roman" w:hAnsi="Arial" w:cs="Arial"/>
          <w:sz w:val="22"/>
          <w:szCs w:val="22"/>
          <w:lang w:val="pt-PT" w:eastAsia="es-ES_tradnl"/>
        </w:rPr>
        <w:t xml:space="preserve"> </w:t>
      </w:r>
      <w:r w:rsidR="002A05E7" w:rsidRPr="002A05E7">
        <w:rPr>
          <w:rFonts w:ascii="Arial" w:eastAsia="Times New Roman" w:hAnsi="Arial" w:cs="Arial"/>
          <w:sz w:val="22"/>
          <w:szCs w:val="22"/>
          <w:lang w:val="pt-PT" w:eastAsia="es-ES_tradnl"/>
        </w:rPr>
        <w:t xml:space="preserve">prevista </w:t>
      </w:r>
      <w:r w:rsidRPr="002A05E7">
        <w:rPr>
          <w:rFonts w:ascii="Arial" w:eastAsia="Times New Roman" w:hAnsi="Arial" w:cs="Arial"/>
          <w:sz w:val="22"/>
          <w:szCs w:val="22"/>
          <w:lang w:val="pt-PT" w:eastAsia="es-ES_tradnl"/>
        </w:rPr>
        <w:t>ainda em 2019, permitirá ao RS o não pagamento da Dívida com a União no período de vigência do Regime (sendo carência</w:t>
      </w:r>
      <w:r w:rsidRPr="00865FE1">
        <w:rPr>
          <w:rFonts w:ascii="Arial" w:eastAsia="Times New Roman" w:hAnsi="Arial" w:cs="Arial"/>
          <w:sz w:val="22"/>
          <w:szCs w:val="22"/>
          <w:lang w:val="pt-PT" w:eastAsia="es-ES_tradnl"/>
        </w:rPr>
        <w:t xml:space="preserve"> total nos primeiros 3 anos e parcial nos 3 anos seguintes) no montante estimado de R$ 20 bilhões, bem como a possibilidade de novas operações de crédito para antecipação de receitas das privatizações e outras finalidades do Plano de Recuperação, inclusive para a modernização fazendária, no montante estimado entre R$ 2 bilhões e R$ 3 bilhões. Importante destacar que o RRF, com o alívio temporário do não pagamento da dívida e novas receitas de operações de crédito, permitirá que o RS implemente as medidas de ajuste fiscal de curto, médio e longo prazos nas áreas da receita e despesa que levem à trajetória de ajustamento e sustentabilidade fiscal. </w:t>
      </w:r>
    </w:p>
    <w:p w14:paraId="21BEFCE5" w14:textId="437A67EE" w:rsidR="00444778" w:rsidRPr="00FE6CD5" w:rsidRDefault="0033618A"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FE6CD5">
        <w:rPr>
          <w:rFonts w:ascii="Arial" w:eastAsia="Times New Roman" w:hAnsi="Arial" w:cs="Arial"/>
          <w:sz w:val="22"/>
          <w:szCs w:val="22"/>
          <w:lang w:val="pt-PT" w:eastAsia="es-ES_tradnl"/>
        </w:rPr>
        <w:t xml:space="preserve">As ações do </w:t>
      </w:r>
      <w:r w:rsidR="00AC7E08" w:rsidRPr="00FE6CD5">
        <w:rPr>
          <w:rFonts w:ascii="Arial" w:eastAsia="Times New Roman" w:hAnsi="Arial" w:cs="Arial"/>
          <w:sz w:val="22"/>
          <w:szCs w:val="22"/>
          <w:lang w:val="pt-PT" w:eastAsia="es-ES_tradnl"/>
        </w:rPr>
        <w:t>PROFISCO II</w:t>
      </w:r>
      <w:r w:rsidRPr="00FE6CD5">
        <w:rPr>
          <w:rFonts w:ascii="Arial" w:eastAsia="Times New Roman" w:hAnsi="Arial" w:cs="Arial"/>
          <w:sz w:val="22"/>
          <w:szCs w:val="22"/>
          <w:lang w:val="pt-PT" w:eastAsia="es-ES_tradnl"/>
        </w:rPr>
        <w:t>-</w:t>
      </w:r>
      <w:r w:rsidR="00865FE1">
        <w:rPr>
          <w:rFonts w:ascii="Arial" w:eastAsia="Times New Roman" w:hAnsi="Arial" w:cs="Arial"/>
          <w:sz w:val="22"/>
          <w:szCs w:val="22"/>
          <w:lang w:val="pt-PT" w:eastAsia="es-ES_tradnl"/>
        </w:rPr>
        <w:t>RS</w:t>
      </w:r>
      <w:r w:rsidR="00AC7E08" w:rsidRPr="00FE6CD5">
        <w:rPr>
          <w:rFonts w:ascii="Arial" w:eastAsia="Times New Roman" w:hAnsi="Arial" w:cs="Arial"/>
          <w:sz w:val="22"/>
          <w:szCs w:val="22"/>
          <w:lang w:val="pt-PT" w:eastAsia="es-ES_tradnl"/>
        </w:rPr>
        <w:t xml:space="preserve"> est</w:t>
      </w:r>
      <w:r w:rsidRPr="00FE6CD5">
        <w:rPr>
          <w:rFonts w:ascii="Arial" w:eastAsia="Times New Roman" w:hAnsi="Arial" w:cs="Arial"/>
          <w:sz w:val="22"/>
          <w:szCs w:val="22"/>
          <w:lang w:val="pt-PT" w:eastAsia="es-ES_tradnl"/>
        </w:rPr>
        <w:t>ão focalizadas nestas duas áreas: (i) na redução do gasto com pessoal e economia nos custos das aquisições e da prestação de serviços; e</w:t>
      </w:r>
      <w:r w:rsidR="00AC7E08" w:rsidRPr="00FE6CD5">
        <w:rPr>
          <w:rFonts w:ascii="Arial" w:eastAsia="Times New Roman" w:hAnsi="Arial" w:cs="Arial"/>
          <w:sz w:val="22"/>
          <w:szCs w:val="22"/>
          <w:lang w:val="pt-PT" w:eastAsia="es-ES_tradnl"/>
        </w:rPr>
        <w:t xml:space="preserve">, </w:t>
      </w:r>
      <w:r w:rsidRPr="00FE6CD5">
        <w:rPr>
          <w:rFonts w:ascii="Arial" w:eastAsia="Times New Roman" w:hAnsi="Arial" w:cs="Arial"/>
          <w:sz w:val="22"/>
          <w:szCs w:val="22"/>
          <w:lang w:val="pt-PT" w:eastAsia="es-ES_tradnl"/>
        </w:rPr>
        <w:t>(ii) no incremento da arrecadação por meio de ações de melhoria da ação fiscal e da recuperação do crédito tributário</w:t>
      </w:r>
      <w:r w:rsidR="00AC7E08" w:rsidRPr="00FE6CD5">
        <w:rPr>
          <w:rFonts w:ascii="Arial" w:eastAsia="Times New Roman" w:hAnsi="Arial" w:cs="Arial"/>
          <w:sz w:val="22"/>
          <w:szCs w:val="22"/>
          <w:lang w:val="pt-PT" w:eastAsia="es-ES_tradnl"/>
        </w:rPr>
        <w:t xml:space="preserve">. </w:t>
      </w:r>
      <w:r w:rsidRPr="00FE6CD5">
        <w:rPr>
          <w:rFonts w:ascii="Arial" w:eastAsia="Times New Roman" w:hAnsi="Arial" w:cs="Arial"/>
          <w:sz w:val="22"/>
          <w:szCs w:val="22"/>
          <w:lang w:val="pt-PT" w:eastAsia="es-ES_tradnl"/>
        </w:rPr>
        <w:t xml:space="preserve">Na </w:t>
      </w:r>
      <w:r w:rsidR="00AC7E08" w:rsidRPr="00FE6CD5">
        <w:rPr>
          <w:rFonts w:ascii="Arial" w:eastAsia="Times New Roman" w:hAnsi="Arial" w:cs="Arial"/>
          <w:sz w:val="22"/>
          <w:szCs w:val="22"/>
          <w:lang w:val="pt-PT" w:eastAsia="es-ES_tradnl"/>
        </w:rPr>
        <w:t xml:space="preserve">Matriz de Resultados </w:t>
      </w:r>
      <w:r w:rsidRPr="00FE6CD5">
        <w:rPr>
          <w:rFonts w:ascii="Arial" w:eastAsia="Times New Roman" w:hAnsi="Arial" w:cs="Arial"/>
          <w:sz w:val="22"/>
          <w:szCs w:val="22"/>
          <w:lang w:val="pt-PT" w:eastAsia="es-ES_tradnl"/>
        </w:rPr>
        <w:t>do PROFISCO II-</w:t>
      </w:r>
      <w:r w:rsidR="00865FE1">
        <w:rPr>
          <w:rFonts w:ascii="Arial" w:eastAsia="Times New Roman" w:hAnsi="Arial" w:cs="Arial"/>
          <w:sz w:val="22"/>
          <w:szCs w:val="22"/>
          <w:lang w:val="pt-PT" w:eastAsia="es-ES_tradnl"/>
        </w:rPr>
        <w:t>RS</w:t>
      </w:r>
      <w:r w:rsidRPr="00FE6CD5">
        <w:rPr>
          <w:rFonts w:ascii="Arial" w:eastAsia="Times New Roman" w:hAnsi="Arial" w:cs="Arial"/>
          <w:sz w:val="22"/>
          <w:szCs w:val="22"/>
          <w:lang w:val="pt-PT" w:eastAsia="es-ES_tradnl"/>
        </w:rPr>
        <w:t xml:space="preserve"> se estimou, conservadoramente, um</w:t>
      </w:r>
      <w:r w:rsidR="00AC7E08" w:rsidRPr="00FE6CD5">
        <w:rPr>
          <w:rFonts w:ascii="Arial" w:eastAsia="Times New Roman" w:hAnsi="Arial" w:cs="Arial"/>
          <w:sz w:val="22"/>
          <w:szCs w:val="22"/>
          <w:lang w:val="pt-PT" w:eastAsia="es-ES_tradnl"/>
        </w:rPr>
        <w:t xml:space="preserve"> </w:t>
      </w:r>
      <w:r w:rsidR="00865FE1">
        <w:rPr>
          <w:rFonts w:ascii="Arial" w:eastAsia="Times New Roman" w:hAnsi="Arial" w:cs="Arial"/>
          <w:sz w:val="22"/>
          <w:szCs w:val="22"/>
          <w:lang w:val="pt-PT" w:eastAsia="es-ES_tradnl"/>
        </w:rPr>
        <w:t>melhoria</w:t>
      </w:r>
      <w:r w:rsidR="00AC7E08" w:rsidRPr="00FE6CD5">
        <w:rPr>
          <w:rFonts w:ascii="Arial" w:eastAsia="Times New Roman" w:hAnsi="Arial" w:cs="Arial"/>
          <w:sz w:val="22"/>
          <w:szCs w:val="22"/>
          <w:lang w:val="pt-PT" w:eastAsia="es-ES_tradnl"/>
        </w:rPr>
        <w:t xml:space="preserve"> real d</w:t>
      </w:r>
      <w:r w:rsidRPr="00FE6CD5">
        <w:rPr>
          <w:rFonts w:ascii="Arial" w:eastAsia="Times New Roman" w:hAnsi="Arial" w:cs="Arial"/>
          <w:sz w:val="22"/>
          <w:szCs w:val="22"/>
          <w:lang w:val="pt-PT" w:eastAsia="es-ES_tradnl"/>
        </w:rPr>
        <w:t>o</w:t>
      </w:r>
      <w:r w:rsidR="00AC7E08" w:rsidRPr="00FE6CD5">
        <w:rPr>
          <w:rFonts w:ascii="Arial" w:eastAsia="Times New Roman" w:hAnsi="Arial" w:cs="Arial"/>
          <w:sz w:val="22"/>
          <w:szCs w:val="22"/>
          <w:lang w:val="pt-PT" w:eastAsia="es-ES_tradnl"/>
        </w:rPr>
        <w:t xml:space="preserve"> resultado prim</w:t>
      </w:r>
      <w:r w:rsidRPr="00FE6CD5">
        <w:rPr>
          <w:rFonts w:ascii="Arial" w:eastAsia="Times New Roman" w:hAnsi="Arial" w:cs="Arial"/>
          <w:sz w:val="22"/>
          <w:szCs w:val="22"/>
          <w:lang w:val="pt-PT" w:eastAsia="es-ES_tradnl"/>
        </w:rPr>
        <w:t>á</w:t>
      </w:r>
      <w:r w:rsidR="00AC7E08" w:rsidRPr="00FE6CD5">
        <w:rPr>
          <w:rFonts w:ascii="Arial" w:eastAsia="Times New Roman" w:hAnsi="Arial" w:cs="Arial"/>
          <w:sz w:val="22"/>
          <w:szCs w:val="22"/>
          <w:lang w:val="pt-PT" w:eastAsia="es-ES_tradnl"/>
        </w:rPr>
        <w:t>rio</w:t>
      </w:r>
      <w:r w:rsidRPr="00FE6CD5">
        <w:rPr>
          <w:rFonts w:ascii="Arial" w:eastAsia="Times New Roman" w:hAnsi="Arial" w:cs="Arial"/>
          <w:sz w:val="22"/>
          <w:szCs w:val="22"/>
          <w:lang w:val="pt-PT" w:eastAsia="es-ES_tradnl"/>
        </w:rPr>
        <w:t xml:space="preserve"> </w:t>
      </w:r>
      <w:r w:rsidR="0050575C">
        <w:rPr>
          <w:rFonts w:ascii="Arial" w:eastAsia="Times New Roman" w:hAnsi="Arial" w:cs="Arial"/>
          <w:sz w:val="22"/>
          <w:szCs w:val="22"/>
          <w:lang w:val="pt-PT" w:eastAsia="es-ES_tradnl"/>
        </w:rPr>
        <w:t>(</w:t>
      </w:r>
      <w:r w:rsidR="00AC7E08" w:rsidRPr="00FE6CD5">
        <w:rPr>
          <w:rFonts w:ascii="Arial" w:eastAsia="Times New Roman" w:hAnsi="Arial" w:cs="Arial"/>
          <w:sz w:val="22"/>
          <w:szCs w:val="22"/>
          <w:lang w:val="pt-PT" w:eastAsia="es-ES_tradnl"/>
        </w:rPr>
        <w:t>de u</w:t>
      </w:r>
      <w:r w:rsidRPr="00FE6CD5">
        <w:rPr>
          <w:rFonts w:ascii="Arial" w:eastAsia="Times New Roman" w:hAnsi="Arial" w:cs="Arial"/>
          <w:sz w:val="22"/>
          <w:szCs w:val="22"/>
          <w:lang w:val="pt-PT" w:eastAsia="es-ES_tradnl"/>
        </w:rPr>
        <w:t>m</w:t>
      </w:r>
      <w:r w:rsidR="00AC7E08" w:rsidRPr="00FE6CD5">
        <w:rPr>
          <w:rFonts w:ascii="Arial" w:eastAsia="Times New Roman" w:hAnsi="Arial" w:cs="Arial"/>
          <w:sz w:val="22"/>
          <w:szCs w:val="22"/>
          <w:lang w:val="pt-PT" w:eastAsia="es-ES_tradnl"/>
        </w:rPr>
        <w:t xml:space="preserve"> déficit de </w:t>
      </w:r>
      <w:r w:rsidR="0050575C">
        <w:rPr>
          <w:rFonts w:ascii="Arial" w:eastAsia="Times New Roman" w:hAnsi="Arial" w:cs="Arial"/>
          <w:sz w:val="22"/>
          <w:szCs w:val="22"/>
          <w:lang w:val="pt-PT" w:eastAsia="es-ES_tradnl"/>
        </w:rPr>
        <w:t>0,81</w:t>
      </w:r>
      <w:r w:rsidR="00AC7E08" w:rsidRPr="00FE6CD5">
        <w:rPr>
          <w:rFonts w:ascii="Arial" w:eastAsia="Times New Roman" w:hAnsi="Arial" w:cs="Arial"/>
          <w:sz w:val="22"/>
          <w:szCs w:val="22"/>
          <w:lang w:val="pt-PT" w:eastAsia="es-ES_tradnl"/>
        </w:rPr>
        <w:t>% d</w:t>
      </w:r>
      <w:r w:rsidRPr="00FE6CD5">
        <w:rPr>
          <w:rFonts w:ascii="Arial" w:eastAsia="Times New Roman" w:hAnsi="Arial" w:cs="Arial"/>
          <w:sz w:val="22"/>
          <w:szCs w:val="22"/>
          <w:lang w:val="pt-PT" w:eastAsia="es-ES_tradnl"/>
        </w:rPr>
        <w:t>o</w:t>
      </w:r>
      <w:r w:rsidR="00AC7E08" w:rsidRPr="00FE6CD5">
        <w:rPr>
          <w:rFonts w:ascii="Arial" w:eastAsia="Times New Roman" w:hAnsi="Arial" w:cs="Arial"/>
          <w:sz w:val="22"/>
          <w:szCs w:val="22"/>
          <w:lang w:val="pt-PT" w:eastAsia="es-ES_tradnl"/>
        </w:rPr>
        <w:t xml:space="preserve"> PIB </w:t>
      </w:r>
      <w:r w:rsidRPr="00FE6CD5">
        <w:rPr>
          <w:rFonts w:ascii="Arial" w:eastAsia="Times New Roman" w:hAnsi="Arial" w:cs="Arial"/>
          <w:sz w:val="22"/>
          <w:szCs w:val="22"/>
          <w:lang w:val="pt-PT" w:eastAsia="es-ES_tradnl"/>
        </w:rPr>
        <w:t>no</w:t>
      </w:r>
      <w:r w:rsidR="00AC7E08" w:rsidRPr="00FE6CD5">
        <w:rPr>
          <w:rFonts w:ascii="Arial" w:eastAsia="Times New Roman" w:hAnsi="Arial" w:cs="Arial"/>
          <w:sz w:val="22"/>
          <w:szCs w:val="22"/>
          <w:lang w:val="pt-PT" w:eastAsia="es-ES_tradnl"/>
        </w:rPr>
        <w:t xml:space="preserve"> ano base </w:t>
      </w:r>
      <w:r w:rsidRPr="00FE6CD5">
        <w:rPr>
          <w:rFonts w:ascii="Arial" w:eastAsia="Times New Roman" w:hAnsi="Arial" w:cs="Arial"/>
          <w:sz w:val="22"/>
          <w:szCs w:val="22"/>
          <w:lang w:val="pt-PT" w:eastAsia="es-ES_tradnl"/>
        </w:rPr>
        <w:t>(2</w:t>
      </w:r>
      <w:r w:rsidR="00865FE1">
        <w:rPr>
          <w:rFonts w:ascii="Arial" w:eastAsia="Times New Roman" w:hAnsi="Arial" w:cs="Arial"/>
          <w:sz w:val="22"/>
          <w:szCs w:val="22"/>
          <w:lang w:val="pt-PT" w:eastAsia="es-ES_tradnl"/>
        </w:rPr>
        <w:t>018</w:t>
      </w:r>
      <w:r w:rsidRPr="00FE6CD5">
        <w:rPr>
          <w:rFonts w:ascii="Arial" w:eastAsia="Times New Roman" w:hAnsi="Arial" w:cs="Arial"/>
          <w:sz w:val="22"/>
          <w:szCs w:val="22"/>
          <w:lang w:val="pt-PT" w:eastAsia="es-ES_tradnl"/>
        </w:rPr>
        <w:t xml:space="preserve">) </w:t>
      </w:r>
      <w:r w:rsidR="00AC7E08" w:rsidRPr="00FE6CD5">
        <w:rPr>
          <w:rFonts w:ascii="Arial" w:eastAsia="Times New Roman" w:hAnsi="Arial" w:cs="Arial"/>
          <w:sz w:val="22"/>
          <w:szCs w:val="22"/>
          <w:lang w:val="pt-PT" w:eastAsia="es-ES_tradnl"/>
        </w:rPr>
        <w:t>para u</w:t>
      </w:r>
      <w:r w:rsidRPr="00FE6CD5">
        <w:rPr>
          <w:rFonts w:ascii="Arial" w:eastAsia="Times New Roman" w:hAnsi="Arial" w:cs="Arial"/>
          <w:sz w:val="22"/>
          <w:szCs w:val="22"/>
          <w:lang w:val="pt-PT" w:eastAsia="es-ES_tradnl"/>
        </w:rPr>
        <w:t>m</w:t>
      </w:r>
      <w:r w:rsidR="00AC7E08" w:rsidRPr="00FE6CD5">
        <w:rPr>
          <w:rFonts w:ascii="Arial" w:eastAsia="Times New Roman" w:hAnsi="Arial" w:cs="Arial"/>
          <w:sz w:val="22"/>
          <w:szCs w:val="22"/>
          <w:lang w:val="pt-PT" w:eastAsia="es-ES_tradnl"/>
        </w:rPr>
        <w:t xml:space="preserve"> </w:t>
      </w:r>
      <w:r w:rsidR="0050575C">
        <w:rPr>
          <w:rFonts w:ascii="Arial" w:eastAsia="Times New Roman" w:hAnsi="Arial" w:cs="Arial"/>
          <w:sz w:val="22"/>
          <w:szCs w:val="22"/>
          <w:lang w:val="pt-PT" w:eastAsia="es-ES_tradnl"/>
        </w:rPr>
        <w:t>déficit</w:t>
      </w:r>
      <w:r w:rsidR="00AC7E08" w:rsidRPr="00FE6CD5">
        <w:rPr>
          <w:rFonts w:ascii="Arial" w:eastAsia="Times New Roman" w:hAnsi="Arial" w:cs="Arial"/>
          <w:sz w:val="22"/>
          <w:szCs w:val="22"/>
          <w:lang w:val="pt-PT" w:eastAsia="es-ES_tradnl"/>
        </w:rPr>
        <w:t xml:space="preserve"> de </w:t>
      </w:r>
      <w:r w:rsidR="00482623">
        <w:rPr>
          <w:rFonts w:ascii="Arial" w:eastAsia="Times New Roman" w:hAnsi="Arial" w:cs="Arial"/>
          <w:sz w:val="22"/>
          <w:szCs w:val="22"/>
          <w:lang w:val="pt-PT" w:eastAsia="es-ES_tradnl"/>
        </w:rPr>
        <w:t>0,26</w:t>
      </w:r>
      <w:r w:rsidR="00AC7E08" w:rsidRPr="00FE6CD5">
        <w:rPr>
          <w:rFonts w:ascii="Arial" w:eastAsia="Times New Roman" w:hAnsi="Arial" w:cs="Arial"/>
          <w:sz w:val="22"/>
          <w:szCs w:val="22"/>
          <w:lang w:val="pt-PT" w:eastAsia="es-ES_tradnl"/>
        </w:rPr>
        <w:t>% d</w:t>
      </w:r>
      <w:r w:rsidRPr="00FE6CD5">
        <w:rPr>
          <w:rFonts w:ascii="Arial" w:eastAsia="Times New Roman" w:hAnsi="Arial" w:cs="Arial"/>
          <w:sz w:val="22"/>
          <w:szCs w:val="22"/>
          <w:lang w:val="pt-PT" w:eastAsia="es-ES_tradnl"/>
        </w:rPr>
        <w:t>o</w:t>
      </w:r>
      <w:r w:rsidR="00AC7E08" w:rsidRPr="00FE6CD5">
        <w:rPr>
          <w:rFonts w:ascii="Arial" w:eastAsia="Times New Roman" w:hAnsi="Arial" w:cs="Arial"/>
          <w:sz w:val="22"/>
          <w:szCs w:val="22"/>
          <w:lang w:val="pt-PT" w:eastAsia="es-ES_tradnl"/>
        </w:rPr>
        <w:t xml:space="preserve"> PIB </w:t>
      </w:r>
      <w:r w:rsidRPr="00FE6CD5">
        <w:rPr>
          <w:rFonts w:ascii="Arial" w:eastAsia="Times New Roman" w:hAnsi="Arial" w:cs="Arial"/>
          <w:sz w:val="22"/>
          <w:szCs w:val="22"/>
          <w:lang w:val="pt-PT" w:eastAsia="es-ES_tradnl"/>
        </w:rPr>
        <w:t xml:space="preserve">no </w:t>
      </w:r>
      <w:r w:rsidR="00AC7E08" w:rsidRPr="00FE6CD5">
        <w:rPr>
          <w:rFonts w:ascii="Arial" w:eastAsia="Times New Roman" w:hAnsi="Arial" w:cs="Arial"/>
          <w:sz w:val="22"/>
          <w:szCs w:val="22"/>
          <w:lang w:val="pt-PT" w:eastAsia="es-ES_tradnl"/>
        </w:rPr>
        <w:t xml:space="preserve">último </w:t>
      </w:r>
      <w:r w:rsidRPr="00FE6CD5">
        <w:rPr>
          <w:rFonts w:ascii="Arial" w:eastAsia="Times New Roman" w:hAnsi="Arial" w:cs="Arial"/>
          <w:sz w:val="22"/>
          <w:szCs w:val="22"/>
          <w:lang w:val="pt-PT" w:eastAsia="es-ES_tradnl"/>
        </w:rPr>
        <w:t xml:space="preserve">ano de execução do </w:t>
      </w:r>
      <w:r w:rsidRPr="00482623">
        <w:rPr>
          <w:rFonts w:ascii="Arial" w:eastAsia="Times New Roman" w:hAnsi="Arial" w:cs="Arial"/>
          <w:sz w:val="22"/>
          <w:szCs w:val="22"/>
          <w:lang w:val="pt-PT" w:eastAsia="es-ES_tradnl"/>
        </w:rPr>
        <w:t>projeto</w:t>
      </w:r>
      <w:r w:rsidR="00865FE1" w:rsidRPr="00482623">
        <w:rPr>
          <w:rFonts w:ascii="Arial" w:eastAsia="Times New Roman" w:hAnsi="Arial" w:cs="Arial"/>
          <w:sz w:val="22"/>
          <w:szCs w:val="22"/>
          <w:lang w:val="pt-PT" w:eastAsia="es-ES_tradnl"/>
        </w:rPr>
        <w:t xml:space="preserve"> (202</w:t>
      </w:r>
      <w:r w:rsidR="00482623" w:rsidRPr="00482623">
        <w:rPr>
          <w:rFonts w:ascii="Arial" w:eastAsia="Times New Roman" w:hAnsi="Arial" w:cs="Arial"/>
          <w:sz w:val="22"/>
          <w:szCs w:val="22"/>
          <w:lang w:val="pt-PT" w:eastAsia="es-ES_tradnl"/>
        </w:rPr>
        <w:t>4</w:t>
      </w:r>
      <w:r w:rsidR="00865FE1" w:rsidRPr="00482623">
        <w:rPr>
          <w:rFonts w:ascii="Arial" w:eastAsia="Times New Roman" w:hAnsi="Arial" w:cs="Arial"/>
          <w:sz w:val="22"/>
          <w:szCs w:val="22"/>
          <w:lang w:val="pt-PT" w:eastAsia="es-ES_tradnl"/>
        </w:rPr>
        <w:t>)</w:t>
      </w:r>
      <w:r w:rsidR="00AC7E08" w:rsidRPr="00482623">
        <w:rPr>
          <w:rFonts w:ascii="Arial" w:eastAsia="Times New Roman" w:hAnsi="Arial" w:cs="Arial"/>
          <w:sz w:val="22"/>
          <w:szCs w:val="22"/>
          <w:lang w:val="pt-PT" w:eastAsia="es-ES_tradnl"/>
        </w:rPr>
        <w:t>.</w:t>
      </w:r>
      <w:r w:rsidR="00AC7E08" w:rsidRPr="00FE6CD5">
        <w:rPr>
          <w:rFonts w:ascii="Arial" w:eastAsia="Times New Roman" w:hAnsi="Arial" w:cs="Arial"/>
          <w:sz w:val="22"/>
          <w:szCs w:val="22"/>
          <w:lang w:val="pt-PT" w:eastAsia="es-ES_tradnl"/>
        </w:rPr>
        <w:t xml:space="preserve"> </w:t>
      </w:r>
      <w:r w:rsidRPr="00FE6CD5">
        <w:rPr>
          <w:rFonts w:ascii="Arial" w:eastAsia="Times New Roman" w:hAnsi="Arial" w:cs="Arial"/>
          <w:sz w:val="22"/>
          <w:szCs w:val="22"/>
          <w:lang w:val="pt-PT" w:eastAsia="es-ES_tradnl"/>
        </w:rPr>
        <w:t xml:space="preserve">Isto resultará </w:t>
      </w:r>
      <w:r w:rsidR="00865FE1">
        <w:rPr>
          <w:rFonts w:ascii="Arial" w:eastAsia="Times New Roman" w:hAnsi="Arial" w:cs="Arial"/>
          <w:sz w:val="22"/>
          <w:szCs w:val="22"/>
          <w:lang w:val="pt-PT" w:eastAsia="es-ES_tradnl"/>
        </w:rPr>
        <w:t>d</w:t>
      </w:r>
      <w:r w:rsidRPr="00FE6CD5">
        <w:rPr>
          <w:rFonts w:ascii="Arial" w:eastAsia="Times New Roman" w:hAnsi="Arial" w:cs="Arial"/>
          <w:sz w:val="22"/>
          <w:szCs w:val="22"/>
          <w:lang w:val="pt-PT" w:eastAsia="es-ES_tradnl"/>
        </w:rPr>
        <w:t>o incremento da receita própria de</w:t>
      </w:r>
      <w:r w:rsidR="00AC7E08" w:rsidRPr="00FE6CD5">
        <w:rPr>
          <w:rFonts w:ascii="Arial" w:eastAsia="Times New Roman" w:hAnsi="Arial" w:cs="Arial"/>
          <w:sz w:val="22"/>
          <w:szCs w:val="22"/>
          <w:lang w:val="pt-PT" w:eastAsia="es-ES_tradnl"/>
        </w:rPr>
        <w:t xml:space="preserve"> </w:t>
      </w:r>
      <w:r w:rsidR="00482623">
        <w:rPr>
          <w:rFonts w:ascii="Arial" w:eastAsia="Times New Roman" w:hAnsi="Arial" w:cs="Arial"/>
          <w:sz w:val="22"/>
          <w:szCs w:val="22"/>
          <w:lang w:val="pt-PT" w:eastAsia="es-ES_tradnl"/>
        </w:rPr>
        <w:t>8,01</w:t>
      </w:r>
      <w:r w:rsidR="00AC7E08" w:rsidRPr="00FE6CD5">
        <w:rPr>
          <w:rFonts w:ascii="Arial" w:eastAsia="Times New Roman" w:hAnsi="Arial" w:cs="Arial"/>
          <w:sz w:val="22"/>
          <w:szCs w:val="22"/>
          <w:lang w:val="pt-PT" w:eastAsia="es-ES_tradnl"/>
        </w:rPr>
        <w:t>% d</w:t>
      </w:r>
      <w:r w:rsidRPr="00FE6CD5">
        <w:rPr>
          <w:rFonts w:ascii="Arial" w:eastAsia="Times New Roman" w:hAnsi="Arial" w:cs="Arial"/>
          <w:sz w:val="22"/>
          <w:szCs w:val="22"/>
          <w:lang w:val="pt-PT" w:eastAsia="es-ES_tradnl"/>
        </w:rPr>
        <w:t>o</w:t>
      </w:r>
      <w:r w:rsidR="00AC7E08" w:rsidRPr="00FE6CD5">
        <w:rPr>
          <w:rFonts w:ascii="Arial" w:eastAsia="Times New Roman" w:hAnsi="Arial" w:cs="Arial"/>
          <w:sz w:val="22"/>
          <w:szCs w:val="22"/>
          <w:lang w:val="pt-PT" w:eastAsia="es-ES_tradnl"/>
        </w:rPr>
        <w:t xml:space="preserve"> PIB </w:t>
      </w:r>
      <w:r w:rsidRPr="00FE6CD5">
        <w:rPr>
          <w:rFonts w:ascii="Arial" w:eastAsia="Times New Roman" w:hAnsi="Arial" w:cs="Arial"/>
          <w:sz w:val="22"/>
          <w:szCs w:val="22"/>
          <w:lang w:val="pt-PT" w:eastAsia="es-ES_tradnl"/>
        </w:rPr>
        <w:t>no ano base (201</w:t>
      </w:r>
      <w:r w:rsidR="00865FE1">
        <w:rPr>
          <w:rFonts w:ascii="Arial" w:eastAsia="Times New Roman" w:hAnsi="Arial" w:cs="Arial"/>
          <w:sz w:val="22"/>
          <w:szCs w:val="22"/>
          <w:lang w:val="pt-PT" w:eastAsia="es-ES_tradnl"/>
        </w:rPr>
        <w:t>8</w:t>
      </w:r>
      <w:r w:rsidRPr="00FE6CD5">
        <w:rPr>
          <w:rFonts w:ascii="Arial" w:eastAsia="Times New Roman" w:hAnsi="Arial" w:cs="Arial"/>
          <w:sz w:val="22"/>
          <w:szCs w:val="22"/>
          <w:lang w:val="pt-PT" w:eastAsia="es-ES_tradnl"/>
        </w:rPr>
        <w:t>)</w:t>
      </w:r>
      <w:r w:rsidR="00AC7E08" w:rsidRPr="00FE6CD5">
        <w:rPr>
          <w:rFonts w:ascii="Arial" w:eastAsia="Times New Roman" w:hAnsi="Arial" w:cs="Arial"/>
          <w:sz w:val="22"/>
          <w:szCs w:val="22"/>
          <w:lang w:val="pt-PT" w:eastAsia="es-ES_tradnl"/>
        </w:rPr>
        <w:t xml:space="preserve"> para </w:t>
      </w:r>
      <w:r w:rsidR="00482623">
        <w:rPr>
          <w:rFonts w:ascii="Arial" w:eastAsia="Times New Roman" w:hAnsi="Arial" w:cs="Arial"/>
          <w:sz w:val="22"/>
          <w:szCs w:val="22"/>
          <w:lang w:val="pt-PT" w:eastAsia="es-ES_tradnl"/>
        </w:rPr>
        <w:t>8,09</w:t>
      </w:r>
      <w:r w:rsidR="00AC7E08" w:rsidRPr="00FE6CD5">
        <w:rPr>
          <w:rFonts w:ascii="Arial" w:eastAsia="Times New Roman" w:hAnsi="Arial" w:cs="Arial"/>
          <w:sz w:val="22"/>
          <w:szCs w:val="22"/>
          <w:lang w:val="pt-PT" w:eastAsia="es-ES_tradnl"/>
        </w:rPr>
        <w:t>% a</w:t>
      </w:r>
      <w:r w:rsidRPr="00FE6CD5">
        <w:rPr>
          <w:rFonts w:ascii="Arial" w:eastAsia="Times New Roman" w:hAnsi="Arial" w:cs="Arial"/>
          <w:sz w:val="22"/>
          <w:szCs w:val="22"/>
          <w:lang w:val="pt-PT" w:eastAsia="es-ES_tradnl"/>
        </w:rPr>
        <w:t>o</w:t>
      </w:r>
      <w:r w:rsidR="00AC7E08" w:rsidRPr="00FE6CD5">
        <w:rPr>
          <w:rFonts w:ascii="Arial" w:eastAsia="Times New Roman" w:hAnsi="Arial" w:cs="Arial"/>
          <w:sz w:val="22"/>
          <w:szCs w:val="22"/>
          <w:lang w:val="pt-PT" w:eastAsia="es-ES_tradnl"/>
        </w:rPr>
        <w:t xml:space="preserve"> final d</w:t>
      </w:r>
      <w:r w:rsidRPr="00FE6CD5">
        <w:rPr>
          <w:rFonts w:ascii="Arial" w:eastAsia="Times New Roman" w:hAnsi="Arial" w:cs="Arial"/>
          <w:sz w:val="22"/>
          <w:szCs w:val="22"/>
          <w:lang w:val="pt-PT" w:eastAsia="es-ES_tradnl"/>
        </w:rPr>
        <w:t>o</w:t>
      </w:r>
      <w:r w:rsidR="00AC7E08" w:rsidRPr="00FE6CD5">
        <w:rPr>
          <w:rFonts w:ascii="Arial" w:eastAsia="Times New Roman" w:hAnsi="Arial" w:cs="Arial"/>
          <w:sz w:val="22"/>
          <w:szCs w:val="22"/>
          <w:lang w:val="pt-PT" w:eastAsia="es-ES_tradnl"/>
        </w:rPr>
        <w:t xml:space="preserve"> programa </w:t>
      </w:r>
      <w:r w:rsidRPr="00FE6CD5">
        <w:rPr>
          <w:rFonts w:ascii="Arial" w:eastAsia="Times New Roman" w:hAnsi="Arial" w:cs="Arial"/>
          <w:sz w:val="22"/>
          <w:szCs w:val="22"/>
          <w:lang w:val="pt-PT" w:eastAsia="es-ES_tradnl"/>
        </w:rPr>
        <w:t>e de uma redução substancial nos gasto</w:t>
      </w:r>
      <w:r w:rsidR="00AC7E08" w:rsidRPr="00FE6CD5">
        <w:rPr>
          <w:rFonts w:ascii="Arial" w:eastAsia="Times New Roman" w:hAnsi="Arial" w:cs="Arial"/>
          <w:sz w:val="22"/>
          <w:szCs w:val="22"/>
          <w:lang w:val="pt-PT" w:eastAsia="es-ES_tradnl"/>
        </w:rPr>
        <w:t>s públicos.</w:t>
      </w:r>
    </w:p>
    <w:p w14:paraId="36F8A8B8" w14:textId="095A3640" w:rsidR="00AC7E08" w:rsidRPr="00FE6CD5" w:rsidRDefault="0061645E" w:rsidP="009F0EB2">
      <w:pPr>
        <w:pStyle w:val="ListParagraph"/>
        <w:numPr>
          <w:ilvl w:val="2"/>
          <w:numId w:val="1"/>
        </w:numPr>
        <w:spacing w:before="120" w:after="120"/>
        <w:contextualSpacing w:val="0"/>
        <w:jc w:val="both"/>
        <w:rPr>
          <w:rFonts w:ascii="Arial" w:eastAsia="Times New Roman" w:hAnsi="Arial" w:cs="Arial"/>
          <w:sz w:val="22"/>
          <w:szCs w:val="22"/>
          <w:lang w:val="pt-PT" w:eastAsia="es-ES_tradnl"/>
        </w:rPr>
      </w:pPr>
      <w:r w:rsidRPr="00FE6CD5">
        <w:rPr>
          <w:rFonts w:ascii="Arial" w:eastAsia="Times New Roman" w:hAnsi="Arial" w:cs="Arial"/>
          <w:sz w:val="22"/>
          <w:szCs w:val="22"/>
          <w:lang w:val="pt-PT" w:eastAsia="es-ES_tradnl"/>
        </w:rPr>
        <w:t xml:space="preserve">O serviço da dívida para o empréstimo do </w:t>
      </w:r>
      <w:r w:rsidR="00AC7E08" w:rsidRPr="00FE6CD5">
        <w:rPr>
          <w:rFonts w:ascii="Arial" w:eastAsia="Times New Roman" w:hAnsi="Arial" w:cs="Arial"/>
          <w:sz w:val="22"/>
          <w:szCs w:val="22"/>
          <w:lang w:val="pt-PT" w:eastAsia="es-ES_tradnl"/>
        </w:rPr>
        <w:t>PROFISCO</w:t>
      </w:r>
      <w:r w:rsidRPr="00FE6CD5">
        <w:rPr>
          <w:rFonts w:ascii="Arial" w:eastAsia="Times New Roman" w:hAnsi="Arial" w:cs="Arial"/>
          <w:sz w:val="22"/>
          <w:szCs w:val="22"/>
          <w:lang w:val="pt-PT" w:eastAsia="es-ES_tradnl"/>
        </w:rPr>
        <w:t xml:space="preserve"> </w:t>
      </w:r>
      <w:r w:rsidR="00AC7E08" w:rsidRPr="00FE6CD5">
        <w:rPr>
          <w:rFonts w:ascii="Arial" w:eastAsia="Times New Roman" w:hAnsi="Arial" w:cs="Arial"/>
          <w:sz w:val="22"/>
          <w:szCs w:val="22"/>
          <w:lang w:val="pt-PT" w:eastAsia="es-ES_tradnl"/>
        </w:rPr>
        <w:t>II</w:t>
      </w:r>
      <w:r w:rsidRPr="00FE6CD5">
        <w:rPr>
          <w:rFonts w:ascii="Arial" w:eastAsia="Times New Roman" w:hAnsi="Arial" w:cs="Arial"/>
          <w:sz w:val="22"/>
          <w:szCs w:val="22"/>
          <w:lang w:val="pt-PT" w:eastAsia="es-ES_tradnl"/>
        </w:rPr>
        <w:t>-</w:t>
      </w:r>
      <w:r w:rsidR="002A05E7">
        <w:rPr>
          <w:rFonts w:ascii="Arial" w:eastAsia="Times New Roman" w:hAnsi="Arial" w:cs="Arial"/>
          <w:sz w:val="22"/>
          <w:szCs w:val="22"/>
          <w:lang w:val="pt-PT" w:eastAsia="es-ES_tradnl"/>
        </w:rPr>
        <w:t>R</w:t>
      </w:r>
      <w:r w:rsidRPr="00FE6CD5">
        <w:rPr>
          <w:rFonts w:ascii="Arial" w:eastAsia="Times New Roman" w:hAnsi="Arial" w:cs="Arial"/>
          <w:sz w:val="22"/>
          <w:szCs w:val="22"/>
          <w:lang w:val="pt-PT" w:eastAsia="es-ES_tradnl"/>
        </w:rPr>
        <w:t>S</w:t>
      </w:r>
      <w:r w:rsidR="00AC7E08" w:rsidRPr="00FE6CD5">
        <w:rPr>
          <w:rFonts w:ascii="Arial" w:eastAsia="Times New Roman" w:hAnsi="Arial" w:cs="Arial"/>
          <w:sz w:val="22"/>
          <w:szCs w:val="22"/>
          <w:lang w:val="pt-PT" w:eastAsia="es-ES_tradnl"/>
        </w:rPr>
        <w:t xml:space="preserve"> (amortiza</w:t>
      </w:r>
      <w:r w:rsidRPr="00FE6CD5">
        <w:rPr>
          <w:rFonts w:ascii="Arial" w:eastAsia="Times New Roman" w:hAnsi="Arial" w:cs="Arial"/>
          <w:sz w:val="22"/>
          <w:szCs w:val="22"/>
          <w:lang w:val="pt-PT" w:eastAsia="es-ES_tradnl"/>
        </w:rPr>
        <w:t>ção e juros</w:t>
      </w:r>
      <w:r w:rsidR="00AC7E08" w:rsidRPr="00FE6CD5">
        <w:rPr>
          <w:rFonts w:ascii="Arial" w:eastAsia="Times New Roman" w:hAnsi="Arial" w:cs="Arial"/>
          <w:sz w:val="22"/>
          <w:szCs w:val="22"/>
          <w:lang w:val="pt-PT" w:eastAsia="es-ES_tradnl"/>
        </w:rPr>
        <w:t>)</w:t>
      </w:r>
      <w:r w:rsidRPr="00FE6CD5">
        <w:rPr>
          <w:rFonts w:ascii="Arial" w:eastAsia="Times New Roman" w:hAnsi="Arial" w:cs="Arial"/>
          <w:sz w:val="22"/>
          <w:szCs w:val="22"/>
          <w:lang w:val="pt-PT" w:eastAsia="es-ES_tradnl"/>
        </w:rPr>
        <w:t xml:space="preserve">, que iniciará após o período </w:t>
      </w:r>
      <w:r w:rsidR="00AC7E08" w:rsidRPr="00FE6CD5">
        <w:rPr>
          <w:rFonts w:ascii="Arial" w:eastAsia="Times New Roman" w:hAnsi="Arial" w:cs="Arial"/>
          <w:sz w:val="22"/>
          <w:szCs w:val="22"/>
          <w:lang w:val="pt-PT" w:eastAsia="es-ES_tradnl"/>
        </w:rPr>
        <w:t xml:space="preserve">de </w:t>
      </w:r>
      <w:r w:rsidRPr="00FE6CD5">
        <w:rPr>
          <w:rFonts w:ascii="Arial" w:eastAsia="Times New Roman" w:hAnsi="Arial" w:cs="Arial"/>
          <w:sz w:val="22"/>
          <w:szCs w:val="22"/>
          <w:lang w:val="pt-PT" w:eastAsia="es-ES_tradnl"/>
        </w:rPr>
        <w:t>carência</w:t>
      </w:r>
      <w:r w:rsidR="00AC7E08" w:rsidRPr="00FE6CD5">
        <w:rPr>
          <w:rFonts w:ascii="Arial" w:eastAsia="Times New Roman" w:hAnsi="Arial" w:cs="Arial"/>
          <w:sz w:val="22"/>
          <w:szCs w:val="22"/>
          <w:lang w:val="pt-PT" w:eastAsia="es-ES_tradnl"/>
        </w:rPr>
        <w:t>, representa menos que 0,0</w:t>
      </w:r>
      <w:r w:rsidR="00F52882">
        <w:rPr>
          <w:rFonts w:ascii="Arial" w:eastAsia="Times New Roman" w:hAnsi="Arial" w:cs="Arial"/>
          <w:sz w:val="22"/>
          <w:szCs w:val="22"/>
          <w:lang w:val="pt-PT" w:eastAsia="es-ES_tradnl"/>
        </w:rPr>
        <w:t>044</w:t>
      </w:r>
      <w:r w:rsidR="00AC7E08" w:rsidRPr="00FE6CD5">
        <w:rPr>
          <w:rFonts w:ascii="Arial" w:eastAsia="Times New Roman" w:hAnsi="Arial" w:cs="Arial"/>
          <w:sz w:val="22"/>
          <w:szCs w:val="22"/>
          <w:lang w:val="pt-PT" w:eastAsia="es-ES_tradnl"/>
        </w:rPr>
        <w:t>% d</w:t>
      </w:r>
      <w:r w:rsidRPr="00FE6CD5">
        <w:rPr>
          <w:rFonts w:ascii="Arial" w:eastAsia="Times New Roman" w:hAnsi="Arial" w:cs="Arial"/>
          <w:sz w:val="22"/>
          <w:szCs w:val="22"/>
          <w:lang w:val="pt-PT" w:eastAsia="es-ES_tradnl"/>
        </w:rPr>
        <w:t>o</w:t>
      </w:r>
      <w:r w:rsidR="00AC7E08" w:rsidRPr="00FE6CD5">
        <w:rPr>
          <w:rFonts w:ascii="Arial" w:eastAsia="Times New Roman" w:hAnsi="Arial" w:cs="Arial"/>
          <w:sz w:val="22"/>
          <w:szCs w:val="22"/>
          <w:lang w:val="pt-PT" w:eastAsia="es-ES_tradnl"/>
        </w:rPr>
        <w:t xml:space="preserve"> PIB d</w:t>
      </w:r>
      <w:r w:rsidRPr="00FE6CD5">
        <w:rPr>
          <w:rFonts w:ascii="Arial" w:eastAsia="Times New Roman" w:hAnsi="Arial" w:cs="Arial"/>
          <w:sz w:val="22"/>
          <w:szCs w:val="22"/>
          <w:lang w:val="pt-PT" w:eastAsia="es-ES_tradnl"/>
        </w:rPr>
        <w:t>o</w:t>
      </w:r>
      <w:r w:rsidR="00AC7E08" w:rsidRPr="00FE6CD5">
        <w:rPr>
          <w:rFonts w:ascii="Arial" w:eastAsia="Times New Roman" w:hAnsi="Arial" w:cs="Arial"/>
          <w:sz w:val="22"/>
          <w:szCs w:val="22"/>
          <w:lang w:val="pt-PT" w:eastAsia="es-ES_tradnl"/>
        </w:rPr>
        <w:t xml:space="preserve"> estado </w:t>
      </w:r>
      <w:r w:rsidRPr="00FE6CD5">
        <w:rPr>
          <w:rFonts w:ascii="Arial" w:eastAsia="Times New Roman" w:hAnsi="Arial" w:cs="Arial"/>
          <w:sz w:val="22"/>
          <w:szCs w:val="22"/>
          <w:lang w:val="pt-PT" w:eastAsia="es-ES_tradnl"/>
        </w:rPr>
        <w:t>e</w:t>
      </w:r>
      <w:r w:rsidR="00AC7E08" w:rsidRPr="00FE6CD5">
        <w:rPr>
          <w:rFonts w:ascii="Arial" w:eastAsia="Times New Roman" w:hAnsi="Arial" w:cs="Arial"/>
          <w:sz w:val="22"/>
          <w:szCs w:val="22"/>
          <w:lang w:val="pt-PT" w:eastAsia="es-ES_tradnl"/>
        </w:rPr>
        <w:t xml:space="preserve"> 0,</w:t>
      </w:r>
      <w:r w:rsidR="00F52882">
        <w:rPr>
          <w:rFonts w:ascii="Arial" w:eastAsia="Times New Roman" w:hAnsi="Arial" w:cs="Arial"/>
          <w:sz w:val="22"/>
          <w:szCs w:val="22"/>
          <w:lang w:val="pt-PT" w:eastAsia="es-ES_tradnl"/>
        </w:rPr>
        <w:t>051</w:t>
      </w:r>
      <w:r w:rsidR="00AC7E08" w:rsidRPr="00FE6CD5">
        <w:rPr>
          <w:rFonts w:ascii="Arial" w:eastAsia="Times New Roman" w:hAnsi="Arial" w:cs="Arial"/>
          <w:sz w:val="22"/>
          <w:szCs w:val="22"/>
          <w:lang w:val="pt-PT" w:eastAsia="es-ES_tradnl"/>
        </w:rPr>
        <w:t>% de</w:t>
      </w:r>
      <w:r w:rsidRPr="00FE6CD5">
        <w:rPr>
          <w:rFonts w:ascii="Arial" w:eastAsia="Times New Roman" w:hAnsi="Arial" w:cs="Arial"/>
          <w:sz w:val="22"/>
          <w:szCs w:val="22"/>
          <w:lang w:val="pt-PT" w:eastAsia="es-ES_tradnl"/>
        </w:rPr>
        <w:t xml:space="preserve"> sua receita corrente líquida de </w:t>
      </w:r>
      <w:r w:rsidR="00AC7E08" w:rsidRPr="00FE6CD5">
        <w:rPr>
          <w:rFonts w:ascii="Arial" w:eastAsia="Times New Roman" w:hAnsi="Arial" w:cs="Arial"/>
          <w:sz w:val="22"/>
          <w:szCs w:val="22"/>
          <w:lang w:val="pt-PT" w:eastAsia="es-ES_tradnl"/>
        </w:rPr>
        <w:t>201</w:t>
      </w:r>
      <w:r w:rsidR="00482623">
        <w:rPr>
          <w:rFonts w:ascii="Arial" w:eastAsia="Times New Roman" w:hAnsi="Arial" w:cs="Arial"/>
          <w:sz w:val="22"/>
          <w:szCs w:val="22"/>
          <w:lang w:val="pt-PT" w:eastAsia="es-ES_tradnl"/>
        </w:rPr>
        <w:t>8</w:t>
      </w:r>
      <w:r w:rsidR="00AC7E08" w:rsidRPr="00FE6CD5">
        <w:rPr>
          <w:rFonts w:ascii="Arial" w:eastAsia="Times New Roman" w:hAnsi="Arial" w:cs="Arial"/>
          <w:sz w:val="22"/>
          <w:szCs w:val="22"/>
          <w:lang w:val="pt-PT" w:eastAsia="es-ES_tradnl"/>
        </w:rPr>
        <w:t xml:space="preserve">, </w:t>
      </w:r>
      <w:r w:rsidRPr="00FE6CD5">
        <w:rPr>
          <w:rFonts w:ascii="Arial" w:eastAsia="Times New Roman" w:hAnsi="Arial" w:cs="Arial"/>
          <w:sz w:val="22"/>
          <w:szCs w:val="22"/>
          <w:lang w:val="pt-PT" w:eastAsia="es-ES_tradnl"/>
        </w:rPr>
        <w:t xml:space="preserve">percentuais estimados considerando-se a taxa de câmbio de </w:t>
      </w:r>
      <w:r w:rsidR="00AC7E08" w:rsidRPr="00FE6CD5">
        <w:rPr>
          <w:rFonts w:ascii="Arial" w:eastAsia="Times New Roman" w:hAnsi="Arial" w:cs="Arial"/>
          <w:sz w:val="22"/>
          <w:szCs w:val="22"/>
          <w:lang w:val="pt-PT" w:eastAsia="es-ES_tradnl"/>
        </w:rPr>
        <w:t>US$1=R$</w:t>
      </w:r>
      <w:r w:rsidR="00F52882">
        <w:rPr>
          <w:rFonts w:ascii="Arial" w:eastAsia="Times New Roman" w:hAnsi="Arial" w:cs="Arial"/>
          <w:sz w:val="22"/>
          <w:szCs w:val="22"/>
          <w:lang w:val="pt-PT" w:eastAsia="es-ES_tradnl"/>
        </w:rPr>
        <w:t>4</w:t>
      </w:r>
      <w:r w:rsidR="00AC7E08" w:rsidRPr="00FE6CD5">
        <w:rPr>
          <w:rFonts w:ascii="Arial" w:eastAsia="Times New Roman" w:hAnsi="Arial" w:cs="Arial"/>
          <w:sz w:val="22"/>
          <w:szCs w:val="22"/>
          <w:lang w:val="pt-PT" w:eastAsia="es-ES_tradnl"/>
        </w:rPr>
        <w:t xml:space="preserve">. </w:t>
      </w:r>
    </w:p>
    <w:p w14:paraId="79C8DC44" w14:textId="77777777" w:rsidR="003E544E" w:rsidRPr="003E544E" w:rsidRDefault="003E544E" w:rsidP="00AE651C">
      <w:pPr>
        <w:jc w:val="both"/>
        <w:rPr>
          <w:rFonts w:ascii="Arial" w:hAnsi="Arial" w:cs="Arial"/>
          <w:sz w:val="22"/>
          <w:szCs w:val="22"/>
          <w:lang w:val="pt-BR"/>
        </w:rPr>
      </w:pPr>
    </w:p>
    <w:sectPr w:rsidR="003E544E" w:rsidRPr="003E544E">
      <w:headerReference w:type="even" r:id="rId14"/>
      <w:headerReference w:type="default" r:id="rId15"/>
      <w:headerReference w:type="first" r:id="rId16"/>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09562" w14:textId="77777777" w:rsidR="004113FC" w:rsidRDefault="004113FC">
      <w:r>
        <w:separator/>
      </w:r>
    </w:p>
  </w:endnote>
  <w:endnote w:type="continuationSeparator" w:id="0">
    <w:p w14:paraId="46173707" w14:textId="77777777" w:rsidR="004113FC" w:rsidRDefault="004113FC">
      <w:r>
        <w:continuationSeparator/>
      </w:r>
    </w:p>
  </w:endnote>
  <w:endnote w:type="continuationNotice" w:id="1">
    <w:p w14:paraId="3349A7F9" w14:textId="77777777" w:rsidR="004113FC" w:rsidRDefault="004113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0DB0F" w14:textId="77777777" w:rsidR="004113FC" w:rsidRDefault="004113FC">
      <w:r>
        <w:separator/>
      </w:r>
    </w:p>
  </w:footnote>
  <w:footnote w:type="continuationSeparator" w:id="0">
    <w:p w14:paraId="34E214F0" w14:textId="77777777" w:rsidR="004113FC" w:rsidRDefault="004113FC">
      <w:r>
        <w:continuationSeparator/>
      </w:r>
    </w:p>
  </w:footnote>
  <w:footnote w:type="continuationNotice" w:id="1">
    <w:p w14:paraId="1204C286" w14:textId="77777777" w:rsidR="004113FC" w:rsidRDefault="004113FC"/>
  </w:footnote>
  <w:footnote w:id="2">
    <w:p w14:paraId="788D1F51" w14:textId="77777777" w:rsidR="00A95F6B" w:rsidRPr="0061645E" w:rsidRDefault="00A95F6B" w:rsidP="00A95F6B">
      <w:pPr>
        <w:shd w:val="clear" w:color="auto" w:fill="FFFFFF"/>
        <w:jc w:val="both"/>
        <w:rPr>
          <w:rFonts w:ascii="Arial" w:hAnsi="Arial" w:cs="Arial"/>
          <w:sz w:val="16"/>
          <w:szCs w:val="16"/>
          <w:lang w:val="pt-BR" w:eastAsia="es-ES_tradnl"/>
        </w:rPr>
      </w:pPr>
      <w:r>
        <w:rPr>
          <w:rStyle w:val="FootnoteReference"/>
        </w:rPr>
        <w:footnoteRef/>
      </w:r>
      <w:r w:rsidRPr="00A95F6B">
        <w:rPr>
          <w:lang w:val="pt-BR"/>
        </w:rPr>
        <w:t xml:space="preserve"> </w:t>
      </w:r>
      <w:r w:rsidRPr="0061645E">
        <w:rPr>
          <w:rFonts w:ascii="Arial" w:hAnsi="Arial" w:cs="Arial"/>
          <w:sz w:val="16"/>
          <w:szCs w:val="16"/>
          <w:lang w:val="pt-BR" w:eastAsia="es-ES_tradnl"/>
        </w:rPr>
        <w:t>O MDF está disponível em </w:t>
      </w:r>
      <w:r w:rsidRPr="0061645E">
        <w:rPr>
          <w:rFonts w:ascii="Arial" w:hAnsi="Arial" w:cs="Arial"/>
          <w:sz w:val="16"/>
          <w:szCs w:val="16"/>
          <w:u w:val="single"/>
          <w:lang w:val="pt-BR" w:eastAsia="es-ES_tradnl"/>
        </w:rPr>
        <w:t>www.</w:t>
      </w:r>
      <w:hyperlink r:id="rId1" w:history="1">
        <w:r w:rsidRPr="0061645E">
          <w:rPr>
            <w:rFonts w:ascii="Arial" w:hAnsi="Arial" w:cs="Arial"/>
            <w:sz w:val="16"/>
            <w:szCs w:val="16"/>
            <w:u w:val="single"/>
            <w:lang w:val="pt-BR" w:eastAsia="es-ES_tradnl"/>
          </w:rPr>
          <w:t>tesouro.gov.br/</w:t>
        </w:r>
        <w:proofErr w:type="spellStart"/>
        <w:r w:rsidRPr="0061645E">
          <w:rPr>
            <w:rFonts w:ascii="Arial" w:hAnsi="Arial" w:cs="Arial"/>
            <w:sz w:val="16"/>
            <w:szCs w:val="16"/>
            <w:u w:val="single"/>
            <w:lang w:val="pt-BR" w:eastAsia="es-ES_tradnl"/>
          </w:rPr>
          <w:t>mdf</w:t>
        </w:r>
        <w:proofErr w:type="spellEnd"/>
      </w:hyperlink>
      <w:r w:rsidRPr="0061645E">
        <w:rPr>
          <w:rFonts w:ascii="Arial" w:hAnsi="Arial" w:cs="Arial"/>
          <w:sz w:val="16"/>
          <w:szCs w:val="16"/>
          <w:lang w:val="pt-BR" w:eastAsia="es-ES_tradnl"/>
        </w:rPr>
        <w:t>.</w:t>
      </w:r>
    </w:p>
    <w:p w14:paraId="58F75AA3" w14:textId="77777777" w:rsidR="00A95F6B" w:rsidRPr="00A95F6B" w:rsidRDefault="00A95F6B">
      <w:pPr>
        <w:pStyle w:val="FootnoteText"/>
        <w:rPr>
          <w:lang w:val="pt-BR"/>
        </w:rPr>
      </w:pPr>
    </w:p>
  </w:footnote>
  <w:footnote w:id="3">
    <w:p w14:paraId="245D14EE" w14:textId="77777777" w:rsidR="00AC7E08" w:rsidRPr="0061645E" w:rsidRDefault="00AC7E08" w:rsidP="00AC7E08">
      <w:pPr>
        <w:pStyle w:val="FootnoteText"/>
        <w:rPr>
          <w:rFonts w:ascii="Arial" w:hAnsi="Arial" w:cs="Arial"/>
          <w:sz w:val="16"/>
          <w:szCs w:val="16"/>
          <w:lang w:val="pt-BR"/>
        </w:rPr>
      </w:pPr>
      <w:r w:rsidRPr="00A13752">
        <w:rPr>
          <w:rStyle w:val="FootnoteReference"/>
          <w:sz w:val="16"/>
          <w:szCs w:val="16"/>
        </w:rPr>
        <w:footnoteRef/>
      </w:r>
      <w:r w:rsidRPr="00AC7E08">
        <w:rPr>
          <w:sz w:val="16"/>
          <w:szCs w:val="16"/>
          <w:lang w:val="pt-BR"/>
        </w:rPr>
        <w:t xml:space="preserve"> </w:t>
      </w:r>
      <w:r w:rsidRPr="0061645E">
        <w:rPr>
          <w:rFonts w:ascii="Arial" w:hAnsi="Arial" w:cs="Arial"/>
          <w:sz w:val="16"/>
          <w:szCs w:val="16"/>
          <w:lang w:val="pt-BR"/>
        </w:rPr>
        <w:t>Lei Complementar nº 101/2000</w:t>
      </w:r>
    </w:p>
  </w:footnote>
  <w:footnote w:id="4">
    <w:p w14:paraId="21F8AFA7" w14:textId="77777777" w:rsidR="00AC7E08" w:rsidRPr="00C236C6" w:rsidRDefault="00AC7E08" w:rsidP="00C236C6">
      <w:pPr>
        <w:pStyle w:val="FootnoteText"/>
        <w:spacing w:after="0"/>
        <w:rPr>
          <w:rFonts w:ascii="Arial" w:hAnsi="Arial" w:cs="Arial"/>
          <w:sz w:val="16"/>
          <w:szCs w:val="16"/>
          <w:lang w:val="pt-BR"/>
        </w:rPr>
      </w:pPr>
      <w:r w:rsidRPr="00A13752">
        <w:rPr>
          <w:rStyle w:val="FootnoteReference"/>
          <w:sz w:val="16"/>
          <w:szCs w:val="16"/>
        </w:rPr>
        <w:footnoteRef/>
      </w:r>
      <w:r w:rsidRPr="00AC7E08">
        <w:rPr>
          <w:sz w:val="16"/>
          <w:szCs w:val="16"/>
          <w:lang w:val="pt-BR"/>
        </w:rPr>
        <w:t xml:space="preserve"> </w:t>
      </w:r>
      <w:r w:rsidRPr="00C236C6">
        <w:rPr>
          <w:rFonts w:ascii="Arial" w:hAnsi="Arial" w:cs="Arial"/>
          <w:bCs/>
          <w:sz w:val="16"/>
          <w:szCs w:val="16"/>
          <w:lang w:val="pt-BR"/>
        </w:rPr>
        <w:t>Lei Complementar n</w:t>
      </w:r>
      <w:r w:rsidRPr="00C236C6">
        <w:rPr>
          <w:rFonts w:ascii="Arial" w:hAnsi="Arial" w:cs="Arial"/>
          <w:bCs/>
          <w:sz w:val="16"/>
          <w:szCs w:val="16"/>
          <w:vertAlign w:val="superscript"/>
          <w:lang w:val="pt-BR"/>
        </w:rPr>
        <w:t>o</w:t>
      </w:r>
      <w:r w:rsidRPr="00C236C6">
        <w:rPr>
          <w:rFonts w:ascii="Arial" w:hAnsi="Arial" w:cs="Arial"/>
          <w:bCs/>
          <w:sz w:val="16"/>
          <w:szCs w:val="16"/>
          <w:lang w:val="pt-BR"/>
        </w:rPr>
        <w:t xml:space="preserve"> 131 de 2009</w:t>
      </w:r>
    </w:p>
  </w:footnote>
  <w:footnote w:id="5">
    <w:p w14:paraId="5C774E31" w14:textId="77777777" w:rsidR="00AC7E08" w:rsidRPr="00C236C6" w:rsidRDefault="00AC7E08" w:rsidP="00C236C6">
      <w:pPr>
        <w:pStyle w:val="FootnoteText"/>
        <w:spacing w:after="0"/>
        <w:rPr>
          <w:rFonts w:ascii="Arial" w:hAnsi="Arial" w:cs="Arial"/>
          <w:sz w:val="16"/>
          <w:szCs w:val="16"/>
          <w:lang w:val="pt-BR"/>
        </w:rPr>
      </w:pPr>
      <w:r w:rsidRPr="00C236C6">
        <w:rPr>
          <w:rStyle w:val="FootnoteReference"/>
          <w:rFonts w:ascii="Arial" w:hAnsi="Arial" w:cs="Arial"/>
          <w:sz w:val="16"/>
          <w:szCs w:val="16"/>
        </w:rPr>
        <w:footnoteRef/>
      </w:r>
      <w:r w:rsidRPr="00C236C6">
        <w:rPr>
          <w:rFonts w:ascii="Arial" w:hAnsi="Arial" w:cs="Arial"/>
          <w:sz w:val="16"/>
          <w:szCs w:val="16"/>
          <w:lang w:val="pt-BR"/>
        </w:rPr>
        <w:t xml:space="preserve"> </w:t>
      </w:r>
      <w:r w:rsidRPr="00C236C6">
        <w:rPr>
          <w:rFonts w:ascii="Arial" w:hAnsi="Arial" w:cs="Arial"/>
          <w:bCs/>
          <w:sz w:val="16"/>
          <w:szCs w:val="16"/>
          <w:lang w:val="pt-BR"/>
        </w:rPr>
        <w:t xml:space="preserve">Lei </w:t>
      </w:r>
      <w:r w:rsidRPr="00C236C6">
        <w:rPr>
          <w:rFonts w:ascii="Arial" w:hAnsi="Arial" w:cs="Arial"/>
          <w:sz w:val="16"/>
          <w:szCs w:val="16"/>
          <w:lang w:val="pt-BR"/>
        </w:rPr>
        <w:t xml:space="preserve">Federal </w:t>
      </w:r>
      <w:r w:rsidRPr="00C236C6">
        <w:rPr>
          <w:rFonts w:ascii="Arial" w:hAnsi="Arial" w:cs="Arial"/>
          <w:bCs/>
          <w:sz w:val="16"/>
          <w:szCs w:val="16"/>
          <w:lang w:val="pt-BR"/>
        </w:rPr>
        <w:t>nº 12.527 de 2011</w:t>
      </w:r>
    </w:p>
  </w:footnote>
  <w:footnote w:id="6">
    <w:p w14:paraId="67FF944D" w14:textId="77777777" w:rsidR="00AC7E08" w:rsidRPr="00C236C6" w:rsidRDefault="00AC7E08" w:rsidP="00C236C6">
      <w:pPr>
        <w:pStyle w:val="FootnoteText"/>
        <w:spacing w:after="0"/>
        <w:ind w:left="0" w:firstLine="0"/>
        <w:rPr>
          <w:rFonts w:ascii="Arial" w:hAnsi="Arial" w:cs="Arial"/>
          <w:sz w:val="16"/>
          <w:szCs w:val="16"/>
          <w:lang w:val="pt-BR"/>
        </w:rPr>
      </w:pPr>
      <w:r w:rsidRPr="00C236C6">
        <w:rPr>
          <w:rFonts w:ascii="Arial" w:hAnsi="Arial" w:cs="Arial"/>
          <w:sz w:val="16"/>
          <w:szCs w:val="16"/>
          <w:vertAlign w:val="superscript"/>
        </w:rPr>
        <w:footnoteRef/>
      </w:r>
      <w:r w:rsidRPr="00C236C6">
        <w:rPr>
          <w:rFonts w:ascii="Arial" w:eastAsia="Calibri" w:hAnsi="Arial" w:cs="Arial"/>
          <w:sz w:val="16"/>
          <w:szCs w:val="16"/>
          <w:lang w:val="pt-BR"/>
        </w:rPr>
        <w:t xml:space="preserve"> Resolução do Senado Federal n</w:t>
      </w:r>
      <w:r w:rsidRPr="00C236C6">
        <w:rPr>
          <w:rFonts w:ascii="Arial" w:eastAsia="Calibri" w:hAnsi="Arial" w:cs="Arial"/>
          <w:strike/>
          <w:sz w:val="16"/>
          <w:szCs w:val="16"/>
          <w:lang w:val="pt-BR"/>
        </w:rPr>
        <w:t>º</w:t>
      </w:r>
      <w:r w:rsidRPr="00C236C6">
        <w:rPr>
          <w:rFonts w:ascii="Arial" w:eastAsia="Calibri" w:hAnsi="Arial" w:cs="Arial"/>
          <w:sz w:val="16"/>
          <w:szCs w:val="16"/>
          <w:lang w:val="pt-BR"/>
        </w:rPr>
        <w:t xml:space="preserve"> 43/2001, art 7</w:t>
      </w:r>
      <w:r w:rsidRPr="00C236C6">
        <w:rPr>
          <w:rFonts w:ascii="Arial" w:eastAsia="Calibri" w:hAnsi="Arial" w:cs="Arial"/>
          <w:strike/>
          <w:sz w:val="16"/>
          <w:szCs w:val="16"/>
          <w:lang w:val="pt-BR"/>
        </w:rPr>
        <w:t>º</w:t>
      </w:r>
      <w:r w:rsidRPr="00C236C6">
        <w:rPr>
          <w:rFonts w:ascii="Arial" w:eastAsia="Calibri" w:hAnsi="Arial" w:cs="Arial"/>
          <w:sz w:val="16"/>
          <w:szCs w:val="16"/>
          <w:lang w:val="pt-BR"/>
        </w:rPr>
        <w:t xml:space="preserve">, parágrafo 3º: São excluídas dos limites de que trata o </w:t>
      </w:r>
      <w:r w:rsidRPr="00C236C6">
        <w:rPr>
          <w:rFonts w:ascii="Arial" w:eastAsia="Calibri" w:hAnsi="Arial" w:cs="Arial"/>
          <w:i/>
          <w:sz w:val="16"/>
          <w:szCs w:val="16"/>
          <w:lang w:val="pt-BR"/>
        </w:rPr>
        <w:t xml:space="preserve">caput </w:t>
      </w:r>
      <w:r w:rsidRPr="00C236C6">
        <w:rPr>
          <w:rFonts w:ascii="Arial" w:eastAsia="Calibri" w:hAnsi="Arial" w:cs="Arial"/>
          <w:sz w:val="16"/>
          <w:szCs w:val="16"/>
          <w:lang w:val="pt-BR"/>
        </w:rPr>
        <w:t>as seguintes modalidades de operações de crédito: I - contratadas pelos Estados e pelos Municípios com a União, organismos multilaterais de crédito ou instituições oficiais federais de crédito ou de fomento, com a finalidade de financiar projetos de investimento para a melhoria da administração das receitas e da gestão fiscal, financeira e patrimonial, no âmbito de programa proposto pelo Poder Executivo Federal.</w:t>
      </w:r>
    </w:p>
  </w:footnote>
  <w:footnote w:id="7">
    <w:p w14:paraId="52E93A65" w14:textId="77777777" w:rsidR="00AC7E08" w:rsidRPr="00C236C6" w:rsidRDefault="00AC7E08" w:rsidP="00C236C6">
      <w:pPr>
        <w:jc w:val="both"/>
        <w:rPr>
          <w:rFonts w:ascii="Arial" w:hAnsi="Arial" w:cs="Arial"/>
          <w:sz w:val="16"/>
          <w:szCs w:val="16"/>
          <w:lang w:val="pt-BR"/>
        </w:rPr>
      </w:pPr>
      <w:r w:rsidRPr="00C236C6">
        <w:rPr>
          <w:rStyle w:val="FootnoteReference"/>
          <w:rFonts w:ascii="Arial" w:hAnsi="Arial" w:cs="Arial"/>
          <w:sz w:val="16"/>
          <w:szCs w:val="16"/>
        </w:rPr>
        <w:footnoteRef/>
      </w:r>
      <w:r w:rsidRPr="00C236C6">
        <w:rPr>
          <w:rFonts w:ascii="Arial" w:hAnsi="Arial" w:cs="Arial"/>
          <w:sz w:val="16"/>
          <w:szCs w:val="16"/>
          <w:lang w:val="pt-BR"/>
        </w:rPr>
        <w:t xml:space="preserve"> </w:t>
      </w:r>
      <w:r w:rsidRPr="00C236C6">
        <w:rPr>
          <w:rFonts w:ascii="Arial" w:hAnsi="Arial" w:cs="Arial"/>
          <w:noProof/>
          <w:sz w:val="16"/>
          <w:szCs w:val="16"/>
          <w:lang w:val="pt-BR"/>
        </w:rPr>
        <w:t>Resolução do Senado Federal n</w:t>
      </w:r>
      <w:r w:rsidRPr="00C236C6">
        <w:rPr>
          <w:rFonts w:ascii="Arial" w:hAnsi="Arial" w:cs="Arial"/>
          <w:noProof/>
          <w:sz w:val="16"/>
          <w:szCs w:val="16"/>
          <w:vertAlign w:val="superscript"/>
          <w:lang w:val="pt-BR"/>
        </w:rPr>
        <w:t>o</w:t>
      </w:r>
      <w:r w:rsidRPr="00C236C6">
        <w:rPr>
          <w:rFonts w:ascii="Arial" w:hAnsi="Arial" w:cs="Arial"/>
          <w:noProof/>
          <w:sz w:val="16"/>
          <w:szCs w:val="16"/>
          <w:lang w:val="pt-BR"/>
        </w:rPr>
        <w:t xml:space="preserve"> 43/2003 - </w:t>
      </w:r>
      <w:r w:rsidRPr="00C236C6">
        <w:rPr>
          <w:rFonts w:ascii="Arial" w:hAnsi="Arial" w:cs="Arial"/>
          <w:b/>
          <w:bCs/>
          <w:sz w:val="16"/>
          <w:szCs w:val="16"/>
          <w:lang w:val="pt-BR"/>
        </w:rPr>
        <w:t>Art.</w:t>
      </w:r>
      <w:r w:rsidRPr="00C236C6">
        <w:rPr>
          <w:rFonts w:ascii="Arial" w:hAnsi="Arial" w:cs="Arial"/>
          <w:sz w:val="16"/>
          <w:szCs w:val="16"/>
          <w:lang w:val="pt-BR"/>
        </w:rPr>
        <w:t xml:space="preserve"> 7º III § 3º São excluídas dos limites de que trata o caput as operações de crédito contratadas pelos Estados e pelos Municípios, com a União, organismos multilaterais de crédito ou instituições oficiais federais de crédito ou de fomento, com a finalidade de financiar projetos de investimento para a melhoria da administração das receitas e da gestão fiscal, financeira e patrimonial, no âmbito de programa proposto pelo Poder Executivo Federal.</w:t>
      </w:r>
    </w:p>
  </w:footnote>
  <w:footnote w:id="8">
    <w:p w14:paraId="5FC73838" w14:textId="77777777" w:rsidR="00E73525" w:rsidRPr="00C236C6" w:rsidRDefault="00E73525" w:rsidP="00E73525">
      <w:pPr>
        <w:jc w:val="both"/>
        <w:rPr>
          <w:rFonts w:ascii="Arial" w:hAnsi="Arial" w:cs="Arial"/>
          <w:sz w:val="16"/>
          <w:szCs w:val="16"/>
          <w:lang w:val="pt-BR"/>
        </w:rPr>
      </w:pPr>
      <w:r w:rsidRPr="00C236C6">
        <w:rPr>
          <w:rStyle w:val="FootnoteReference"/>
          <w:rFonts w:ascii="Arial" w:hAnsi="Arial" w:cs="Arial"/>
          <w:sz w:val="16"/>
          <w:szCs w:val="16"/>
        </w:rPr>
        <w:footnoteRef/>
      </w:r>
      <w:r w:rsidRPr="00C236C6">
        <w:rPr>
          <w:rFonts w:ascii="Arial" w:hAnsi="Arial" w:cs="Arial"/>
          <w:sz w:val="16"/>
          <w:szCs w:val="16"/>
          <w:lang w:val="pt-BR"/>
        </w:rPr>
        <w:t xml:space="preserve"> </w:t>
      </w:r>
      <w:r w:rsidRPr="00C236C6">
        <w:rPr>
          <w:rFonts w:ascii="Arial" w:hAnsi="Arial" w:cs="Arial"/>
          <w:noProof/>
          <w:sz w:val="16"/>
          <w:szCs w:val="16"/>
          <w:lang w:val="pt-BR"/>
        </w:rPr>
        <w:t>Resolução do Senado Federal n</w:t>
      </w:r>
      <w:r w:rsidRPr="00C236C6">
        <w:rPr>
          <w:rFonts w:ascii="Arial" w:hAnsi="Arial" w:cs="Arial"/>
          <w:noProof/>
          <w:sz w:val="16"/>
          <w:szCs w:val="16"/>
          <w:vertAlign w:val="superscript"/>
          <w:lang w:val="pt-BR"/>
        </w:rPr>
        <w:t>o</w:t>
      </w:r>
      <w:r w:rsidRPr="00C236C6">
        <w:rPr>
          <w:rFonts w:ascii="Arial" w:hAnsi="Arial" w:cs="Arial"/>
          <w:noProof/>
          <w:sz w:val="16"/>
          <w:szCs w:val="16"/>
          <w:lang w:val="pt-BR"/>
        </w:rPr>
        <w:t xml:space="preserve"> 43/2003 - </w:t>
      </w:r>
      <w:r w:rsidRPr="00C236C6">
        <w:rPr>
          <w:rFonts w:ascii="Arial" w:hAnsi="Arial" w:cs="Arial"/>
          <w:b/>
          <w:bCs/>
          <w:sz w:val="16"/>
          <w:szCs w:val="16"/>
          <w:lang w:val="pt-BR"/>
        </w:rPr>
        <w:t>Art.</w:t>
      </w:r>
      <w:r w:rsidRPr="00C236C6">
        <w:rPr>
          <w:rFonts w:ascii="Arial" w:hAnsi="Arial" w:cs="Arial"/>
          <w:sz w:val="16"/>
          <w:szCs w:val="16"/>
          <w:lang w:val="pt-BR"/>
        </w:rPr>
        <w:t xml:space="preserve"> 7º III § 3º São excluídas dos limites de que trata o caput as operações de crédito contratadas pelos Estados e pelos Municípios, com a União, organismos multilaterais de crédito ou instituições oficiais federais de crédito ou de fomento, com a finalidade de financiar projetos de investimento para a melhoria da administração das receitas e da gestão fiscal, financeira e patrimonial, no âmbito de programa proposto pelo Poder Executivo Federal.</w:t>
      </w:r>
    </w:p>
  </w:footnote>
  <w:footnote w:id="9">
    <w:p w14:paraId="58720829" w14:textId="77777777" w:rsidR="00AC7E08" w:rsidRPr="00C236C6" w:rsidRDefault="00AC7E08" w:rsidP="00C236C6">
      <w:pPr>
        <w:pStyle w:val="NormalWeb"/>
        <w:spacing w:before="0" w:beforeAutospacing="0" w:after="0" w:afterAutospacing="0"/>
        <w:jc w:val="both"/>
        <w:rPr>
          <w:rFonts w:ascii="Arial" w:hAnsi="Arial" w:cs="Arial"/>
          <w:sz w:val="16"/>
          <w:szCs w:val="16"/>
          <w:lang w:val="pt-BR"/>
        </w:rPr>
      </w:pPr>
      <w:r w:rsidRPr="00C236C6">
        <w:rPr>
          <w:rStyle w:val="FootnoteReference"/>
          <w:rFonts w:ascii="Arial" w:hAnsi="Arial" w:cs="Arial"/>
          <w:sz w:val="16"/>
          <w:szCs w:val="16"/>
        </w:rPr>
        <w:footnoteRef/>
      </w:r>
      <w:r w:rsidRPr="00C236C6">
        <w:rPr>
          <w:rFonts w:ascii="Arial" w:hAnsi="Arial" w:cs="Arial"/>
          <w:color w:val="000000"/>
          <w:sz w:val="16"/>
          <w:szCs w:val="16"/>
          <w:lang w:val="pt-BR"/>
        </w:rPr>
        <w:t xml:space="preserve"> Decreto nº 3.502/2000 -</w:t>
      </w:r>
      <w:r w:rsidRPr="00C236C6">
        <w:rPr>
          <w:rFonts w:ascii="Arial" w:hAnsi="Arial" w:cs="Arial"/>
          <w:b/>
          <w:bCs/>
          <w:color w:val="000000"/>
          <w:sz w:val="16"/>
          <w:szCs w:val="16"/>
          <w:lang w:val="pt-BR"/>
        </w:rPr>
        <w:t xml:space="preserve"> </w:t>
      </w:r>
      <w:r w:rsidRPr="00C236C6">
        <w:rPr>
          <w:rFonts w:ascii="Arial" w:hAnsi="Arial" w:cs="Arial"/>
          <w:sz w:val="16"/>
          <w:szCs w:val="16"/>
          <w:lang w:val="pt-BR"/>
        </w:rPr>
        <w:t>Composição da COFIEX, órgão colegiado do MP: Secretário-Executivo do MP (Presidente); Secretário de Assuntos Internacionais do MP; (Secretário-Executivo); Secretário de Planejamento e Investimentos Estratégicos do MP; Secretário de Orçamento Federal do MP; Economista Chefe da Assessoria Econômica do MP; Subsecretário-Geral de Assuntos de Integração, Econômicos e de Comércio Exterior do Ministério das Relações Exteriores; Secretário do Tesouro Nacional do MF; Secretário de Assuntos Internacionais do MF; Secretário de Política Econômica do MF; e Diretor de Assuntos Internacionais do Banco Central do Brasil.</w:t>
      </w:r>
    </w:p>
  </w:footnote>
  <w:footnote w:id="10">
    <w:p w14:paraId="29AFF413" w14:textId="77777777" w:rsidR="00AC7E08" w:rsidRPr="00EC1E56" w:rsidRDefault="00AC7E08" w:rsidP="00AC7E08">
      <w:pPr>
        <w:pStyle w:val="NormalWeb"/>
        <w:spacing w:before="0" w:beforeAutospacing="0" w:after="0" w:afterAutospacing="0"/>
        <w:jc w:val="both"/>
        <w:rPr>
          <w:rFonts w:ascii="Arial" w:hAnsi="Arial" w:cs="Arial"/>
          <w:sz w:val="16"/>
          <w:szCs w:val="16"/>
          <w:lang w:val="pt-BR"/>
        </w:rPr>
      </w:pPr>
      <w:r w:rsidRPr="00EC1E56">
        <w:rPr>
          <w:rStyle w:val="FootnoteReference"/>
          <w:rFonts w:ascii="Arial" w:hAnsi="Arial" w:cs="Arial"/>
          <w:sz w:val="16"/>
          <w:szCs w:val="16"/>
        </w:rPr>
        <w:footnoteRef/>
      </w:r>
      <w:r w:rsidRPr="00EC1E56">
        <w:rPr>
          <w:rFonts w:ascii="Arial" w:hAnsi="Arial" w:cs="Arial"/>
          <w:sz w:val="16"/>
          <w:szCs w:val="16"/>
          <w:lang w:val="pt-BR"/>
        </w:rPr>
        <w:t xml:space="preserve"> Para obter financiamento o ente federado deve encaminhar, por meio de seu dirigente máximo (no caso dos Estados, o Governador), Carta-Consulta no modelo aprovado pelo Manual de Financiamentos Externos do Setor Público com Organismos Multilaterais e Agências Bilaterais de Crédito aprovado pelo Ministério do Planejamento, Orçamento e Gestão.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7394A" w14:textId="77777777" w:rsidR="00F225C2" w:rsidRDefault="00F225C2">
    <w:pPr>
      <w:pStyle w:val="Header"/>
      <w:rPr>
        <w:rFonts w:ascii="Arial" w:hAnsi="Arial" w:cs="Arial"/>
        <w:sz w:val="18"/>
        <w:szCs w:val="20"/>
        <w:lang w:val="pt-BR"/>
      </w:rPr>
    </w:pPr>
    <w:r>
      <w:rPr>
        <w:rFonts w:ascii="Arial" w:hAnsi="Arial" w:cs="Arial"/>
        <w:sz w:val="18"/>
        <w:szCs w:val="20"/>
        <w:lang w:val="pt-BR"/>
      </w:rPr>
      <w:t>Anexo III – BR-L1511</w:t>
    </w:r>
    <w:r>
      <w:rPr>
        <w:rFonts w:ascii="Arial" w:hAnsi="Arial" w:cs="Arial"/>
        <w:sz w:val="18"/>
        <w:szCs w:val="20"/>
        <w:lang w:val="pt-BR"/>
      </w:rPr>
      <w:br/>
      <w:t xml:space="preserve">Página </w:t>
    </w:r>
    <w:sdt>
      <w:sdtPr>
        <w:rPr>
          <w:rFonts w:ascii="Arial" w:hAnsi="Arial" w:cs="Arial"/>
          <w:sz w:val="18"/>
          <w:szCs w:val="20"/>
        </w:rPr>
        <w:id w:val="-797295028"/>
        <w:docPartObj>
          <w:docPartGallery w:val="Page Numbers (Top of Page)"/>
          <w:docPartUnique/>
        </w:docPartObj>
      </w:sdtPr>
      <w:sdtEndPr>
        <w:rPr>
          <w:noProof/>
        </w:rPr>
      </w:sdtEndPr>
      <w:sdtContent>
        <w:r>
          <w:rPr>
            <w:rFonts w:ascii="Arial" w:hAnsi="Arial" w:cs="Arial"/>
            <w:sz w:val="18"/>
            <w:szCs w:val="20"/>
          </w:rPr>
          <w:fldChar w:fldCharType="begin"/>
        </w:r>
        <w:r>
          <w:rPr>
            <w:rFonts w:ascii="Arial" w:hAnsi="Arial" w:cs="Arial"/>
            <w:sz w:val="18"/>
            <w:szCs w:val="20"/>
            <w:lang w:val="pt-BR"/>
          </w:rPr>
          <w:instrText xml:space="preserve"> PAGE   \* MERGEFORMAT </w:instrText>
        </w:r>
        <w:r>
          <w:rPr>
            <w:rFonts w:ascii="Arial" w:hAnsi="Arial" w:cs="Arial"/>
            <w:sz w:val="18"/>
            <w:szCs w:val="20"/>
          </w:rPr>
          <w:fldChar w:fldCharType="separate"/>
        </w:r>
        <w:r w:rsidR="005D2338">
          <w:rPr>
            <w:rFonts w:ascii="Arial" w:hAnsi="Arial" w:cs="Arial"/>
            <w:noProof/>
            <w:sz w:val="18"/>
            <w:szCs w:val="20"/>
            <w:lang w:val="pt-BR"/>
          </w:rPr>
          <w:t>2</w:t>
        </w:r>
        <w:r>
          <w:rPr>
            <w:rFonts w:ascii="Arial" w:hAnsi="Arial" w:cs="Arial"/>
            <w:noProof/>
            <w:sz w:val="18"/>
            <w:szCs w:val="20"/>
          </w:rPr>
          <w:fldChar w:fldCharType="end"/>
        </w:r>
        <w:r>
          <w:rPr>
            <w:rFonts w:ascii="Arial" w:hAnsi="Arial" w:cs="Arial"/>
            <w:noProof/>
            <w:sz w:val="18"/>
            <w:szCs w:val="20"/>
            <w:lang w:val="pt-BR"/>
          </w:rPr>
          <w:t xml:space="preserve"> de 6</w:t>
        </w:r>
      </w:sdtContent>
    </w:sdt>
  </w:p>
  <w:p w14:paraId="186D8C66" w14:textId="77777777" w:rsidR="00F225C2" w:rsidRDefault="00F225C2">
    <w:pPr>
      <w:pStyle w:val="Header"/>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47116" w14:textId="77777777" w:rsidR="00F225C2" w:rsidRDefault="00F225C2">
    <w:pPr>
      <w:pStyle w:val="Header"/>
      <w:jc w:val="right"/>
      <w:rPr>
        <w:rFonts w:ascii="Arial" w:hAnsi="Arial" w:cs="Arial"/>
        <w:sz w:val="18"/>
        <w:szCs w:val="20"/>
        <w:lang w:val="pt-BR"/>
      </w:rPr>
    </w:pPr>
    <w:r>
      <w:rPr>
        <w:rFonts w:ascii="Arial" w:hAnsi="Arial" w:cs="Arial"/>
        <w:sz w:val="18"/>
        <w:szCs w:val="20"/>
        <w:lang w:val="pt-BR"/>
      </w:rPr>
      <w:t>Anexo III – BR-L1511</w:t>
    </w:r>
    <w:r>
      <w:rPr>
        <w:rFonts w:ascii="Arial" w:hAnsi="Arial" w:cs="Arial"/>
        <w:sz w:val="18"/>
        <w:szCs w:val="20"/>
        <w:lang w:val="pt-BR"/>
      </w:rPr>
      <w:br/>
      <w:t xml:space="preserve">Página </w:t>
    </w:r>
    <w:sdt>
      <w:sdtPr>
        <w:rPr>
          <w:rFonts w:ascii="Arial" w:hAnsi="Arial" w:cs="Arial"/>
          <w:sz w:val="18"/>
          <w:szCs w:val="20"/>
        </w:rPr>
        <w:id w:val="-525173464"/>
        <w:docPartObj>
          <w:docPartGallery w:val="Page Numbers (Top of Page)"/>
          <w:docPartUnique/>
        </w:docPartObj>
      </w:sdtPr>
      <w:sdtEndPr>
        <w:rPr>
          <w:noProof/>
        </w:rPr>
      </w:sdtEndPr>
      <w:sdtContent>
        <w:r>
          <w:rPr>
            <w:rFonts w:ascii="Arial" w:hAnsi="Arial" w:cs="Arial"/>
            <w:sz w:val="18"/>
            <w:szCs w:val="20"/>
          </w:rPr>
          <w:fldChar w:fldCharType="begin"/>
        </w:r>
        <w:r>
          <w:rPr>
            <w:rFonts w:ascii="Arial" w:hAnsi="Arial" w:cs="Arial"/>
            <w:sz w:val="18"/>
            <w:szCs w:val="20"/>
            <w:lang w:val="pt-BR"/>
          </w:rPr>
          <w:instrText xml:space="preserve"> PAGE   \* MERGEFORMAT </w:instrText>
        </w:r>
        <w:r>
          <w:rPr>
            <w:rFonts w:ascii="Arial" w:hAnsi="Arial" w:cs="Arial"/>
            <w:sz w:val="18"/>
            <w:szCs w:val="20"/>
          </w:rPr>
          <w:fldChar w:fldCharType="separate"/>
        </w:r>
        <w:r w:rsidR="005D2338">
          <w:rPr>
            <w:rFonts w:ascii="Arial" w:hAnsi="Arial" w:cs="Arial"/>
            <w:noProof/>
            <w:sz w:val="18"/>
            <w:szCs w:val="20"/>
            <w:lang w:val="pt-BR"/>
          </w:rPr>
          <w:t>3</w:t>
        </w:r>
        <w:r>
          <w:rPr>
            <w:rFonts w:ascii="Arial" w:hAnsi="Arial" w:cs="Arial"/>
            <w:noProof/>
            <w:sz w:val="18"/>
            <w:szCs w:val="20"/>
          </w:rPr>
          <w:fldChar w:fldCharType="end"/>
        </w:r>
        <w:r>
          <w:rPr>
            <w:rFonts w:ascii="Arial" w:hAnsi="Arial" w:cs="Arial"/>
            <w:noProof/>
            <w:sz w:val="18"/>
            <w:szCs w:val="20"/>
            <w:lang w:val="pt-BR"/>
          </w:rPr>
          <w:t xml:space="preserve"> de 6</w:t>
        </w:r>
      </w:sdtContent>
    </w:sdt>
  </w:p>
  <w:p w14:paraId="62831BAD" w14:textId="77777777" w:rsidR="00F225C2" w:rsidRDefault="00F225C2">
    <w:pPr>
      <w:pStyle w:val="Footer"/>
      <w:tabs>
        <w:tab w:val="clear" w:pos="8640"/>
        <w:tab w:val="right" w:pos="9360"/>
      </w:tabs>
      <w:jc w:val="center"/>
      <w:rPr>
        <w:rFonts w:ascii="Calibri" w:hAnsi="Calibri"/>
        <w:sz w:val="20"/>
        <w:szCs w:val="20"/>
        <w:lang w:val="pt-B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BE6E7" w14:textId="01839320" w:rsidR="00F225C2" w:rsidRDefault="00AC7E08">
    <w:pPr>
      <w:pStyle w:val="Header"/>
      <w:jc w:val="right"/>
      <w:rPr>
        <w:rFonts w:ascii="Arial" w:hAnsi="Arial" w:cs="Arial"/>
        <w:sz w:val="18"/>
        <w:szCs w:val="20"/>
        <w:lang w:val="pt-BR"/>
      </w:rPr>
    </w:pPr>
    <w:r>
      <w:rPr>
        <w:rFonts w:ascii="Arial" w:hAnsi="Arial" w:cs="Arial"/>
        <w:sz w:val="18"/>
        <w:szCs w:val="20"/>
        <w:lang w:val="pt-BR"/>
      </w:rPr>
      <w:t>Nota Técnica</w:t>
    </w:r>
    <w:r w:rsidR="00F225C2">
      <w:rPr>
        <w:rFonts w:ascii="Arial" w:hAnsi="Arial" w:cs="Arial"/>
        <w:sz w:val="18"/>
        <w:szCs w:val="20"/>
        <w:lang w:val="pt-BR"/>
      </w:rPr>
      <w:t xml:space="preserve"> – BR-L15</w:t>
    </w:r>
    <w:r w:rsidR="0022208F">
      <w:rPr>
        <w:rFonts w:ascii="Arial" w:hAnsi="Arial" w:cs="Arial"/>
        <w:sz w:val="18"/>
        <w:szCs w:val="20"/>
        <w:lang w:val="pt-BR"/>
      </w:rPr>
      <w:t>34</w:t>
    </w:r>
    <w:r w:rsidR="00F225C2">
      <w:rPr>
        <w:rFonts w:ascii="Arial" w:hAnsi="Arial" w:cs="Arial"/>
        <w:sz w:val="18"/>
        <w:szCs w:val="20"/>
        <w:lang w:val="pt-BR"/>
      </w:rPr>
      <w:br/>
      <w:t xml:space="preserve">Página </w:t>
    </w:r>
    <w:sdt>
      <w:sdtPr>
        <w:rPr>
          <w:rFonts w:ascii="Arial" w:hAnsi="Arial" w:cs="Arial"/>
          <w:sz w:val="18"/>
          <w:szCs w:val="20"/>
        </w:rPr>
        <w:id w:val="37639154"/>
        <w:docPartObj>
          <w:docPartGallery w:val="Page Numbers (Top of Page)"/>
          <w:docPartUnique/>
        </w:docPartObj>
      </w:sdtPr>
      <w:sdtEndPr>
        <w:rPr>
          <w:noProof/>
        </w:rPr>
      </w:sdtEndPr>
      <w:sdtContent>
        <w:r w:rsidR="00F225C2">
          <w:rPr>
            <w:rFonts w:ascii="Arial" w:hAnsi="Arial" w:cs="Arial"/>
            <w:sz w:val="18"/>
            <w:szCs w:val="20"/>
          </w:rPr>
          <w:fldChar w:fldCharType="begin"/>
        </w:r>
        <w:r w:rsidR="00F225C2">
          <w:rPr>
            <w:rFonts w:ascii="Arial" w:hAnsi="Arial" w:cs="Arial"/>
            <w:sz w:val="18"/>
            <w:szCs w:val="20"/>
            <w:lang w:val="pt-BR"/>
          </w:rPr>
          <w:instrText xml:space="preserve"> PAGE   \* MERGEFORMAT </w:instrText>
        </w:r>
        <w:r w:rsidR="00F225C2">
          <w:rPr>
            <w:rFonts w:ascii="Arial" w:hAnsi="Arial" w:cs="Arial"/>
            <w:sz w:val="18"/>
            <w:szCs w:val="20"/>
          </w:rPr>
          <w:fldChar w:fldCharType="separate"/>
        </w:r>
        <w:r w:rsidR="005D2338">
          <w:rPr>
            <w:rFonts w:ascii="Arial" w:hAnsi="Arial" w:cs="Arial"/>
            <w:noProof/>
            <w:sz w:val="18"/>
            <w:szCs w:val="20"/>
            <w:lang w:val="pt-BR"/>
          </w:rPr>
          <w:t>1</w:t>
        </w:r>
        <w:r w:rsidR="00F225C2">
          <w:rPr>
            <w:rFonts w:ascii="Arial" w:hAnsi="Arial" w:cs="Arial"/>
            <w:noProof/>
            <w:sz w:val="18"/>
            <w:szCs w:val="20"/>
          </w:rPr>
          <w:fldChar w:fldCharType="end"/>
        </w:r>
        <w:r w:rsidR="00F225C2">
          <w:rPr>
            <w:rFonts w:ascii="Arial" w:hAnsi="Arial" w:cs="Arial"/>
            <w:noProof/>
            <w:sz w:val="18"/>
            <w:szCs w:val="20"/>
            <w:lang w:val="pt-BR"/>
          </w:rPr>
          <w:t xml:space="preserve"> de 6</w:t>
        </w:r>
      </w:sdtContent>
    </w:sdt>
  </w:p>
  <w:p w14:paraId="28E5D31B" w14:textId="77777777" w:rsidR="00F225C2" w:rsidRDefault="00F225C2">
    <w:pPr>
      <w:pStyle w:val="Header"/>
      <w:jc w:val="right"/>
      <w:rPr>
        <w:sz w:val="22"/>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D3F3A"/>
    <w:multiLevelType w:val="hybridMultilevel"/>
    <w:tmpl w:val="8C6EFE5A"/>
    <w:lvl w:ilvl="0" w:tplc="040A0015">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20FF151E"/>
    <w:multiLevelType w:val="hybridMultilevel"/>
    <w:tmpl w:val="34924388"/>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69573AA"/>
    <w:multiLevelType w:val="multilevel"/>
    <w:tmpl w:val="07FC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494CE0"/>
    <w:multiLevelType w:val="multilevel"/>
    <w:tmpl w:val="2850E7D6"/>
    <w:lvl w:ilvl="0">
      <w:start w:val="1"/>
      <w:numFmt w:val="none"/>
      <w:lvlRestart w:val="0"/>
      <w:pStyle w:val="FirstHeading"/>
      <w:suff w:val="nothing"/>
      <w:lvlText w:val=""/>
      <w:lvlJc w:val="left"/>
      <w:pPr>
        <w:ind w:left="720" w:hanging="720"/>
      </w:pPr>
    </w:lvl>
    <w:lvl w:ilvl="1">
      <w:start w:val="1"/>
      <w:numFmt w:val="decimalZero"/>
      <w:pStyle w:val="SecHeading"/>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7A7E05D0"/>
    <w:multiLevelType w:val="multilevel"/>
    <w:tmpl w:val="93662076"/>
    <w:lvl w:ilvl="0">
      <w:start w:val="1"/>
      <w:numFmt w:val="upperRoman"/>
      <w:lvlText w:val="%1."/>
      <w:lvlJc w:val="left"/>
      <w:pPr>
        <w:ind w:left="720" w:hanging="360"/>
      </w:pPr>
      <w:rPr>
        <w:rFonts w:hint="default"/>
      </w:rPr>
    </w:lvl>
    <w:lvl w:ilvl="1">
      <w:start w:val="1"/>
      <w:numFmt w:val="decimal"/>
      <w:isLgl/>
      <w:lvlText w:val="%1.%2"/>
      <w:lvlJc w:val="left"/>
      <w:pPr>
        <w:ind w:left="360" w:hanging="360"/>
      </w:pPr>
      <w:rPr>
        <w:rFonts w:ascii="Arial" w:hAnsi="Arial" w:cs="Arial" w:hint="default"/>
        <w:b w:val="0"/>
        <w:i w:val="0"/>
        <w:color w:val="auto"/>
        <w:sz w:val="22"/>
        <w:szCs w:val="22"/>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num w:numId="1">
    <w:abstractNumId w:val="4"/>
  </w:num>
  <w:num w:numId="2">
    <w:abstractNumId w:val="3"/>
  </w:num>
  <w:num w:numId="3">
    <w:abstractNumId w:val="2"/>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oNotHyphenateCaps/>
  <w:evenAndOddHeaders/>
  <w:characterSpacingControl w:val="doNotCompress"/>
  <w:doNotValidateAgainstSchema/>
  <w:doNotDemarcateInvalidXml/>
  <w:hdrShapeDefaults>
    <o:shapedefaults v:ext="edit" spidmax="2049" fillcolor="#0078b4" strokecolor="#4a7ebb">
      <v:fill color="#0078b4"/>
      <v:stroke color="#4a7ebb"/>
      <v:shadow opacity="22938f" offset="0"/>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5BA"/>
    <w:rsid w:val="000026C0"/>
    <w:rsid w:val="000026FB"/>
    <w:rsid w:val="00061D31"/>
    <w:rsid w:val="0006400D"/>
    <w:rsid w:val="00065A12"/>
    <w:rsid w:val="00067FD3"/>
    <w:rsid w:val="00077285"/>
    <w:rsid w:val="00077633"/>
    <w:rsid w:val="000D76F4"/>
    <w:rsid w:val="000E293D"/>
    <w:rsid w:val="000E453E"/>
    <w:rsid w:val="000F7A77"/>
    <w:rsid w:val="000F7BBD"/>
    <w:rsid w:val="00102803"/>
    <w:rsid w:val="00112120"/>
    <w:rsid w:val="001143FD"/>
    <w:rsid w:val="00116364"/>
    <w:rsid w:val="0014753E"/>
    <w:rsid w:val="001726D2"/>
    <w:rsid w:val="00184972"/>
    <w:rsid w:val="001853F2"/>
    <w:rsid w:val="00193235"/>
    <w:rsid w:val="001A01D3"/>
    <w:rsid w:val="001A2439"/>
    <w:rsid w:val="001B48DD"/>
    <w:rsid w:val="001B6CDF"/>
    <w:rsid w:val="001D2663"/>
    <w:rsid w:val="001E10D1"/>
    <w:rsid w:val="001F3EF3"/>
    <w:rsid w:val="001F46F9"/>
    <w:rsid w:val="00210CC4"/>
    <w:rsid w:val="0022208F"/>
    <w:rsid w:val="00242F73"/>
    <w:rsid w:val="002574AF"/>
    <w:rsid w:val="002700E7"/>
    <w:rsid w:val="00270CFD"/>
    <w:rsid w:val="002730EA"/>
    <w:rsid w:val="002870EC"/>
    <w:rsid w:val="002A05E7"/>
    <w:rsid w:val="002B0D36"/>
    <w:rsid w:val="002B2ED6"/>
    <w:rsid w:val="002B3A0B"/>
    <w:rsid w:val="002B4558"/>
    <w:rsid w:val="002B671D"/>
    <w:rsid w:val="002C0444"/>
    <w:rsid w:val="002D72A2"/>
    <w:rsid w:val="002E61EB"/>
    <w:rsid w:val="002F207E"/>
    <w:rsid w:val="00303CCA"/>
    <w:rsid w:val="0030486A"/>
    <w:rsid w:val="00306415"/>
    <w:rsid w:val="00313C50"/>
    <w:rsid w:val="0033618A"/>
    <w:rsid w:val="003439F7"/>
    <w:rsid w:val="00343C2F"/>
    <w:rsid w:val="00365353"/>
    <w:rsid w:val="00377FCA"/>
    <w:rsid w:val="00395AE6"/>
    <w:rsid w:val="003A12A0"/>
    <w:rsid w:val="003A4B66"/>
    <w:rsid w:val="003A60D9"/>
    <w:rsid w:val="003B3AF7"/>
    <w:rsid w:val="003E0450"/>
    <w:rsid w:val="003E544E"/>
    <w:rsid w:val="003F2F80"/>
    <w:rsid w:val="004113FC"/>
    <w:rsid w:val="00415311"/>
    <w:rsid w:val="0041552A"/>
    <w:rsid w:val="00430718"/>
    <w:rsid w:val="00431758"/>
    <w:rsid w:val="00444778"/>
    <w:rsid w:val="00450BC2"/>
    <w:rsid w:val="004578FA"/>
    <w:rsid w:val="00467B6D"/>
    <w:rsid w:val="004745BD"/>
    <w:rsid w:val="00476A3E"/>
    <w:rsid w:val="00482623"/>
    <w:rsid w:val="00483DFC"/>
    <w:rsid w:val="00487EF2"/>
    <w:rsid w:val="00487F83"/>
    <w:rsid w:val="004C0FD8"/>
    <w:rsid w:val="004D5451"/>
    <w:rsid w:val="004E5E72"/>
    <w:rsid w:val="004F16E4"/>
    <w:rsid w:val="00501CAF"/>
    <w:rsid w:val="0050575C"/>
    <w:rsid w:val="00524158"/>
    <w:rsid w:val="00535C60"/>
    <w:rsid w:val="00566A4D"/>
    <w:rsid w:val="00567436"/>
    <w:rsid w:val="00567E49"/>
    <w:rsid w:val="005849B2"/>
    <w:rsid w:val="00595A41"/>
    <w:rsid w:val="005A1D3A"/>
    <w:rsid w:val="005A3E15"/>
    <w:rsid w:val="005B3DAB"/>
    <w:rsid w:val="005B74AB"/>
    <w:rsid w:val="005C1BDA"/>
    <w:rsid w:val="005D2338"/>
    <w:rsid w:val="005D397B"/>
    <w:rsid w:val="005D3A45"/>
    <w:rsid w:val="005E50DC"/>
    <w:rsid w:val="005F1184"/>
    <w:rsid w:val="006125BA"/>
    <w:rsid w:val="0061645E"/>
    <w:rsid w:val="00617510"/>
    <w:rsid w:val="00632207"/>
    <w:rsid w:val="00637A53"/>
    <w:rsid w:val="00655982"/>
    <w:rsid w:val="00665096"/>
    <w:rsid w:val="00665DEB"/>
    <w:rsid w:val="006703A4"/>
    <w:rsid w:val="00696E45"/>
    <w:rsid w:val="006A123E"/>
    <w:rsid w:val="006A1288"/>
    <w:rsid w:val="006A4BE3"/>
    <w:rsid w:val="006C6CC8"/>
    <w:rsid w:val="006E63C6"/>
    <w:rsid w:val="006F1738"/>
    <w:rsid w:val="006F715C"/>
    <w:rsid w:val="00706179"/>
    <w:rsid w:val="007101EB"/>
    <w:rsid w:val="00731AA7"/>
    <w:rsid w:val="0074048F"/>
    <w:rsid w:val="00743554"/>
    <w:rsid w:val="00743631"/>
    <w:rsid w:val="007453F3"/>
    <w:rsid w:val="007502BC"/>
    <w:rsid w:val="00760F32"/>
    <w:rsid w:val="007851F3"/>
    <w:rsid w:val="007B3B28"/>
    <w:rsid w:val="007D5158"/>
    <w:rsid w:val="007D58C4"/>
    <w:rsid w:val="007D59E6"/>
    <w:rsid w:val="007E5293"/>
    <w:rsid w:val="007F7187"/>
    <w:rsid w:val="008145F7"/>
    <w:rsid w:val="008163F0"/>
    <w:rsid w:val="00816CD2"/>
    <w:rsid w:val="0083087F"/>
    <w:rsid w:val="00847E1B"/>
    <w:rsid w:val="0086244E"/>
    <w:rsid w:val="00865FE1"/>
    <w:rsid w:val="0088653A"/>
    <w:rsid w:val="00890A3C"/>
    <w:rsid w:val="008B4344"/>
    <w:rsid w:val="008C284F"/>
    <w:rsid w:val="008C2D34"/>
    <w:rsid w:val="008C3840"/>
    <w:rsid w:val="008D5B0A"/>
    <w:rsid w:val="008E249C"/>
    <w:rsid w:val="008E4CB5"/>
    <w:rsid w:val="008F48C3"/>
    <w:rsid w:val="008F5610"/>
    <w:rsid w:val="008F68C0"/>
    <w:rsid w:val="00926E75"/>
    <w:rsid w:val="0093238C"/>
    <w:rsid w:val="00934856"/>
    <w:rsid w:val="00951B12"/>
    <w:rsid w:val="00981CA9"/>
    <w:rsid w:val="009848E0"/>
    <w:rsid w:val="0098680D"/>
    <w:rsid w:val="009904E6"/>
    <w:rsid w:val="00993B5B"/>
    <w:rsid w:val="0099467F"/>
    <w:rsid w:val="00995480"/>
    <w:rsid w:val="009B7B74"/>
    <w:rsid w:val="009D106E"/>
    <w:rsid w:val="009D1134"/>
    <w:rsid w:val="009D3276"/>
    <w:rsid w:val="009E5605"/>
    <w:rsid w:val="009F0EB2"/>
    <w:rsid w:val="009F153A"/>
    <w:rsid w:val="00A24720"/>
    <w:rsid w:val="00A317B7"/>
    <w:rsid w:val="00A4420F"/>
    <w:rsid w:val="00A57169"/>
    <w:rsid w:val="00A63F00"/>
    <w:rsid w:val="00A920C4"/>
    <w:rsid w:val="00A9486E"/>
    <w:rsid w:val="00A95F6B"/>
    <w:rsid w:val="00AA4944"/>
    <w:rsid w:val="00AC258D"/>
    <w:rsid w:val="00AC7E08"/>
    <w:rsid w:val="00AD110B"/>
    <w:rsid w:val="00AD616E"/>
    <w:rsid w:val="00AE6371"/>
    <w:rsid w:val="00AE651C"/>
    <w:rsid w:val="00AF5D5C"/>
    <w:rsid w:val="00B05022"/>
    <w:rsid w:val="00B15E49"/>
    <w:rsid w:val="00B17CE2"/>
    <w:rsid w:val="00B23F06"/>
    <w:rsid w:val="00B4161F"/>
    <w:rsid w:val="00B4580D"/>
    <w:rsid w:val="00BB282A"/>
    <w:rsid w:val="00BC255D"/>
    <w:rsid w:val="00BD2421"/>
    <w:rsid w:val="00BE1449"/>
    <w:rsid w:val="00BF3A4B"/>
    <w:rsid w:val="00BF4A13"/>
    <w:rsid w:val="00C17DD0"/>
    <w:rsid w:val="00C236C6"/>
    <w:rsid w:val="00C31597"/>
    <w:rsid w:val="00C67092"/>
    <w:rsid w:val="00C712AE"/>
    <w:rsid w:val="00C823DD"/>
    <w:rsid w:val="00C875DD"/>
    <w:rsid w:val="00CB21C3"/>
    <w:rsid w:val="00CF4C63"/>
    <w:rsid w:val="00D03238"/>
    <w:rsid w:val="00D316B6"/>
    <w:rsid w:val="00D33996"/>
    <w:rsid w:val="00D37386"/>
    <w:rsid w:val="00D4264E"/>
    <w:rsid w:val="00D449A6"/>
    <w:rsid w:val="00D4604A"/>
    <w:rsid w:val="00D75922"/>
    <w:rsid w:val="00DA61F2"/>
    <w:rsid w:val="00DA64E7"/>
    <w:rsid w:val="00DC0969"/>
    <w:rsid w:val="00DD2719"/>
    <w:rsid w:val="00DE7EDA"/>
    <w:rsid w:val="00E07230"/>
    <w:rsid w:val="00E11E34"/>
    <w:rsid w:val="00E20B46"/>
    <w:rsid w:val="00E36E1C"/>
    <w:rsid w:val="00E50F83"/>
    <w:rsid w:val="00E5361F"/>
    <w:rsid w:val="00E54D20"/>
    <w:rsid w:val="00E652CF"/>
    <w:rsid w:val="00E7171A"/>
    <w:rsid w:val="00E73525"/>
    <w:rsid w:val="00E835D6"/>
    <w:rsid w:val="00E867E4"/>
    <w:rsid w:val="00EA3719"/>
    <w:rsid w:val="00EA522A"/>
    <w:rsid w:val="00EC1E56"/>
    <w:rsid w:val="00F16501"/>
    <w:rsid w:val="00F225C2"/>
    <w:rsid w:val="00F2787D"/>
    <w:rsid w:val="00F313DF"/>
    <w:rsid w:val="00F4698C"/>
    <w:rsid w:val="00F52882"/>
    <w:rsid w:val="00F81684"/>
    <w:rsid w:val="00F8442D"/>
    <w:rsid w:val="00F84EB5"/>
    <w:rsid w:val="00F95DD7"/>
    <w:rsid w:val="00FC5CF3"/>
    <w:rsid w:val="00FE6CD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0078b4" strokecolor="#4a7ebb">
      <v:fill color="#0078b4"/>
      <v:stroke color="#4a7ebb"/>
      <v:shadow opacity="22938f" offset="0"/>
      <v:textbox inset=",7.2pt,,7.2pt"/>
    </o:shapedefaults>
    <o:shapelayout v:ext="edit">
      <o:idmap v:ext="edit" data="1"/>
    </o:shapelayout>
  </w:shapeDefaults>
  <w:decimalSymbol w:val="."/>
  <w:listSeparator w:val=","/>
  <w14:docId w14:val="5AE361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semiHidden="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Batang" w:hAnsi="Times New Roman"/>
      <w:sz w:val="24"/>
      <w:szCs w:val="24"/>
      <w:lang w:val="es-ES_tradnl" w:eastAsia="ko-KR"/>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pPr>
      <w:keepNext/>
      <w:keepLines/>
      <w:numPr>
        <w:ilvl w:val="2"/>
        <w:numId w:val="2"/>
      </w:numPr>
      <w:spacing w:before="200"/>
      <w:jc w:val="both"/>
      <w:outlineLvl w:val="2"/>
    </w:pPr>
    <w:rPr>
      <w:rFonts w:ascii="Calibri" w:eastAsia="MS Gothic" w:hAnsi="Calibri"/>
      <w:b/>
      <w:bCs/>
      <w:color w:val="4F81BD"/>
      <w:szCs w:val="20"/>
      <w:lang w:val="en-US" w:eastAsia="en-US"/>
    </w:rPr>
  </w:style>
  <w:style w:type="paragraph" w:styleId="Heading4">
    <w:name w:val="heading 4"/>
    <w:basedOn w:val="Normal"/>
    <w:next w:val="Normal"/>
    <w:link w:val="Heading4Char"/>
    <w:uiPriority w:val="9"/>
    <w:semiHidden/>
    <w:unhideWhenUsed/>
    <w:qFormat/>
    <w:pPr>
      <w:keepNext/>
      <w:keepLines/>
      <w:numPr>
        <w:ilvl w:val="3"/>
        <w:numId w:val="2"/>
      </w:numPr>
      <w:spacing w:before="200"/>
      <w:jc w:val="both"/>
      <w:outlineLvl w:val="3"/>
    </w:pPr>
    <w:rPr>
      <w:rFonts w:ascii="Calibri" w:eastAsia="MS Gothic" w:hAnsi="Calibri"/>
      <w:b/>
      <w:bCs/>
      <w:i/>
      <w:iCs/>
      <w:color w:val="4F81BD"/>
      <w:szCs w:val="20"/>
      <w:lang w:val="en-US" w:eastAsia="en-US"/>
    </w:rPr>
  </w:style>
  <w:style w:type="paragraph" w:styleId="Heading5">
    <w:name w:val="heading 5"/>
    <w:basedOn w:val="Normal"/>
    <w:next w:val="Normal"/>
    <w:link w:val="Heading5Char"/>
    <w:uiPriority w:val="9"/>
    <w:unhideWhenUsed/>
    <w:qFormat/>
    <w:pPr>
      <w:keepNext/>
      <w:keepLines/>
      <w:numPr>
        <w:ilvl w:val="4"/>
        <w:numId w:val="2"/>
      </w:numPr>
      <w:spacing w:before="200" w:after="80"/>
      <w:jc w:val="both"/>
      <w:outlineLvl w:val="4"/>
    </w:pPr>
    <w:rPr>
      <w:rFonts w:ascii="Cambria" w:eastAsia="SimSun" w:hAnsi="Cambria"/>
      <w:color w:val="243F60"/>
      <w:szCs w:val="20"/>
      <w:lang w:val="en-US" w:eastAsia="en-US"/>
    </w:rPr>
  </w:style>
  <w:style w:type="paragraph" w:styleId="Heading6">
    <w:name w:val="heading 6"/>
    <w:basedOn w:val="Normal"/>
    <w:next w:val="Normal"/>
    <w:link w:val="Heading6Char"/>
    <w:uiPriority w:val="9"/>
    <w:unhideWhenUsed/>
    <w:qFormat/>
    <w:pPr>
      <w:keepNext/>
      <w:keepLines/>
      <w:numPr>
        <w:ilvl w:val="5"/>
        <w:numId w:val="2"/>
      </w:numPr>
      <w:spacing w:before="200" w:after="80"/>
      <w:jc w:val="both"/>
      <w:outlineLvl w:val="5"/>
    </w:pPr>
    <w:rPr>
      <w:rFonts w:ascii="Cambria" w:eastAsia="SimSun" w:hAnsi="Cambria"/>
      <w:i/>
      <w:iCs/>
      <w:color w:val="243F60"/>
      <w:szCs w:val="20"/>
      <w:lang w:val="en-US" w:eastAsia="en-US"/>
    </w:rPr>
  </w:style>
  <w:style w:type="paragraph" w:styleId="Heading7">
    <w:name w:val="heading 7"/>
    <w:basedOn w:val="Normal"/>
    <w:next w:val="Normal"/>
    <w:link w:val="Heading7Char"/>
    <w:uiPriority w:val="9"/>
    <w:unhideWhenUsed/>
    <w:qFormat/>
    <w:pPr>
      <w:keepNext/>
      <w:keepLines/>
      <w:numPr>
        <w:ilvl w:val="6"/>
        <w:numId w:val="2"/>
      </w:numPr>
      <w:spacing w:before="200" w:after="80"/>
      <w:jc w:val="both"/>
      <w:outlineLvl w:val="6"/>
    </w:pPr>
    <w:rPr>
      <w:rFonts w:ascii="Cambria" w:eastAsia="SimSun" w:hAnsi="Cambria"/>
      <w:i/>
      <w:iCs/>
      <w:color w:val="404040"/>
      <w:szCs w:val="20"/>
      <w:lang w:val="en-US" w:eastAsia="en-US"/>
    </w:rPr>
  </w:style>
  <w:style w:type="paragraph" w:styleId="Heading8">
    <w:name w:val="heading 8"/>
    <w:basedOn w:val="Normal"/>
    <w:next w:val="Normal"/>
    <w:link w:val="Heading8Char"/>
    <w:uiPriority w:val="9"/>
    <w:unhideWhenUsed/>
    <w:qFormat/>
    <w:pPr>
      <w:keepNext/>
      <w:keepLines/>
      <w:numPr>
        <w:ilvl w:val="7"/>
        <w:numId w:val="2"/>
      </w:numPr>
      <w:spacing w:before="200" w:after="80"/>
      <w:jc w:val="both"/>
      <w:outlineLvl w:val="7"/>
    </w:pPr>
    <w:rPr>
      <w:rFonts w:ascii="Cambria" w:eastAsia="SimSun" w:hAnsi="Cambria"/>
      <w:color w:val="404040"/>
      <w:sz w:val="20"/>
      <w:szCs w:val="20"/>
      <w:lang w:val="en-US" w:eastAsia="en-US"/>
    </w:rPr>
  </w:style>
  <w:style w:type="paragraph" w:styleId="Heading9">
    <w:name w:val="heading 9"/>
    <w:basedOn w:val="Normal"/>
    <w:next w:val="Normal"/>
    <w:link w:val="Heading9Char"/>
    <w:uiPriority w:val="9"/>
    <w:unhideWhenUsed/>
    <w:qFormat/>
    <w:pPr>
      <w:keepNext/>
      <w:keepLines/>
      <w:numPr>
        <w:ilvl w:val="8"/>
        <w:numId w:val="2"/>
      </w:numPr>
      <w:spacing w:before="200" w:after="80"/>
      <w:jc w:val="both"/>
      <w:outlineLvl w:val="8"/>
    </w:pPr>
    <w:rPr>
      <w:rFonts w:ascii="Cambria" w:eastAsia="SimSun" w:hAnsi="Cambria"/>
      <w:i/>
      <w:iCs/>
      <w:color w:val="404040"/>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Times New Roman" w:eastAsia="Batang" w:hAnsi="Times New Roman" w:cs="Times New Roman"/>
      <w:sz w:val="24"/>
      <w:lang w:val="es-ES_tradnl" w:eastAsia="ko-KR"/>
    </w:rPr>
  </w:style>
  <w:style w:type="paragraph" w:styleId="FootnoteText">
    <w:name w:val="footnote text"/>
    <w:aliases w:val="fn,foottextfra,footnote,F,single space,FOOTNOTES,Footnote Text Char Char,footnote text,Texto de rodapé,nota_rodapé,nota de rodapé Car Car,nota de rodapé Car Car Car Car Car Car Car Car Car Car Car,Texto nota pie IIRSA"/>
    <w:basedOn w:val="Normal"/>
    <w:link w:val="FootnoteTextChar"/>
    <w:uiPriority w:val="99"/>
    <w:qFormat/>
    <w:pPr>
      <w:keepNext/>
      <w:keepLines/>
      <w:spacing w:after="120"/>
      <w:ind w:left="288" w:hanging="288"/>
      <w:jc w:val="both"/>
    </w:pPr>
    <w:rPr>
      <w:spacing w:val="-3"/>
      <w:sz w:val="20"/>
      <w:szCs w:val="20"/>
      <w:lang w:eastAsia="en-US"/>
    </w:rPr>
  </w:style>
  <w:style w:type="character" w:customStyle="1" w:styleId="FootnoteTextChar">
    <w:name w:val="Footnote Text Char"/>
    <w:aliases w:val="fn Char,foottextfra Char,footnote Char,F Char,single space Char,FOOTNOTES Char,Footnote Text Char Char Char,footnote text Char,Texto de rodapé Char,nota_rodapé Char,nota de rodapé Car Car Char,Texto nota pie IIRSA Char"/>
    <w:link w:val="FootnoteText"/>
    <w:uiPriority w:val="99"/>
    <w:rPr>
      <w:rFonts w:ascii="Times New Roman" w:eastAsia="Batang" w:hAnsi="Times New Roman" w:cs="Times New Roman"/>
      <w:spacing w:val="-3"/>
      <w:sz w:val="20"/>
      <w:lang w:val="es-ES_tradnl"/>
    </w:rPr>
  </w:style>
  <w:style w:type="character" w:styleId="FootnoteReference">
    <w:name w:val="footnote reference"/>
    <w:aliases w:val="FC,Referência a notas de rodapé,titulo 2,16 Point,Superscript 6 Point,Texto nota al pie,referencia nota al pie,ftref,Footnote Reference Number,Footnote Reference_LVL6,Footnote Reference_LVL61,Footnote Reference_LVL62,Style 24"/>
    <w:link w:val="Char2"/>
    <w:qFormat/>
    <w:rPr>
      <w:rFonts w:cs="Times New Roman"/>
      <w:vertAlign w:val="superscript"/>
    </w:rPr>
  </w:style>
  <w:style w:type="character" w:styleId="CommentReference">
    <w:name w:val="annotation reference"/>
    <w:uiPriority w:val="99"/>
    <w:semiHidden/>
    <w:rPr>
      <w:rFonts w:cs="Times New Roman"/>
      <w:sz w:val="18"/>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rPr>
      <w:rFonts w:ascii="Times New Roman" w:eastAsia="Batang" w:hAnsi="Times New Roman" w:cs="Times New Roman"/>
      <w:sz w:val="24"/>
      <w:lang w:val="es-ES_tradnl" w:eastAsia="ko-KR"/>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Pr>
      <w:rFonts w:ascii="Tahoma" w:eastAsia="Batang" w:hAnsi="Tahoma" w:cs="Tahoma"/>
      <w:sz w:val="16"/>
      <w:lang w:val="es-ES_tradnl" w:eastAsia="ko-KR"/>
    </w:rPr>
  </w:style>
  <w:style w:type="paragraph" w:styleId="ListParagraph">
    <w:name w:val="List Paragraph"/>
    <w:basedOn w:val="Normal"/>
    <w:uiPriority w:val="34"/>
    <w:qFormat/>
    <w:pPr>
      <w:ind w:left="720"/>
      <w:contextualSpacing/>
    </w:pPr>
  </w:style>
  <w:style w:type="character" w:styleId="Hyperlink">
    <w:name w:val="Hyperlink"/>
    <w:uiPriority w:val="99"/>
    <w:rPr>
      <w:rFonts w:cs="Times New Roman"/>
      <w:color w:val="0000FF"/>
      <w:u w:val="single"/>
    </w:rPr>
  </w:style>
  <w:style w:type="paragraph" w:styleId="CommentSubject">
    <w:name w:val="annotation subject"/>
    <w:basedOn w:val="CommentText"/>
    <w:next w:val="CommentText"/>
    <w:link w:val="CommentSubjectChar"/>
    <w:uiPriority w:val="99"/>
    <w:semiHidden/>
    <w:rPr>
      <w:b/>
      <w:bCs/>
      <w:sz w:val="20"/>
      <w:szCs w:val="20"/>
    </w:rPr>
  </w:style>
  <w:style w:type="character" w:customStyle="1" w:styleId="CommentSubjectChar">
    <w:name w:val="Comment Subject Char"/>
    <w:link w:val="CommentSubject"/>
    <w:uiPriority w:val="99"/>
    <w:semiHidden/>
    <w:rPr>
      <w:rFonts w:ascii="Times New Roman" w:eastAsia="Batang" w:hAnsi="Times New Roman" w:cs="Times New Roman"/>
      <w:b/>
      <w:bCs/>
      <w:sz w:val="20"/>
      <w:lang w:val="es-ES_tradnl" w:eastAsia="ko-KR"/>
    </w:r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Batang" w:hAnsi="Times New Roman"/>
      <w:sz w:val="24"/>
      <w:szCs w:val="24"/>
      <w:lang w:val="es-ES_tradnl" w:eastAsia="ko-KR"/>
    </w:rPr>
  </w:style>
  <w:style w:type="paragraph" w:customStyle="1" w:styleId="Default">
    <w:name w:val="Default"/>
    <w:pPr>
      <w:autoSpaceDE w:val="0"/>
      <w:autoSpaceDN w:val="0"/>
      <w:adjustRightInd w:val="0"/>
    </w:pPr>
    <w:rPr>
      <w:rFonts w:ascii="Times New Roman" w:eastAsia="Times New Roman" w:hAnsi="Times New Roman"/>
      <w:color w:val="000000"/>
      <w:sz w:val="24"/>
      <w:szCs w:val="24"/>
    </w:rPr>
  </w:style>
  <w:style w:type="paragraph" w:customStyle="1" w:styleId="Paragraph">
    <w:name w:val="Paragraph"/>
    <w:aliases w:val="paragraph,p,PARAGRAPH,PG,pa,at,at Char"/>
    <w:basedOn w:val="BodyTextIndent"/>
    <w:link w:val="ParagraphChar"/>
    <w:qFormat/>
    <w:pPr>
      <w:tabs>
        <w:tab w:val="num" w:pos="720"/>
      </w:tabs>
      <w:spacing w:before="120"/>
      <w:ind w:left="720" w:hanging="720"/>
      <w:jc w:val="both"/>
      <w:outlineLvl w:val="1"/>
    </w:pPr>
    <w:rPr>
      <w:rFonts w:eastAsia="Times New Roman"/>
      <w:szCs w:val="20"/>
      <w:lang w:val="en-US" w:eastAsia="en-US"/>
    </w:rPr>
  </w:style>
  <w:style w:type="character" w:customStyle="1" w:styleId="ParagraphChar">
    <w:name w:val="Paragraph Char"/>
    <w:aliases w:val="p Char,PARAGRAPH Char,PG Char,pa Char,paragraph Char"/>
    <w:link w:val="Paragraph"/>
    <w:rPr>
      <w:rFonts w:ascii="Times New Roman" w:eastAsia="Times New Roman" w:hAnsi="Times New Roman"/>
      <w:sz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link w:val="BodyTextIndent"/>
    <w:uiPriority w:val="99"/>
    <w:semiHidden/>
    <w:rPr>
      <w:rFonts w:ascii="Times New Roman" w:eastAsia="Batang" w:hAnsi="Times New Roman"/>
      <w:sz w:val="24"/>
      <w:szCs w:val="24"/>
      <w:lang w:val="es-ES_tradnl" w:eastAsia="ko-KR"/>
    </w:rPr>
  </w:style>
  <w:style w:type="character" w:customStyle="1" w:styleId="Heading3Char">
    <w:name w:val="Heading 3 Char"/>
    <w:link w:val="Heading3"/>
    <w:uiPriority w:val="9"/>
    <w:semiHidden/>
    <w:rPr>
      <w:rFonts w:eastAsia="MS Gothic"/>
      <w:b/>
      <w:bCs/>
      <w:color w:val="4F81BD"/>
      <w:sz w:val="24"/>
    </w:rPr>
  </w:style>
  <w:style w:type="character" w:customStyle="1" w:styleId="Heading4Char">
    <w:name w:val="Heading 4 Char"/>
    <w:link w:val="Heading4"/>
    <w:uiPriority w:val="9"/>
    <w:semiHidden/>
    <w:rPr>
      <w:rFonts w:eastAsia="MS Gothic"/>
      <w:b/>
      <w:bCs/>
      <w:i/>
      <w:iCs/>
      <w:color w:val="4F81BD"/>
      <w:sz w:val="24"/>
    </w:rPr>
  </w:style>
  <w:style w:type="character" w:customStyle="1" w:styleId="Heading5Char">
    <w:name w:val="Heading 5 Char"/>
    <w:link w:val="Heading5"/>
    <w:uiPriority w:val="9"/>
    <w:rPr>
      <w:rFonts w:ascii="Cambria" w:eastAsia="SimSun" w:hAnsi="Cambria"/>
      <w:color w:val="243F60"/>
      <w:sz w:val="24"/>
    </w:rPr>
  </w:style>
  <w:style w:type="character" w:customStyle="1" w:styleId="Heading6Char">
    <w:name w:val="Heading 6 Char"/>
    <w:link w:val="Heading6"/>
    <w:uiPriority w:val="9"/>
    <w:rPr>
      <w:rFonts w:ascii="Cambria" w:eastAsia="SimSun" w:hAnsi="Cambria"/>
      <w:i/>
      <w:iCs/>
      <w:color w:val="243F60"/>
      <w:sz w:val="24"/>
    </w:rPr>
  </w:style>
  <w:style w:type="character" w:customStyle="1" w:styleId="Heading7Char">
    <w:name w:val="Heading 7 Char"/>
    <w:link w:val="Heading7"/>
    <w:uiPriority w:val="9"/>
    <w:rPr>
      <w:rFonts w:ascii="Cambria" w:eastAsia="SimSun" w:hAnsi="Cambria"/>
      <w:i/>
      <w:iCs/>
      <w:color w:val="404040"/>
      <w:sz w:val="24"/>
    </w:rPr>
  </w:style>
  <w:style w:type="character" w:customStyle="1" w:styleId="Heading8Char">
    <w:name w:val="Heading 8 Char"/>
    <w:link w:val="Heading8"/>
    <w:uiPriority w:val="9"/>
    <w:rPr>
      <w:rFonts w:ascii="Cambria" w:eastAsia="SimSun" w:hAnsi="Cambria"/>
      <w:color w:val="404040"/>
    </w:rPr>
  </w:style>
  <w:style w:type="character" w:customStyle="1" w:styleId="Heading9Char">
    <w:name w:val="Heading 9 Char"/>
    <w:link w:val="Heading9"/>
    <w:uiPriority w:val="9"/>
    <w:rPr>
      <w:rFonts w:ascii="Cambria" w:eastAsia="SimSun" w:hAnsi="Cambria"/>
      <w:i/>
      <w:iCs/>
      <w:color w:val="404040"/>
    </w:rPr>
  </w:style>
  <w:style w:type="paragraph" w:customStyle="1" w:styleId="FirstHeading">
    <w:name w:val="FirstHeading"/>
    <w:basedOn w:val="Normal"/>
    <w:next w:val="Normal"/>
    <w:pPr>
      <w:keepNext/>
      <w:numPr>
        <w:numId w:val="2"/>
      </w:numPr>
      <w:tabs>
        <w:tab w:val="left" w:pos="0"/>
        <w:tab w:val="left" w:pos="86"/>
      </w:tabs>
      <w:spacing w:before="120" w:after="120"/>
    </w:pPr>
    <w:rPr>
      <w:rFonts w:eastAsia="Times New Roman"/>
      <w:b/>
      <w:szCs w:val="20"/>
      <w:lang w:val="en-US" w:eastAsia="en-US"/>
    </w:rPr>
  </w:style>
  <w:style w:type="paragraph" w:customStyle="1" w:styleId="SecHeading">
    <w:name w:val="SecHeading"/>
    <w:basedOn w:val="Normal"/>
    <w:next w:val="Paragraph"/>
    <w:pPr>
      <w:keepNext/>
      <w:numPr>
        <w:ilvl w:val="1"/>
        <w:numId w:val="2"/>
      </w:numPr>
      <w:tabs>
        <w:tab w:val="num" w:pos="1296"/>
      </w:tabs>
      <w:spacing w:before="120" w:after="120"/>
      <w:ind w:left="1296" w:hanging="576"/>
    </w:pPr>
    <w:rPr>
      <w:rFonts w:eastAsia="Times New Roman"/>
      <w:b/>
      <w:szCs w:val="20"/>
      <w:lang w:val="en-US" w:eastAsia="en-US"/>
    </w:rPr>
  </w:style>
  <w:style w:type="paragraph" w:customStyle="1" w:styleId="Chapter">
    <w:name w:val="Chapter"/>
    <w:basedOn w:val="Normal"/>
    <w:next w:val="Normal"/>
    <w:pPr>
      <w:keepNext/>
      <w:tabs>
        <w:tab w:val="left" w:pos="1440"/>
        <w:tab w:val="num" w:pos="1800"/>
      </w:tabs>
      <w:spacing w:before="240" w:after="240"/>
      <w:ind w:left="1152" w:firstLine="288"/>
      <w:jc w:val="center"/>
    </w:pPr>
    <w:rPr>
      <w:rFonts w:eastAsia="Times New Roman"/>
      <w:b/>
      <w:smallCaps/>
      <w:szCs w:val="20"/>
      <w:lang w:val="es-ES" w:eastAsia="en-US"/>
    </w:rPr>
  </w:style>
  <w:style w:type="paragraph" w:customStyle="1" w:styleId="subpar">
    <w:name w:val="subpar"/>
    <w:basedOn w:val="BodyTextIndent3"/>
    <w:pPr>
      <w:tabs>
        <w:tab w:val="num" w:pos="1152"/>
      </w:tabs>
      <w:spacing w:before="120"/>
      <w:ind w:left="1152" w:hanging="180"/>
      <w:jc w:val="both"/>
      <w:outlineLvl w:val="2"/>
    </w:pPr>
    <w:rPr>
      <w:rFonts w:eastAsia="Times New Roman"/>
      <w:sz w:val="24"/>
      <w:szCs w:val="20"/>
      <w:lang w:eastAsia="en-US"/>
    </w:rPr>
  </w:style>
  <w:style w:type="paragraph" w:customStyle="1" w:styleId="SubSubPar">
    <w:name w:val="SubSubPar"/>
    <w:basedOn w:val="subpar"/>
    <w:pPr>
      <w:tabs>
        <w:tab w:val="clear" w:pos="1152"/>
        <w:tab w:val="left" w:pos="0"/>
        <w:tab w:val="num" w:pos="1296"/>
      </w:tabs>
      <w:ind w:left="1296" w:hanging="360"/>
    </w:p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eastAsia="Batang" w:hAnsi="Times New Roman"/>
      <w:sz w:val="16"/>
      <w:szCs w:val="16"/>
      <w:lang w:val="es-ES_tradnl" w:eastAsia="ko-KR"/>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lang w:val="es-ES_tradnl" w:eastAsia="ko-KR"/>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808080"/>
      <w:shd w:val="clear" w:color="auto" w:fill="E6E6E6"/>
    </w:rPr>
  </w:style>
  <w:style w:type="character" w:styleId="Strong">
    <w:name w:val="Strong"/>
    <w:basedOn w:val="DefaultParagraphFont"/>
    <w:uiPriority w:val="22"/>
    <w:qFormat/>
    <w:rsid w:val="00566A4D"/>
    <w:rPr>
      <w:b/>
      <w:bCs/>
    </w:rPr>
  </w:style>
  <w:style w:type="paragraph" w:customStyle="1" w:styleId="Char2">
    <w:name w:val="Char2"/>
    <w:basedOn w:val="Normal"/>
    <w:link w:val="FootnoteReference"/>
    <w:uiPriority w:val="99"/>
    <w:rsid w:val="0030486A"/>
    <w:pPr>
      <w:spacing w:after="160" w:line="240" w:lineRule="exact"/>
    </w:pPr>
    <w:rPr>
      <w:rFonts w:ascii="Calibri" w:eastAsia="Calibri" w:hAnsi="Calibri"/>
      <w:sz w:val="20"/>
      <w:szCs w:val="20"/>
      <w:vertAlign w:val="superscript"/>
      <w:lang w:val="en-US" w:eastAsia="en-US"/>
    </w:rPr>
  </w:style>
  <w:style w:type="paragraph" w:styleId="NormalWeb">
    <w:name w:val="Normal (Web)"/>
    <w:basedOn w:val="Normal"/>
    <w:uiPriority w:val="99"/>
    <w:unhideWhenUsed/>
    <w:rsid w:val="00AC7E08"/>
    <w:pPr>
      <w:spacing w:before="100" w:beforeAutospacing="1" w:after="100" w:afterAutospacing="1"/>
    </w:pPr>
    <w:rPr>
      <w:rFonts w:eastAsia="Times New Roman"/>
      <w:lang w:eastAsia="es-ES_tradnl"/>
    </w:rPr>
  </w:style>
  <w:style w:type="paragraph" w:customStyle="1" w:styleId="Newpage">
    <w:name w:val="Newpage"/>
    <w:basedOn w:val="Chapter"/>
    <w:rsid w:val="00A95F6B"/>
    <w:pPr>
      <w:keepNext w:val="0"/>
      <w:tabs>
        <w:tab w:val="clear" w:pos="1800"/>
        <w:tab w:val="left" w:pos="3060"/>
      </w:tabs>
      <w:spacing w:before="120" w:after="0"/>
      <w:ind w:left="0" w:firstLine="0"/>
    </w:pPr>
    <w:rPr>
      <w:bCs/>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70102">
      <w:bodyDiv w:val="1"/>
      <w:marLeft w:val="0"/>
      <w:marRight w:val="0"/>
      <w:marTop w:val="0"/>
      <w:marBottom w:val="0"/>
      <w:divBdr>
        <w:top w:val="none" w:sz="0" w:space="0" w:color="auto"/>
        <w:left w:val="none" w:sz="0" w:space="0" w:color="auto"/>
        <w:bottom w:val="none" w:sz="0" w:space="0" w:color="auto"/>
        <w:right w:val="none" w:sz="0" w:space="0" w:color="auto"/>
      </w:divBdr>
      <w:divsChild>
        <w:div w:id="1485392858">
          <w:marLeft w:val="0"/>
          <w:marRight w:val="0"/>
          <w:marTop w:val="0"/>
          <w:marBottom w:val="0"/>
          <w:divBdr>
            <w:top w:val="none" w:sz="0" w:space="0" w:color="auto"/>
            <w:left w:val="none" w:sz="0" w:space="0" w:color="auto"/>
            <w:bottom w:val="none" w:sz="0" w:space="0" w:color="auto"/>
            <w:right w:val="none" w:sz="0" w:space="0" w:color="auto"/>
          </w:divBdr>
          <w:divsChild>
            <w:div w:id="560017977">
              <w:marLeft w:val="0"/>
              <w:marRight w:val="0"/>
              <w:marTop w:val="0"/>
              <w:marBottom w:val="0"/>
              <w:divBdr>
                <w:top w:val="none" w:sz="0" w:space="0" w:color="auto"/>
                <w:left w:val="none" w:sz="0" w:space="0" w:color="auto"/>
                <w:bottom w:val="none" w:sz="0" w:space="0" w:color="auto"/>
                <w:right w:val="none" w:sz="0" w:space="0" w:color="auto"/>
              </w:divBdr>
              <w:divsChild>
                <w:div w:id="1781417346">
                  <w:marLeft w:val="0"/>
                  <w:marRight w:val="0"/>
                  <w:marTop w:val="0"/>
                  <w:marBottom w:val="0"/>
                  <w:divBdr>
                    <w:top w:val="none" w:sz="0" w:space="0" w:color="auto"/>
                    <w:left w:val="none" w:sz="0" w:space="0" w:color="auto"/>
                    <w:bottom w:val="none" w:sz="0" w:space="0" w:color="auto"/>
                    <w:right w:val="none" w:sz="0" w:space="0" w:color="auto"/>
                  </w:divBdr>
                  <w:divsChild>
                    <w:div w:id="1364744554">
                      <w:marLeft w:val="0"/>
                      <w:marRight w:val="0"/>
                      <w:marTop w:val="0"/>
                      <w:marBottom w:val="0"/>
                      <w:divBdr>
                        <w:top w:val="none" w:sz="0" w:space="0" w:color="auto"/>
                        <w:left w:val="none" w:sz="0" w:space="0" w:color="auto"/>
                        <w:bottom w:val="none" w:sz="0" w:space="0" w:color="auto"/>
                        <w:right w:val="none" w:sz="0" w:space="0" w:color="auto"/>
                      </w:divBdr>
                      <w:divsChild>
                        <w:div w:id="230889789">
                          <w:marLeft w:val="0"/>
                          <w:marRight w:val="0"/>
                          <w:marTop w:val="0"/>
                          <w:marBottom w:val="0"/>
                          <w:divBdr>
                            <w:top w:val="none" w:sz="0" w:space="0" w:color="auto"/>
                            <w:left w:val="none" w:sz="0" w:space="0" w:color="auto"/>
                            <w:bottom w:val="none" w:sz="0" w:space="0" w:color="auto"/>
                            <w:right w:val="none" w:sz="0" w:space="0" w:color="auto"/>
                          </w:divBdr>
                          <w:divsChild>
                            <w:div w:id="1936815893">
                              <w:marLeft w:val="0"/>
                              <w:marRight w:val="0"/>
                              <w:marTop w:val="0"/>
                              <w:marBottom w:val="0"/>
                              <w:divBdr>
                                <w:top w:val="none" w:sz="0" w:space="0" w:color="auto"/>
                                <w:left w:val="none" w:sz="0" w:space="0" w:color="auto"/>
                                <w:bottom w:val="none" w:sz="0" w:space="0" w:color="auto"/>
                                <w:right w:val="none" w:sz="0" w:space="0" w:color="auto"/>
                              </w:divBdr>
                              <w:divsChild>
                                <w:div w:id="1289749347">
                                  <w:marLeft w:val="0"/>
                                  <w:marRight w:val="0"/>
                                  <w:marTop w:val="0"/>
                                  <w:marBottom w:val="0"/>
                                  <w:divBdr>
                                    <w:top w:val="none" w:sz="0" w:space="0" w:color="auto"/>
                                    <w:left w:val="none" w:sz="0" w:space="0" w:color="auto"/>
                                    <w:bottom w:val="none" w:sz="0" w:space="0" w:color="auto"/>
                                    <w:right w:val="none" w:sz="0" w:space="0" w:color="auto"/>
                                  </w:divBdr>
                                  <w:divsChild>
                                    <w:div w:id="1875843002">
                                      <w:marLeft w:val="0"/>
                                      <w:marRight w:val="0"/>
                                      <w:marTop w:val="0"/>
                                      <w:marBottom w:val="0"/>
                                      <w:divBdr>
                                        <w:top w:val="none" w:sz="0" w:space="0" w:color="auto"/>
                                        <w:left w:val="none" w:sz="0" w:space="0" w:color="auto"/>
                                        <w:bottom w:val="none" w:sz="0" w:space="0" w:color="auto"/>
                                        <w:right w:val="none" w:sz="0" w:space="0" w:color="auto"/>
                                      </w:divBdr>
                                      <w:divsChild>
                                        <w:div w:id="379132933">
                                          <w:marLeft w:val="0"/>
                                          <w:marRight w:val="0"/>
                                          <w:marTop w:val="0"/>
                                          <w:marBottom w:val="0"/>
                                          <w:divBdr>
                                            <w:top w:val="none" w:sz="0" w:space="0" w:color="auto"/>
                                            <w:left w:val="none" w:sz="0" w:space="0" w:color="auto"/>
                                            <w:bottom w:val="none" w:sz="0" w:space="0" w:color="auto"/>
                                            <w:right w:val="none" w:sz="0" w:space="0" w:color="auto"/>
                                          </w:divBdr>
                                          <w:divsChild>
                                            <w:div w:id="1870604845">
                                              <w:marLeft w:val="0"/>
                                              <w:marRight w:val="0"/>
                                              <w:marTop w:val="0"/>
                                              <w:marBottom w:val="0"/>
                                              <w:divBdr>
                                                <w:top w:val="none" w:sz="0" w:space="0" w:color="auto"/>
                                                <w:left w:val="none" w:sz="0" w:space="0" w:color="auto"/>
                                                <w:bottom w:val="none" w:sz="0" w:space="0" w:color="auto"/>
                                                <w:right w:val="none" w:sz="0" w:space="0" w:color="auto"/>
                                              </w:divBdr>
                                              <w:divsChild>
                                                <w:div w:id="1474178898">
                                                  <w:marLeft w:val="0"/>
                                                  <w:marRight w:val="0"/>
                                                  <w:marTop w:val="0"/>
                                                  <w:marBottom w:val="0"/>
                                                  <w:divBdr>
                                                    <w:top w:val="none" w:sz="0" w:space="0" w:color="auto"/>
                                                    <w:left w:val="none" w:sz="0" w:space="0" w:color="auto"/>
                                                    <w:bottom w:val="none" w:sz="0" w:space="0" w:color="auto"/>
                                                    <w:right w:val="none" w:sz="0" w:space="0" w:color="auto"/>
                                                  </w:divBdr>
                                                  <w:divsChild>
                                                    <w:div w:id="496261932">
                                                      <w:marLeft w:val="0"/>
                                                      <w:marRight w:val="0"/>
                                                      <w:marTop w:val="0"/>
                                                      <w:marBottom w:val="0"/>
                                                      <w:divBdr>
                                                        <w:top w:val="none" w:sz="0" w:space="0" w:color="auto"/>
                                                        <w:left w:val="none" w:sz="0" w:space="0" w:color="auto"/>
                                                        <w:bottom w:val="none" w:sz="0" w:space="0" w:color="auto"/>
                                                        <w:right w:val="none" w:sz="0" w:space="0" w:color="auto"/>
                                                      </w:divBdr>
                                                      <w:divsChild>
                                                        <w:div w:id="5398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0284881">
      <w:bodyDiv w:val="1"/>
      <w:marLeft w:val="0"/>
      <w:marRight w:val="0"/>
      <w:marTop w:val="0"/>
      <w:marBottom w:val="0"/>
      <w:divBdr>
        <w:top w:val="none" w:sz="0" w:space="0" w:color="auto"/>
        <w:left w:val="none" w:sz="0" w:space="0" w:color="auto"/>
        <w:bottom w:val="none" w:sz="0" w:space="0" w:color="auto"/>
        <w:right w:val="none" w:sz="0" w:space="0" w:color="auto"/>
      </w:divBdr>
    </w:div>
    <w:div w:id="1514344667">
      <w:bodyDiv w:val="1"/>
      <w:marLeft w:val="0"/>
      <w:marRight w:val="0"/>
      <w:marTop w:val="0"/>
      <w:marBottom w:val="0"/>
      <w:divBdr>
        <w:top w:val="none" w:sz="0" w:space="0" w:color="auto"/>
        <w:left w:val="none" w:sz="0" w:space="0" w:color="auto"/>
        <w:bottom w:val="none" w:sz="0" w:space="0" w:color="auto"/>
        <w:right w:val="none" w:sz="0" w:space="0" w:color="auto"/>
      </w:divBdr>
    </w:div>
    <w:div w:id="1565406958">
      <w:bodyDiv w:val="1"/>
      <w:marLeft w:val="0"/>
      <w:marRight w:val="0"/>
      <w:marTop w:val="0"/>
      <w:marBottom w:val="0"/>
      <w:divBdr>
        <w:top w:val="none" w:sz="0" w:space="0" w:color="auto"/>
        <w:left w:val="none" w:sz="0" w:space="0" w:color="auto"/>
        <w:bottom w:val="none" w:sz="0" w:space="0" w:color="auto"/>
        <w:right w:val="none" w:sz="0" w:space="0" w:color="auto"/>
      </w:divBdr>
    </w:div>
    <w:div w:id="1583759829">
      <w:bodyDiv w:val="1"/>
      <w:marLeft w:val="0"/>
      <w:marRight w:val="0"/>
      <w:marTop w:val="0"/>
      <w:marBottom w:val="0"/>
      <w:divBdr>
        <w:top w:val="none" w:sz="0" w:space="0" w:color="auto"/>
        <w:left w:val="none" w:sz="0" w:space="0" w:color="auto"/>
        <w:bottom w:val="none" w:sz="0" w:space="0" w:color="auto"/>
        <w:right w:val="none" w:sz="0" w:space="0" w:color="auto"/>
      </w:divBdr>
    </w:div>
    <w:div w:id="1657831225">
      <w:bodyDiv w:val="1"/>
      <w:marLeft w:val="0"/>
      <w:marRight w:val="0"/>
      <w:marTop w:val="0"/>
      <w:marBottom w:val="0"/>
      <w:divBdr>
        <w:top w:val="none" w:sz="0" w:space="0" w:color="auto"/>
        <w:left w:val="none" w:sz="0" w:space="0" w:color="auto"/>
        <w:bottom w:val="none" w:sz="0" w:space="0" w:color="auto"/>
        <w:right w:val="none" w:sz="0" w:space="0" w:color="auto"/>
      </w:divBdr>
    </w:div>
    <w:div w:id="1750882351">
      <w:bodyDiv w:val="1"/>
      <w:marLeft w:val="0"/>
      <w:marRight w:val="0"/>
      <w:marTop w:val="0"/>
      <w:marBottom w:val="750"/>
      <w:divBdr>
        <w:top w:val="none" w:sz="0" w:space="0" w:color="auto"/>
        <w:left w:val="none" w:sz="0" w:space="0" w:color="auto"/>
        <w:bottom w:val="none" w:sz="0" w:space="0" w:color="auto"/>
        <w:right w:val="none" w:sz="0" w:space="0" w:color="auto"/>
      </w:divBdr>
      <w:divsChild>
        <w:div w:id="1019966948">
          <w:marLeft w:val="0"/>
          <w:marRight w:val="0"/>
          <w:marTop w:val="0"/>
          <w:marBottom w:val="0"/>
          <w:divBdr>
            <w:top w:val="none" w:sz="0" w:space="0" w:color="auto"/>
            <w:left w:val="none" w:sz="0" w:space="0" w:color="auto"/>
            <w:bottom w:val="none" w:sz="0" w:space="0" w:color="auto"/>
            <w:right w:val="none" w:sz="0" w:space="0" w:color="auto"/>
          </w:divBdr>
          <w:divsChild>
            <w:div w:id="1579366809">
              <w:marLeft w:val="0"/>
              <w:marRight w:val="0"/>
              <w:marTop w:val="1680"/>
              <w:marBottom w:val="0"/>
              <w:divBdr>
                <w:top w:val="none" w:sz="0" w:space="0" w:color="auto"/>
                <w:left w:val="none" w:sz="0" w:space="0" w:color="auto"/>
                <w:bottom w:val="none" w:sz="0" w:space="0" w:color="auto"/>
                <w:right w:val="none" w:sz="0" w:space="0" w:color="auto"/>
              </w:divBdr>
              <w:divsChild>
                <w:div w:id="1601647585">
                  <w:marLeft w:val="0"/>
                  <w:marRight w:val="0"/>
                  <w:marTop w:val="0"/>
                  <w:marBottom w:val="0"/>
                  <w:divBdr>
                    <w:top w:val="none" w:sz="0" w:space="0" w:color="auto"/>
                    <w:left w:val="none" w:sz="0" w:space="0" w:color="auto"/>
                    <w:bottom w:val="none" w:sz="0" w:space="0" w:color="auto"/>
                    <w:right w:val="none" w:sz="0" w:space="0" w:color="auto"/>
                  </w:divBdr>
                  <w:divsChild>
                    <w:div w:id="90591977">
                      <w:marLeft w:val="0"/>
                      <w:marRight w:val="0"/>
                      <w:marTop w:val="0"/>
                      <w:marBottom w:val="0"/>
                      <w:divBdr>
                        <w:top w:val="none" w:sz="0" w:space="0" w:color="auto"/>
                        <w:left w:val="none" w:sz="0" w:space="0" w:color="auto"/>
                        <w:bottom w:val="none" w:sz="0" w:space="0" w:color="auto"/>
                        <w:right w:val="none" w:sz="0" w:space="0" w:color="auto"/>
                      </w:divBdr>
                      <w:divsChild>
                        <w:div w:id="1574855253">
                          <w:marLeft w:val="0"/>
                          <w:marRight w:val="0"/>
                          <w:marTop w:val="0"/>
                          <w:marBottom w:val="0"/>
                          <w:divBdr>
                            <w:top w:val="none" w:sz="0" w:space="0" w:color="auto"/>
                            <w:left w:val="none" w:sz="0" w:space="0" w:color="auto"/>
                            <w:bottom w:val="none" w:sz="0" w:space="0" w:color="auto"/>
                            <w:right w:val="none" w:sz="0" w:space="0" w:color="auto"/>
                          </w:divBdr>
                          <w:divsChild>
                            <w:div w:id="2121794529">
                              <w:marLeft w:val="0"/>
                              <w:marRight w:val="0"/>
                              <w:marTop w:val="0"/>
                              <w:marBottom w:val="0"/>
                              <w:divBdr>
                                <w:top w:val="none" w:sz="0" w:space="0" w:color="auto"/>
                                <w:left w:val="none" w:sz="0" w:space="0" w:color="auto"/>
                                <w:bottom w:val="none" w:sz="0" w:space="0" w:color="auto"/>
                                <w:right w:val="none" w:sz="0" w:space="0" w:color="auto"/>
                              </w:divBdr>
                              <w:divsChild>
                                <w:div w:id="1025139018">
                                  <w:marLeft w:val="-225"/>
                                  <w:marRight w:val="-225"/>
                                  <w:marTop w:val="0"/>
                                  <w:marBottom w:val="0"/>
                                  <w:divBdr>
                                    <w:top w:val="none" w:sz="0" w:space="0" w:color="auto"/>
                                    <w:left w:val="none" w:sz="0" w:space="0" w:color="auto"/>
                                    <w:bottom w:val="none" w:sz="0" w:space="0" w:color="auto"/>
                                    <w:right w:val="none" w:sz="0" w:space="0" w:color="auto"/>
                                  </w:divBdr>
                                  <w:divsChild>
                                    <w:div w:id="1479155052">
                                      <w:marLeft w:val="0"/>
                                      <w:marRight w:val="0"/>
                                      <w:marTop w:val="0"/>
                                      <w:marBottom w:val="0"/>
                                      <w:divBdr>
                                        <w:top w:val="none" w:sz="0" w:space="0" w:color="auto"/>
                                        <w:left w:val="none" w:sz="0" w:space="0" w:color="auto"/>
                                        <w:bottom w:val="none" w:sz="0" w:space="0" w:color="auto"/>
                                        <w:right w:val="none" w:sz="0" w:space="0" w:color="auto"/>
                                      </w:divBdr>
                                      <w:divsChild>
                                        <w:div w:id="1687706599">
                                          <w:marLeft w:val="0"/>
                                          <w:marRight w:val="0"/>
                                          <w:marTop w:val="0"/>
                                          <w:marBottom w:val="0"/>
                                          <w:divBdr>
                                            <w:top w:val="none" w:sz="0" w:space="0" w:color="auto"/>
                                            <w:left w:val="none" w:sz="0" w:space="0" w:color="auto"/>
                                            <w:bottom w:val="none" w:sz="0" w:space="0" w:color="auto"/>
                                            <w:right w:val="none" w:sz="0" w:space="0" w:color="auto"/>
                                          </w:divBdr>
                                          <w:divsChild>
                                            <w:div w:id="1771077153">
                                              <w:marLeft w:val="0"/>
                                              <w:marRight w:val="0"/>
                                              <w:marTop w:val="0"/>
                                              <w:marBottom w:val="0"/>
                                              <w:divBdr>
                                                <w:top w:val="none" w:sz="0" w:space="0" w:color="auto"/>
                                                <w:left w:val="none" w:sz="0" w:space="0" w:color="auto"/>
                                                <w:bottom w:val="none" w:sz="0" w:space="0" w:color="auto"/>
                                                <w:right w:val="none" w:sz="0" w:space="0" w:color="auto"/>
                                              </w:divBdr>
                                              <w:divsChild>
                                                <w:div w:id="634877352">
                                                  <w:marLeft w:val="0"/>
                                                  <w:marRight w:val="0"/>
                                                  <w:marTop w:val="0"/>
                                                  <w:marBottom w:val="0"/>
                                                  <w:divBdr>
                                                    <w:top w:val="none" w:sz="0" w:space="0" w:color="auto"/>
                                                    <w:left w:val="none" w:sz="0" w:space="0" w:color="auto"/>
                                                    <w:bottom w:val="none" w:sz="0" w:space="0" w:color="auto"/>
                                                    <w:right w:val="none" w:sz="0" w:space="0" w:color="auto"/>
                                                  </w:divBdr>
                                                  <w:divsChild>
                                                    <w:div w:id="1545485938">
                                                      <w:marLeft w:val="0"/>
                                                      <w:marRight w:val="0"/>
                                                      <w:marTop w:val="0"/>
                                                      <w:marBottom w:val="0"/>
                                                      <w:divBdr>
                                                        <w:top w:val="none" w:sz="0" w:space="0" w:color="auto"/>
                                                        <w:left w:val="none" w:sz="0" w:space="0" w:color="auto"/>
                                                        <w:bottom w:val="none" w:sz="0" w:space="0" w:color="auto"/>
                                                        <w:right w:val="none" w:sz="0" w:space="0" w:color="auto"/>
                                                      </w:divBdr>
                                                      <w:divsChild>
                                                        <w:div w:id="707678750">
                                                          <w:marLeft w:val="0"/>
                                                          <w:marRight w:val="0"/>
                                                          <w:marTop w:val="0"/>
                                                          <w:marBottom w:val="0"/>
                                                          <w:divBdr>
                                                            <w:top w:val="none" w:sz="0" w:space="0" w:color="auto"/>
                                                            <w:left w:val="none" w:sz="0" w:space="0" w:color="auto"/>
                                                            <w:bottom w:val="none" w:sz="0" w:space="0" w:color="auto"/>
                                                            <w:right w:val="none" w:sz="0" w:space="0" w:color="auto"/>
                                                          </w:divBdr>
                                                          <w:divsChild>
                                                            <w:div w:id="1977252383">
                                                              <w:marLeft w:val="0"/>
                                                              <w:marRight w:val="0"/>
                                                              <w:marTop w:val="0"/>
                                                              <w:marBottom w:val="0"/>
                                                              <w:divBdr>
                                                                <w:top w:val="none" w:sz="0" w:space="0" w:color="auto"/>
                                                                <w:left w:val="none" w:sz="0" w:space="0" w:color="auto"/>
                                                                <w:bottom w:val="none" w:sz="0" w:space="0" w:color="auto"/>
                                                                <w:right w:val="none" w:sz="0" w:space="0" w:color="auto"/>
                                                              </w:divBdr>
                                                              <w:divsChild>
                                                                <w:div w:id="131141322">
                                                                  <w:marLeft w:val="0"/>
                                                                  <w:marRight w:val="0"/>
                                                                  <w:marTop w:val="315"/>
                                                                  <w:marBottom w:val="0"/>
                                                                  <w:divBdr>
                                                                    <w:top w:val="none" w:sz="0" w:space="0" w:color="auto"/>
                                                                    <w:left w:val="none" w:sz="0" w:space="0" w:color="auto"/>
                                                                    <w:bottom w:val="none" w:sz="0" w:space="0" w:color="auto"/>
                                                                    <w:right w:val="none" w:sz="0" w:space="0" w:color="auto"/>
                                                                  </w:divBdr>
                                                                  <w:divsChild>
                                                                    <w:div w:id="295061679">
                                                                      <w:marLeft w:val="0"/>
                                                                      <w:marRight w:val="0"/>
                                                                      <w:marTop w:val="0"/>
                                                                      <w:marBottom w:val="675"/>
                                                                      <w:divBdr>
                                                                        <w:top w:val="none" w:sz="0" w:space="0" w:color="auto"/>
                                                                        <w:left w:val="none" w:sz="0" w:space="0" w:color="auto"/>
                                                                        <w:bottom w:val="none" w:sz="0" w:space="0" w:color="auto"/>
                                                                        <w:right w:val="none" w:sz="0" w:space="0" w:color="auto"/>
                                                                      </w:divBdr>
                                                                      <w:divsChild>
                                                                        <w:div w:id="255093171">
                                                                          <w:marLeft w:val="0"/>
                                                                          <w:marRight w:val="0"/>
                                                                          <w:marTop w:val="300"/>
                                                                          <w:marBottom w:val="0"/>
                                                                          <w:divBdr>
                                                                            <w:top w:val="none" w:sz="0" w:space="0" w:color="auto"/>
                                                                            <w:left w:val="none" w:sz="0" w:space="0" w:color="auto"/>
                                                                            <w:bottom w:val="none" w:sz="0" w:space="0" w:color="auto"/>
                                                                            <w:right w:val="none" w:sz="0" w:space="0" w:color="auto"/>
                                                                          </w:divBdr>
                                                                          <w:divsChild>
                                                                            <w:div w:id="1449155267">
                                                                              <w:marLeft w:val="0"/>
                                                                              <w:marRight w:val="0"/>
                                                                              <w:marTop w:val="0"/>
                                                                              <w:marBottom w:val="0"/>
                                                                              <w:divBdr>
                                                                                <w:top w:val="none" w:sz="0" w:space="0" w:color="auto"/>
                                                                                <w:left w:val="none" w:sz="0" w:space="0" w:color="auto"/>
                                                                                <w:bottom w:val="none" w:sz="0" w:space="0" w:color="auto"/>
                                                                                <w:right w:val="none" w:sz="0" w:space="0" w:color="auto"/>
                                                                              </w:divBdr>
                                                                              <w:divsChild>
                                                                                <w:div w:id="1287540850">
                                                                                  <w:marLeft w:val="-150"/>
                                                                                  <w:marRight w:val="0"/>
                                                                                  <w:marTop w:val="0"/>
                                                                                  <w:marBottom w:val="0"/>
                                                                                  <w:divBdr>
                                                                                    <w:top w:val="none" w:sz="0" w:space="0" w:color="auto"/>
                                                                                    <w:left w:val="none" w:sz="0" w:space="0" w:color="auto"/>
                                                                                    <w:bottom w:val="single" w:sz="6" w:space="0" w:color="C6C6C6"/>
                                                                                    <w:right w:val="none" w:sz="0" w:space="0" w:color="auto"/>
                                                                                  </w:divBdr>
                                                                                  <w:divsChild>
                                                                                    <w:div w:id="630550494">
                                                                                      <w:marLeft w:val="0"/>
                                                                                      <w:marRight w:val="0"/>
                                                                                      <w:marTop w:val="0"/>
                                                                                      <w:marBottom w:val="0"/>
                                                                                      <w:divBdr>
                                                                                        <w:top w:val="none" w:sz="0" w:space="0" w:color="auto"/>
                                                                                        <w:left w:val="none" w:sz="0" w:space="0" w:color="auto"/>
                                                                                        <w:bottom w:val="none" w:sz="0" w:space="0" w:color="auto"/>
                                                                                        <w:right w:val="none" w:sz="0" w:space="0" w:color="auto"/>
                                                                                      </w:divBdr>
                                                                                      <w:divsChild>
                                                                                        <w:div w:id="1346859627">
                                                                                          <w:marLeft w:val="0"/>
                                                                                          <w:marRight w:val="0"/>
                                                                                          <w:marTop w:val="0"/>
                                                                                          <w:marBottom w:val="0"/>
                                                                                          <w:divBdr>
                                                                                            <w:top w:val="none" w:sz="0" w:space="0" w:color="auto"/>
                                                                                            <w:left w:val="none" w:sz="0" w:space="0" w:color="auto"/>
                                                                                            <w:bottom w:val="none" w:sz="0" w:space="0" w:color="auto"/>
                                                                                            <w:right w:val="none" w:sz="0" w:space="0" w:color="auto"/>
                                                                                          </w:divBdr>
                                                                                          <w:divsChild>
                                                                                            <w:div w:id="369959490">
                                                                                              <w:marLeft w:val="240"/>
                                                                                              <w:marRight w:val="0"/>
                                                                                              <w:marTop w:val="0"/>
                                                                                              <w:marBottom w:val="0"/>
                                                                                              <w:divBdr>
                                                                                                <w:top w:val="none" w:sz="0" w:space="0" w:color="auto"/>
                                                                                                <w:left w:val="none" w:sz="0" w:space="0" w:color="auto"/>
                                                                                                <w:bottom w:val="none" w:sz="0" w:space="0" w:color="auto"/>
                                                                                                <w:right w:val="none" w:sz="0" w:space="0" w:color="auto"/>
                                                                                              </w:divBdr>
                                                                                              <w:divsChild>
                                                                                                <w:div w:id="459543517">
                                                                                                  <w:marLeft w:val="0"/>
                                                                                                  <w:marRight w:val="0"/>
                                                                                                  <w:marTop w:val="0"/>
                                                                                                  <w:marBottom w:val="0"/>
                                                                                                  <w:divBdr>
                                                                                                    <w:top w:val="none" w:sz="0" w:space="0" w:color="auto"/>
                                                                                                    <w:left w:val="none" w:sz="0" w:space="0" w:color="auto"/>
                                                                                                    <w:bottom w:val="none" w:sz="0" w:space="0" w:color="auto"/>
                                                                                                    <w:right w:val="none" w:sz="0" w:space="0" w:color="auto"/>
                                                                                                  </w:divBdr>
                                                                                                  <w:divsChild>
                                                                                                    <w:div w:id="1584531924">
                                                                                                      <w:marLeft w:val="0"/>
                                                                                                      <w:marRight w:val="0"/>
                                                                                                      <w:marTop w:val="0"/>
                                                                                                      <w:marBottom w:val="0"/>
                                                                                                      <w:divBdr>
                                                                                                        <w:top w:val="none" w:sz="0" w:space="0" w:color="auto"/>
                                                                                                        <w:left w:val="none" w:sz="0" w:space="0" w:color="auto"/>
                                                                                                        <w:bottom w:val="none" w:sz="0" w:space="0" w:color="auto"/>
                                                                                                        <w:right w:val="none" w:sz="0" w:space="0" w:color="auto"/>
                                                                                                      </w:divBdr>
                                                                                                      <w:divsChild>
                                                                                                        <w:div w:id="2323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3507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esouro.gov.br/m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Brazil</TermName>
          <TermId xmlns="http://schemas.microsoft.com/office/infopath/2007/PartnerControls">7deb27ec-6837-4974-9aa8-6cfbac841ef8</TermId>
        </TermInfo>
      </Terms>
    </ic46d7e087fd4a108fb86518ca413cc6>
    <IDBDocs_x0020_Number xmlns="cdc7663a-08f0-4737-9e8c-148ce897a09c" xsi:nil="true"/>
    <Division_x0020_or_x0020_Unit xmlns="cdc7663a-08f0-4737-9e8c-148ce897a09c">IFD/FMM</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Project Preparation, Planning and Design</TermName>
          <TermId xmlns="http://schemas.microsoft.com/office/infopath/2007/PartnerControls">29ca0c72-1fc4-435f-a09c-28585cb5eac9</TermId>
        </TermInfo>
      </Terms>
    </e46fe2894295491da65140ffd2369f49>
    <Other_x0020_Author xmlns="cdc7663a-08f0-4737-9e8c-148ce897a09c">Lorena Kevish</Other_x0020_Author>
    <Migration_x0020_Info xmlns="cdc7663a-08f0-4737-9e8c-148ce897a09c" xsi:nil="true"/>
    <Approval_x0020_Number xmlns="cdc7663a-08f0-4737-9e8c-148ce897a09c" xsi:nil="true"/>
    <Phase xmlns="cdc7663a-08f0-4737-9e8c-148ce897a09c">ACTIVE</Phase>
    <Document_x0020_Author xmlns="cdc7663a-08f0-4737-9e8c-148ce897a09c">Dezolt, Ana Lucia Paiva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FISCAL POLICY FOR SUSTAINABILITY AND GROWTH</TermName>
          <TermId xmlns="http://schemas.microsoft.com/office/infopath/2007/PartnerControls">6e15b5e0-ae82-4b06-920a-eef6dd27cc8b</TermId>
        </TermInfo>
      </Terms>
    </b2ec7cfb18674cb8803df6b262e8b107>
    <Business_x0020_Area xmlns="cdc7663a-08f0-4737-9e8c-148ce897a09c">Life Cycle</Business_x0020_Area>
    <Key_x0020_Document xmlns="cdc7663a-08f0-4737-9e8c-148ce897a09c">false</Key_x0020_Document>
    <Document_x0020_Language_x0020_IDB xmlns="cdc7663a-08f0-4737-9e8c-148ce897a09c">Spanish</Document_x0020_Language_x0020_IDB>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32</Value>
      <Value>31</Value>
      <Value>30</Value>
      <Value>1</Value>
    </TaxCatchAll>
    <Operation_x0020_Type xmlns="cdc7663a-08f0-4737-9e8c-148ce897a09c">LON</Operation_x0020_Type>
    <Package_x0020_Code xmlns="cdc7663a-08f0-4737-9e8c-148ce897a09c" xsi:nil="true"/>
    <Identifier xmlns="cdc7663a-08f0-4737-9e8c-148ce897a09c" xsi:nil="true"/>
    <Project_x0020_Number xmlns="cdc7663a-08f0-4737-9e8c-148ce897a09c">BR-L1534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REFORM / MODERNIZATION OF THE STATE</TermName>
          <TermId xmlns="http://schemas.microsoft.com/office/infopath/2007/PartnerControls">c8fda4a7-691a-4c65-b227-9825197b5cd2</TermId>
        </TermInfo>
      </Terms>
    </nddeef1749674d76abdbe4b239a70bc6>
    <Record_x0020_Number xmlns="cdc7663a-08f0-4737-9e8c-148ce897a09c" xsi:nil="true"/>
    <_dlc_DocId xmlns="cdc7663a-08f0-4737-9e8c-148ce897a09c">EZSHARE-171410443-72</_dlc_DocId>
    <_dlc_DocIdUrl xmlns="cdc7663a-08f0-4737-9e8c-148ce897a09c">
      <Url>https://idbg.sharepoint.com/teams/EZ-BR-LON/BR-L1534/_layouts/15/DocIdRedir.aspx?ID=EZSHARE-171410443-72</Url>
      <Description>EZSHARE-171410443-72</Description>
    </_dlc_DocIdUrl>
    <Disclosure_x0020_Activity xmlns="cdc7663a-08f0-4737-9e8c-148ce897a09c">Loan Proposal</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ED24F32017EE444FA49036BBDA886444" ma:contentTypeVersion="5681" ma:contentTypeDescription="A content type to manage public (operations) IDB documents" ma:contentTypeScope="" ma:versionID="b649092936fc63367f2f145f3cd7fb4f">
  <xsd:schema xmlns:xsd="http://www.w3.org/2001/XMLSchema" xmlns:xs="http://www.w3.org/2001/XMLSchema" xmlns:p="http://schemas.microsoft.com/office/2006/metadata/properties" xmlns:ns2="cdc7663a-08f0-4737-9e8c-148ce897a09c" targetNamespace="http://schemas.microsoft.com/office/2006/metadata/properties" ma:root="true" ma:fieldsID="d5f3ca326431e397a1013e28b0b1f544"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054046D3-A833-4F55-9E0D-8D8FEED1705B}">
  <ds:schemaRefs>
    <ds:schemaRef ds:uri="http://schemas.microsoft.com/office/2006/metadata/properties"/>
    <ds:schemaRef ds:uri="http://schemas.microsoft.com/office/infopath/2007/PartnerControls"/>
    <ds:schemaRef ds:uri="cdc7663a-08f0-4737-9e8c-148ce897a09c"/>
  </ds:schemaRefs>
</ds:datastoreItem>
</file>

<file path=customXml/itemProps2.xml><?xml version="1.0" encoding="utf-8"?>
<ds:datastoreItem xmlns:ds="http://schemas.openxmlformats.org/officeDocument/2006/customXml" ds:itemID="{B10507AB-0410-4F86-92E1-CE50CDE57F71}"/>
</file>

<file path=customXml/itemProps3.xml><?xml version="1.0" encoding="utf-8"?>
<ds:datastoreItem xmlns:ds="http://schemas.openxmlformats.org/officeDocument/2006/customXml" ds:itemID="{98B0D001-4881-47B9-9B41-8DA2938B8EB7}"/>
</file>

<file path=customXml/itemProps4.xml><?xml version="1.0" encoding="utf-8"?>
<ds:datastoreItem xmlns:ds="http://schemas.openxmlformats.org/officeDocument/2006/customXml" ds:itemID="{1D48D354-2E3D-4A09-8B81-455F0D02D9D8}">
  <ds:schemaRefs>
    <ds:schemaRef ds:uri="http://schemas.microsoft.com/office/2006/metadata/longProperties"/>
  </ds:schemaRefs>
</ds:datastoreItem>
</file>

<file path=customXml/itemProps5.xml><?xml version="1.0" encoding="utf-8"?>
<ds:datastoreItem xmlns:ds="http://schemas.openxmlformats.org/officeDocument/2006/customXml" ds:itemID="{8F9F7258-075B-41B8-B9EA-69B61CB9D2E6}">
  <ds:schemaRefs>
    <ds:schemaRef ds:uri="http://schemas.microsoft.com/sharepoint/v3/contenttype/forms"/>
  </ds:schemaRefs>
</ds:datastoreItem>
</file>

<file path=customXml/itemProps6.xml><?xml version="1.0" encoding="utf-8"?>
<ds:datastoreItem xmlns:ds="http://schemas.openxmlformats.org/officeDocument/2006/customXml" ds:itemID="{528331DF-19EE-45CA-8BA6-E016FBF3F70A}">
  <ds:schemaRefs>
    <ds:schemaRef ds:uri="http://schemas.microsoft.com/sharepoint/events"/>
  </ds:schemaRefs>
</ds:datastoreItem>
</file>

<file path=customXml/itemProps7.xml><?xml version="1.0" encoding="utf-8"?>
<ds:datastoreItem xmlns:ds="http://schemas.openxmlformats.org/officeDocument/2006/customXml" ds:itemID="{60781D1B-A378-444D-88D0-5F08F17C2BA6}">
  <ds:schemaRefs>
    <ds:schemaRef ds:uri="http://schemas.openxmlformats.org/officeDocument/2006/bibliography"/>
  </ds:schemaRefs>
</ds:datastoreItem>
</file>

<file path=customXml/itemProps8.xml><?xml version="1.0" encoding="utf-8"?>
<ds:datastoreItem xmlns:ds="http://schemas.openxmlformats.org/officeDocument/2006/customXml" ds:itemID="{9B2CF791-98CD-453F-939C-3627566A230B}"/>
</file>

<file path=docProps/app.xml><?xml version="1.0" encoding="utf-8"?>
<Properties xmlns="http://schemas.openxmlformats.org/officeDocument/2006/extended-properties" xmlns:vt="http://schemas.openxmlformats.org/officeDocument/2006/docPropsVTypes">
  <Template>Normal</Template>
  <TotalTime>0</TotalTime>
  <Pages>9</Pages>
  <Words>4035</Words>
  <Characters>22196</Characters>
  <Application>Microsoft Office Word</Application>
  <DocSecurity>0</DocSecurity>
  <Lines>184</Lines>
  <Paragraphs>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26179</CharactersWithSpaces>
  <SharedDoc>false</SharedDoc>
  <HLinks>
    <vt:vector size="126" baseType="variant">
      <vt:variant>
        <vt:i4>7405604</vt:i4>
      </vt:variant>
      <vt:variant>
        <vt:i4>6</vt:i4>
      </vt:variant>
      <vt:variant>
        <vt:i4>0</vt:i4>
      </vt:variant>
      <vt:variant>
        <vt:i4>5</vt:i4>
      </vt:variant>
      <vt:variant>
        <vt:lpwstr>http://idbdocs.iadb.org/wsdocs/getDocument.aspx?DOCNUM=38568181</vt:lpwstr>
      </vt:variant>
      <vt:variant>
        <vt:lpwstr/>
      </vt:variant>
      <vt:variant>
        <vt:i4>3473457</vt:i4>
      </vt:variant>
      <vt:variant>
        <vt:i4>3</vt:i4>
      </vt:variant>
      <vt:variant>
        <vt:i4>0</vt:i4>
      </vt:variant>
      <vt:variant>
        <vt:i4>5</vt:i4>
      </vt:variant>
      <vt:variant>
        <vt:lpwstr>http://www.iadb.org/procurement</vt:lpwstr>
      </vt:variant>
      <vt:variant>
        <vt:lpwstr/>
      </vt:variant>
      <vt:variant>
        <vt:i4>7798822</vt:i4>
      </vt:variant>
      <vt:variant>
        <vt:i4>0</vt:i4>
      </vt:variant>
      <vt:variant>
        <vt:i4>0</vt:i4>
      </vt:variant>
      <vt:variant>
        <vt:i4>5</vt:i4>
      </vt:variant>
      <vt:variant>
        <vt:lpwstr>http://idbdocs.iadb.org/wsdocs/getDocument.aspx?DOCNUM=</vt:lpwstr>
      </vt:variant>
      <vt:variant>
        <vt:lpwstr/>
      </vt:variant>
      <vt:variant>
        <vt:i4>7471150</vt:i4>
      </vt:variant>
      <vt:variant>
        <vt:i4>51</vt:i4>
      </vt:variant>
      <vt:variant>
        <vt:i4>0</vt:i4>
      </vt:variant>
      <vt:variant>
        <vt:i4>5</vt:i4>
      </vt:variant>
      <vt:variant>
        <vt:lpwstr>http://idbdocs.iadb.org/wsdocs/getDocument.aspx?DOCNUM=35156518</vt:lpwstr>
      </vt:variant>
      <vt:variant>
        <vt:lpwstr/>
      </vt:variant>
      <vt:variant>
        <vt:i4>7602223</vt:i4>
      </vt:variant>
      <vt:variant>
        <vt:i4>48</vt:i4>
      </vt:variant>
      <vt:variant>
        <vt:i4>0</vt:i4>
      </vt:variant>
      <vt:variant>
        <vt:i4>5</vt:i4>
      </vt:variant>
      <vt:variant>
        <vt:lpwstr>http://idbdocs.iadb.org/wsdocs/getDocument.aspx?DOCNUM=35158495</vt:lpwstr>
      </vt:variant>
      <vt:variant>
        <vt:lpwstr/>
      </vt:variant>
      <vt:variant>
        <vt:i4>7864367</vt:i4>
      </vt:variant>
      <vt:variant>
        <vt:i4>45</vt:i4>
      </vt:variant>
      <vt:variant>
        <vt:i4>0</vt:i4>
      </vt:variant>
      <vt:variant>
        <vt:i4>5</vt:i4>
      </vt:variant>
      <vt:variant>
        <vt:lpwstr>http://idbdocs.iadb.org/wsdocs/getDocument.aspx?DOCNUM=35158450</vt:lpwstr>
      </vt:variant>
      <vt:variant>
        <vt:lpwstr/>
      </vt:variant>
      <vt:variant>
        <vt:i4>7929903</vt:i4>
      </vt:variant>
      <vt:variant>
        <vt:i4>42</vt:i4>
      </vt:variant>
      <vt:variant>
        <vt:i4>0</vt:i4>
      </vt:variant>
      <vt:variant>
        <vt:i4>5</vt:i4>
      </vt:variant>
      <vt:variant>
        <vt:lpwstr>http://idbdocs.iadb.org/wsdocs/getDocument.aspx?DOCNUM=35158448</vt:lpwstr>
      </vt:variant>
      <vt:variant>
        <vt:lpwstr/>
      </vt:variant>
      <vt:variant>
        <vt:i4>7733295</vt:i4>
      </vt:variant>
      <vt:variant>
        <vt:i4>39</vt:i4>
      </vt:variant>
      <vt:variant>
        <vt:i4>0</vt:i4>
      </vt:variant>
      <vt:variant>
        <vt:i4>5</vt:i4>
      </vt:variant>
      <vt:variant>
        <vt:lpwstr>http://idbdocs.iadb.org/wsdocs/getDocument.aspx?DOCNUM=35063712</vt:lpwstr>
      </vt:variant>
      <vt:variant>
        <vt:lpwstr/>
      </vt:variant>
      <vt:variant>
        <vt:i4>7602223</vt:i4>
      </vt:variant>
      <vt:variant>
        <vt:i4>36</vt:i4>
      </vt:variant>
      <vt:variant>
        <vt:i4>0</vt:i4>
      </vt:variant>
      <vt:variant>
        <vt:i4>5</vt:i4>
      </vt:variant>
      <vt:variant>
        <vt:lpwstr>http://idbdocs.iadb.org/wsdocs/getdocument.aspx?docnum=35062726</vt:lpwstr>
      </vt:variant>
      <vt:variant>
        <vt:lpwstr/>
      </vt:variant>
      <vt:variant>
        <vt:i4>5046303</vt:i4>
      </vt:variant>
      <vt:variant>
        <vt:i4>33</vt:i4>
      </vt:variant>
      <vt:variant>
        <vt:i4>0</vt:i4>
      </vt:variant>
      <vt:variant>
        <vt:i4>5</vt:i4>
      </vt:variant>
      <vt:variant>
        <vt:lpwstr>http://idbdocs.iadb.org/wsdocs/getDocument.aspx?DOCNUM=774399</vt:lpwstr>
      </vt:variant>
      <vt:variant>
        <vt:lpwstr/>
      </vt:variant>
      <vt:variant>
        <vt:i4>5046303</vt:i4>
      </vt:variant>
      <vt:variant>
        <vt:i4>30</vt:i4>
      </vt:variant>
      <vt:variant>
        <vt:i4>0</vt:i4>
      </vt:variant>
      <vt:variant>
        <vt:i4>5</vt:i4>
      </vt:variant>
      <vt:variant>
        <vt:lpwstr>http://idbdocs.iadb.org/wsdocs/getDocument.aspx?DOCNUM=774396</vt:lpwstr>
      </vt:variant>
      <vt:variant>
        <vt:lpwstr/>
      </vt:variant>
      <vt:variant>
        <vt:i4>5046303</vt:i4>
      </vt:variant>
      <vt:variant>
        <vt:i4>27</vt:i4>
      </vt:variant>
      <vt:variant>
        <vt:i4>0</vt:i4>
      </vt:variant>
      <vt:variant>
        <vt:i4>5</vt:i4>
      </vt:variant>
      <vt:variant>
        <vt:lpwstr>http://idbdocs.iadb.org/wsdocs/getDocument.aspx?DOCNUM=774396</vt:lpwstr>
      </vt:variant>
      <vt:variant>
        <vt:lpwstr/>
      </vt:variant>
      <vt:variant>
        <vt:i4>5046303</vt:i4>
      </vt:variant>
      <vt:variant>
        <vt:i4>24</vt:i4>
      </vt:variant>
      <vt:variant>
        <vt:i4>0</vt:i4>
      </vt:variant>
      <vt:variant>
        <vt:i4>5</vt:i4>
      </vt:variant>
      <vt:variant>
        <vt:lpwstr>http://idbdocs.iadb.org/wsdocs/getDocument.aspx?DOCNUM=774396</vt:lpwstr>
      </vt:variant>
      <vt:variant>
        <vt:lpwstr/>
      </vt:variant>
      <vt:variant>
        <vt:i4>4522010</vt:i4>
      </vt:variant>
      <vt:variant>
        <vt:i4>21</vt:i4>
      </vt:variant>
      <vt:variant>
        <vt:i4>0</vt:i4>
      </vt:variant>
      <vt:variant>
        <vt:i4>5</vt:i4>
      </vt:variant>
      <vt:variant>
        <vt:lpwstr>http://idbdocs.iadb.org/wsdocs/getDocument.aspx?DOCNUM=410065</vt:lpwstr>
      </vt:variant>
      <vt:variant>
        <vt:lpwstr/>
      </vt:variant>
      <vt:variant>
        <vt:i4>5046303</vt:i4>
      </vt:variant>
      <vt:variant>
        <vt:i4>18</vt:i4>
      </vt:variant>
      <vt:variant>
        <vt:i4>0</vt:i4>
      </vt:variant>
      <vt:variant>
        <vt:i4>5</vt:i4>
      </vt:variant>
      <vt:variant>
        <vt:lpwstr>http://idbdocs.iadb.org/wsdocs/getDocument.aspx?DOCNUM=774399</vt:lpwstr>
      </vt:variant>
      <vt:variant>
        <vt:lpwstr/>
      </vt:variant>
      <vt:variant>
        <vt:i4>5046303</vt:i4>
      </vt:variant>
      <vt:variant>
        <vt:i4>15</vt:i4>
      </vt:variant>
      <vt:variant>
        <vt:i4>0</vt:i4>
      </vt:variant>
      <vt:variant>
        <vt:i4>5</vt:i4>
      </vt:variant>
      <vt:variant>
        <vt:lpwstr>http://idbdocs.iadb.org/wsdocs/getDocument.aspx?DOCNUM=774396</vt:lpwstr>
      </vt:variant>
      <vt:variant>
        <vt:lpwstr/>
      </vt:variant>
      <vt:variant>
        <vt:i4>5046303</vt:i4>
      </vt:variant>
      <vt:variant>
        <vt:i4>12</vt:i4>
      </vt:variant>
      <vt:variant>
        <vt:i4>0</vt:i4>
      </vt:variant>
      <vt:variant>
        <vt:i4>5</vt:i4>
      </vt:variant>
      <vt:variant>
        <vt:lpwstr>http://idbdocs.iadb.org/wsdocs/getDocument.aspx?DOCNUM=774396</vt:lpwstr>
      </vt:variant>
      <vt:variant>
        <vt:lpwstr/>
      </vt:variant>
      <vt:variant>
        <vt:i4>5046303</vt:i4>
      </vt:variant>
      <vt:variant>
        <vt:i4>9</vt:i4>
      </vt:variant>
      <vt:variant>
        <vt:i4>0</vt:i4>
      </vt:variant>
      <vt:variant>
        <vt:i4>5</vt:i4>
      </vt:variant>
      <vt:variant>
        <vt:lpwstr>http://idbdocs.iadb.org/wsdocs/getDocument.aspx?DOCNUM=774396</vt:lpwstr>
      </vt:variant>
      <vt:variant>
        <vt:lpwstr/>
      </vt:variant>
      <vt:variant>
        <vt:i4>5046303</vt:i4>
      </vt:variant>
      <vt:variant>
        <vt:i4>6</vt:i4>
      </vt:variant>
      <vt:variant>
        <vt:i4>0</vt:i4>
      </vt:variant>
      <vt:variant>
        <vt:i4>5</vt:i4>
      </vt:variant>
      <vt:variant>
        <vt:lpwstr>http://idbdocs.iadb.org/wsdocs/getDocument.aspx?DOCNUM=774396</vt:lpwstr>
      </vt:variant>
      <vt:variant>
        <vt:lpwstr/>
      </vt:variant>
      <vt:variant>
        <vt:i4>5046303</vt:i4>
      </vt:variant>
      <vt:variant>
        <vt:i4>3</vt:i4>
      </vt:variant>
      <vt:variant>
        <vt:i4>0</vt:i4>
      </vt:variant>
      <vt:variant>
        <vt:i4>5</vt:i4>
      </vt:variant>
      <vt:variant>
        <vt:lpwstr>http://idbdocs.iadb.org/wsdocs/getDocument.aspx?DOCNUM=774396</vt:lpwstr>
      </vt:variant>
      <vt:variant>
        <vt:lpwstr/>
      </vt:variant>
      <vt:variant>
        <vt:i4>7667759</vt:i4>
      </vt:variant>
      <vt:variant>
        <vt:i4>0</vt:i4>
      </vt:variant>
      <vt:variant>
        <vt:i4>0</vt:i4>
      </vt:variant>
      <vt:variant>
        <vt:i4>5</vt:i4>
      </vt:variant>
      <vt:variant>
        <vt:lpwstr>http://idbdocs.iadb.org/wsdocs/getDocument.aspx?DOCNUM=35119092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2019-10-14T21:01:00Z</dcterms:created>
  <dcterms:modified xsi:type="dcterms:W3CDTF">2019-10-14T21:01:00Z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32;#FISCAL POLICY FOR SUSTAINABILITY AND GROWTH|6e15b5e0-ae82-4b06-920a-eef6dd27cc8b</vt:lpwstr>
  </property>
  <property fmtid="{D5CDD505-2E9C-101B-9397-08002B2CF9AE}" pid="7" name="Fund IDB">
    <vt:lpwstr/>
  </property>
  <property fmtid="{D5CDD505-2E9C-101B-9397-08002B2CF9AE}" pid="8" name="Country">
    <vt:lpwstr>30;#Brazil|7deb27ec-6837-4974-9aa8-6cfbac841ef8</vt:lpwstr>
  </property>
  <property fmtid="{D5CDD505-2E9C-101B-9397-08002B2CF9AE}" pid="9" name="Sector IDB">
    <vt:lpwstr>31;#REFORM / MODERNIZATION OF THE STATE|c8fda4a7-691a-4c65-b227-9825197b5cd2</vt:lpwstr>
  </property>
  <property fmtid="{D5CDD505-2E9C-101B-9397-08002B2CF9AE}" pid="10" name="Function Operations IDB">
    <vt:lpwstr>1;#Project Preparation, Planning and Design|29ca0c72-1fc4-435f-a09c-28585cb5eac9</vt:lpwstr>
  </property>
  <property fmtid="{D5CDD505-2E9C-101B-9397-08002B2CF9AE}" pid="11" name="_dlc_DocIdItemGuid">
    <vt:lpwstr>f6f511d7-48d8-4981-bcc9-d0519ab55135</vt:lpwstr>
  </property>
  <property fmtid="{D5CDD505-2E9C-101B-9397-08002B2CF9AE}" pid="12" name="ContentTypeId">
    <vt:lpwstr>0x0101001A458A224826124E8B45B1D613300CFC00ED24F32017EE444FA49036BBDA886444</vt:lpwstr>
  </property>
</Properties>
</file>