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61387DC4" w14:textId="77777777" w:rsidR="00BA0606" w:rsidRPr="00EB0219" w:rsidRDefault="00BA0606" w:rsidP="00BA0606">
      <w:pPr>
        <w:jc w:val="center"/>
        <w:rPr>
          <w:rFonts w:ascii="Arial" w:hAnsi="Arial" w:cs="Arial"/>
          <w:smallCaps/>
          <w:lang w:val="es-ES_tradnl"/>
        </w:rPr>
      </w:pPr>
      <w:r w:rsidRPr="00EB0219">
        <w:rPr>
          <w:rFonts w:ascii="Arial" w:hAnsi="Arial" w:cs="Arial"/>
          <w:smallCaps/>
          <w:lang w:val="es-ES_tradnl"/>
        </w:rPr>
        <w:t>Documento del Banco Interamericano de Desarrollo</w:t>
      </w:r>
    </w:p>
    <w:p w14:paraId="61387DC5" w14:textId="77777777" w:rsidR="00BA0606" w:rsidRPr="00EB0219" w:rsidRDefault="00BA0606" w:rsidP="00BA0606">
      <w:pPr>
        <w:jc w:val="center"/>
        <w:rPr>
          <w:rFonts w:ascii="Arial" w:hAnsi="Arial" w:cs="Arial"/>
          <w:smallCaps/>
          <w:lang w:val="es-ES_tradnl"/>
        </w:rPr>
      </w:pPr>
    </w:p>
    <w:p w14:paraId="61387DC6" w14:textId="77777777" w:rsidR="00BA0606" w:rsidRPr="00EB0219" w:rsidRDefault="00BA0606" w:rsidP="00BA0606">
      <w:pPr>
        <w:jc w:val="center"/>
        <w:rPr>
          <w:rFonts w:ascii="Arial" w:hAnsi="Arial" w:cs="Arial"/>
          <w:smallCaps/>
          <w:lang w:val="es-ES_tradnl"/>
        </w:rPr>
      </w:pPr>
    </w:p>
    <w:p w14:paraId="61387DC7" w14:textId="77777777" w:rsidR="008820C2" w:rsidRPr="00EB0219" w:rsidRDefault="008820C2" w:rsidP="00BA0606">
      <w:pPr>
        <w:jc w:val="center"/>
        <w:rPr>
          <w:rFonts w:ascii="Arial" w:hAnsi="Arial" w:cs="Arial"/>
          <w:smallCaps/>
          <w:lang w:val="es-ES_tradnl"/>
        </w:rPr>
      </w:pPr>
    </w:p>
    <w:p w14:paraId="61387DC8" w14:textId="77777777" w:rsidR="008820C2" w:rsidRPr="00EB0219" w:rsidRDefault="008820C2" w:rsidP="00BA0606">
      <w:pPr>
        <w:jc w:val="center"/>
        <w:rPr>
          <w:rFonts w:ascii="Arial" w:hAnsi="Arial" w:cs="Arial"/>
          <w:smallCaps/>
          <w:lang w:val="es-ES_tradnl"/>
        </w:rPr>
      </w:pPr>
    </w:p>
    <w:p w14:paraId="61387DC9" w14:textId="77777777" w:rsidR="00BA0606" w:rsidRPr="00EB0219" w:rsidRDefault="00BA0606" w:rsidP="00BA0606">
      <w:pPr>
        <w:jc w:val="center"/>
        <w:rPr>
          <w:rFonts w:ascii="Arial" w:hAnsi="Arial" w:cs="Arial"/>
          <w:smallCaps/>
          <w:lang w:val="es-ES_tradnl"/>
        </w:rPr>
      </w:pPr>
    </w:p>
    <w:p w14:paraId="61387DCA" w14:textId="620E7D2C" w:rsidR="00BA0606" w:rsidRPr="00EB0219" w:rsidRDefault="006D1E33" w:rsidP="00BA0606">
      <w:pPr>
        <w:jc w:val="center"/>
        <w:rPr>
          <w:rFonts w:ascii="Arial" w:hAnsi="Arial" w:cs="Arial"/>
          <w:b/>
          <w:smallCaps/>
          <w:sz w:val="28"/>
          <w:lang w:val="es-ES_tradnl"/>
        </w:rPr>
      </w:pPr>
      <w:r>
        <w:rPr>
          <w:rFonts w:ascii="Arial" w:hAnsi="Arial" w:cs="Arial"/>
          <w:b/>
          <w:smallCaps/>
          <w:sz w:val="28"/>
          <w:lang w:val="es-ES_tradnl"/>
        </w:rPr>
        <w:t>Paraguay</w:t>
      </w:r>
    </w:p>
    <w:p w14:paraId="61387DCB" w14:textId="77777777" w:rsidR="00BA0606" w:rsidRPr="00EB0219" w:rsidRDefault="00BA0606" w:rsidP="00BA0606">
      <w:pPr>
        <w:rPr>
          <w:rFonts w:ascii="Arial" w:hAnsi="Arial" w:cs="Arial"/>
          <w:sz w:val="28"/>
          <w:lang w:val="es-ES_tradnl"/>
        </w:rPr>
      </w:pPr>
    </w:p>
    <w:p w14:paraId="61387DCC" w14:textId="77777777" w:rsidR="00BA0606" w:rsidRPr="00EB0219" w:rsidRDefault="00BA0606" w:rsidP="00BA0606">
      <w:pPr>
        <w:rPr>
          <w:rFonts w:ascii="Arial" w:hAnsi="Arial" w:cs="Arial"/>
          <w:sz w:val="28"/>
          <w:lang w:val="es-ES_tradnl"/>
        </w:rPr>
      </w:pPr>
    </w:p>
    <w:p w14:paraId="61387DCD" w14:textId="243646AA" w:rsidR="00BA0606" w:rsidRPr="00EB0219" w:rsidRDefault="006D1E33" w:rsidP="006D1E33">
      <w:pPr>
        <w:jc w:val="center"/>
        <w:rPr>
          <w:rFonts w:ascii="Arial" w:hAnsi="Arial" w:cs="Arial"/>
          <w:b/>
          <w:smallCaps/>
          <w:sz w:val="28"/>
          <w:lang w:val="es-ES_tradnl"/>
        </w:rPr>
      </w:pPr>
      <w:r w:rsidRPr="006D1E33">
        <w:rPr>
          <w:rFonts w:ascii="Arial" w:hAnsi="Arial" w:cs="Arial"/>
          <w:b/>
          <w:smallCaps/>
          <w:sz w:val="28"/>
          <w:lang w:val="es-ES_tradnl"/>
        </w:rPr>
        <w:t>Paraguay Productivo: Transparencia</w:t>
      </w:r>
      <w:r w:rsidR="00470D5E">
        <w:rPr>
          <w:rFonts w:ascii="Arial" w:hAnsi="Arial" w:cs="Arial"/>
          <w:b/>
          <w:smallCaps/>
          <w:sz w:val="28"/>
          <w:lang w:val="es-ES_tradnl"/>
        </w:rPr>
        <w:t xml:space="preserve"> y </w:t>
      </w:r>
      <w:r w:rsidRPr="006D1E33">
        <w:rPr>
          <w:rFonts w:ascii="Arial" w:hAnsi="Arial" w:cs="Arial"/>
          <w:b/>
          <w:smallCaps/>
          <w:sz w:val="28"/>
          <w:lang w:val="es-ES_tradnl"/>
        </w:rPr>
        <w:t>Financiamiento</w:t>
      </w:r>
    </w:p>
    <w:p w14:paraId="61387DCE" w14:textId="3B2F584B" w:rsidR="00BA0606" w:rsidRPr="00EB0219" w:rsidRDefault="00BA0606" w:rsidP="00BA0606">
      <w:pPr>
        <w:jc w:val="center"/>
        <w:rPr>
          <w:rFonts w:ascii="Arial" w:hAnsi="Arial" w:cs="Arial"/>
          <w:b/>
          <w:smallCaps/>
          <w:lang w:val="es-ES_tradnl"/>
        </w:rPr>
      </w:pPr>
      <w:r w:rsidRPr="00EB0219">
        <w:rPr>
          <w:rFonts w:ascii="Arial" w:hAnsi="Arial" w:cs="Arial"/>
          <w:b/>
          <w:smallCaps/>
          <w:lang w:val="es-ES_tradnl"/>
        </w:rPr>
        <w:t>(</w:t>
      </w:r>
      <w:r w:rsidR="006D1E33">
        <w:rPr>
          <w:rFonts w:ascii="Arial" w:hAnsi="Arial" w:cs="Arial"/>
          <w:b/>
          <w:smallCaps/>
          <w:lang w:val="es-ES_tradnl"/>
        </w:rPr>
        <w:t>PR-L1144</w:t>
      </w:r>
      <w:r w:rsidRPr="00EB0219">
        <w:rPr>
          <w:rFonts w:ascii="Arial" w:hAnsi="Arial" w:cs="Arial"/>
          <w:b/>
          <w:smallCaps/>
          <w:lang w:val="es-ES_tradnl"/>
        </w:rPr>
        <w:t>)</w:t>
      </w:r>
    </w:p>
    <w:p w14:paraId="61387DCF" w14:textId="77777777" w:rsidR="00BA0606" w:rsidRPr="00EB0219" w:rsidRDefault="00BA0606" w:rsidP="00BA0606">
      <w:pPr>
        <w:tabs>
          <w:tab w:val="left" w:pos="1440"/>
          <w:tab w:val="left" w:pos="3060"/>
        </w:tabs>
        <w:rPr>
          <w:rFonts w:ascii="Arial" w:hAnsi="Arial" w:cs="Arial"/>
          <w:smallCaps/>
          <w:lang w:val="es-ES_tradnl"/>
        </w:rPr>
      </w:pPr>
    </w:p>
    <w:p w14:paraId="61387DD0" w14:textId="77777777" w:rsidR="00BA0606" w:rsidRPr="00395F30" w:rsidRDefault="00BA0606" w:rsidP="00BA0606">
      <w:pPr>
        <w:tabs>
          <w:tab w:val="left" w:pos="1440"/>
          <w:tab w:val="left" w:pos="3060"/>
        </w:tabs>
        <w:jc w:val="center"/>
        <w:rPr>
          <w:rFonts w:ascii="Arial" w:hAnsi="Arial" w:cs="Arial"/>
          <w:smallCaps/>
          <w:lang w:val="es-ES_tradnl"/>
        </w:rPr>
      </w:pPr>
    </w:p>
    <w:p w14:paraId="61387DD1" w14:textId="77777777" w:rsidR="00BA0606" w:rsidRPr="00395F30" w:rsidRDefault="00BA0606" w:rsidP="00BA0606">
      <w:pPr>
        <w:tabs>
          <w:tab w:val="left" w:pos="1440"/>
          <w:tab w:val="left" w:pos="3060"/>
        </w:tabs>
        <w:jc w:val="center"/>
        <w:rPr>
          <w:rFonts w:ascii="Arial" w:hAnsi="Arial" w:cs="Arial"/>
          <w:smallCaps/>
          <w:lang w:val="es-ES_tradnl"/>
        </w:rPr>
      </w:pPr>
    </w:p>
    <w:p w14:paraId="61387DD2" w14:textId="77777777" w:rsidR="00BA0606" w:rsidRPr="00395F30" w:rsidRDefault="00BA0606" w:rsidP="00BA0606">
      <w:pPr>
        <w:tabs>
          <w:tab w:val="left" w:pos="1440"/>
          <w:tab w:val="left" w:pos="3060"/>
        </w:tabs>
        <w:jc w:val="center"/>
        <w:outlineLvl w:val="0"/>
        <w:rPr>
          <w:rFonts w:ascii="Arial" w:hAnsi="Arial" w:cs="Arial"/>
          <w:b/>
          <w:smallCaps/>
          <w:sz w:val="24"/>
          <w:lang w:val="es-ES_tradnl"/>
        </w:rPr>
      </w:pPr>
      <w:r w:rsidRPr="00395F30">
        <w:rPr>
          <w:rFonts w:ascii="Arial" w:hAnsi="Arial" w:cs="Arial"/>
          <w:b/>
          <w:smallCaps/>
          <w:sz w:val="24"/>
          <w:lang w:val="es-ES_tradnl"/>
        </w:rPr>
        <w:t>Análisis Económico</w:t>
      </w:r>
    </w:p>
    <w:p w14:paraId="61387DD3" w14:textId="77777777" w:rsidR="00BA0606" w:rsidRPr="00395F30" w:rsidRDefault="00BA0606" w:rsidP="00BA0606">
      <w:pPr>
        <w:tabs>
          <w:tab w:val="left" w:pos="1440"/>
          <w:tab w:val="left" w:pos="3060"/>
        </w:tabs>
        <w:jc w:val="center"/>
        <w:outlineLvl w:val="0"/>
        <w:rPr>
          <w:rFonts w:ascii="Arial" w:hAnsi="Arial" w:cs="Arial"/>
          <w:b/>
          <w:smallCaps/>
          <w:lang w:val="es-ES_tradnl"/>
        </w:rPr>
      </w:pPr>
    </w:p>
    <w:p w14:paraId="61387DD4" w14:textId="77777777" w:rsidR="00BA0606" w:rsidRPr="00395F30" w:rsidRDefault="00BA0606" w:rsidP="00BA0606">
      <w:pPr>
        <w:tabs>
          <w:tab w:val="left" w:pos="1440"/>
          <w:tab w:val="left" w:pos="3060"/>
        </w:tabs>
        <w:jc w:val="center"/>
        <w:outlineLvl w:val="0"/>
        <w:rPr>
          <w:rFonts w:ascii="Arial" w:hAnsi="Arial" w:cs="Arial"/>
          <w:b/>
          <w:smallCaps/>
          <w:lang w:val="es-ES_tradnl"/>
        </w:rPr>
      </w:pPr>
    </w:p>
    <w:p w14:paraId="61387DD5" w14:textId="77777777" w:rsidR="00BA0606" w:rsidRPr="00395F30" w:rsidRDefault="00BA0606" w:rsidP="00BA0606">
      <w:pPr>
        <w:tabs>
          <w:tab w:val="left" w:pos="1440"/>
          <w:tab w:val="left" w:pos="3060"/>
        </w:tabs>
        <w:jc w:val="center"/>
        <w:outlineLvl w:val="0"/>
        <w:rPr>
          <w:rFonts w:ascii="Arial" w:hAnsi="Arial" w:cs="Arial"/>
          <w:b/>
          <w:smallCaps/>
          <w:lang w:val="es-ES_tradnl"/>
        </w:rPr>
      </w:pPr>
    </w:p>
    <w:p w14:paraId="61387DD6" w14:textId="77777777" w:rsidR="00BA0606" w:rsidRPr="00395F30" w:rsidRDefault="00BA0606" w:rsidP="00BA0606">
      <w:pPr>
        <w:tabs>
          <w:tab w:val="left" w:pos="1440"/>
          <w:tab w:val="left" w:pos="3060"/>
        </w:tabs>
        <w:jc w:val="center"/>
        <w:outlineLvl w:val="0"/>
        <w:rPr>
          <w:rFonts w:ascii="Arial" w:hAnsi="Arial" w:cs="Arial"/>
          <w:b/>
          <w:smallCaps/>
          <w:lang w:val="es-ES_tradnl"/>
        </w:rPr>
      </w:pPr>
    </w:p>
    <w:p w14:paraId="61387DD7" w14:textId="77777777" w:rsidR="00BA0606" w:rsidRPr="00395F30" w:rsidRDefault="00BA0606" w:rsidP="00BA0606">
      <w:pPr>
        <w:tabs>
          <w:tab w:val="left" w:pos="1440"/>
          <w:tab w:val="left" w:pos="3060"/>
        </w:tabs>
        <w:jc w:val="center"/>
        <w:outlineLvl w:val="0"/>
        <w:rPr>
          <w:rFonts w:ascii="Arial" w:hAnsi="Arial" w:cs="Arial"/>
          <w:b/>
          <w:smallCaps/>
          <w:lang w:val="es-ES_tradnl"/>
        </w:rPr>
      </w:pPr>
    </w:p>
    <w:p w14:paraId="61387DD8" w14:textId="77777777" w:rsidR="00BA0606" w:rsidRPr="00395F30" w:rsidRDefault="00BA0606" w:rsidP="00BA0606">
      <w:pPr>
        <w:tabs>
          <w:tab w:val="left" w:pos="1440"/>
          <w:tab w:val="left" w:pos="3060"/>
        </w:tabs>
        <w:jc w:val="center"/>
        <w:outlineLvl w:val="0"/>
        <w:rPr>
          <w:rFonts w:ascii="Arial" w:hAnsi="Arial" w:cs="Arial"/>
          <w:b/>
          <w:smallCaps/>
          <w:lang w:val="es-ES_tradnl"/>
        </w:rPr>
      </w:pPr>
    </w:p>
    <w:p w14:paraId="61387DD9" w14:textId="77777777" w:rsidR="00BA0606" w:rsidRPr="00395F30" w:rsidRDefault="00BA0606" w:rsidP="00BA0606">
      <w:pPr>
        <w:tabs>
          <w:tab w:val="left" w:pos="1440"/>
          <w:tab w:val="left" w:pos="3060"/>
        </w:tabs>
        <w:jc w:val="center"/>
        <w:outlineLvl w:val="0"/>
        <w:rPr>
          <w:rFonts w:ascii="Arial" w:hAnsi="Arial" w:cs="Arial"/>
          <w:b/>
          <w:smallCaps/>
          <w:lang w:val="es-ES_tradnl"/>
        </w:rPr>
      </w:pPr>
    </w:p>
    <w:p w14:paraId="61387DDA" w14:textId="061C6F57" w:rsidR="00BA0606" w:rsidRPr="00EB0219" w:rsidRDefault="00BA0606" w:rsidP="00BA0606">
      <w:pPr>
        <w:pBdr>
          <w:top w:val="single" w:sz="4" w:space="10" w:color="auto"/>
          <w:left w:val="single" w:sz="4" w:space="4" w:color="auto"/>
          <w:bottom w:val="single" w:sz="4" w:space="10" w:color="auto"/>
          <w:right w:val="single" w:sz="4" w:space="4" w:color="auto"/>
        </w:pBdr>
        <w:tabs>
          <w:tab w:val="left" w:pos="1440"/>
          <w:tab w:val="left" w:pos="3060"/>
        </w:tabs>
        <w:outlineLvl w:val="0"/>
        <w:rPr>
          <w:rFonts w:ascii="Arial" w:hAnsi="Arial" w:cs="Arial"/>
          <w:sz w:val="20"/>
          <w:lang w:val="es-ES_tradnl"/>
        </w:rPr>
      </w:pPr>
      <w:r w:rsidRPr="00EB0219">
        <w:rPr>
          <w:rFonts w:ascii="Arial" w:hAnsi="Arial" w:cs="Arial"/>
          <w:sz w:val="20"/>
          <w:lang w:val="es-ES_tradnl"/>
        </w:rPr>
        <w:t xml:space="preserve">Este documento fue preparado por </w:t>
      </w:r>
      <w:r w:rsidR="006D1E33">
        <w:rPr>
          <w:rFonts w:ascii="Arial" w:hAnsi="Arial" w:cs="Arial"/>
          <w:sz w:val="20"/>
          <w:lang w:val="es-ES_tradnl"/>
        </w:rPr>
        <w:t>Sebastián Vargas</w:t>
      </w:r>
      <w:r w:rsidRPr="00EB0219">
        <w:rPr>
          <w:rFonts w:ascii="Arial" w:hAnsi="Arial" w:cs="Arial"/>
          <w:sz w:val="20"/>
          <w:lang w:val="es-ES_tradnl"/>
        </w:rPr>
        <w:t xml:space="preserve"> (IFD/CMF).</w:t>
      </w:r>
    </w:p>
    <w:p w14:paraId="61387DDB" w14:textId="77777777" w:rsidR="008820C2" w:rsidRPr="00395F30" w:rsidRDefault="008820C2">
      <w:pPr>
        <w:rPr>
          <w:rFonts w:ascii="Arial" w:hAnsi="Arial" w:cs="Arial"/>
          <w:sz w:val="20"/>
          <w:lang w:val="es-ES_tradnl"/>
        </w:rPr>
        <w:sectPr w:rsidR="008820C2" w:rsidRPr="00395F30" w:rsidSect="008820C2">
          <w:headerReference w:type="default" r:id="rId13"/>
          <w:pgSz w:w="12240" w:h="15840"/>
          <w:pgMar w:top="1440" w:right="1800" w:bottom="1440" w:left="1800" w:header="720" w:footer="720" w:gutter="0"/>
          <w:cols w:space="720"/>
          <w:titlePg/>
          <w:docGrid w:linePitch="360"/>
        </w:sectPr>
      </w:pPr>
    </w:p>
    <w:p w14:paraId="61387DDC" w14:textId="77777777" w:rsidR="004C7EDB" w:rsidRPr="003E7110" w:rsidRDefault="004C7EDB" w:rsidP="004C7EDB">
      <w:pPr>
        <w:pStyle w:val="TOC1"/>
        <w:rPr>
          <w:rFonts w:ascii="Arial" w:hAnsi="Arial" w:cs="Arial"/>
          <w:b/>
        </w:rPr>
      </w:pPr>
      <w:r w:rsidRPr="003E7110">
        <w:rPr>
          <w:rFonts w:ascii="Arial" w:hAnsi="Arial" w:cs="Arial"/>
          <w:b/>
        </w:rPr>
        <w:lastRenderedPageBreak/>
        <w:t>Índice</w:t>
      </w:r>
    </w:p>
    <w:p w14:paraId="61387DDD" w14:textId="77777777" w:rsidR="004C7EDB" w:rsidRPr="00D276AC" w:rsidRDefault="004C7EDB" w:rsidP="004C7EDB">
      <w:pPr>
        <w:rPr>
          <w:rFonts w:ascii="Arial" w:hAnsi="Arial" w:cs="Arial"/>
          <w:highlight w:val="yellow"/>
          <w:lang w:val="es-ES_tradnl"/>
        </w:rPr>
      </w:pPr>
    </w:p>
    <w:p w14:paraId="61387DDE" w14:textId="77777777" w:rsidR="004C7EDB" w:rsidRPr="00D276AC" w:rsidRDefault="004C7EDB" w:rsidP="004C7EDB">
      <w:pPr>
        <w:rPr>
          <w:rFonts w:ascii="Arial" w:hAnsi="Arial" w:cs="Arial"/>
          <w:highlight w:val="yellow"/>
          <w:lang w:val="es-ES_tradnl"/>
        </w:rPr>
      </w:pPr>
    </w:p>
    <w:p w14:paraId="23932F47" w14:textId="3265DFE0" w:rsidR="003E7110" w:rsidRPr="003E7110" w:rsidRDefault="00BA0606">
      <w:pPr>
        <w:pStyle w:val="TOC1"/>
        <w:tabs>
          <w:tab w:val="left" w:pos="880"/>
        </w:tabs>
        <w:rPr>
          <w:rFonts w:eastAsiaTheme="minorEastAsia"/>
          <w:smallCaps w:val="0"/>
          <w:noProof/>
        </w:rPr>
      </w:pPr>
      <w:r w:rsidRPr="00D276AC">
        <w:rPr>
          <w:rFonts w:ascii="Arial" w:hAnsi="Arial" w:cs="Arial"/>
          <w:highlight w:val="yellow"/>
        </w:rPr>
        <w:fldChar w:fldCharType="begin"/>
      </w:r>
      <w:r w:rsidRPr="00D276AC">
        <w:rPr>
          <w:rFonts w:ascii="Arial" w:hAnsi="Arial" w:cs="Arial"/>
          <w:highlight w:val="yellow"/>
        </w:rPr>
        <w:instrText xml:space="preserve"> TOC \f \t "Chapter,1,FirstHeading,2,SecHeading,3" </w:instrText>
      </w:r>
      <w:r w:rsidRPr="00D276AC">
        <w:rPr>
          <w:rFonts w:ascii="Arial" w:hAnsi="Arial" w:cs="Arial"/>
          <w:highlight w:val="yellow"/>
        </w:rPr>
        <w:fldChar w:fldCharType="separate"/>
      </w:r>
      <w:r w:rsidR="003E7110" w:rsidRPr="008556E7">
        <w:rPr>
          <w:rFonts w:ascii="Arial" w:hAnsi="Arial" w:cs="Arial"/>
          <w:noProof/>
        </w:rPr>
        <w:t>I.</w:t>
      </w:r>
      <w:r w:rsidR="003E7110" w:rsidRPr="003E7110">
        <w:rPr>
          <w:rFonts w:eastAsiaTheme="minorEastAsia"/>
          <w:smallCaps w:val="0"/>
          <w:noProof/>
        </w:rPr>
        <w:tab/>
      </w:r>
      <w:r w:rsidR="003E7110" w:rsidRPr="008556E7">
        <w:rPr>
          <w:rFonts w:ascii="Arial" w:hAnsi="Arial" w:cs="Arial"/>
          <w:noProof/>
        </w:rPr>
        <w:t>Introducción</w:t>
      </w:r>
      <w:r w:rsidR="003E7110">
        <w:rPr>
          <w:noProof/>
        </w:rPr>
        <w:tab/>
      </w:r>
      <w:r w:rsidR="003E7110">
        <w:rPr>
          <w:noProof/>
        </w:rPr>
        <w:fldChar w:fldCharType="begin"/>
      </w:r>
      <w:r w:rsidR="003E7110">
        <w:rPr>
          <w:noProof/>
        </w:rPr>
        <w:instrText xml:space="preserve"> PAGEREF _Toc489439259 \h </w:instrText>
      </w:r>
      <w:r w:rsidR="003E7110">
        <w:rPr>
          <w:noProof/>
        </w:rPr>
      </w:r>
      <w:r w:rsidR="003E7110">
        <w:rPr>
          <w:noProof/>
        </w:rPr>
        <w:fldChar w:fldCharType="separate"/>
      </w:r>
      <w:r w:rsidR="004D07BC">
        <w:rPr>
          <w:noProof/>
        </w:rPr>
        <w:t>3</w:t>
      </w:r>
      <w:r w:rsidR="003E7110">
        <w:rPr>
          <w:noProof/>
        </w:rPr>
        <w:fldChar w:fldCharType="end"/>
      </w:r>
    </w:p>
    <w:p w14:paraId="60896ADE" w14:textId="06D20CE6" w:rsidR="003E7110" w:rsidRPr="003E7110" w:rsidRDefault="003E7110">
      <w:pPr>
        <w:pStyle w:val="TOC1"/>
        <w:tabs>
          <w:tab w:val="left" w:pos="880"/>
        </w:tabs>
        <w:rPr>
          <w:rFonts w:eastAsiaTheme="minorEastAsia"/>
          <w:smallCaps w:val="0"/>
          <w:noProof/>
        </w:rPr>
      </w:pPr>
      <w:r w:rsidRPr="008556E7">
        <w:rPr>
          <w:rFonts w:ascii="Arial" w:hAnsi="Arial" w:cs="Arial"/>
          <w:noProof/>
        </w:rPr>
        <w:t>II.</w:t>
      </w:r>
      <w:r w:rsidRPr="003E7110">
        <w:rPr>
          <w:rFonts w:eastAsiaTheme="minorEastAsia"/>
          <w:smallCaps w:val="0"/>
          <w:noProof/>
        </w:rPr>
        <w:tab/>
      </w:r>
      <w:r w:rsidRPr="008556E7">
        <w:rPr>
          <w:rFonts w:ascii="Arial" w:hAnsi="Arial" w:cs="Arial"/>
          <w:noProof/>
        </w:rPr>
        <w:t>Metodología</w:t>
      </w:r>
      <w:r>
        <w:rPr>
          <w:noProof/>
        </w:rPr>
        <w:tab/>
      </w:r>
      <w:r>
        <w:rPr>
          <w:noProof/>
        </w:rPr>
        <w:fldChar w:fldCharType="begin"/>
      </w:r>
      <w:r>
        <w:rPr>
          <w:noProof/>
        </w:rPr>
        <w:instrText xml:space="preserve"> PAGEREF _Toc489439260 \h </w:instrText>
      </w:r>
      <w:r>
        <w:rPr>
          <w:noProof/>
        </w:rPr>
      </w:r>
      <w:r>
        <w:rPr>
          <w:noProof/>
        </w:rPr>
        <w:fldChar w:fldCharType="separate"/>
      </w:r>
      <w:r w:rsidR="004D07BC">
        <w:rPr>
          <w:noProof/>
        </w:rPr>
        <w:t>7</w:t>
      </w:r>
      <w:r>
        <w:rPr>
          <w:noProof/>
        </w:rPr>
        <w:fldChar w:fldCharType="end"/>
      </w:r>
    </w:p>
    <w:p w14:paraId="12D5A9B5" w14:textId="5D5FCF51" w:rsidR="003E7110" w:rsidRPr="003E7110" w:rsidRDefault="003E7110">
      <w:pPr>
        <w:pStyle w:val="TOC1"/>
        <w:tabs>
          <w:tab w:val="left" w:pos="880"/>
        </w:tabs>
        <w:rPr>
          <w:rFonts w:eastAsiaTheme="minorEastAsia"/>
          <w:smallCaps w:val="0"/>
          <w:noProof/>
        </w:rPr>
      </w:pPr>
      <w:r w:rsidRPr="008556E7">
        <w:rPr>
          <w:rFonts w:ascii="Arial" w:hAnsi="Arial" w:cs="Arial"/>
          <w:noProof/>
        </w:rPr>
        <w:t>III.</w:t>
      </w:r>
      <w:r w:rsidRPr="003E7110">
        <w:rPr>
          <w:rFonts w:eastAsiaTheme="minorEastAsia"/>
          <w:smallCaps w:val="0"/>
          <w:noProof/>
        </w:rPr>
        <w:tab/>
      </w:r>
      <w:r w:rsidRPr="008556E7">
        <w:rPr>
          <w:rFonts w:ascii="Arial" w:hAnsi="Arial" w:cs="Arial"/>
          <w:noProof/>
        </w:rPr>
        <w:t>Valoración Beneficios y Costos</w:t>
      </w:r>
      <w:r>
        <w:rPr>
          <w:noProof/>
        </w:rPr>
        <w:tab/>
      </w:r>
      <w:r>
        <w:rPr>
          <w:noProof/>
        </w:rPr>
        <w:fldChar w:fldCharType="begin"/>
      </w:r>
      <w:r>
        <w:rPr>
          <w:noProof/>
        </w:rPr>
        <w:instrText xml:space="preserve"> PAGEREF _Toc489439261 \h </w:instrText>
      </w:r>
      <w:r>
        <w:rPr>
          <w:noProof/>
        </w:rPr>
      </w:r>
      <w:r>
        <w:rPr>
          <w:noProof/>
        </w:rPr>
        <w:fldChar w:fldCharType="separate"/>
      </w:r>
      <w:r w:rsidR="004D07BC">
        <w:rPr>
          <w:noProof/>
        </w:rPr>
        <w:t>16</w:t>
      </w:r>
      <w:r>
        <w:rPr>
          <w:noProof/>
        </w:rPr>
        <w:fldChar w:fldCharType="end"/>
      </w:r>
    </w:p>
    <w:p w14:paraId="29DC3D2D" w14:textId="2A37BF2A" w:rsidR="003E7110" w:rsidRPr="003E7110" w:rsidRDefault="003E7110">
      <w:pPr>
        <w:pStyle w:val="TOC1"/>
        <w:tabs>
          <w:tab w:val="left" w:pos="880"/>
        </w:tabs>
        <w:rPr>
          <w:rFonts w:eastAsiaTheme="minorEastAsia"/>
          <w:smallCaps w:val="0"/>
          <w:noProof/>
        </w:rPr>
      </w:pPr>
      <w:r w:rsidRPr="008556E7">
        <w:rPr>
          <w:rFonts w:ascii="Arial" w:hAnsi="Arial" w:cs="Arial"/>
          <w:noProof/>
        </w:rPr>
        <w:t>IV.</w:t>
      </w:r>
      <w:r w:rsidRPr="003E7110">
        <w:rPr>
          <w:rFonts w:eastAsiaTheme="minorEastAsia"/>
          <w:smallCaps w:val="0"/>
          <w:noProof/>
        </w:rPr>
        <w:tab/>
      </w:r>
      <w:r w:rsidRPr="008556E7">
        <w:rPr>
          <w:rFonts w:ascii="Arial" w:hAnsi="Arial" w:cs="Arial"/>
          <w:noProof/>
        </w:rPr>
        <w:t>Análisis de Sensibilidad</w:t>
      </w:r>
      <w:r>
        <w:rPr>
          <w:noProof/>
        </w:rPr>
        <w:tab/>
      </w:r>
      <w:r>
        <w:rPr>
          <w:noProof/>
        </w:rPr>
        <w:fldChar w:fldCharType="begin"/>
      </w:r>
      <w:r>
        <w:rPr>
          <w:noProof/>
        </w:rPr>
        <w:instrText xml:space="preserve"> PAGEREF _Toc489439262 \h </w:instrText>
      </w:r>
      <w:r>
        <w:rPr>
          <w:noProof/>
        </w:rPr>
      </w:r>
      <w:r>
        <w:rPr>
          <w:noProof/>
        </w:rPr>
        <w:fldChar w:fldCharType="separate"/>
      </w:r>
      <w:r w:rsidR="004D07BC">
        <w:rPr>
          <w:noProof/>
        </w:rPr>
        <w:t>20</w:t>
      </w:r>
      <w:r>
        <w:rPr>
          <w:noProof/>
        </w:rPr>
        <w:fldChar w:fldCharType="end"/>
      </w:r>
    </w:p>
    <w:p w14:paraId="0123B893" w14:textId="14205D3A" w:rsidR="003E7110" w:rsidRPr="003E7110" w:rsidRDefault="003E7110">
      <w:pPr>
        <w:pStyle w:val="TOC1"/>
        <w:tabs>
          <w:tab w:val="left" w:pos="880"/>
        </w:tabs>
        <w:rPr>
          <w:rFonts w:eastAsiaTheme="minorEastAsia"/>
          <w:smallCaps w:val="0"/>
          <w:noProof/>
        </w:rPr>
      </w:pPr>
      <w:r w:rsidRPr="008556E7">
        <w:rPr>
          <w:rFonts w:ascii="Arial" w:hAnsi="Arial" w:cs="Arial"/>
          <w:noProof/>
        </w:rPr>
        <w:t>V.</w:t>
      </w:r>
      <w:r w:rsidRPr="003E7110">
        <w:rPr>
          <w:rFonts w:eastAsiaTheme="minorEastAsia"/>
          <w:smallCaps w:val="0"/>
          <w:noProof/>
        </w:rPr>
        <w:tab/>
      </w:r>
      <w:r w:rsidRPr="008556E7">
        <w:rPr>
          <w:rFonts w:ascii="Arial" w:hAnsi="Arial" w:cs="Arial"/>
          <w:noProof/>
        </w:rPr>
        <w:t>Conclusión y recomendación</w:t>
      </w:r>
      <w:r>
        <w:rPr>
          <w:noProof/>
        </w:rPr>
        <w:tab/>
      </w:r>
      <w:r>
        <w:rPr>
          <w:noProof/>
        </w:rPr>
        <w:fldChar w:fldCharType="begin"/>
      </w:r>
      <w:r>
        <w:rPr>
          <w:noProof/>
        </w:rPr>
        <w:instrText xml:space="preserve"> PAGEREF _Toc489439263 \h </w:instrText>
      </w:r>
      <w:r>
        <w:rPr>
          <w:noProof/>
        </w:rPr>
      </w:r>
      <w:r>
        <w:rPr>
          <w:noProof/>
        </w:rPr>
        <w:fldChar w:fldCharType="separate"/>
      </w:r>
      <w:r w:rsidR="004D07BC">
        <w:rPr>
          <w:noProof/>
        </w:rPr>
        <w:t>23</w:t>
      </w:r>
      <w:r>
        <w:rPr>
          <w:noProof/>
        </w:rPr>
        <w:fldChar w:fldCharType="end"/>
      </w:r>
    </w:p>
    <w:p w14:paraId="61387DE4" w14:textId="460AB373" w:rsidR="008820C2" w:rsidRPr="00D276AC" w:rsidRDefault="00BA0606" w:rsidP="00E31E6F">
      <w:pPr>
        <w:tabs>
          <w:tab w:val="right" w:leader="dot" w:pos="8640"/>
        </w:tabs>
        <w:rPr>
          <w:rFonts w:ascii="Arial" w:hAnsi="Arial" w:cs="Arial"/>
          <w:highlight w:val="yellow"/>
          <w:lang w:val="es-ES_tradnl"/>
        </w:rPr>
        <w:sectPr w:rsidR="008820C2" w:rsidRPr="00D276AC" w:rsidSect="008820C2">
          <w:pgSz w:w="12240" w:h="15840"/>
          <w:pgMar w:top="1440" w:right="1800" w:bottom="1440" w:left="1800" w:header="720" w:footer="720" w:gutter="0"/>
          <w:cols w:space="720"/>
          <w:titlePg/>
          <w:docGrid w:linePitch="360"/>
        </w:sectPr>
      </w:pPr>
      <w:r w:rsidRPr="00D276AC">
        <w:rPr>
          <w:rFonts w:ascii="Arial" w:hAnsi="Arial" w:cs="Arial"/>
          <w:highlight w:val="yellow"/>
          <w:lang w:val="es-ES_tradnl"/>
        </w:rPr>
        <w:fldChar w:fldCharType="end"/>
      </w:r>
    </w:p>
    <w:p w14:paraId="61387DE5" w14:textId="77777777" w:rsidR="00BA0606" w:rsidRPr="00D276AC" w:rsidRDefault="00BA0606">
      <w:pPr>
        <w:rPr>
          <w:rFonts w:ascii="Arial" w:hAnsi="Arial" w:cs="Arial"/>
          <w:highlight w:val="yellow"/>
          <w:lang w:val="es-ES_tradnl"/>
        </w:rPr>
      </w:pPr>
    </w:p>
    <w:p w14:paraId="61387DE6" w14:textId="77777777" w:rsidR="00BA0606" w:rsidRPr="00D276AC" w:rsidRDefault="00BA0606" w:rsidP="00BA0606">
      <w:pPr>
        <w:rPr>
          <w:rFonts w:ascii="Arial" w:hAnsi="Arial" w:cs="Arial"/>
          <w:highlight w:val="yellow"/>
          <w:lang w:val="es-ES_tradnl"/>
        </w:rPr>
        <w:sectPr w:rsidR="00BA0606" w:rsidRPr="00D276AC" w:rsidSect="008820C2">
          <w:pgSz w:w="12240" w:h="15840"/>
          <w:pgMar w:top="1440" w:right="1800" w:bottom="1440" w:left="1800" w:header="720" w:footer="720" w:gutter="0"/>
          <w:cols w:space="720"/>
          <w:titlePg/>
          <w:docGrid w:linePitch="360"/>
        </w:sectPr>
      </w:pPr>
    </w:p>
    <w:p w14:paraId="61387DE7" w14:textId="2A1638D7" w:rsidR="00B7120A" w:rsidRPr="006C74CC" w:rsidRDefault="00B7120A" w:rsidP="008820C2">
      <w:pPr>
        <w:pStyle w:val="Chapter"/>
        <w:spacing w:before="0"/>
        <w:rPr>
          <w:rFonts w:ascii="Arial" w:hAnsi="Arial" w:cs="Arial"/>
          <w:lang w:val="es-ES_tradnl"/>
        </w:rPr>
      </w:pPr>
      <w:bookmarkStart w:id="0" w:name="_Toc489439259"/>
      <w:bookmarkStart w:id="1" w:name="_Toc415142609"/>
      <w:r w:rsidRPr="006C74CC">
        <w:rPr>
          <w:rFonts w:ascii="Arial" w:hAnsi="Arial" w:cs="Arial"/>
          <w:lang w:val="es-ES_tradnl"/>
        </w:rPr>
        <w:t>Introducción</w:t>
      </w:r>
      <w:bookmarkEnd w:id="0"/>
      <w:r w:rsidRPr="006C74CC">
        <w:rPr>
          <w:rFonts w:ascii="Arial" w:hAnsi="Arial" w:cs="Arial"/>
          <w:lang w:val="es-ES_tradnl"/>
        </w:rPr>
        <w:t xml:space="preserve"> </w:t>
      </w:r>
      <w:bookmarkEnd w:id="1"/>
    </w:p>
    <w:p w14:paraId="61387DE8" w14:textId="2F993627" w:rsidR="00A71986" w:rsidRPr="00160FD0" w:rsidRDefault="00AA6984" w:rsidP="00A71986">
      <w:pPr>
        <w:pStyle w:val="Paragraph"/>
        <w:tabs>
          <w:tab w:val="clear" w:pos="2448"/>
          <w:tab w:val="num" w:pos="720"/>
        </w:tabs>
        <w:ind w:left="720" w:hanging="720"/>
        <w:rPr>
          <w:rFonts w:ascii="Arial" w:hAnsi="Arial" w:cs="Arial"/>
          <w:sz w:val="22"/>
          <w:lang w:val="es-ES_tradnl"/>
        </w:rPr>
      </w:pPr>
      <w:r>
        <w:rPr>
          <w:rFonts w:ascii="Arial" w:hAnsi="Arial" w:cs="Arial"/>
          <w:b/>
          <w:sz w:val="22"/>
          <w:lang w:val="es-ES_tradnl"/>
        </w:rPr>
        <w:t>La operación</w:t>
      </w:r>
      <w:r w:rsidR="00C16E9E" w:rsidRPr="00160FD0">
        <w:rPr>
          <w:rFonts w:ascii="Arial" w:hAnsi="Arial" w:cs="Arial"/>
          <w:sz w:val="22"/>
          <w:lang w:val="es-ES_tradnl"/>
        </w:rPr>
        <w:t xml:space="preserve">. </w:t>
      </w:r>
      <w:r w:rsidR="00A71986" w:rsidRPr="00160FD0">
        <w:rPr>
          <w:rFonts w:ascii="Arial" w:hAnsi="Arial" w:cs="Arial"/>
          <w:sz w:val="22"/>
          <w:lang w:val="es-ES_tradnl"/>
        </w:rPr>
        <w:t xml:space="preserve">El presente análisis económico corresponde a la </w:t>
      </w:r>
      <w:r w:rsidR="00BE5FEF" w:rsidRPr="00160FD0">
        <w:rPr>
          <w:rFonts w:ascii="Arial" w:hAnsi="Arial" w:cs="Arial"/>
          <w:sz w:val="22"/>
          <w:lang w:val="es-ES_tradnl"/>
        </w:rPr>
        <w:t xml:space="preserve">operación Paraguay Productivo: Transparencia y Financiamiento (PR-1144), bajo la modalidad de </w:t>
      </w:r>
      <w:r w:rsidR="00160FD0" w:rsidRPr="00160FD0">
        <w:rPr>
          <w:rFonts w:ascii="Arial" w:hAnsi="Arial" w:cs="Arial"/>
          <w:sz w:val="22"/>
          <w:lang w:val="es-ES_tradnl"/>
        </w:rPr>
        <w:t xml:space="preserve">préstamo basado en políticas (PBL). </w:t>
      </w:r>
      <w:r w:rsidR="00160FD0">
        <w:rPr>
          <w:rFonts w:ascii="Arial" w:hAnsi="Arial" w:cs="Arial"/>
          <w:sz w:val="22"/>
          <w:lang w:val="es-ES_tradnl"/>
        </w:rPr>
        <w:t xml:space="preserve"> Esta será planteada bajo </w:t>
      </w:r>
      <w:r>
        <w:rPr>
          <w:rFonts w:ascii="Arial" w:hAnsi="Arial" w:cs="Arial"/>
          <w:sz w:val="22"/>
          <w:lang w:val="es-ES_tradnl"/>
        </w:rPr>
        <w:t>la modalidad</w:t>
      </w:r>
      <w:r w:rsidR="00160FD0" w:rsidRPr="00B5570E">
        <w:rPr>
          <w:rFonts w:ascii="Arial" w:hAnsi="Arial" w:cs="Arial"/>
          <w:sz w:val="22"/>
          <w:lang w:val="es-ES_tradnl"/>
        </w:rPr>
        <w:t xml:space="preserve"> </w:t>
      </w:r>
      <w:proofErr w:type="spellStart"/>
      <w:r w:rsidR="00160FD0" w:rsidRPr="00B5570E">
        <w:rPr>
          <w:rFonts w:ascii="Arial" w:hAnsi="Arial" w:cs="Arial"/>
          <w:sz w:val="22"/>
          <w:lang w:val="es-ES_tradnl"/>
        </w:rPr>
        <w:t>multi-tranche</w:t>
      </w:r>
      <w:proofErr w:type="spellEnd"/>
      <w:r w:rsidR="00160FD0" w:rsidRPr="00B5570E">
        <w:rPr>
          <w:rFonts w:ascii="Arial" w:hAnsi="Arial" w:cs="Arial"/>
          <w:sz w:val="22"/>
          <w:lang w:val="es-ES_tradnl"/>
        </w:rPr>
        <w:t xml:space="preserve">, </w:t>
      </w:r>
      <w:r w:rsidR="00160FD0">
        <w:rPr>
          <w:rFonts w:ascii="Arial" w:hAnsi="Arial" w:cs="Arial"/>
          <w:sz w:val="22"/>
          <w:lang w:val="es-ES_tradnl"/>
        </w:rPr>
        <w:t xml:space="preserve">que consiste en </w:t>
      </w:r>
      <w:r w:rsidR="00160FD0" w:rsidRPr="00B5570E">
        <w:rPr>
          <w:rFonts w:ascii="Arial" w:hAnsi="Arial" w:cs="Arial"/>
          <w:sz w:val="22"/>
          <w:lang w:val="es-ES_tradnl"/>
        </w:rPr>
        <w:t xml:space="preserve">una </w:t>
      </w:r>
      <w:r w:rsidR="00160FD0">
        <w:rPr>
          <w:rFonts w:ascii="Arial" w:hAnsi="Arial" w:cs="Arial"/>
          <w:sz w:val="22"/>
          <w:lang w:val="es-ES_tradnl"/>
        </w:rPr>
        <w:t xml:space="preserve">sola </w:t>
      </w:r>
      <w:r w:rsidR="00160FD0" w:rsidRPr="00B5570E">
        <w:rPr>
          <w:rFonts w:ascii="Arial" w:hAnsi="Arial" w:cs="Arial"/>
          <w:sz w:val="22"/>
          <w:lang w:val="es-ES_tradnl"/>
        </w:rPr>
        <w:t xml:space="preserve">operación de dos tramos, </w:t>
      </w:r>
      <w:r w:rsidR="00160FD0" w:rsidRPr="00160FD0">
        <w:rPr>
          <w:rFonts w:ascii="Arial" w:hAnsi="Arial" w:cs="Arial"/>
          <w:sz w:val="22"/>
          <w:lang w:val="es-ES_tradnl"/>
        </w:rPr>
        <w:t>siguiendo las Guías de los Préstamos de Reforma de Políticas (CS-3633-1).</w:t>
      </w:r>
    </w:p>
    <w:p w14:paraId="61387DE9" w14:textId="493A23DB" w:rsidR="00067CB0" w:rsidRPr="00160FD0" w:rsidRDefault="00067CB0" w:rsidP="00A71986">
      <w:pPr>
        <w:pStyle w:val="Paragraph"/>
        <w:tabs>
          <w:tab w:val="clear" w:pos="2448"/>
          <w:tab w:val="num" w:pos="720"/>
        </w:tabs>
        <w:ind w:left="720" w:hanging="720"/>
        <w:rPr>
          <w:rFonts w:ascii="Arial" w:hAnsi="Arial" w:cs="Arial"/>
          <w:sz w:val="22"/>
          <w:lang w:val="es-ES_tradnl"/>
        </w:rPr>
      </w:pPr>
      <w:r w:rsidRPr="00160FD0">
        <w:rPr>
          <w:rFonts w:ascii="Arial" w:hAnsi="Arial" w:cs="Arial"/>
          <w:b/>
          <w:sz w:val="22"/>
          <w:lang w:val="es-ES_tradnl"/>
        </w:rPr>
        <w:t>Marco conceptual</w:t>
      </w:r>
      <w:r w:rsidRPr="00160FD0">
        <w:rPr>
          <w:rFonts w:ascii="Arial" w:hAnsi="Arial" w:cs="Arial"/>
          <w:sz w:val="22"/>
          <w:lang w:val="es-ES_tradnl"/>
        </w:rPr>
        <w:t xml:space="preserve">. </w:t>
      </w:r>
      <w:r w:rsidR="00160FD0" w:rsidRPr="00160FD0">
        <w:rPr>
          <w:rFonts w:ascii="Arial" w:hAnsi="Arial" w:cs="Arial"/>
          <w:sz w:val="22"/>
          <w:lang w:val="es-ES_tradnl"/>
        </w:rPr>
        <w:t>La operación tiene como objetivo mejorar la productividad de la economía paraguaya, a través de: (i) fortalecer la transparencia; (ii) mejorar el funcionamiento del sistema financiero; y (iii) mejorar el marco legal e institucional del financiamiento a largo plazo.</w:t>
      </w:r>
    </w:p>
    <w:p w14:paraId="567E5416" w14:textId="35FFA3A6" w:rsidR="00160FD0" w:rsidRPr="00160FD0" w:rsidRDefault="00160FD0" w:rsidP="00A71986">
      <w:pPr>
        <w:pStyle w:val="Paragraph"/>
        <w:tabs>
          <w:tab w:val="clear" w:pos="2448"/>
          <w:tab w:val="num" w:pos="720"/>
        </w:tabs>
        <w:ind w:left="720" w:hanging="720"/>
        <w:rPr>
          <w:rFonts w:ascii="Arial" w:hAnsi="Arial" w:cs="Arial"/>
          <w:sz w:val="22"/>
          <w:lang w:val="es-ES_tradnl"/>
        </w:rPr>
      </w:pPr>
      <w:r w:rsidRPr="00160FD0">
        <w:rPr>
          <w:rFonts w:ascii="Arial" w:hAnsi="Arial" w:cs="Arial"/>
          <w:sz w:val="22"/>
          <w:lang w:val="es-ES_tradnl"/>
        </w:rPr>
        <w:t>Las reformas del programa son de carácter transversal y están dirigidas a superar las restricciones regulatorias y financieras que obstaculizan la transparencia, el adecuado funcionamiento del sistema financiero y el desarrollo del marco institucional para el financiamiento a largo plazo, con su respectiva contribución al incremento de la productividad de la economía paraguaya. Dado este objetivo, y el carácter amplio de las reformas, se espera que este programa beneficie al conjunto de actores de la economía.</w:t>
      </w:r>
    </w:p>
    <w:p w14:paraId="61387DEB" w14:textId="30ACE353" w:rsidR="00593B98" w:rsidRPr="00B36857" w:rsidRDefault="00593B98" w:rsidP="004B532F">
      <w:pPr>
        <w:pStyle w:val="subpar"/>
        <w:tabs>
          <w:tab w:val="clear" w:pos="2304"/>
          <w:tab w:val="num" w:pos="1152"/>
        </w:tabs>
        <w:ind w:left="1152"/>
        <w:rPr>
          <w:rFonts w:ascii="Arial" w:hAnsi="Arial" w:cs="Arial"/>
          <w:sz w:val="22"/>
          <w:szCs w:val="22"/>
          <w:lang w:val="es-ES_tradnl"/>
        </w:rPr>
      </w:pPr>
      <w:r w:rsidRPr="00B36857">
        <w:rPr>
          <w:rFonts w:ascii="Arial" w:hAnsi="Arial" w:cs="Arial"/>
          <w:sz w:val="22"/>
          <w:szCs w:val="22"/>
          <w:lang w:val="es-ES_tradnl"/>
        </w:rPr>
        <w:t>Las políticas apoyadas se agrupa</w:t>
      </w:r>
      <w:r w:rsidR="00160FD0">
        <w:rPr>
          <w:rFonts w:ascii="Arial" w:hAnsi="Arial" w:cs="Arial"/>
          <w:sz w:val="22"/>
          <w:szCs w:val="22"/>
          <w:lang w:val="es-ES_tradnl"/>
        </w:rPr>
        <w:t>n</w:t>
      </w:r>
      <w:r w:rsidR="00D276AC" w:rsidRPr="00B36857">
        <w:rPr>
          <w:rFonts w:ascii="Arial" w:hAnsi="Arial" w:cs="Arial"/>
          <w:sz w:val="22"/>
          <w:szCs w:val="22"/>
          <w:lang w:val="es-ES_tradnl"/>
        </w:rPr>
        <w:t xml:space="preserve"> en </w:t>
      </w:r>
      <w:r w:rsidR="00B36857" w:rsidRPr="00B36857">
        <w:rPr>
          <w:rFonts w:ascii="Arial" w:hAnsi="Arial" w:cs="Arial"/>
          <w:sz w:val="22"/>
          <w:szCs w:val="22"/>
          <w:lang w:val="es-ES_tradnl"/>
        </w:rPr>
        <w:t>cuatro</w:t>
      </w:r>
      <w:r w:rsidRPr="00B36857">
        <w:rPr>
          <w:rFonts w:ascii="Arial" w:hAnsi="Arial" w:cs="Arial"/>
          <w:sz w:val="22"/>
          <w:szCs w:val="22"/>
          <w:lang w:val="es-ES_tradnl"/>
        </w:rPr>
        <w:t xml:space="preserve"> grupos, de los cuales el primero es un componente marco, y los </w:t>
      </w:r>
      <w:r w:rsidR="004B532F" w:rsidRPr="00B36857">
        <w:rPr>
          <w:rFonts w:ascii="Arial" w:hAnsi="Arial" w:cs="Arial"/>
          <w:sz w:val="22"/>
          <w:szCs w:val="22"/>
          <w:lang w:val="es-ES_tradnl"/>
        </w:rPr>
        <w:t xml:space="preserve">restantes </w:t>
      </w:r>
      <w:r w:rsidR="00160FD0">
        <w:rPr>
          <w:rFonts w:ascii="Arial" w:hAnsi="Arial" w:cs="Arial"/>
          <w:sz w:val="22"/>
          <w:szCs w:val="22"/>
          <w:lang w:val="es-ES_tradnl"/>
        </w:rPr>
        <w:t>contienen</w:t>
      </w:r>
      <w:r w:rsidR="004B532F" w:rsidRPr="00B36857">
        <w:rPr>
          <w:rFonts w:ascii="Arial" w:hAnsi="Arial" w:cs="Arial"/>
          <w:sz w:val="22"/>
          <w:szCs w:val="22"/>
          <w:lang w:val="es-ES_tradnl"/>
        </w:rPr>
        <w:t xml:space="preserve"> las medidas que dan curso a las reformas:</w:t>
      </w:r>
    </w:p>
    <w:p w14:paraId="61387DEC" w14:textId="77777777" w:rsidR="00593B98" w:rsidRPr="00B36857" w:rsidRDefault="00593B98" w:rsidP="004A7C38">
      <w:pPr>
        <w:pStyle w:val="SubSubPar"/>
        <w:numPr>
          <w:ilvl w:val="3"/>
          <w:numId w:val="4"/>
        </w:numPr>
        <w:rPr>
          <w:rFonts w:ascii="Arial" w:hAnsi="Arial" w:cs="Arial"/>
          <w:sz w:val="22"/>
          <w:szCs w:val="22"/>
          <w:lang w:val="es-ES_tradnl"/>
        </w:rPr>
      </w:pPr>
      <w:r w:rsidRPr="00B36857">
        <w:rPr>
          <w:rFonts w:ascii="Arial" w:hAnsi="Arial" w:cs="Arial"/>
          <w:sz w:val="22"/>
          <w:szCs w:val="22"/>
          <w:lang w:val="es-ES_tradnl"/>
        </w:rPr>
        <w:t xml:space="preserve">Componente I: Estabilidad macroeconómica </w:t>
      </w:r>
    </w:p>
    <w:p w14:paraId="61387DED" w14:textId="3F9EBC74" w:rsidR="00593B98" w:rsidRPr="00B36857" w:rsidRDefault="00593B98" w:rsidP="004A7C38">
      <w:pPr>
        <w:pStyle w:val="SubSubPar"/>
        <w:numPr>
          <w:ilvl w:val="3"/>
          <w:numId w:val="4"/>
        </w:numPr>
        <w:rPr>
          <w:rFonts w:ascii="Arial" w:hAnsi="Arial" w:cs="Arial"/>
          <w:sz w:val="22"/>
          <w:szCs w:val="22"/>
          <w:lang w:val="es-ES_tradnl"/>
        </w:rPr>
      </w:pPr>
      <w:r w:rsidRPr="00B36857">
        <w:rPr>
          <w:rFonts w:ascii="Arial" w:hAnsi="Arial" w:cs="Arial"/>
          <w:sz w:val="22"/>
          <w:szCs w:val="22"/>
          <w:lang w:val="es-ES_tradnl"/>
        </w:rPr>
        <w:t xml:space="preserve">Componente II: </w:t>
      </w:r>
      <w:r w:rsidR="00D276AC" w:rsidRPr="00B36857">
        <w:rPr>
          <w:rFonts w:ascii="Arial" w:hAnsi="Arial" w:cs="Arial"/>
          <w:sz w:val="22"/>
          <w:szCs w:val="22"/>
          <w:lang w:val="es-ES_tradnl"/>
        </w:rPr>
        <w:t>Fortalecimiento de la Transparencia</w:t>
      </w:r>
    </w:p>
    <w:p w14:paraId="61387DEE" w14:textId="2E2B3A43" w:rsidR="00593B98" w:rsidRPr="00B36857" w:rsidRDefault="00593B98" w:rsidP="004A7C38">
      <w:pPr>
        <w:pStyle w:val="SubSubPar"/>
        <w:numPr>
          <w:ilvl w:val="3"/>
          <w:numId w:val="4"/>
        </w:numPr>
        <w:rPr>
          <w:rFonts w:ascii="Arial" w:hAnsi="Arial" w:cs="Arial"/>
          <w:sz w:val="22"/>
          <w:szCs w:val="22"/>
          <w:lang w:val="es-ES_tradnl"/>
        </w:rPr>
      </w:pPr>
      <w:r w:rsidRPr="00B36857">
        <w:rPr>
          <w:rFonts w:ascii="Arial" w:hAnsi="Arial" w:cs="Arial"/>
          <w:sz w:val="22"/>
          <w:szCs w:val="22"/>
          <w:lang w:val="es-ES_tradnl"/>
        </w:rPr>
        <w:t>Componente III: Mejora de</w:t>
      </w:r>
      <w:r w:rsidR="00D276AC" w:rsidRPr="00B36857">
        <w:rPr>
          <w:rFonts w:ascii="Arial" w:hAnsi="Arial" w:cs="Arial"/>
          <w:sz w:val="22"/>
          <w:szCs w:val="22"/>
          <w:lang w:val="es-ES_tradnl"/>
        </w:rPr>
        <w:t xml:space="preserve">l funcionamiento </w:t>
      </w:r>
      <w:r w:rsidRPr="00B36857">
        <w:rPr>
          <w:rFonts w:ascii="Arial" w:hAnsi="Arial" w:cs="Arial"/>
          <w:sz w:val="22"/>
          <w:szCs w:val="22"/>
          <w:lang w:val="es-ES_tradnl"/>
        </w:rPr>
        <w:t>del sistema financiero</w:t>
      </w:r>
    </w:p>
    <w:p w14:paraId="2F5B47AB" w14:textId="1AE7147C" w:rsidR="00D276AC" w:rsidRPr="00B36857" w:rsidRDefault="00593B98" w:rsidP="00B36857">
      <w:pPr>
        <w:pStyle w:val="SubSubPar"/>
        <w:numPr>
          <w:ilvl w:val="3"/>
          <w:numId w:val="4"/>
        </w:numPr>
        <w:rPr>
          <w:rFonts w:ascii="Arial" w:hAnsi="Arial" w:cs="Arial"/>
          <w:sz w:val="22"/>
          <w:szCs w:val="22"/>
          <w:lang w:val="es-ES_tradnl"/>
        </w:rPr>
      </w:pPr>
      <w:r w:rsidRPr="00B36857">
        <w:rPr>
          <w:rFonts w:ascii="Arial" w:hAnsi="Arial" w:cs="Arial"/>
          <w:sz w:val="22"/>
          <w:szCs w:val="22"/>
          <w:lang w:val="es-ES_tradnl"/>
        </w:rPr>
        <w:t xml:space="preserve">Componente IV: </w:t>
      </w:r>
      <w:r w:rsidR="00B36857" w:rsidRPr="00B36857">
        <w:rPr>
          <w:rFonts w:ascii="Arial" w:hAnsi="Arial" w:cs="Arial"/>
          <w:sz w:val="22"/>
          <w:szCs w:val="22"/>
          <w:lang w:val="es-ES_tradnl"/>
        </w:rPr>
        <w:t>Mejora del marco legal e institucional del financiamiento a largo plazo</w:t>
      </w:r>
    </w:p>
    <w:p w14:paraId="61387DF0" w14:textId="07E495A7" w:rsidR="00A837BE" w:rsidRPr="00B04170" w:rsidRDefault="004B532F" w:rsidP="004B532F">
      <w:pPr>
        <w:pStyle w:val="subpar"/>
        <w:tabs>
          <w:tab w:val="clear" w:pos="2304"/>
          <w:tab w:val="num" w:pos="1152"/>
        </w:tabs>
        <w:ind w:left="1152"/>
        <w:rPr>
          <w:rFonts w:ascii="Arial" w:hAnsi="Arial" w:cs="Arial"/>
          <w:sz w:val="22"/>
          <w:szCs w:val="22"/>
          <w:lang w:val="es-ES_tradnl"/>
        </w:rPr>
      </w:pPr>
      <w:r w:rsidRPr="00B04170">
        <w:rPr>
          <w:rFonts w:ascii="Arial" w:hAnsi="Arial" w:cs="Arial"/>
          <w:sz w:val="22"/>
          <w:szCs w:val="22"/>
          <w:lang w:val="es-ES_tradnl"/>
        </w:rPr>
        <w:t>Las medidas de políticas van desde leyes, decretos, hasta circulares</w:t>
      </w:r>
      <w:r w:rsidR="00B04170" w:rsidRPr="00B04170">
        <w:rPr>
          <w:rFonts w:ascii="Arial" w:hAnsi="Arial" w:cs="Arial"/>
          <w:sz w:val="22"/>
          <w:szCs w:val="22"/>
          <w:lang w:val="es-ES_tradnl"/>
        </w:rPr>
        <w:t xml:space="preserve"> y publicaciones</w:t>
      </w:r>
      <w:r w:rsidRPr="00B04170">
        <w:rPr>
          <w:rFonts w:ascii="Arial" w:hAnsi="Arial" w:cs="Arial"/>
          <w:sz w:val="22"/>
          <w:szCs w:val="22"/>
          <w:lang w:val="es-ES_tradnl"/>
        </w:rPr>
        <w:t xml:space="preserve">, pasando por elaboraciones de propuestas y proyectos de decreto o de leyes. </w:t>
      </w:r>
    </w:p>
    <w:p w14:paraId="61387DF1" w14:textId="61097C46" w:rsidR="004B532F" w:rsidRPr="00B04170" w:rsidRDefault="004B532F" w:rsidP="004B532F">
      <w:pPr>
        <w:pStyle w:val="subpar"/>
        <w:tabs>
          <w:tab w:val="clear" w:pos="2304"/>
          <w:tab w:val="num" w:pos="1152"/>
        </w:tabs>
        <w:ind w:left="1152"/>
        <w:rPr>
          <w:rFonts w:ascii="Arial" w:hAnsi="Arial" w:cs="Arial"/>
          <w:sz w:val="22"/>
          <w:szCs w:val="22"/>
          <w:lang w:val="es-ES_tradnl"/>
        </w:rPr>
      </w:pPr>
      <w:r w:rsidRPr="00B04170">
        <w:rPr>
          <w:rFonts w:ascii="Arial" w:hAnsi="Arial" w:cs="Arial"/>
          <w:sz w:val="22"/>
          <w:szCs w:val="22"/>
          <w:lang w:val="es-ES_tradnl"/>
        </w:rPr>
        <w:t>Muchas de estas medidas conllevan la definición de una reforma</w:t>
      </w:r>
      <w:r w:rsidR="00A837BE" w:rsidRPr="00B04170">
        <w:rPr>
          <w:rFonts w:ascii="Arial" w:hAnsi="Arial" w:cs="Arial"/>
          <w:sz w:val="22"/>
          <w:szCs w:val="22"/>
          <w:lang w:val="es-ES_tradnl"/>
        </w:rPr>
        <w:t xml:space="preserve"> específica instrumentada por varios actos legislativos y/o administrativos</w:t>
      </w:r>
      <w:r w:rsidRPr="00B04170">
        <w:rPr>
          <w:rFonts w:ascii="Arial" w:hAnsi="Arial" w:cs="Arial"/>
          <w:sz w:val="22"/>
          <w:szCs w:val="22"/>
          <w:lang w:val="es-ES_tradnl"/>
        </w:rPr>
        <w:t xml:space="preserve"> (por ejemplo, circulares,</w:t>
      </w:r>
      <w:r w:rsidR="00B04170" w:rsidRPr="00B04170">
        <w:rPr>
          <w:rFonts w:ascii="Arial" w:hAnsi="Arial" w:cs="Arial"/>
          <w:sz w:val="22"/>
          <w:szCs w:val="22"/>
          <w:lang w:val="es-ES_tradnl"/>
        </w:rPr>
        <w:t xml:space="preserve"> informes, decretos</w:t>
      </w:r>
      <w:r w:rsidRPr="00B04170">
        <w:rPr>
          <w:rFonts w:ascii="Arial" w:hAnsi="Arial" w:cs="Arial"/>
          <w:sz w:val="22"/>
          <w:szCs w:val="22"/>
          <w:lang w:val="es-ES_tradnl"/>
        </w:rPr>
        <w:t>, y leyes que apuntan al logro de un aspecto específico).</w:t>
      </w:r>
    </w:p>
    <w:p w14:paraId="61387DF9" w14:textId="7B8DA08C" w:rsidR="00CE6F84" w:rsidRPr="00B86EAE" w:rsidRDefault="00B36857" w:rsidP="0080190C">
      <w:pPr>
        <w:pStyle w:val="Paragraph"/>
        <w:tabs>
          <w:tab w:val="clear" w:pos="2448"/>
          <w:tab w:val="num" w:pos="720"/>
        </w:tabs>
        <w:ind w:left="720" w:hanging="720"/>
        <w:rPr>
          <w:rFonts w:ascii="Arial" w:hAnsi="Arial" w:cs="Arial"/>
          <w:sz w:val="22"/>
          <w:lang w:val="es-ES_tradnl"/>
        </w:rPr>
      </w:pPr>
      <w:bookmarkStart w:id="2" w:name="_Hlk488848656"/>
      <w:r w:rsidRPr="00B36857">
        <w:rPr>
          <w:rFonts w:ascii="Arial" w:hAnsi="Arial" w:cs="Arial"/>
          <w:b/>
          <w:bCs/>
          <w:sz w:val="22"/>
          <w:lang w:val="es-ES_tradnl"/>
        </w:rPr>
        <w:t>Contexto macroeconómico.</w:t>
      </w:r>
      <w:r w:rsidRPr="00B36857">
        <w:rPr>
          <w:rFonts w:ascii="Arial" w:hAnsi="Arial" w:cs="Arial"/>
          <w:sz w:val="22"/>
          <w:lang w:val="es-ES_tradnl"/>
        </w:rPr>
        <w:t xml:space="preserve"> </w:t>
      </w:r>
      <w:r w:rsidRPr="00F6113D">
        <w:rPr>
          <w:rFonts w:ascii="Arial" w:hAnsi="Arial" w:cs="Arial"/>
          <w:sz w:val="22"/>
          <w:lang w:val="es-ES_tradnl"/>
        </w:rPr>
        <w:t xml:space="preserve">Paraguay cerró 2016 con un crecimiento real del Producto Interno Bruto (PIB) de 4,1%, comparado con 3,1% en 2015. </w:t>
      </w:r>
      <w:r>
        <w:rPr>
          <w:rFonts w:ascii="Arial" w:hAnsi="Arial" w:cs="Arial"/>
          <w:sz w:val="22"/>
          <w:lang w:val="es-ES_tradnl"/>
        </w:rPr>
        <w:t>D</w:t>
      </w:r>
      <w:r w:rsidRPr="00F6113D">
        <w:rPr>
          <w:rFonts w:ascii="Arial" w:hAnsi="Arial" w:cs="Arial"/>
          <w:sz w:val="22"/>
          <w:lang w:val="es-ES_tradnl"/>
        </w:rPr>
        <w:t xml:space="preserve">el lado de la oferta, </w:t>
      </w:r>
      <w:r>
        <w:rPr>
          <w:rFonts w:ascii="Arial" w:hAnsi="Arial" w:cs="Arial"/>
          <w:sz w:val="22"/>
          <w:lang w:val="es-ES_tradnl"/>
        </w:rPr>
        <w:t>este</w:t>
      </w:r>
      <w:r w:rsidRPr="00F6113D">
        <w:rPr>
          <w:rFonts w:ascii="Arial" w:hAnsi="Arial" w:cs="Arial"/>
          <w:sz w:val="22"/>
          <w:lang w:val="es-ES_tradnl"/>
        </w:rPr>
        <w:t xml:space="preserve"> crecimiento se explica</w:t>
      </w:r>
      <w:r>
        <w:rPr>
          <w:rFonts w:ascii="Arial" w:hAnsi="Arial" w:cs="Arial"/>
          <w:sz w:val="22"/>
          <w:lang w:val="es-ES_tradnl"/>
        </w:rPr>
        <w:t xml:space="preserve"> </w:t>
      </w:r>
      <w:r w:rsidRPr="00F6113D">
        <w:rPr>
          <w:rFonts w:ascii="Arial" w:hAnsi="Arial" w:cs="Arial"/>
          <w:sz w:val="22"/>
          <w:lang w:val="es-ES_tradnl"/>
        </w:rPr>
        <w:t>por el dinamismo del sector eléctr</w:t>
      </w:r>
      <w:r>
        <w:rPr>
          <w:rFonts w:ascii="Arial" w:hAnsi="Arial" w:cs="Arial"/>
          <w:sz w:val="22"/>
          <w:lang w:val="es-ES_tradnl"/>
        </w:rPr>
        <w:t>ico (crecimiento de 13%)</w:t>
      </w:r>
      <w:r w:rsidRPr="00F6113D">
        <w:rPr>
          <w:rFonts w:ascii="Arial" w:hAnsi="Arial" w:cs="Arial"/>
          <w:sz w:val="22"/>
          <w:lang w:val="es-ES_tradnl"/>
        </w:rPr>
        <w:t xml:space="preserve"> mientras que</w:t>
      </w:r>
      <w:r>
        <w:rPr>
          <w:rFonts w:ascii="Arial" w:hAnsi="Arial" w:cs="Arial"/>
          <w:sz w:val="22"/>
          <w:lang w:val="es-ES_tradnl"/>
        </w:rPr>
        <w:t>,</w:t>
      </w:r>
      <w:r w:rsidRPr="00F6113D">
        <w:rPr>
          <w:rFonts w:ascii="Arial" w:hAnsi="Arial" w:cs="Arial"/>
          <w:sz w:val="22"/>
          <w:lang w:val="es-ES_tradnl"/>
        </w:rPr>
        <w:t xml:space="preserve"> del lado de la demanda, las exportaciones netas han sido el principal motor de actividad económica (crecimiento de 25%). </w:t>
      </w:r>
      <w:r w:rsidRPr="00F6113D">
        <w:rPr>
          <w:rFonts w:ascii="Arial" w:hAnsi="Arial" w:cs="Arial"/>
          <w:sz w:val="22"/>
          <w:lang w:val="es-ES_tradnl"/>
        </w:rPr>
        <w:lastRenderedPageBreak/>
        <w:t>Durante el primer semestre de 2017 la economía presenta una evolución favorable, con un crecimiento interanual del PIB de 5,3% (marzo). Este crecimiento ha estado apuntalado por el dinamismo de los sectores manufactura y servicios. A corto y mediano plazo, se prevé un crecimiento real del PIB cercano a 4,0%, superior al crecimiento esperado de 1,0% para el resto de A</w:t>
      </w:r>
      <w:r>
        <w:rPr>
          <w:rFonts w:ascii="Arial" w:hAnsi="Arial" w:cs="Arial"/>
          <w:sz w:val="22"/>
          <w:lang w:val="es-ES_tradnl"/>
        </w:rPr>
        <w:t>mérica Latina y el Caribe (ALC)</w:t>
      </w:r>
      <w:r w:rsidRPr="006D4B46">
        <w:rPr>
          <w:rStyle w:val="FootnoteReference"/>
          <w:rFonts w:ascii="Arial" w:hAnsi="Arial" w:cs="Arial"/>
          <w:sz w:val="22"/>
        </w:rPr>
        <w:footnoteReference w:id="2"/>
      </w:r>
      <w:r w:rsidRPr="00B36857">
        <w:rPr>
          <w:rFonts w:ascii="Arial" w:hAnsi="Arial" w:cs="Arial"/>
          <w:sz w:val="22"/>
          <w:lang w:val="es-ES_tradnl"/>
        </w:rPr>
        <w:t>. Por su parte, l</w:t>
      </w:r>
      <w:r w:rsidRPr="00442F3B">
        <w:rPr>
          <w:rFonts w:ascii="Arial" w:hAnsi="Arial" w:cs="Arial"/>
          <w:sz w:val="22"/>
          <w:lang w:val="es-ES_tradnl"/>
        </w:rPr>
        <w:t xml:space="preserve">a posición externa se ha fortalecido. Al mes de junio 2017, el excedente </w:t>
      </w:r>
      <w:r>
        <w:rPr>
          <w:rFonts w:ascii="Arial" w:hAnsi="Arial" w:cs="Arial"/>
          <w:sz w:val="22"/>
          <w:lang w:val="es-ES_tradnl"/>
        </w:rPr>
        <w:t xml:space="preserve">de balanza </w:t>
      </w:r>
      <w:r w:rsidRPr="00442F3B">
        <w:rPr>
          <w:rFonts w:ascii="Arial" w:hAnsi="Arial" w:cs="Arial"/>
          <w:sz w:val="22"/>
          <w:lang w:val="es-ES_tradnl"/>
        </w:rPr>
        <w:t xml:space="preserve">comercial representa </w:t>
      </w:r>
      <w:r w:rsidR="007E2CF4">
        <w:rPr>
          <w:rFonts w:ascii="Arial" w:hAnsi="Arial" w:cs="Arial"/>
          <w:sz w:val="22"/>
          <w:lang w:val="es-ES_tradnl"/>
        </w:rPr>
        <w:t>1,7% del PIB (US$500 </w:t>
      </w:r>
      <w:r>
        <w:rPr>
          <w:rFonts w:ascii="Arial" w:hAnsi="Arial" w:cs="Arial"/>
          <w:sz w:val="22"/>
          <w:lang w:val="es-ES_tradnl"/>
        </w:rPr>
        <w:t xml:space="preserve">millones), mientras que el </w:t>
      </w:r>
      <w:r w:rsidRPr="00442F3B">
        <w:rPr>
          <w:rFonts w:ascii="Arial" w:hAnsi="Arial" w:cs="Arial"/>
          <w:sz w:val="22"/>
          <w:lang w:val="es-ES_tradnl"/>
        </w:rPr>
        <w:t xml:space="preserve">déficit de la cuenta capital y financiera se </w:t>
      </w:r>
      <w:r>
        <w:rPr>
          <w:rFonts w:ascii="Arial" w:hAnsi="Arial" w:cs="Arial"/>
          <w:sz w:val="22"/>
          <w:lang w:val="es-ES_tradnl"/>
        </w:rPr>
        <w:t>ha venido reduciendo, pasando de 2,7% del PIB en 2015 a 0,15% en 2016</w:t>
      </w:r>
      <w:r w:rsidRPr="00442F3B">
        <w:rPr>
          <w:rFonts w:ascii="Arial" w:hAnsi="Arial" w:cs="Arial"/>
          <w:sz w:val="22"/>
          <w:lang w:val="es-ES_tradnl"/>
        </w:rPr>
        <w:t>. Como resultado, las reservas internacionales se ubican en US$8.000 millones (US$6.900 millones en junio 2016), equivalen</w:t>
      </w:r>
      <w:r w:rsidR="007E2CF4">
        <w:rPr>
          <w:rFonts w:ascii="Arial" w:hAnsi="Arial" w:cs="Arial"/>
          <w:sz w:val="22"/>
          <w:lang w:val="es-ES_tradnl"/>
        </w:rPr>
        <w:t>tes a una cobertura de más de sietes </w:t>
      </w:r>
      <w:r w:rsidRPr="00442F3B">
        <w:rPr>
          <w:rFonts w:ascii="Arial" w:hAnsi="Arial" w:cs="Arial"/>
          <w:sz w:val="22"/>
          <w:lang w:val="es-ES_tradnl"/>
        </w:rPr>
        <w:t xml:space="preserve">meses de importaciones. </w:t>
      </w:r>
      <w:r w:rsidRPr="00B36857">
        <w:rPr>
          <w:rFonts w:ascii="Arial" w:hAnsi="Arial" w:cs="Arial"/>
          <w:sz w:val="22"/>
          <w:lang w:val="es-ES_tradnl"/>
        </w:rPr>
        <w:t>Asimismo, l</w:t>
      </w:r>
      <w:r w:rsidRPr="00442F3B">
        <w:rPr>
          <w:rFonts w:ascii="Arial" w:hAnsi="Arial" w:cs="Arial"/>
          <w:sz w:val="22"/>
          <w:lang w:val="es-ES_tradnl"/>
        </w:rPr>
        <w:t>os precios presentan una evolución estable.</w:t>
      </w:r>
      <w:r w:rsidRPr="00B36857">
        <w:rPr>
          <w:rFonts w:ascii="Arial" w:hAnsi="Arial" w:cs="Arial"/>
          <w:sz w:val="22"/>
          <w:lang w:val="es-ES_tradnl"/>
        </w:rPr>
        <w:t xml:space="preserve"> </w:t>
      </w:r>
      <w:r w:rsidRPr="00442F3B">
        <w:rPr>
          <w:rFonts w:ascii="Arial" w:hAnsi="Arial" w:cs="Arial"/>
          <w:sz w:val="22"/>
          <w:lang w:val="es-ES_tradnl"/>
        </w:rPr>
        <w:t xml:space="preserve">Al mes de junio 2017, la inflación interanual se ubica en 2,9%, por debajo del valor registrado en igual período de 2016 (4,7%). </w:t>
      </w:r>
      <w:r>
        <w:rPr>
          <w:rFonts w:ascii="Arial" w:hAnsi="Arial" w:cs="Arial"/>
          <w:sz w:val="22"/>
          <w:lang w:val="es-ES_tradnl"/>
        </w:rPr>
        <w:t>Finalmente, a junio de 2017</w:t>
      </w:r>
      <w:r w:rsidRPr="008506A4">
        <w:rPr>
          <w:rFonts w:ascii="Arial" w:hAnsi="Arial" w:cs="Arial"/>
          <w:sz w:val="22"/>
          <w:lang w:val="es-ES_tradnl"/>
        </w:rPr>
        <w:t xml:space="preserve"> el déficit </w:t>
      </w:r>
      <w:r>
        <w:rPr>
          <w:rFonts w:ascii="Arial" w:hAnsi="Arial" w:cs="Arial"/>
          <w:sz w:val="22"/>
          <w:lang w:val="es-ES_tradnl"/>
        </w:rPr>
        <w:t xml:space="preserve">fiscal se sitúa </w:t>
      </w:r>
      <w:r w:rsidRPr="008506A4">
        <w:rPr>
          <w:rFonts w:ascii="Arial" w:hAnsi="Arial" w:cs="Arial"/>
          <w:sz w:val="22"/>
          <w:lang w:val="es-ES_tradnl"/>
        </w:rPr>
        <w:t>en 1,5% del PIB, en línea con el límite establecido en la Ley de Responsabilidad Fiscal (LRF</w:t>
      </w:r>
      <w:r>
        <w:rPr>
          <w:rFonts w:ascii="Arial" w:hAnsi="Arial" w:cs="Arial"/>
          <w:sz w:val="22"/>
          <w:lang w:val="es-ES_tradnl"/>
        </w:rPr>
        <w:t>) y l</w:t>
      </w:r>
      <w:r w:rsidRPr="008506A4">
        <w:rPr>
          <w:rFonts w:ascii="Arial" w:hAnsi="Arial" w:cs="Arial"/>
          <w:sz w:val="22"/>
          <w:lang w:val="es-ES_tradnl"/>
        </w:rPr>
        <w:t>a deuda del sector público se sitúa en 23,5% del PIB</w:t>
      </w:r>
      <w:r>
        <w:rPr>
          <w:rFonts w:ascii="Arial" w:hAnsi="Arial" w:cs="Arial"/>
          <w:sz w:val="22"/>
          <w:lang w:val="es-ES_tradnl"/>
        </w:rPr>
        <w:t>, siendo una de</w:t>
      </w:r>
      <w:r w:rsidRPr="008506A4">
        <w:rPr>
          <w:rFonts w:ascii="Arial" w:hAnsi="Arial" w:cs="Arial"/>
          <w:sz w:val="22"/>
          <w:lang w:val="es-ES_tradnl"/>
        </w:rPr>
        <w:t xml:space="preserve"> las más bajas de ALC. Si bien el contexto macroeconómico es positivo, la economía paraguaya presenta vulnerabilidades. Entre los factores de riesgo</w:t>
      </w:r>
      <w:r>
        <w:rPr>
          <w:rFonts w:ascii="Arial" w:hAnsi="Arial" w:cs="Arial"/>
          <w:sz w:val="22"/>
          <w:lang w:val="es-ES_tradnl"/>
        </w:rPr>
        <w:t>,</w:t>
      </w:r>
      <w:r w:rsidRPr="008506A4">
        <w:rPr>
          <w:rFonts w:ascii="Arial" w:hAnsi="Arial" w:cs="Arial"/>
          <w:sz w:val="22"/>
          <w:lang w:val="es-ES_tradnl"/>
        </w:rPr>
        <w:t xml:space="preserve"> cabe destacar la ocurrencia de eventos climáticos severos, la evolución desfavorable de socios comerciales, la reducción de precios internacionales de materias primas agrícolas (soya, carne bovina) y un escenario internacional de creciente incertidumbre económica y financiera</w:t>
      </w:r>
      <w:r>
        <w:rPr>
          <w:rFonts w:ascii="Arial" w:hAnsi="Arial" w:cs="Arial"/>
          <w:sz w:val="22"/>
          <w:lang w:val="es-ES_tradnl"/>
        </w:rPr>
        <w:t xml:space="preserve">. </w:t>
      </w:r>
      <w:r w:rsidRPr="00B36857">
        <w:rPr>
          <w:rFonts w:ascii="Arial" w:hAnsi="Arial" w:cs="Arial"/>
          <w:sz w:val="22"/>
          <w:lang w:val="es-ES_tradnl"/>
        </w:rPr>
        <w:t>Según estudios recientes</w:t>
      </w:r>
      <w:r w:rsidRPr="006D4B46">
        <w:rPr>
          <w:rStyle w:val="FootnoteReference"/>
          <w:rFonts w:ascii="Arial" w:hAnsi="Arial" w:cs="Arial"/>
          <w:sz w:val="22"/>
        </w:rPr>
        <w:footnoteReference w:id="3"/>
      </w:r>
      <w:r w:rsidRPr="00B36857">
        <w:rPr>
          <w:rFonts w:ascii="Arial" w:hAnsi="Arial" w:cs="Arial"/>
          <w:sz w:val="22"/>
          <w:lang w:val="es-ES_tradnl"/>
        </w:rPr>
        <w:t>, para incrementar la resiliencia del país es necesario mantener la estabilidad macroeconómica, fortalecer el marco regulatorio e institucional, incrementar la productividad de la economía paraguaya, reducir la pobreza y promover el crecimiento inclusivo</w:t>
      </w:r>
      <w:bookmarkEnd w:id="2"/>
      <w:r>
        <w:rPr>
          <w:rFonts w:ascii="Arial" w:hAnsi="Arial" w:cs="Arial"/>
          <w:sz w:val="22"/>
          <w:lang w:val="es-ES_tradnl"/>
        </w:rPr>
        <w:t>.</w:t>
      </w:r>
    </w:p>
    <w:p w14:paraId="61387DFC" w14:textId="1581AA0A" w:rsidR="00F56098" w:rsidRDefault="00B36857" w:rsidP="0080190C">
      <w:pPr>
        <w:pStyle w:val="Paragraph"/>
        <w:tabs>
          <w:tab w:val="clear" w:pos="2448"/>
          <w:tab w:val="num" w:pos="720"/>
        </w:tabs>
        <w:ind w:left="720" w:hanging="720"/>
        <w:rPr>
          <w:rFonts w:ascii="Arial" w:hAnsi="Arial" w:cs="Arial"/>
          <w:sz w:val="22"/>
          <w:lang w:val="es-ES_tradnl"/>
        </w:rPr>
      </w:pPr>
      <w:r w:rsidRPr="00B36857">
        <w:rPr>
          <w:rFonts w:ascii="Arial" w:hAnsi="Arial" w:cs="Arial"/>
          <w:b/>
          <w:sz w:val="22"/>
          <w:lang w:val="es-ES_tradnl"/>
        </w:rPr>
        <w:t>Contexto productivo</w:t>
      </w:r>
      <w:r w:rsidRPr="00B36857">
        <w:rPr>
          <w:rFonts w:ascii="Arial" w:hAnsi="Arial" w:cs="Arial"/>
          <w:sz w:val="22"/>
          <w:lang w:val="es-ES_tradnl"/>
        </w:rPr>
        <w:t>. Si bien el PIB per cápita del país ha tenido una tendencia positiva en los últimos años, pasando de US$3.226 en 2010 a US$3.823 en 2015 (US$ constantes 2010), éste se encuentra muy por debajo no sólo de los niveles alcanzados por Argentina (US$10.515), Brasil (US$11.159), Chile (US$14.660) y Uruguay (US$13.944), sino también de la media de América Latina y el Caribe (ALC) (US$9.342)</w:t>
      </w:r>
      <w:r w:rsidRPr="006D4B46">
        <w:rPr>
          <w:rStyle w:val="FootnoteReference"/>
          <w:rFonts w:ascii="Arial" w:hAnsi="Arial" w:cs="Arial"/>
          <w:sz w:val="22"/>
        </w:rPr>
        <w:footnoteReference w:id="4"/>
      </w:r>
      <w:r w:rsidRPr="00B36857">
        <w:rPr>
          <w:rFonts w:ascii="Arial" w:hAnsi="Arial" w:cs="Arial"/>
          <w:sz w:val="22"/>
          <w:lang w:val="es-ES_tradnl"/>
        </w:rPr>
        <w:t>. El rezago del crecimiento económico de Paraguay puede explicarse, en gran medida, por la baja productividad de su economía</w:t>
      </w:r>
      <w:r w:rsidRPr="006D4B46">
        <w:rPr>
          <w:rStyle w:val="FootnoteReference"/>
          <w:rFonts w:ascii="Arial" w:hAnsi="Arial" w:cs="Arial"/>
          <w:sz w:val="22"/>
        </w:rPr>
        <w:footnoteReference w:id="5"/>
      </w:r>
      <w:r w:rsidRPr="00B36857">
        <w:rPr>
          <w:rFonts w:ascii="Arial" w:hAnsi="Arial" w:cs="Arial"/>
          <w:sz w:val="22"/>
          <w:lang w:val="es-ES_tradnl"/>
        </w:rPr>
        <w:t>. En efecto, Paraguay se encuentra entre los países con menor productividad agregada de ALC, con valores por debajo de la media regional, y muy por debajo de los países con mejor desempeño en la región. Mientras que hacia el año 1970 la productividad total de los factores (PTF) en Paraguay alcanzaba el 74% de la PTF de Estados Unidos, hacia el año 2014 se ubicaba en menos de la mitad (47% de la PTF de Estados Unidos), muy lejos de los niveles presentados por sus vecinos (67% para Uruguay, 68% para Chile y 81% para Argentina) y por debajo de la media de ALC (55%)</w:t>
      </w:r>
      <w:r w:rsidRPr="006D4B46">
        <w:rPr>
          <w:rStyle w:val="FootnoteReference"/>
          <w:rFonts w:ascii="Arial" w:hAnsi="Arial" w:cs="Arial"/>
          <w:sz w:val="22"/>
        </w:rPr>
        <w:footnoteReference w:id="6"/>
      </w:r>
      <w:r w:rsidRPr="00B36857">
        <w:rPr>
          <w:rFonts w:ascii="Arial" w:hAnsi="Arial" w:cs="Arial"/>
          <w:sz w:val="22"/>
          <w:lang w:val="es-ES_tradnl"/>
        </w:rPr>
        <w:t>. Los rezagos de productividad afectan especialmente a las peq</w:t>
      </w:r>
      <w:r w:rsidR="00710C8B">
        <w:rPr>
          <w:rFonts w:ascii="Arial" w:hAnsi="Arial" w:cs="Arial"/>
          <w:sz w:val="22"/>
          <w:lang w:val="es-ES_tradnl"/>
        </w:rPr>
        <w:t>ueñas y medianas empresas (</w:t>
      </w:r>
      <w:proofErr w:type="spellStart"/>
      <w:r w:rsidR="00710C8B">
        <w:rPr>
          <w:rFonts w:ascii="Arial" w:hAnsi="Arial" w:cs="Arial"/>
          <w:sz w:val="22"/>
          <w:lang w:val="es-ES_tradnl"/>
        </w:rPr>
        <w:t>PyME</w:t>
      </w:r>
      <w:proofErr w:type="spellEnd"/>
      <w:r w:rsidRPr="00B36857">
        <w:rPr>
          <w:rFonts w:ascii="Arial" w:hAnsi="Arial" w:cs="Arial"/>
          <w:sz w:val="22"/>
          <w:lang w:val="es-ES_tradnl"/>
        </w:rPr>
        <w:t xml:space="preserve">), con niveles que alcanzan el 60% del </w:t>
      </w:r>
      <w:r w:rsidRPr="00B36857">
        <w:rPr>
          <w:rFonts w:ascii="Arial" w:hAnsi="Arial" w:cs="Arial"/>
          <w:sz w:val="22"/>
          <w:lang w:val="es-ES_tradnl"/>
        </w:rPr>
        <w:lastRenderedPageBreak/>
        <w:t>nivel de productividad de las grandes empresas</w:t>
      </w:r>
      <w:r>
        <w:rPr>
          <w:rStyle w:val="FootnoteReference"/>
          <w:rFonts w:ascii="Arial" w:hAnsi="Arial" w:cs="Arial"/>
          <w:sz w:val="22"/>
        </w:rPr>
        <w:footnoteReference w:id="7"/>
      </w:r>
      <w:r w:rsidRPr="00B36857">
        <w:rPr>
          <w:rFonts w:ascii="Arial" w:hAnsi="Arial" w:cs="Arial"/>
          <w:sz w:val="22"/>
          <w:lang w:val="es-ES_tradnl"/>
        </w:rPr>
        <w:t>. Con el fin de impulsar la productividad de la economía y, con ello, el crecimiento económico sostenido del país, el Gobierno de Paraguay ha emprendido una agenda</w:t>
      </w:r>
      <w:r w:rsidRPr="006D4B46">
        <w:rPr>
          <w:rStyle w:val="FootnoteReference"/>
          <w:rFonts w:ascii="Arial" w:hAnsi="Arial" w:cs="Arial"/>
          <w:sz w:val="22"/>
        </w:rPr>
        <w:footnoteReference w:id="8"/>
      </w:r>
      <w:r w:rsidRPr="00B36857">
        <w:rPr>
          <w:rFonts w:ascii="Arial" w:hAnsi="Arial" w:cs="Arial"/>
          <w:sz w:val="22"/>
          <w:lang w:val="es-ES_tradnl"/>
        </w:rPr>
        <w:t xml:space="preserve"> de reformas estructurales que, en concordancia con diagnósticos internacionales</w:t>
      </w:r>
      <w:r w:rsidRPr="006D4B46">
        <w:rPr>
          <w:rStyle w:val="FootnoteReference"/>
          <w:rFonts w:ascii="Arial" w:hAnsi="Arial" w:cs="Arial"/>
          <w:sz w:val="22"/>
        </w:rPr>
        <w:footnoteReference w:id="9"/>
      </w:r>
      <w:r w:rsidRPr="00B36857">
        <w:rPr>
          <w:rFonts w:ascii="Arial" w:hAnsi="Arial" w:cs="Arial"/>
          <w:sz w:val="22"/>
          <w:lang w:val="es-ES_tradnl"/>
        </w:rPr>
        <w:t>, incluye los siguientes ejes de reforma: (i) fortalecimiento de la transparencia; (ii) mejora del funcionamiento del sistema financiero; (iii) y mejora del marco legal a institucional del financiamiento a largo plazo</w:t>
      </w:r>
      <w:r w:rsidR="00985948" w:rsidRPr="00985948">
        <w:rPr>
          <w:rFonts w:ascii="Arial" w:hAnsi="Arial" w:cs="Arial"/>
          <w:sz w:val="22"/>
          <w:lang w:val="es-ES_tradnl"/>
        </w:rPr>
        <w:t>.</w:t>
      </w:r>
    </w:p>
    <w:p w14:paraId="2CE3538F" w14:textId="464E9140" w:rsidR="00B36857" w:rsidRDefault="0080190C" w:rsidP="0080190C">
      <w:pPr>
        <w:pStyle w:val="Paragraph"/>
        <w:tabs>
          <w:tab w:val="clear" w:pos="2448"/>
          <w:tab w:val="num" w:pos="720"/>
        </w:tabs>
        <w:ind w:left="720" w:hanging="720"/>
        <w:rPr>
          <w:rFonts w:ascii="Arial" w:hAnsi="Arial" w:cs="Arial"/>
          <w:sz w:val="22"/>
          <w:lang w:val="es-ES_tradnl"/>
        </w:rPr>
      </w:pPr>
      <w:r w:rsidRPr="003B1BF2">
        <w:rPr>
          <w:rFonts w:ascii="Arial" w:hAnsi="Arial" w:cs="Arial"/>
          <w:b/>
          <w:sz w:val="22"/>
          <w:lang w:val="es-ES_tradnl"/>
        </w:rPr>
        <w:t>Productividad y transparencia</w:t>
      </w:r>
      <w:r w:rsidRPr="003B1BF2">
        <w:rPr>
          <w:rFonts w:ascii="Arial" w:hAnsi="Arial" w:cs="Arial"/>
          <w:sz w:val="22"/>
          <w:lang w:val="es-ES_tradnl"/>
        </w:rPr>
        <w:t xml:space="preserve">. </w:t>
      </w:r>
      <w:bookmarkStart w:id="3" w:name="_Hlk489438325"/>
      <w:r w:rsidR="00B36857" w:rsidRPr="00B36857">
        <w:rPr>
          <w:rFonts w:ascii="Arial" w:hAnsi="Arial" w:cs="Arial"/>
          <w:sz w:val="22"/>
          <w:lang w:val="es-ES_tradnl"/>
        </w:rPr>
        <w:t>La transparencia y la calidad institucional son claves para la adecuada provisión de servicios públicos y constituyen una parte fundamental para sentar un clima de negocios que incentive las inversiones y apoye el desarrollo del sector privado</w:t>
      </w:r>
      <w:r w:rsidR="00B36857" w:rsidRPr="00266464">
        <w:rPr>
          <w:rStyle w:val="FootnoteReference"/>
          <w:rFonts w:ascii="Arial" w:hAnsi="Arial" w:cs="Arial"/>
          <w:sz w:val="22"/>
        </w:rPr>
        <w:footnoteReference w:id="10"/>
      </w:r>
      <w:r w:rsidR="00B36857" w:rsidRPr="00B36857">
        <w:rPr>
          <w:rFonts w:ascii="Arial" w:hAnsi="Arial" w:cs="Arial"/>
          <w:sz w:val="22"/>
          <w:vertAlign w:val="superscript"/>
          <w:lang w:val="es-ES_tradnl"/>
        </w:rPr>
        <w:t>,</w:t>
      </w:r>
      <w:r w:rsidR="00B36857" w:rsidRPr="00903DD2">
        <w:rPr>
          <w:rFonts w:ascii="Arial" w:hAnsi="Arial" w:cs="Arial"/>
          <w:sz w:val="22"/>
          <w:vertAlign w:val="superscript"/>
        </w:rPr>
        <w:footnoteReference w:id="11"/>
      </w:r>
      <w:r w:rsidR="00B36857" w:rsidRPr="00B36857">
        <w:rPr>
          <w:rFonts w:ascii="Arial" w:hAnsi="Arial" w:cs="Arial"/>
          <w:sz w:val="22"/>
          <w:lang w:val="es-ES_tradnl"/>
        </w:rPr>
        <w:t>. La evidencia empírica muestra que la productividad y el crecimiento económico de un país pueden verse afectados por la falta de transparencia e integridad</w:t>
      </w:r>
      <w:r w:rsidR="00B36857" w:rsidRPr="00266464">
        <w:rPr>
          <w:rStyle w:val="FootnoteReference"/>
          <w:rFonts w:ascii="Arial" w:hAnsi="Arial" w:cs="Arial"/>
          <w:sz w:val="22"/>
        </w:rPr>
        <w:footnoteReference w:id="12"/>
      </w:r>
      <w:r w:rsidR="00B36857" w:rsidRPr="00B36857">
        <w:rPr>
          <w:rFonts w:ascii="Arial" w:hAnsi="Arial" w:cs="Arial"/>
          <w:sz w:val="22"/>
          <w:lang w:val="es-ES_tradnl"/>
        </w:rPr>
        <w:t xml:space="preserve">. </w:t>
      </w:r>
      <w:bookmarkEnd w:id="3"/>
    </w:p>
    <w:p w14:paraId="2F27BAF9" w14:textId="604E0A05" w:rsidR="003B1BF2" w:rsidRDefault="00B36857" w:rsidP="0080190C">
      <w:pPr>
        <w:pStyle w:val="Paragraph"/>
        <w:tabs>
          <w:tab w:val="clear" w:pos="2448"/>
          <w:tab w:val="num" w:pos="720"/>
        </w:tabs>
        <w:ind w:left="720" w:hanging="720"/>
        <w:rPr>
          <w:rFonts w:ascii="Arial" w:hAnsi="Arial" w:cs="Arial"/>
          <w:sz w:val="22"/>
          <w:lang w:val="es-ES_tradnl"/>
        </w:rPr>
      </w:pPr>
      <w:r w:rsidRPr="00B36857">
        <w:rPr>
          <w:rFonts w:ascii="Arial" w:hAnsi="Arial" w:cs="Arial"/>
          <w:sz w:val="22"/>
          <w:lang w:val="es-ES_tradnl"/>
        </w:rPr>
        <w:t>Encuestas realizadas recientemente señalan a la falta de transparencia como el principal obstáculo para la mejora del clima de negocios en Paraguay</w:t>
      </w:r>
      <w:r>
        <w:rPr>
          <w:rStyle w:val="FootnoteReference"/>
          <w:rFonts w:ascii="Arial" w:hAnsi="Arial" w:cs="Arial"/>
          <w:sz w:val="22"/>
        </w:rPr>
        <w:footnoteReference w:id="13"/>
      </w:r>
      <w:r w:rsidRPr="00B36857">
        <w:rPr>
          <w:rFonts w:ascii="Arial" w:hAnsi="Arial" w:cs="Arial"/>
          <w:sz w:val="22"/>
          <w:lang w:val="es-ES_tradnl"/>
        </w:rPr>
        <w:t>. En efecto, indicadores internacionales</w:t>
      </w:r>
      <w:r>
        <w:rPr>
          <w:rStyle w:val="FootnoteReference"/>
          <w:rFonts w:ascii="Arial" w:hAnsi="Arial" w:cs="Arial"/>
          <w:sz w:val="22"/>
        </w:rPr>
        <w:footnoteReference w:id="14"/>
      </w:r>
      <w:r w:rsidRPr="00B36857">
        <w:rPr>
          <w:rFonts w:ascii="Arial" w:hAnsi="Arial" w:cs="Arial"/>
          <w:sz w:val="22"/>
          <w:lang w:val="es-ES_tradnl"/>
        </w:rPr>
        <w:t xml:space="preserve"> ubican al país en el puesto 93/138 en materia de transparencia para la elaboración de políticas de gobierno y evidencian un débil desempeño en la efectividad gubernamental -ocupando Paraguay el percentil 17/100 en 2015, donde el máximo es 100. De acuerdo con </w:t>
      </w:r>
      <w:proofErr w:type="spellStart"/>
      <w:r w:rsidRPr="00B36857">
        <w:rPr>
          <w:rFonts w:ascii="Arial" w:hAnsi="Arial" w:cs="Arial"/>
          <w:sz w:val="22"/>
          <w:lang w:val="es-ES_tradnl"/>
        </w:rPr>
        <w:t>Latinobarómetro</w:t>
      </w:r>
      <w:proofErr w:type="spellEnd"/>
      <w:r w:rsidRPr="00B36857">
        <w:rPr>
          <w:rFonts w:ascii="Arial" w:hAnsi="Arial" w:cs="Arial"/>
          <w:sz w:val="22"/>
          <w:lang w:val="es-ES_tradnl"/>
        </w:rPr>
        <w:t xml:space="preserve"> 2015, la corrupción es el quinto problema más importante en el país, con el 65,3% de los paraguayos considerándola como un problema serio en el sector público</w:t>
      </w:r>
      <w:r>
        <w:rPr>
          <w:rStyle w:val="FootnoteReference"/>
          <w:rFonts w:ascii="Arial" w:hAnsi="Arial" w:cs="Arial"/>
          <w:sz w:val="22"/>
        </w:rPr>
        <w:footnoteReference w:id="15"/>
      </w:r>
      <w:r w:rsidRPr="00B36857">
        <w:rPr>
          <w:rFonts w:ascii="Arial" w:hAnsi="Arial" w:cs="Arial"/>
          <w:sz w:val="22"/>
          <w:lang w:val="es-ES_tradnl"/>
        </w:rPr>
        <w:t>.  Esto es consistente con el significativo nivel de percepción de corrupción que reporta el Índice de Percepción de Corrupción de Transparencia Internacional (IPC-TI) para Paraguay: si bien el país mejoró tres puntos entre 2015 y 2016 (pasando de 27/100 a 30/100 puntos, respectivamente), continúa situándose por debajo del promedio de ALC (39 puntos en 2016) y muy lejos de los países de mejor desempeño de la región (Uruguay con 71 puntos, Chile con 66 puntos y Costa Rica con 58 puntos). Asimismo, al revisar indicadores de integridad</w:t>
      </w:r>
      <w:r>
        <w:rPr>
          <w:rStyle w:val="FootnoteReference"/>
          <w:rFonts w:ascii="Arial" w:hAnsi="Arial" w:cs="Arial"/>
          <w:sz w:val="22"/>
        </w:rPr>
        <w:footnoteReference w:id="16"/>
      </w:r>
      <w:r w:rsidRPr="00B36857">
        <w:rPr>
          <w:rFonts w:ascii="Arial" w:hAnsi="Arial" w:cs="Arial"/>
          <w:sz w:val="22"/>
          <w:lang w:val="es-ES_tradnl"/>
        </w:rPr>
        <w:t xml:space="preserve">, se observa que Paraguay presenta un alto riesgo en relación al lavado de activos y financiamiento del terrorismo, y debilidades en materia de control interno, auditoria externa y escrutinio legislativo de informes de auditoría. Si bien en 2014 se promulgó la ley de “Libre Acceso Ciudadano a la Información Pública y Transparencia Gubernamental” (Ley No. 5282/2014), el Índice de Derecho a la Información de 2015 destaca que el país puede continuar mejorando en lo que </w:t>
      </w:r>
      <w:r w:rsidRPr="00B36857">
        <w:rPr>
          <w:rFonts w:ascii="Arial" w:hAnsi="Arial" w:cs="Arial"/>
          <w:sz w:val="22"/>
          <w:lang w:val="es-ES_tradnl"/>
        </w:rPr>
        <w:lastRenderedPageBreak/>
        <w:t>refiere a: principio de derecho al acceso, proceso de solicitud, excepciones y rechazos, apelaciones, sanciones y protección, y medidas de promoción del acceso del ciudadano a la información</w:t>
      </w:r>
      <w:r w:rsidR="00687BDF">
        <w:rPr>
          <w:rFonts w:ascii="Arial" w:hAnsi="Arial" w:cs="Arial"/>
          <w:sz w:val="22"/>
          <w:lang w:val="es-ES_tradnl"/>
        </w:rPr>
        <w:t>.</w:t>
      </w:r>
    </w:p>
    <w:p w14:paraId="109BF332" w14:textId="43A927C0" w:rsidR="00687BDF" w:rsidRDefault="00687BDF" w:rsidP="0080190C">
      <w:pPr>
        <w:pStyle w:val="Paragraph"/>
        <w:tabs>
          <w:tab w:val="clear" w:pos="2448"/>
          <w:tab w:val="num" w:pos="720"/>
        </w:tabs>
        <w:ind w:left="720" w:hanging="720"/>
        <w:rPr>
          <w:rFonts w:ascii="Arial" w:hAnsi="Arial" w:cs="Arial"/>
          <w:sz w:val="22"/>
          <w:lang w:val="es-ES_tradnl"/>
        </w:rPr>
      </w:pPr>
      <w:r w:rsidRPr="00687BDF">
        <w:rPr>
          <w:rFonts w:ascii="Arial" w:hAnsi="Arial" w:cs="Arial"/>
          <w:b/>
          <w:bCs/>
          <w:sz w:val="22"/>
          <w:lang w:val="es-ES_tradnl"/>
        </w:rPr>
        <w:t>Productividad y funcionamiento del sistema financiero.</w:t>
      </w:r>
      <w:r w:rsidR="00B36857">
        <w:rPr>
          <w:rFonts w:ascii="Arial" w:hAnsi="Arial" w:cs="Arial"/>
          <w:b/>
          <w:bCs/>
          <w:sz w:val="22"/>
          <w:lang w:val="es-ES_tradnl"/>
        </w:rPr>
        <w:t xml:space="preserve"> </w:t>
      </w:r>
      <w:r w:rsidR="00B36857" w:rsidRPr="00B36857">
        <w:rPr>
          <w:rFonts w:ascii="Arial" w:hAnsi="Arial" w:cs="Arial"/>
          <w:sz w:val="22"/>
          <w:lang w:val="es-ES_tradnl"/>
        </w:rPr>
        <w:t xml:space="preserve">El nivel de desarrollo de los sistemas financieros posee un efecto importante sobre la productividad. Un mayor nivel de desarrollo permite: (i) una mejor asignación del factor capital hacia los proyectos con mejores retornos; y (ii) la mitigación del impacto de la volatilidad y los </w:t>
      </w:r>
      <w:r w:rsidR="00B36857" w:rsidRPr="00B36857">
        <w:rPr>
          <w:rFonts w:ascii="Arial" w:hAnsi="Arial" w:cs="Arial"/>
          <w:i/>
          <w:iCs/>
          <w:sz w:val="22"/>
          <w:lang w:val="es-ES_tradnl"/>
        </w:rPr>
        <w:t xml:space="preserve">shocks </w:t>
      </w:r>
      <w:r w:rsidR="00B36857" w:rsidRPr="00B36857">
        <w:rPr>
          <w:rFonts w:ascii="Arial" w:hAnsi="Arial" w:cs="Arial"/>
          <w:sz w:val="22"/>
          <w:lang w:val="es-ES_tradnl"/>
        </w:rPr>
        <w:t>macroeconómicos sobre la economía</w:t>
      </w:r>
      <w:r w:rsidR="00B36857" w:rsidRPr="006D4B46">
        <w:rPr>
          <w:rStyle w:val="FootnoteReference"/>
          <w:rFonts w:ascii="Arial" w:hAnsi="Arial" w:cs="Arial"/>
          <w:sz w:val="22"/>
        </w:rPr>
        <w:footnoteReference w:id="17"/>
      </w:r>
      <w:r w:rsidR="00B36857" w:rsidRPr="00B36857">
        <w:rPr>
          <w:rFonts w:ascii="Arial" w:hAnsi="Arial" w:cs="Arial"/>
          <w:sz w:val="22"/>
          <w:lang w:val="es-ES_tradnl"/>
        </w:rPr>
        <w:t>. Para que el sistema financiero alcance un nivel de desarrollo que maximice su contribución a la productividad, la regulación debe apuntar a garantizar niveles de estabilidad que permitan a los agentes la toma de decisiones en contextos predecibles. Al mismo tiempo, la adecuada regulación y supervisión del sistema financiero es clave para hacer compatible el mayor desarrollo de dicho sistema con el resguardo de su estabilidad. Ello permite evitar crisis financieras, cuyos efectos minan la confianza de los agentes en el sector financiero, limitando la expansión del ahorro, el potencial de crecimiento de la intermediación y la disponibilidad de financiamiento de mediano y largo plazo</w:t>
      </w:r>
      <w:r w:rsidR="00B36857">
        <w:rPr>
          <w:rStyle w:val="FootnoteReference"/>
          <w:rFonts w:ascii="Arial" w:hAnsi="Arial" w:cs="Arial"/>
          <w:sz w:val="22"/>
        </w:rPr>
        <w:footnoteReference w:id="18"/>
      </w:r>
      <w:r w:rsidR="00B36857" w:rsidRPr="00B36857">
        <w:rPr>
          <w:rFonts w:ascii="Arial" w:hAnsi="Arial" w:cs="Arial"/>
          <w:sz w:val="22"/>
          <w:lang w:val="es-ES_tradnl"/>
        </w:rPr>
        <w:t>.</w:t>
      </w:r>
    </w:p>
    <w:p w14:paraId="4B66DBAC" w14:textId="7FEECA85" w:rsidR="00B36857" w:rsidRDefault="00BE5FEF" w:rsidP="0080190C">
      <w:pPr>
        <w:pStyle w:val="Paragraph"/>
        <w:tabs>
          <w:tab w:val="clear" w:pos="2448"/>
          <w:tab w:val="num" w:pos="720"/>
        </w:tabs>
        <w:ind w:left="720" w:hanging="720"/>
        <w:rPr>
          <w:rFonts w:ascii="Arial" w:hAnsi="Arial" w:cs="Arial"/>
          <w:sz w:val="22"/>
          <w:lang w:val="es-ES_tradnl"/>
        </w:rPr>
      </w:pPr>
      <w:r w:rsidRPr="00BE5FEF">
        <w:rPr>
          <w:rFonts w:ascii="Arial" w:hAnsi="Arial" w:cs="Arial"/>
          <w:b/>
          <w:sz w:val="22"/>
          <w:lang w:val="es-ES_tradnl"/>
        </w:rPr>
        <w:t>Productividad, marco legal e instituciones para el financiamiento de largo plazo.</w:t>
      </w:r>
      <w:r w:rsidRPr="00BE5FEF">
        <w:rPr>
          <w:rFonts w:ascii="Arial" w:hAnsi="Arial" w:cs="Arial"/>
          <w:sz w:val="22"/>
          <w:lang w:val="es-ES_tradnl"/>
        </w:rPr>
        <w:t xml:space="preserve"> Además de la estabilidad financiera, el desarrollo financiero depende de la eficiencia de la intermediación financiera para incrementar la capacidad del sistema de financiar proyectos de mayor rentabilidad y riesgo</w:t>
      </w:r>
      <w:r>
        <w:rPr>
          <w:rStyle w:val="FootnoteReference"/>
          <w:rFonts w:ascii="Arial" w:hAnsi="Arial" w:cs="Arial"/>
          <w:sz w:val="22"/>
        </w:rPr>
        <w:footnoteReference w:id="19"/>
      </w:r>
      <w:r w:rsidRPr="00BE5FEF">
        <w:rPr>
          <w:rFonts w:ascii="Arial" w:hAnsi="Arial" w:cs="Arial"/>
          <w:sz w:val="22"/>
          <w:lang w:val="es-ES_tradnl"/>
        </w:rPr>
        <w:t xml:space="preserve">. </w:t>
      </w:r>
      <w:r>
        <w:rPr>
          <w:rFonts w:ascii="Arial" w:hAnsi="Arial" w:cs="Arial"/>
          <w:sz w:val="22"/>
          <w:lang w:val="es-ES_tradnl"/>
        </w:rPr>
        <w:t xml:space="preserve">Para que la intermediación financiera pueda asignar de manera eficiente los recursos de una economía hacia los proyectos más productivos, es necesario contar con </w:t>
      </w:r>
      <w:r w:rsidRPr="00221656">
        <w:rPr>
          <w:rFonts w:ascii="Arial" w:hAnsi="Arial" w:cs="Arial"/>
          <w:sz w:val="22"/>
          <w:lang w:val="es-ES_tradnl"/>
        </w:rPr>
        <w:t xml:space="preserve">instituciones que promuevan un entorno de información creíble y accesible, que facilite que las entidades bancarias, o los agentes del mercado de capitales (fondos de pensiones, de inversión u otros), puedan tomar sus decisiones de crédito e inversión de la manera más informada posible, incrementando su capacidad de detectar los proyectos con el mejor perfil riesgo-rentabilidad. Al mismo tiempo, el buen funcionamiento </w:t>
      </w:r>
      <w:r>
        <w:rPr>
          <w:rFonts w:ascii="Arial" w:hAnsi="Arial" w:cs="Arial"/>
          <w:sz w:val="22"/>
          <w:lang w:val="es-ES_tradnl"/>
        </w:rPr>
        <w:t xml:space="preserve">de la intermediación financiera </w:t>
      </w:r>
      <w:r w:rsidRPr="00221656">
        <w:rPr>
          <w:rFonts w:ascii="Arial" w:hAnsi="Arial" w:cs="Arial"/>
          <w:sz w:val="22"/>
          <w:lang w:val="es-ES_tradnl"/>
        </w:rPr>
        <w:t>depende de instituciones capaces de garantizar de manera efectiva y eficiente el cumplimiento de los contratos financieros, para reducir el costo de financiamiento o hacer factible el financiamiento basad</w:t>
      </w:r>
      <w:r>
        <w:rPr>
          <w:rFonts w:ascii="Arial" w:hAnsi="Arial" w:cs="Arial"/>
          <w:sz w:val="22"/>
          <w:lang w:val="es-ES_tradnl"/>
        </w:rPr>
        <w:t>o en esquemas de colateral (</w:t>
      </w:r>
      <w:r w:rsidRPr="00221656">
        <w:rPr>
          <w:rFonts w:ascii="Arial" w:hAnsi="Arial" w:cs="Arial"/>
          <w:sz w:val="22"/>
          <w:lang w:val="es-ES_tradnl"/>
        </w:rPr>
        <w:t>por ejemplo, la financiación estructurada) que faciliten el financiamiento a largo plazo</w:t>
      </w:r>
      <w:r>
        <w:rPr>
          <w:rStyle w:val="FootnoteReference"/>
          <w:rFonts w:ascii="Arial" w:hAnsi="Arial" w:cs="Arial"/>
          <w:sz w:val="22"/>
          <w:lang w:val="es-ES_tradnl"/>
        </w:rPr>
        <w:footnoteReference w:id="20"/>
      </w:r>
      <w:r w:rsidR="00B36857">
        <w:rPr>
          <w:rFonts w:ascii="Arial" w:hAnsi="Arial" w:cs="Arial"/>
          <w:sz w:val="22"/>
          <w:lang w:val="es-ES_tradnl"/>
        </w:rPr>
        <w:t>.</w:t>
      </w:r>
    </w:p>
    <w:p w14:paraId="06DC3D91" w14:textId="01C848B3" w:rsidR="00BE5FEF" w:rsidRDefault="00BE5FEF" w:rsidP="0080190C">
      <w:pPr>
        <w:pStyle w:val="Paragraph"/>
        <w:tabs>
          <w:tab w:val="clear" w:pos="2448"/>
          <w:tab w:val="num" w:pos="720"/>
        </w:tabs>
        <w:ind w:left="720" w:hanging="720"/>
        <w:rPr>
          <w:rFonts w:ascii="Arial" w:hAnsi="Arial" w:cs="Arial"/>
          <w:sz w:val="22"/>
          <w:lang w:val="es-ES_tradnl"/>
        </w:rPr>
      </w:pPr>
      <w:r w:rsidRPr="00BE5FEF">
        <w:rPr>
          <w:rFonts w:ascii="Arial" w:hAnsi="Arial" w:cs="Arial"/>
          <w:sz w:val="22"/>
          <w:lang w:val="es-ES_tradnl"/>
        </w:rPr>
        <w:lastRenderedPageBreak/>
        <w:t>El sistema financiero paraguayo es relativamente líquido, pero presenta una brecha en materia de profundidad si se compara con otros países de ALC. En 2015, el crédito al sector privado como porcentaje del PIB alcanzó el 57,9%, ubicándose por delante de países como Argentina (14,7%) y Uruguay (30%), pero rezagado respecto a Brasil (67,9%), Chile (111%) y el promedio de los países de ingreso medio (97%)</w:t>
      </w:r>
      <w:r w:rsidRPr="006D4B46">
        <w:rPr>
          <w:rStyle w:val="FootnoteReference"/>
          <w:rFonts w:ascii="Arial" w:hAnsi="Arial" w:cs="Arial"/>
          <w:sz w:val="22"/>
        </w:rPr>
        <w:footnoteReference w:id="21"/>
      </w:r>
      <w:r w:rsidRPr="00BE5FEF">
        <w:rPr>
          <w:rFonts w:ascii="Arial" w:hAnsi="Arial" w:cs="Arial"/>
          <w:sz w:val="22"/>
          <w:lang w:val="es-ES_tradnl"/>
        </w:rPr>
        <w:t xml:space="preserve">. La eficiencia de la intermediación es baja en términos comparados: en el decenio 2006-2015 el margen de interés neto en el país se ubicó cerca del 20%, casi el triple que el promedio de los países de renta media y los países de ALC. A su vez, la protección de los derechos de prestatarios y prestamistas es débil: en 2017, Paraguay se ubicó en la posición 137/190 del ranking </w:t>
      </w:r>
      <w:proofErr w:type="spellStart"/>
      <w:r w:rsidRPr="00BE5FEF">
        <w:rPr>
          <w:rFonts w:ascii="Arial" w:hAnsi="Arial" w:cs="Arial"/>
          <w:i/>
          <w:sz w:val="22"/>
          <w:lang w:val="es-ES_tradnl"/>
        </w:rPr>
        <w:t>Doing</w:t>
      </w:r>
      <w:proofErr w:type="spellEnd"/>
      <w:r w:rsidRPr="00BE5FEF">
        <w:rPr>
          <w:rFonts w:ascii="Arial" w:hAnsi="Arial" w:cs="Arial"/>
          <w:i/>
          <w:sz w:val="22"/>
          <w:lang w:val="es-ES_tradnl"/>
        </w:rPr>
        <w:t xml:space="preserve"> Business</w:t>
      </w:r>
      <w:r w:rsidRPr="00BE5FEF">
        <w:rPr>
          <w:rFonts w:ascii="Arial" w:hAnsi="Arial" w:cs="Arial"/>
          <w:sz w:val="22"/>
          <w:lang w:val="es-ES_tradnl"/>
        </w:rPr>
        <w:t xml:space="preserve"> en esta materia, perdiendo una posición respecto al año anterior. Todo ello se expresa en niveles muy elevados de colateral, así como también en la dificultad de acceder a financiamiento por parte de las empresas de menor tamaño relativo y aquéllas de creación reciente y de base tecnológica</w:t>
      </w:r>
      <w:r w:rsidRPr="006D4B46">
        <w:rPr>
          <w:rStyle w:val="FootnoteReference"/>
          <w:rFonts w:ascii="Arial" w:hAnsi="Arial" w:cs="Arial"/>
          <w:sz w:val="22"/>
        </w:rPr>
        <w:footnoteReference w:id="22"/>
      </w:r>
      <w:r w:rsidRPr="00BE5FEF">
        <w:rPr>
          <w:rFonts w:ascii="Arial" w:hAnsi="Arial" w:cs="Arial"/>
          <w:sz w:val="22"/>
          <w:lang w:val="es-ES_tradnl"/>
        </w:rPr>
        <w:t>. Datos disponibles evidencian que el acceso a financiamiento se encuentra especialmente restringido par</w:t>
      </w:r>
      <w:r>
        <w:rPr>
          <w:rFonts w:ascii="Arial" w:hAnsi="Arial" w:cs="Arial"/>
          <w:sz w:val="22"/>
          <w:lang w:val="es-ES_tradnl"/>
        </w:rPr>
        <w:t xml:space="preserve">a </w:t>
      </w:r>
      <w:r w:rsidR="007E2CF4">
        <w:rPr>
          <w:rFonts w:ascii="Arial" w:hAnsi="Arial" w:cs="Arial"/>
          <w:sz w:val="22"/>
          <w:lang w:val="es-ES_tradnl"/>
        </w:rPr>
        <w:t xml:space="preserve">las </w:t>
      </w:r>
      <w:proofErr w:type="spellStart"/>
      <w:r>
        <w:rPr>
          <w:rFonts w:ascii="Arial" w:hAnsi="Arial" w:cs="Arial"/>
          <w:sz w:val="22"/>
          <w:lang w:val="es-ES_tradnl"/>
        </w:rPr>
        <w:t>PyME</w:t>
      </w:r>
      <w:proofErr w:type="spellEnd"/>
      <w:r>
        <w:rPr>
          <w:rFonts w:ascii="Arial" w:hAnsi="Arial" w:cs="Arial"/>
          <w:sz w:val="22"/>
          <w:lang w:val="es-ES_tradnl"/>
        </w:rPr>
        <w:t xml:space="preserve">. Si bien representan </w:t>
      </w:r>
      <w:r w:rsidRPr="000F3DCC">
        <w:rPr>
          <w:rFonts w:ascii="Arial" w:hAnsi="Arial" w:cs="Arial"/>
          <w:sz w:val="22"/>
          <w:lang w:val="es-ES_tradnl"/>
        </w:rPr>
        <w:t>el 97,1% del total de unidades económicas del país y generan alrededor del 65,2% del empleo</w:t>
      </w:r>
      <w:r>
        <w:rPr>
          <w:rFonts w:ascii="Arial" w:hAnsi="Arial" w:cs="Arial"/>
          <w:sz w:val="22"/>
          <w:lang w:val="es-ES_tradnl"/>
        </w:rPr>
        <w:t xml:space="preserve">, menos del 30% de las pequeñas empresas y menos de la mitad de </w:t>
      </w:r>
      <w:r w:rsidRPr="000F3DCC">
        <w:rPr>
          <w:rFonts w:ascii="Arial" w:hAnsi="Arial" w:cs="Arial"/>
          <w:sz w:val="22"/>
          <w:lang w:val="es-ES_tradnl"/>
        </w:rPr>
        <w:t>las medianas empresas</w:t>
      </w:r>
      <w:r>
        <w:rPr>
          <w:rFonts w:ascii="Arial" w:hAnsi="Arial" w:cs="Arial"/>
          <w:sz w:val="22"/>
          <w:lang w:val="es-ES_tradnl"/>
        </w:rPr>
        <w:t xml:space="preserve"> acceden a financiamiento formal</w:t>
      </w:r>
      <w:r w:rsidRPr="000F3DCC">
        <w:rPr>
          <w:rFonts w:ascii="Arial" w:hAnsi="Arial" w:cs="Arial"/>
          <w:sz w:val="22"/>
          <w:vertAlign w:val="superscript"/>
          <w:lang w:val="es-ES_tradnl"/>
        </w:rPr>
        <w:footnoteReference w:id="23"/>
      </w:r>
      <w:r w:rsidRPr="000F3DCC">
        <w:rPr>
          <w:rFonts w:ascii="Arial" w:hAnsi="Arial" w:cs="Arial"/>
          <w:sz w:val="22"/>
          <w:lang w:val="es-ES_tradnl"/>
        </w:rPr>
        <w:t xml:space="preserve">. </w:t>
      </w:r>
      <w:r>
        <w:rPr>
          <w:rFonts w:ascii="Arial" w:hAnsi="Arial" w:cs="Arial"/>
          <w:sz w:val="22"/>
          <w:lang w:val="es-ES_tradnl"/>
        </w:rPr>
        <w:t xml:space="preserve">Entre las principales barreras para acceder a financiamiento, las empresas coinciden en mencionar </w:t>
      </w:r>
      <w:r w:rsidRPr="000F3DCC">
        <w:rPr>
          <w:rFonts w:ascii="Arial" w:hAnsi="Arial" w:cs="Arial"/>
          <w:sz w:val="22"/>
          <w:lang w:val="es-ES_tradnl"/>
        </w:rPr>
        <w:t xml:space="preserve">el no cumplir con los requisitos </w:t>
      </w:r>
      <w:r>
        <w:rPr>
          <w:rFonts w:ascii="Arial" w:hAnsi="Arial" w:cs="Arial"/>
          <w:sz w:val="22"/>
          <w:lang w:val="es-ES_tradnl"/>
        </w:rPr>
        <w:t>solicitados por</w:t>
      </w:r>
      <w:r w:rsidRPr="000F3DCC">
        <w:rPr>
          <w:rFonts w:ascii="Arial" w:hAnsi="Arial" w:cs="Arial"/>
          <w:sz w:val="22"/>
          <w:lang w:val="es-ES_tradnl"/>
        </w:rPr>
        <w:t xml:space="preserve"> las entidades financieras, </w:t>
      </w:r>
      <w:r>
        <w:rPr>
          <w:rFonts w:ascii="Arial" w:hAnsi="Arial" w:cs="Arial"/>
          <w:sz w:val="22"/>
          <w:lang w:val="es-ES_tradnl"/>
        </w:rPr>
        <w:t xml:space="preserve">las </w:t>
      </w:r>
      <w:r w:rsidRPr="000F3DCC">
        <w:rPr>
          <w:rFonts w:ascii="Arial" w:hAnsi="Arial" w:cs="Arial"/>
          <w:sz w:val="22"/>
          <w:lang w:val="es-ES_tradnl"/>
        </w:rPr>
        <w:t>elevadas</w:t>
      </w:r>
      <w:r>
        <w:rPr>
          <w:rFonts w:ascii="Arial" w:hAnsi="Arial" w:cs="Arial"/>
          <w:sz w:val="22"/>
          <w:lang w:val="es-ES_tradnl"/>
        </w:rPr>
        <w:t xml:space="preserve"> </w:t>
      </w:r>
      <w:r w:rsidRPr="000F3DCC">
        <w:rPr>
          <w:rFonts w:ascii="Arial" w:hAnsi="Arial" w:cs="Arial"/>
          <w:sz w:val="22"/>
          <w:lang w:val="es-ES_tradnl"/>
        </w:rPr>
        <w:t xml:space="preserve">tasas de interés </w:t>
      </w:r>
      <w:r>
        <w:rPr>
          <w:rFonts w:ascii="Arial" w:hAnsi="Arial" w:cs="Arial"/>
          <w:sz w:val="22"/>
          <w:lang w:val="es-ES_tradnl"/>
        </w:rPr>
        <w:t xml:space="preserve">y la falta de </w:t>
      </w:r>
      <w:r w:rsidRPr="000F3DCC">
        <w:rPr>
          <w:rFonts w:ascii="Arial" w:hAnsi="Arial" w:cs="Arial"/>
          <w:sz w:val="22"/>
          <w:lang w:val="es-ES_tradnl"/>
        </w:rPr>
        <w:t>colateral</w:t>
      </w:r>
      <w:r>
        <w:rPr>
          <w:rFonts w:ascii="Arial" w:hAnsi="Arial" w:cs="Arial"/>
          <w:sz w:val="22"/>
          <w:lang w:val="es-ES_tradnl"/>
        </w:rPr>
        <w:t>.</w:t>
      </w:r>
    </w:p>
    <w:p w14:paraId="61387E01" w14:textId="10CB75C1" w:rsidR="00B7120A" w:rsidRPr="00F94904" w:rsidRDefault="00F94904" w:rsidP="00B7120A">
      <w:pPr>
        <w:pStyle w:val="Chapter"/>
        <w:rPr>
          <w:rFonts w:ascii="Arial" w:hAnsi="Arial" w:cs="Arial"/>
          <w:lang w:val="es-ES_tradnl"/>
        </w:rPr>
      </w:pPr>
      <w:bookmarkStart w:id="4" w:name="_Toc489439260"/>
      <w:r w:rsidRPr="00F94904">
        <w:rPr>
          <w:rFonts w:ascii="Arial" w:hAnsi="Arial" w:cs="Arial"/>
          <w:lang w:val="es-ES_tradnl"/>
        </w:rPr>
        <w:t>Metodolo</w:t>
      </w:r>
      <w:r w:rsidR="008820C2" w:rsidRPr="00F94904">
        <w:rPr>
          <w:rFonts w:ascii="Arial" w:hAnsi="Arial" w:cs="Arial"/>
          <w:lang w:val="es-ES_tradnl"/>
        </w:rPr>
        <w:t>g</w:t>
      </w:r>
      <w:r w:rsidRPr="00F94904">
        <w:rPr>
          <w:rFonts w:ascii="Arial" w:hAnsi="Arial" w:cs="Arial"/>
          <w:lang w:val="es-ES_tradnl"/>
        </w:rPr>
        <w:t>ía</w:t>
      </w:r>
      <w:bookmarkEnd w:id="4"/>
    </w:p>
    <w:p w14:paraId="61387E02" w14:textId="34CA50E5" w:rsidR="00B7120A" w:rsidRPr="00566B1F" w:rsidRDefault="00B7120A" w:rsidP="008C30DE">
      <w:pPr>
        <w:pStyle w:val="Paragraph"/>
        <w:tabs>
          <w:tab w:val="clear" w:pos="2448"/>
          <w:tab w:val="num" w:pos="720"/>
        </w:tabs>
        <w:ind w:left="720" w:hanging="720"/>
        <w:rPr>
          <w:rFonts w:ascii="Arial" w:hAnsi="Arial" w:cs="Arial"/>
          <w:sz w:val="22"/>
          <w:lang w:val="es-ES_tradnl"/>
        </w:rPr>
      </w:pPr>
      <w:r w:rsidRPr="00566B1F">
        <w:rPr>
          <w:rFonts w:ascii="Arial" w:hAnsi="Arial" w:cs="Arial"/>
          <w:b/>
          <w:sz w:val="22"/>
          <w:lang w:val="es-ES_tradnl"/>
        </w:rPr>
        <w:t>Justificación general</w:t>
      </w:r>
      <w:r w:rsidRPr="00566B1F">
        <w:rPr>
          <w:rFonts w:ascii="Arial" w:hAnsi="Arial" w:cs="Arial"/>
          <w:sz w:val="22"/>
          <w:lang w:val="es-ES_tradnl"/>
        </w:rPr>
        <w:t xml:space="preserve">. El programa bajo consideración es complejo tanto por su diseño como por las diversas áreas que se ven involucradas en el mismo. El amplio espectro de alcance de las reformas introduce una dificultad al momento de diseñar una estrategia </w:t>
      </w:r>
      <w:r w:rsidR="00F94904" w:rsidRPr="00566B1F">
        <w:rPr>
          <w:rFonts w:ascii="Arial" w:hAnsi="Arial" w:cs="Arial"/>
          <w:sz w:val="22"/>
          <w:lang w:val="es-ES_tradnl"/>
        </w:rPr>
        <w:t xml:space="preserve">unificada </w:t>
      </w:r>
      <w:r w:rsidRPr="00566B1F">
        <w:rPr>
          <w:rFonts w:ascii="Arial" w:hAnsi="Arial" w:cs="Arial"/>
          <w:sz w:val="22"/>
          <w:lang w:val="es-ES_tradnl"/>
        </w:rPr>
        <w:t xml:space="preserve">que </w:t>
      </w:r>
      <w:r w:rsidR="00F94904" w:rsidRPr="00566B1F">
        <w:rPr>
          <w:rFonts w:ascii="Arial" w:hAnsi="Arial" w:cs="Arial"/>
          <w:sz w:val="22"/>
          <w:lang w:val="es-ES_tradnl"/>
        </w:rPr>
        <w:t>estime</w:t>
      </w:r>
      <w:r w:rsidRPr="00566B1F">
        <w:rPr>
          <w:rFonts w:ascii="Arial" w:hAnsi="Arial" w:cs="Arial"/>
          <w:sz w:val="22"/>
          <w:lang w:val="es-ES_tradnl"/>
        </w:rPr>
        <w:t xml:space="preserve"> los flujos de costos y beneficios que se esperan a partir de la implementación del mismo. La </w:t>
      </w:r>
      <w:r w:rsidR="00F94904" w:rsidRPr="00566B1F">
        <w:rPr>
          <w:rFonts w:ascii="Arial" w:hAnsi="Arial" w:cs="Arial"/>
          <w:sz w:val="22"/>
          <w:lang w:val="es-ES_tradnl"/>
        </w:rPr>
        <w:t xml:space="preserve">variedad de sectores económicos que son atendidos por las </w:t>
      </w:r>
      <w:r w:rsidRPr="00566B1F">
        <w:rPr>
          <w:rFonts w:ascii="Arial" w:hAnsi="Arial" w:cs="Arial"/>
          <w:sz w:val="22"/>
          <w:lang w:val="es-ES_tradnl"/>
        </w:rPr>
        <w:t>reformas requiere</w:t>
      </w:r>
      <w:r w:rsidR="00F94904" w:rsidRPr="00566B1F">
        <w:rPr>
          <w:rFonts w:ascii="Arial" w:hAnsi="Arial" w:cs="Arial"/>
          <w:sz w:val="22"/>
          <w:lang w:val="es-ES_tradnl"/>
        </w:rPr>
        <w:t xml:space="preserve">, por un lado, la adopción </w:t>
      </w:r>
      <w:r w:rsidR="00F94904" w:rsidRPr="00F008AA">
        <w:rPr>
          <w:rFonts w:ascii="Arial" w:hAnsi="Arial" w:cs="Arial"/>
          <w:sz w:val="22"/>
          <w:lang w:val="es-ES_tradnl"/>
        </w:rPr>
        <w:t>de dos enfoques metod</w:t>
      </w:r>
      <w:r w:rsidR="00566B1F" w:rsidRPr="00F008AA">
        <w:rPr>
          <w:rFonts w:ascii="Arial" w:hAnsi="Arial" w:cs="Arial"/>
          <w:sz w:val="22"/>
          <w:lang w:val="es-ES_tradnl"/>
        </w:rPr>
        <w:t>ológicos</w:t>
      </w:r>
      <w:r w:rsidR="00566B1F" w:rsidRPr="00566B1F">
        <w:rPr>
          <w:rFonts w:ascii="Arial" w:hAnsi="Arial" w:cs="Arial"/>
          <w:sz w:val="22"/>
          <w:lang w:val="es-ES_tradnl"/>
        </w:rPr>
        <w:t xml:space="preserve"> que evaluarán dos conjuntos de reformas con características comunes dentro de </w:t>
      </w:r>
      <w:proofErr w:type="spellStart"/>
      <w:r w:rsidR="00566B1F" w:rsidRPr="00566B1F">
        <w:rPr>
          <w:rFonts w:ascii="Arial" w:hAnsi="Arial" w:cs="Arial"/>
          <w:sz w:val="22"/>
          <w:lang w:val="es-ES_tradnl"/>
        </w:rPr>
        <w:t>si</w:t>
      </w:r>
      <w:proofErr w:type="spellEnd"/>
      <w:r w:rsidR="00566B1F" w:rsidRPr="00566B1F">
        <w:rPr>
          <w:rFonts w:ascii="Arial" w:hAnsi="Arial" w:cs="Arial"/>
          <w:sz w:val="22"/>
          <w:lang w:val="es-ES_tradnl"/>
        </w:rPr>
        <w:t>. Por otro</w:t>
      </w:r>
      <w:r w:rsidRPr="00566B1F">
        <w:rPr>
          <w:rFonts w:ascii="Arial" w:hAnsi="Arial" w:cs="Arial"/>
          <w:sz w:val="22"/>
          <w:lang w:val="es-ES_tradnl"/>
        </w:rPr>
        <w:t xml:space="preserve"> la</w:t>
      </w:r>
      <w:r w:rsidR="00566B1F" w:rsidRPr="00566B1F">
        <w:rPr>
          <w:rFonts w:ascii="Arial" w:hAnsi="Arial" w:cs="Arial"/>
          <w:sz w:val="22"/>
          <w:lang w:val="es-ES_tradnl"/>
        </w:rPr>
        <w:t>do, la</w:t>
      </w:r>
      <w:r w:rsidRPr="00566B1F">
        <w:rPr>
          <w:rFonts w:ascii="Arial" w:hAnsi="Arial" w:cs="Arial"/>
          <w:sz w:val="22"/>
          <w:lang w:val="es-ES_tradnl"/>
        </w:rPr>
        <w:t xml:space="preserve"> aceptación de una serie de simplificaciones y agregaciones </w:t>
      </w:r>
      <w:r w:rsidR="00566B1F" w:rsidRPr="00566B1F">
        <w:rPr>
          <w:rFonts w:ascii="Arial" w:hAnsi="Arial" w:cs="Arial"/>
          <w:sz w:val="22"/>
          <w:lang w:val="es-ES_tradnl"/>
        </w:rPr>
        <w:t>será necesaria si se</w:t>
      </w:r>
      <w:r w:rsidRPr="00566B1F">
        <w:rPr>
          <w:rFonts w:ascii="Arial" w:hAnsi="Arial" w:cs="Arial"/>
          <w:sz w:val="22"/>
          <w:lang w:val="es-ES_tradnl"/>
        </w:rPr>
        <w:t xml:space="preserve"> desea aproximar </w:t>
      </w:r>
      <w:r w:rsidR="00566B1F" w:rsidRPr="00566B1F">
        <w:rPr>
          <w:rFonts w:ascii="Arial" w:hAnsi="Arial" w:cs="Arial"/>
          <w:sz w:val="22"/>
          <w:lang w:val="es-ES_tradnl"/>
        </w:rPr>
        <w:t>los impactos económicos</w:t>
      </w:r>
      <w:r w:rsidRPr="00566B1F">
        <w:rPr>
          <w:rFonts w:ascii="Arial" w:hAnsi="Arial" w:cs="Arial"/>
          <w:sz w:val="22"/>
          <w:lang w:val="es-ES_tradnl"/>
        </w:rPr>
        <w:t>. En particular,</w:t>
      </w:r>
      <w:r w:rsidR="00566B1F" w:rsidRPr="00566B1F">
        <w:rPr>
          <w:rFonts w:ascii="Arial" w:hAnsi="Arial" w:cs="Arial"/>
          <w:sz w:val="22"/>
          <w:lang w:val="es-ES_tradnl"/>
        </w:rPr>
        <w:t xml:space="preserve"> para cada método,</w:t>
      </w:r>
      <w:r w:rsidRPr="00566B1F">
        <w:rPr>
          <w:rFonts w:ascii="Arial" w:hAnsi="Arial" w:cs="Arial"/>
          <w:sz w:val="22"/>
          <w:lang w:val="es-ES_tradnl"/>
        </w:rPr>
        <w:t xml:space="preserve"> ha de atenderse a las limitaciones informativas para llegar a parametrizaciones de los conceptos invo</w:t>
      </w:r>
      <w:r w:rsidR="00566B1F" w:rsidRPr="00566B1F">
        <w:rPr>
          <w:rFonts w:ascii="Arial" w:hAnsi="Arial" w:cs="Arial"/>
          <w:sz w:val="22"/>
          <w:lang w:val="es-ES_tradnl"/>
        </w:rPr>
        <w:t>lucrados en las reformas descri</w:t>
      </w:r>
      <w:r w:rsidRPr="00566B1F">
        <w:rPr>
          <w:rFonts w:ascii="Arial" w:hAnsi="Arial" w:cs="Arial"/>
          <w:sz w:val="22"/>
          <w:lang w:val="es-ES_tradnl"/>
        </w:rPr>
        <w:t xml:space="preserve">tas. </w:t>
      </w:r>
      <w:r w:rsidR="00566B1F" w:rsidRPr="00566B1F">
        <w:rPr>
          <w:rFonts w:ascii="Arial" w:hAnsi="Arial" w:cs="Arial"/>
          <w:sz w:val="22"/>
          <w:lang w:val="es-ES_tradnl"/>
        </w:rPr>
        <w:t>Considerando esto, se buscará llegar a</w:t>
      </w:r>
      <w:r w:rsidRPr="00566B1F">
        <w:rPr>
          <w:rFonts w:ascii="Arial" w:hAnsi="Arial" w:cs="Arial"/>
          <w:sz w:val="22"/>
          <w:lang w:val="es-ES_tradnl"/>
        </w:rPr>
        <w:t xml:space="preserve"> una cuantificación lo más extensa posible de las políticas apoyadas, identificando parámetros que </w:t>
      </w:r>
      <w:r w:rsidR="00566B1F" w:rsidRPr="00566B1F">
        <w:rPr>
          <w:rFonts w:ascii="Arial" w:hAnsi="Arial" w:cs="Arial"/>
          <w:sz w:val="22"/>
          <w:lang w:val="es-ES_tradnl"/>
        </w:rPr>
        <w:t>resultan de</w:t>
      </w:r>
      <w:r w:rsidRPr="00566B1F">
        <w:rPr>
          <w:rFonts w:ascii="Arial" w:hAnsi="Arial" w:cs="Arial"/>
          <w:sz w:val="22"/>
          <w:lang w:val="es-ES_tradnl"/>
        </w:rPr>
        <w:t xml:space="preserve"> la agregación de información. </w:t>
      </w:r>
    </w:p>
    <w:p w14:paraId="16EA2165" w14:textId="46C829AB" w:rsidR="00CF09E4" w:rsidRPr="00CF09E4" w:rsidRDefault="00DC74C7" w:rsidP="008C30DE">
      <w:pPr>
        <w:pStyle w:val="Paragraph"/>
        <w:tabs>
          <w:tab w:val="clear" w:pos="2448"/>
          <w:tab w:val="num" w:pos="720"/>
        </w:tabs>
        <w:ind w:left="720" w:hanging="720"/>
        <w:rPr>
          <w:rFonts w:ascii="Arial" w:hAnsi="Arial" w:cs="Arial"/>
          <w:sz w:val="22"/>
          <w:lang w:val="es-ES_tradnl"/>
        </w:rPr>
      </w:pPr>
      <w:r w:rsidRPr="00CF09E4">
        <w:rPr>
          <w:rFonts w:ascii="Arial" w:hAnsi="Arial" w:cs="Arial"/>
          <w:sz w:val="22"/>
          <w:lang w:val="es-ES_tradnl"/>
        </w:rPr>
        <w:lastRenderedPageBreak/>
        <w:t xml:space="preserve">La primera de las </w:t>
      </w:r>
      <w:r w:rsidR="00EF1742" w:rsidRPr="00CF09E4">
        <w:rPr>
          <w:rFonts w:ascii="Arial" w:hAnsi="Arial" w:cs="Arial"/>
          <w:sz w:val="22"/>
          <w:lang w:val="es-ES_tradnl"/>
        </w:rPr>
        <w:t>metodologías</w:t>
      </w:r>
      <w:r w:rsidRPr="00CF09E4">
        <w:rPr>
          <w:rFonts w:ascii="Arial" w:hAnsi="Arial" w:cs="Arial"/>
          <w:sz w:val="22"/>
          <w:lang w:val="es-ES_tradnl"/>
        </w:rPr>
        <w:t xml:space="preserve"> será empleada para las reformas </w:t>
      </w:r>
      <w:r w:rsidR="00EF1742" w:rsidRPr="00CF09E4">
        <w:rPr>
          <w:rFonts w:ascii="Arial" w:hAnsi="Arial" w:cs="Arial"/>
          <w:sz w:val="22"/>
          <w:lang w:val="es-ES_tradnl"/>
        </w:rPr>
        <w:t xml:space="preserve">vinculadas al sector financiero y </w:t>
      </w:r>
      <w:r w:rsidR="00531C70">
        <w:rPr>
          <w:rFonts w:ascii="Arial" w:hAnsi="Arial" w:cs="Arial"/>
          <w:sz w:val="22"/>
          <w:lang w:val="es-ES_tradnl"/>
        </w:rPr>
        <w:t>e institucionalidad del financiamiento</w:t>
      </w:r>
      <w:r w:rsidR="00EF1742" w:rsidRPr="00CF09E4">
        <w:rPr>
          <w:rFonts w:ascii="Arial" w:hAnsi="Arial" w:cs="Arial"/>
          <w:sz w:val="22"/>
          <w:lang w:val="es-ES_tradnl"/>
        </w:rPr>
        <w:t xml:space="preserve">. Esta consiste en la utilización de un modelo estructural que permite acomodar dentro de su estructura las </w:t>
      </w:r>
      <w:r w:rsidR="00CF09E4" w:rsidRPr="00CF09E4">
        <w:rPr>
          <w:rFonts w:ascii="Arial" w:hAnsi="Arial" w:cs="Arial"/>
          <w:sz w:val="22"/>
          <w:lang w:val="es-ES_tradnl"/>
        </w:rPr>
        <w:t>alteraciones requeridas</w:t>
      </w:r>
      <w:r w:rsidR="00EF1742" w:rsidRPr="00CF09E4">
        <w:rPr>
          <w:rFonts w:ascii="Arial" w:hAnsi="Arial" w:cs="Arial"/>
          <w:sz w:val="22"/>
          <w:lang w:val="es-ES_tradnl"/>
        </w:rPr>
        <w:t xml:space="preserve"> para simular los cambios de política correspondientes al grupo de reformas mencionado. En este caso, una dificultad no menor es la de disponer de información suficiente y pertinente que permita cuantificar los parámetros relevantes en el modelo. En este caso se propone un modelo de equilibrio general, pertinente para economías en desarrollo y que permite aproximar las políticas bajo consideración. Más aún, dicho modelo ya ha sido utilizado para analizar economías de la </w:t>
      </w:r>
      <w:r w:rsidR="00CF09E4" w:rsidRPr="00CF09E4">
        <w:rPr>
          <w:rFonts w:ascii="Arial" w:hAnsi="Arial" w:cs="Arial"/>
          <w:sz w:val="22"/>
          <w:lang w:val="es-ES_tradnl"/>
        </w:rPr>
        <w:t>región,</w:t>
      </w:r>
      <w:r w:rsidR="00EF1742" w:rsidRPr="00CF09E4">
        <w:rPr>
          <w:rFonts w:ascii="Arial" w:hAnsi="Arial" w:cs="Arial"/>
          <w:sz w:val="22"/>
          <w:lang w:val="es-ES_tradnl"/>
        </w:rPr>
        <w:t xml:space="preserve"> así como para otros países en vías de desarrollo. Más aún, los datos necesarios para el análisis se encuentran disponibles y planificados en períodos adecuados para el análisis. </w:t>
      </w:r>
    </w:p>
    <w:p w14:paraId="61387E03" w14:textId="539A96EF" w:rsidR="00B7120A" w:rsidRPr="00CF09E4" w:rsidRDefault="00CF09E4" w:rsidP="008C30DE">
      <w:pPr>
        <w:pStyle w:val="Paragraph"/>
        <w:tabs>
          <w:tab w:val="clear" w:pos="2448"/>
          <w:tab w:val="num" w:pos="720"/>
        </w:tabs>
        <w:ind w:left="720" w:hanging="720"/>
        <w:rPr>
          <w:rFonts w:ascii="Arial" w:hAnsi="Arial" w:cs="Arial"/>
          <w:sz w:val="22"/>
          <w:lang w:val="es-ES_tradnl"/>
        </w:rPr>
      </w:pPr>
      <w:r w:rsidRPr="00CF09E4">
        <w:rPr>
          <w:rFonts w:ascii="Arial" w:hAnsi="Arial" w:cs="Arial"/>
          <w:sz w:val="22"/>
          <w:lang w:val="es-ES_tradnl"/>
        </w:rPr>
        <w:t>Por otro lado, para</w:t>
      </w:r>
      <w:r w:rsidR="00EF1742" w:rsidRPr="00CF09E4">
        <w:rPr>
          <w:rFonts w:ascii="Arial" w:hAnsi="Arial" w:cs="Arial"/>
          <w:sz w:val="22"/>
          <w:lang w:val="es-ES_tradnl"/>
        </w:rPr>
        <w:t xml:space="preserve"> el grupo de reformas vinculadas a transparencia, se adoptará un enfoque basado en equilibrio parcial. Si bien este enfoque no permite evaluar las interacciones </w:t>
      </w:r>
      <w:r w:rsidRPr="00CF09E4">
        <w:rPr>
          <w:rFonts w:ascii="Arial" w:hAnsi="Arial" w:cs="Arial"/>
          <w:sz w:val="22"/>
          <w:lang w:val="es-ES_tradnl"/>
        </w:rPr>
        <w:t>con las otras reformas, permite beneficiarse de una mayor flexibilidad para acceder a más fuentes de datos. Para este subcomponente del programa, la estimación de los beneficios se basará en las elasticidades estimadas por la extensa literatura empírica del sector</w:t>
      </w:r>
      <w:r w:rsidR="008E06BF">
        <w:rPr>
          <w:rFonts w:ascii="Arial" w:hAnsi="Arial" w:cs="Arial"/>
          <w:sz w:val="22"/>
          <w:lang w:val="es-ES_tradnl"/>
        </w:rPr>
        <w:t>. No obstante, es importante destacar que un importante beneficio de un mayor nivel de transparencia es el de una reducción de los costos de transacción para la economía. Como se justificará más adelante, este canal en particular puede ser integrado dentro del modelo de equilibrio general utilizado para evaluar el otro grupo de políticas.</w:t>
      </w:r>
    </w:p>
    <w:p w14:paraId="61387E04" w14:textId="5ADE6B55" w:rsidR="00B7120A" w:rsidRPr="00FA6F01" w:rsidRDefault="00B7120A" w:rsidP="008C30DE">
      <w:pPr>
        <w:pStyle w:val="Paragraph"/>
        <w:tabs>
          <w:tab w:val="clear" w:pos="2448"/>
          <w:tab w:val="num" w:pos="720"/>
        </w:tabs>
        <w:ind w:left="720" w:hanging="720"/>
        <w:rPr>
          <w:rFonts w:ascii="Arial" w:hAnsi="Arial" w:cs="Arial"/>
          <w:sz w:val="22"/>
          <w:lang w:val="es-ES_tradnl"/>
        </w:rPr>
      </w:pPr>
      <w:r w:rsidRPr="00FA6F01">
        <w:rPr>
          <w:rFonts w:ascii="Arial" w:hAnsi="Arial" w:cs="Arial"/>
          <w:b/>
          <w:sz w:val="22"/>
          <w:lang w:val="es-ES_tradnl"/>
        </w:rPr>
        <w:t>Literatura relacionada</w:t>
      </w:r>
      <w:r w:rsidR="00D608E0" w:rsidRPr="00FA6F01">
        <w:rPr>
          <w:rFonts w:ascii="Arial" w:hAnsi="Arial" w:cs="Arial"/>
          <w:b/>
          <w:sz w:val="22"/>
          <w:lang w:val="es-ES_tradnl"/>
        </w:rPr>
        <w:t xml:space="preserve"> y naturaleza de las relaciones</w:t>
      </w:r>
      <w:r w:rsidRPr="00FA6F01">
        <w:rPr>
          <w:rFonts w:ascii="Arial" w:hAnsi="Arial" w:cs="Arial"/>
          <w:sz w:val="22"/>
          <w:lang w:val="es-ES_tradnl"/>
        </w:rPr>
        <w:t xml:space="preserve">. Uno de los aspectos que fundamentan y orientan </w:t>
      </w:r>
      <w:r w:rsidR="00FA6F01" w:rsidRPr="00FA6F01">
        <w:rPr>
          <w:rFonts w:ascii="Arial" w:hAnsi="Arial" w:cs="Arial"/>
          <w:sz w:val="22"/>
          <w:lang w:val="es-ES_tradnl"/>
        </w:rPr>
        <w:t xml:space="preserve">un conjunto </w:t>
      </w:r>
      <w:r w:rsidR="000A00F8" w:rsidRPr="00FA6F01">
        <w:rPr>
          <w:rFonts w:ascii="Arial" w:hAnsi="Arial" w:cs="Arial"/>
          <w:sz w:val="22"/>
          <w:lang w:val="es-ES_tradnl"/>
        </w:rPr>
        <w:t>de políticas</w:t>
      </w:r>
      <w:r w:rsidRPr="00FA6F01">
        <w:rPr>
          <w:rFonts w:ascii="Arial" w:hAnsi="Arial" w:cs="Arial"/>
          <w:sz w:val="22"/>
          <w:lang w:val="es-ES_tradnl"/>
        </w:rPr>
        <w:t xml:space="preserve"> apoyadas por el presente préstamo es la existencia de una relación causal entre la intermediación financiera y el crecimiento. Esta relación puede detectarse rápidamente en los datos, sin </w:t>
      </w:r>
      <w:r w:rsidR="00845D85" w:rsidRPr="00FA6F01">
        <w:rPr>
          <w:rFonts w:ascii="Arial" w:hAnsi="Arial" w:cs="Arial"/>
          <w:sz w:val="22"/>
          <w:lang w:val="es-ES_tradnl"/>
        </w:rPr>
        <w:t>embargo,</w:t>
      </w:r>
      <w:r w:rsidRPr="00FA6F01">
        <w:rPr>
          <w:rFonts w:ascii="Arial" w:hAnsi="Arial" w:cs="Arial"/>
          <w:sz w:val="22"/>
          <w:lang w:val="es-ES_tradnl"/>
        </w:rPr>
        <w:t xml:space="preserve"> como es reconocido, la simple asociación no indica necesariamente la presencia de relaciones causales. Un tratamiento riguroso de este problema se encuentra en </w:t>
      </w:r>
      <w:proofErr w:type="spellStart"/>
      <w:r w:rsidRPr="00FA6F01">
        <w:rPr>
          <w:rFonts w:ascii="Arial" w:hAnsi="Arial" w:cs="Arial"/>
          <w:sz w:val="22"/>
          <w:lang w:val="es-ES_tradnl"/>
        </w:rPr>
        <w:t>Levine</w:t>
      </w:r>
      <w:proofErr w:type="spellEnd"/>
      <w:r w:rsidRPr="00FA6F01">
        <w:rPr>
          <w:rFonts w:ascii="Arial" w:hAnsi="Arial" w:cs="Arial"/>
          <w:sz w:val="22"/>
          <w:lang w:val="es-ES_tradnl"/>
        </w:rPr>
        <w:t xml:space="preserve"> y otros (2000</w:t>
      </w:r>
      <w:r w:rsidR="00FA6F01" w:rsidRPr="00FA6F01">
        <w:rPr>
          <w:rFonts w:ascii="Arial" w:hAnsi="Arial" w:cs="Arial"/>
          <w:sz w:val="22"/>
          <w:lang w:val="es-ES_tradnl"/>
        </w:rPr>
        <w:t>).</w:t>
      </w:r>
      <w:r w:rsidRPr="00FA6F01">
        <w:rPr>
          <w:rFonts w:ascii="Arial" w:hAnsi="Arial" w:cs="Arial"/>
          <w:sz w:val="22"/>
          <w:lang w:val="es-ES_tradnl"/>
        </w:rPr>
        <w:t xml:space="preserve"> Este trabajo evalúa si el componente exógeno del desarrollo de intermediación financiera </w:t>
      </w:r>
      <w:r w:rsidR="00FA6F01" w:rsidRPr="00FA6F01">
        <w:rPr>
          <w:rFonts w:ascii="Arial" w:hAnsi="Arial" w:cs="Arial"/>
          <w:sz w:val="22"/>
          <w:lang w:val="es-ES_tradnl"/>
        </w:rPr>
        <w:t>afecta el</w:t>
      </w:r>
      <w:r w:rsidRPr="00FA6F01">
        <w:rPr>
          <w:rFonts w:ascii="Arial" w:hAnsi="Arial" w:cs="Arial"/>
          <w:sz w:val="22"/>
          <w:lang w:val="es-ES_tradnl"/>
        </w:rPr>
        <w:t xml:space="preserve"> crecimiento económico; </w:t>
      </w:r>
      <w:r w:rsidR="00FA6F01" w:rsidRPr="00FA6F01">
        <w:rPr>
          <w:rFonts w:ascii="Arial" w:hAnsi="Arial" w:cs="Arial"/>
          <w:sz w:val="22"/>
          <w:lang w:val="es-ES_tradnl"/>
        </w:rPr>
        <w:t>adicionalmente, dicho</w:t>
      </w:r>
      <w:r w:rsidRPr="00FA6F01">
        <w:rPr>
          <w:rFonts w:ascii="Arial" w:hAnsi="Arial" w:cs="Arial"/>
          <w:sz w:val="22"/>
          <w:lang w:val="es-ES_tradnl"/>
        </w:rPr>
        <w:t xml:space="preserve"> trabajo también explora el impacto de elementos tales como la protección de acreedores, </w:t>
      </w:r>
      <w:proofErr w:type="spellStart"/>
      <w:r w:rsidRPr="00FA6F01">
        <w:rPr>
          <w:rFonts w:ascii="Arial" w:hAnsi="Arial" w:cs="Arial"/>
          <w:sz w:val="22"/>
          <w:lang w:val="es-ES_tradnl"/>
        </w:rPr>
        <w:t>ejecutabilidad</w:t>
      </w:r>
      <w:proofErr w:type="spellEnd"/>
      <w:r w:rsidRPr="00FA6F01">
        <w:rPr>
          <w:rFonts w:ascii="Arial" w:hAnsi="Arial" w:cs="Arial"/>
          <w:sz w:val="22"/>
          <w:lang w:val="es-ES_tradnl"/>
        </w:rPr>
        <w:t xml:space="preserve"> de contratos, y estándares contables impacto sobre el nivel de desarrollo financiero. Este estudio de </w:t>
      </w:r>
      <w:proofErr w:type="spellStart"/>
      <w:r w:rsidRPr="00FA6F01">
        <w:rPr>
          <w:rFonts w:ascii="Arial" w:hAnsi="Arial" w:cs="Arial"/>
          <w:sz w:val="22"/>
          <w:lang w:val="es-ES_tradnl"/>
        </w:rPr>
        <w:t>Levine</w:t>
      </w:r>
      <w:proofErr w:type="spellEnd"/>
      <w:r w:rsidRPr="00FA6F01">
        <w:rPr>
          <w:rFonts w:ascii="Arial" w:hAnsi="Arial" w:cs="Arial"/>
          <w:sz w:val="22"/>
          <w:lang w:val="es-ES_tradnl"/>
        </w:rPr>
        <w:t xml:space="preserve"> y otros encuentra evidencia a favor de dichas hipótesis. Una pregunta similar es explorada por Rajan y </w:t>
      </w:r>
      <w:proofErr w:type="spellStart"/>
      <w:r w:rsidRPr="00FA6F01">
        <w:rPr>
          <w:rFonts w:ascii="Arial" w:hAnsi="Arial" w:cs="Arial"/>
          <w:sz w:val="22"/>
          <w:lang w:val="es-ES_tradnl"/>
        </w:rPr>
        <w:t>Zingales</w:t>
      </w:r>
      <w:proofErr w:type="spellEnd"/>
      <w:r w:rsidRPr="00FA6F01">
        <w:rPr>
          <w:rFonts w:ascii="Arial" w:hAnsi="Arial" w:cs="Arial"/>
          <w:sz w:val="22"/>
          <w:lang w:val="es-ES_tradnl"/>
        </w:rPr>
        <w:t xml:space="preserve"> (1998</w:t>
      </w:r>
      <w:r w:rsidR="00FA6F01" w:rsidRPr="00FA6F01">
        <w:rPr>
          <w:rFonts w:ascii="Arial" w:hAnsi="Arial" w:cs="Arial"/>
          <w:sz w:val="22"/>
          <w:lang w:val="es-ES_tradnl"/>
        </w:rPr>
        <w:t>).</w:t>
      </w:r>
      <w:r w:rsidRPr="00FA6F01">
        <w:rPr>
          <w:rFonts w:ascii="Arial" w:hAnsi="Arial" w:cs="Arial"/>
          <w:sz w:val="22"/>
          <w:lang w:val="es-ES_tradnl"/>
        </w:rPr>
        <w:t xml:space="preserve"> En este trabajo los autores exploran el efecto de cambios exógenos en la disponibilidad de crédito y el crecimiento de sectores industriales, encontrando evidencia de que el desarrollo financiero tiene un efecto significativo sobre el crecimiento. En otro estudio relacionado, Beck y otros (2008) exploran nuevamente la relación crédito-crecimiento y encuentra, en particular, que el efecto del desarrollo financiero es particularmente importante para las pequeñas empresas. Finalmente, dentro de la literatura que explora los efectos del desarrollo financiero sobre el crecimiento, cabe citar a </w:t>
      </w:r>
      <w:proofErr w:type="spellStart"/>
      <w:r w:rsidRPr="00FA6F01">
        <w:rPr>
          <w:rFonts w:ascii="Arial" w:hAnsi="Arial" w:cs="Arial"/>
          <w:sz w:val="22"/>
          <w:lang w:val="es-ES_tradnl"/>
        </w:rPr>
        <w:t>Greenwood</w:t>
      </w:r>
      <w:proofErr w:type="spellEnd"/>
      <w:r w:rsidRPr="00FA6F01">
        <w:rPr>
          <w:rFonts w:ascii="Arial" w:hAnsi="Arial" w:cs="Arial"/>
          <w:sz w:val="22"/>
          <w:lang w:val="es-ES_tradnl"/>
        </w:rPr>
        <w:t xml:space="preserve"> y otros (2012), que explora los efectos de una mayor eficiencia de intermediación sobre el crecimiento calibrando un modelo de equilibrio general; en este caso, los resultados nuevamente señalan una relación positiva. </w:t>
      </w:r>
      <w:r w:rsidR="005B5CC8" w:rsidRPr="00FA6F01">
        <w:rPr>
          <w:rFonts w:ascii="Arial" w:hAnsi="Arial" w:cs="Arial"/>
          <w:sz w:val="22"/>
          <w:lang w:val="es-ES_tradnl"/>
        </w:rPr>
        <w:t xml:space="preserve">Más recientemente, </w:t>
      </w:r>
      <w:proofErr w:type="spellStart"/>
      <w:r w:rsidR="000741E0" w:rsidRPr="00FA6F01">
        <w:rPr>
          <w:rFonts w:ascii="Arial" w:hAnsi="Arial" w:cs="Arial"/>
          <w:sz w:val="22"/>
          <w:lang w:val="es-ES_tradnl"/>
        </w:rPr>
        <w:lastRenderedPageBreak/>
        <w:t>Garcia</w:t>
      </w:r>
      <w:r w:rsidR="007E2CF4">
        <w:rPr>
          <w:rFonts w:ascii="Arial" w:hAnsi="Arial" w:cs="Arial"/>
          <w:sz w:val="22"/>
          <w:lang w:val="es-ES_tradnl"/>
        </w:rPr>
        <w:t>˗</w:t>
      </w:r>
      <w:r w:rsidR="000741E0" w:rsidRPr="00FA6F01">
        <w:rPr>
          <w:rFonts w:ascii="Arial" w:hAnsi="Arial" w:cs="Arial"/>
          <w:sz w:val="22"/>
          <w:lang w:val="es-ES_tradnl"/>
        </w:rPr>
        <w:t>Escribano</w:t>
      </w:r>
      <w:proofErr w:type="spellEnd"/>
      <w:r w:rsidR="000741E0" w:rsidRPr="00FA6F01">
        <w:rPr>
          <w:rFonts w:ascii="Arial" w:hAnsi="Arial" w:cs="Arial"/>
          <w:sz w:val="22"/>
          <w:lang w:val="es-ES_tradnl"/>
        </w:rPr>
        <w:t xml:space="preserve"> and Han</w:t>
      </w:r>
      <w:r w:rsidR="005B5CC8" w:rsidRPr="00FA6F01">
        <w:rPr>
          <w:rFonts w:ascii="Arial" w:hAnsi="Arial" w:cs="Arial"/>
          <w:sz w:val="22"/>
          <w:lang w:val="es-ES_tradnl"/>
        </w:rPr>
        <w:t xml:space="preserve"> (2015) también presenta evidencia de un impacto significativo de la expansión de crédito en el crecimiento de la economía</w:t>
      </w:r>
      <w:r w:rsidR="000741E0" w:rsidRPr="00FA6F01">
        <w:rPr>
          <w:rStyle w:val="FootnoteReference"/>
          <w:rFonts w:ascii="Arial" w:hAnsi="Arial" w:cs="Arial"/>
          <w:sz w:val="22"/>
          <w:lang w:val="es-ES_tradnl"/>
        </w:rPr>
        <w:footnoteReference w:id="24"/>
      </w:r>
      <w:r w:rsidR="005B5CC8" w:rsidRPr="00FA6F01">
        <w:rPr>
          <w:rFonts w:ascii="Arial" w:hAnsi="Arial" w:cs="Arial"/>
          <w:sz w:val="22"/>
          <w:lang w:val="es-ES_tradnl"/>
        </w:rPr>
        <w:t xml:space="preserve">. </w:t>
      </w:r>
    </w:p>
    <w:p w14:paraId="61387E05" w14:textId="7DDC8558" w:rsidR="00B7120A" w:rsidRPr="00FA6F01" w:rsidRDefault="00B7120A" w:rsidP="008C30DE">
      <w:pPr>
        <w:pStyle w:val="Paragraph"/>
        <w:tabs>
          <w:tab w:val="clear" w:pos="2448"/>
          <w:tab w:val="num" w:pos="720"/>
        </w:tabs>
        <w:ind w:left="720" w:hanging="720"/>
        <w:rPr>
          <w:rFonts w:ascii="Arial" w:hAnsi="Arial" w:cs="Arial"/>
          <w:sz w:val="22"/>
          <w:lang w:val="es-ES_tradnl"/>
        </w:rPr>
      </w:pPr>
      <w:r w:rsidRPr="00FA6F01">
        <w:rPr>
          <w:rFonts w:ascii="Arial" w:hAnsi="Arial" w:cs="Arial"/>
          <w:sz w:val="22"/>
          <w:lang w:val="es-ES_tradnl"/>
        </w:rPr>
        <w:t xml:space="preserve">Otro elemento de importancia a considerar en su impacto en el acceso a crédito son las garantías. Las garantías tienden a ser usadas para reducir los problemas asociados a la exigencia de información asimétrica, sirviendo como señal sobre las características del prestatario y también para alienar parcialmente los incentivos con los del acreedor. Siguiendo de cerca la discusión inicial en </w:t>
      </w:r>
      <w:proofErr w:type="spellStart"/>
      <w:r w:rsidRPr="00FA6F01">
        <w:rPr>
          <w:rFonts w:ascii="Arial" w:hAnsi="Arial" w:cs="Arial"/>
          <w:sz w:val="22"/>
          <w:lang w:val="es-ES_tradnl"/>
        </w:rPr>
        <w:t>Hanedar</w:t>
      </w:r>
      <w:proofErr w:type="spellEnd"/>
      <w:r w:rsidRPr="00FA6F01">
        <w:rPr>
          <w:rFonts w:ascii="Arial" w:hAnsi="Arial" w:cs="Arial"/>
          <w:sz w:val="22"/>
          <w:lang w:val="es-ES_tradnl"/>
        </w:rPr>
        <w:t xml:space="preserve"> y otros (2014) cabe señalar que los requerimientos de garantías son más severos en los países en desarrollo debido en parte a sus sistemas financieros, con alta opacidad informativa y débiles procesos de ejecución. Adicionalmente, tal como es señalado por </w:t>
      </w:r>
      <w:proofErr w:type="spellStart"/>
      <w:r w:rsidRPr="00FA6F01">
        <w:rPr>
          <w:rFonts w:ascii="Arial" w:hAnsi="Arial" w:cs="Arial"/>
          <w:sz w:val="22"/>
          <w:lang w:val="es-ES_tradnl"/>
        </w:rPr>
        <w:t>Menkhoff</w:t>
      </w:r>
      <w:proofErr w:type="spellEnd"/>
      <w:r w:rsidRPr="00FA6F01">
        <w:rPr>
          <w:rFonts w:ascii="Arial" w:hAnsi="Arial" w:cs="Arial"/>
          <w:sz w:val="22"/>
          <w:lang w:val="es-ES_tradnl"/>
        </w:rPr>
        <w:t xml:space="preserve"> y otros (2012), las dificultades en la utilización de garantías como instrumento en transacciones financieras puede llevar a cambiar las características de los préstamos involucrados, descansando en parte en cambios en los plazos, tamaño del préstamo, restricciones de uso, y descansando más en el uso de información privada generada por la existencia de relaciones crediticias precedentes. Es entonces que la posibilidad de utilizar garantías afecta el acceso al crédito y, por tanto, se afectan las perspectivas de crecimiento. </w:t>
      </w:r>
    </w:p>
    <w:p w14:paraId="61387E06" w14:textId="3F03773A" w:rsidR="00B7120A" w:rsidRPr="00C138D8" w:rsidRDefault="00B7120A" w:rsidP="008C30DE">
      <w:pPr>
        <w:pStyle w:val="Paragraph"/>
        <w:tabs>
          <w:tab w:val="clear" w:pos="2448"/>
          <w:tab w:val="num" w:pos="720"/>
        </w:tabs>
        <w:ind w:left="720" w:hanging="720"/>
        <w:rPr>
          <w:rFonts w:ascii="Arial" w:hAnsi="Arial" w:cs="Arial"/>
          <w:sz w:val="22"/>
          <w:lang w:val="es-ES_tradnl"/>
        </w:rPr>
      </w:pPr>
      <w:proofErr w:type="gramStart"/>
      <w:r w:rsidRPr="00FA6F01">
        <w:rPr>
          <w:rFonts w:ascii="Arial" w:hAnsi="Arial" w:cs="Arial"/>
          <w:sz w:val="22"/>
          <w:lang w:val="es-ES_tradnl"/>
        </w:rPr>
        <w:t>Un</w:t>
      </w:r>
      <w:r w:rsidR="00FA6F01" w:rsidRPr="00FA6F01">
        <w:rPr>
          <w:rFonts w:ascii="Arial" w:hAnsi="Arial" w:cs="Arial"/>
          <w:sz w:val="22"/>
          <w:lang w:val="es-ES_tradnl"/>
        </w:rPr>
        <w:t xml:space="preserve"> conjunto de políticas apoyadas por el programa pueden</w:t>
      </w:r>
      <w:proofErr w:type="gramEnd"/>
      <w:r w:rsidR="00FA6F01" w:rsidRPr="00FA6F01">
        <w:rPr>
          <w:rFonts w:ascii="Arial" w:hAnsi="Arial" w:cs="Arial"/>
          <w:sz w:val="22"/>
          <w:lang w:val="es-ES_tradnl"/>
        </w:rPr>
        <w:t xml:space="preserve"> llegar a tener un impacto positivo sobre la </w:t>
      </w:r>
      <w:r w:rsidRPr="00FA6F01">
        <w:rPr>
          <w:rFonts w:ascii="Arial" w:hAnsi="Arial" w:cs="Arial"/>
          <w:sz w:val="22"/>
          <w:lang w:val="es-ES_tradnl"/>
        </w:rPr>
        <w:t xml:space="preserve">inclusión financiera. </w:t>
      </w:r>
      <w:r w:rsidR="00FA6F01" w:rsidRPr="00FA6F01">
        <w:rPr>
          <w:rFonts w:ascii="Arial" w:hAnsi="Arial" w:cs="Arial"/>
          <w:sz w:val="22"/>
          <w:lang w:val="es-ES_tradnl"/>
        </w:rPr>
        <w:t xml:space="preserve">En particular, las vinculadas al desarrollo de </w:t>
      </w:r>
      <w:r w:rsidRPr="00FA6F01">
        <w:rPr>
          <w:rFonts w:ascii="Arial" w:hAnsi="Arial" w:cs="Arial"/>
          <w:sz w:val="22"/>
          <w:lang w:val="es-ES_tradnl"/>
        </w:rPr>
        <w:t>canales alternativos para el acceso a servicios financieros</w:t>
      </w:r>
      <w:r w:rsidR="00FA6F01" w:rsidRPr="00FA6F01">
        <w:rPr>
          <w:rFonts w:ascii="Arial" w:hAnsi="Arial" w:cs="Arial"/>
          <w:sz w:val="22"/>
          <w:lang w:val="es-ES_tradnl"/>
        </w:rPr>
        <w:t>, y promoción de préstamos a PYMES y nuevos emprendimientos</w:t>
      </w:r>
      <w:r w:rsidRPr="00FA6F01">
        <w:rPr>
          <w:rFonts w:ascii="Arial" w:hAnsi="Arial" w:cs="Arial"/>
          <w:sz w:val="22"/>
          <w:lang w:val="es-ES_tradnl"/>
        </w:rPr>
        <w:t xml:space="preserve">. La </w:t>
      </w:r>
      <w:r w:rsidR="00FA6F01" w:rsidRPr="00FA6F01">
        <w:rPr>
          <w:rFonts w:ascii="Arial" w:hAnsi="Arial" w:cs="Arial"/>
          <w:sz w:val="22"/>
          <w:lang w:val="es-ES_tradnl"/>
        </w:rPr>
        <w:t xml:space="preserve">literatura de </w:t>
      </w:r>
      <w:r w:rsidRPr="00FA6F01">
        <w:rPr>
          <w:rFonts w:ascii="Arial" w:hAnsi="Arial" w:cs="Arial"/>
          <w:sz w:val="22"/>
          <w:lang w:val="es-ES_tradnl"/>
        </w:rPr>
        <w:t xml:space="preserve">inclusión financiera </w:t>
      </w:r>
      <w:r w:rsidR="00FA6F01" w:rsidRPr="00FA6F01">
        <w:rPr>
          <w:rFonts w:ascii="Arial" w:hAnsi="Arial" w:cs="Arial"/>
          <w:sz w:val="22"/>
          <w:lang w:val="es-ES_tradnl"/>
        </w:rPr>
        <w:t xml:space="preserve">destaca que esta </w:t>
      </w:r>
      <w:r w:rsidRPr="00FA6F01">
        <w:rPr>
          <w:rFonts w:ascii="Arial" w:hAnsi="Arial" w:cs="Arial"/>
          <w:sz w:val="22"/>
          <w:lang w:val="es-ES_tradnl"/>
        </w:rPr>
        <w:t>es un fenómeno multidimensional, que involucra barreras de participación y fricciones financieras. Tal como es señalado por Beck y otros (2008</w:t>
      </w:r>
      <w:r w:rsidR="00FA6F01" w:rsidRPr="00FA6F01">
        <w:rPr>
          <w:rFonts w:ascii="Arial" w:hAnsi="Arial" w:cs="Arial"/>
          <w:sz w:val="22"/>
          <w:lang w:val="es-ES_tradnl"/>
        </w:rPr>
        <w:t>),</w:t>
      </w:r>
      <w:r w:rsidRPr="00FA6F01">
        <w:rPr>
          <w:rFonts w:ascii="Arial" w:hAnsi="Arial" w:cs="Arial"/>
          <w:sz w:val="22"/>
          <w:lang w:val="es-ES_tradnl"/>
        </w:rPr>
        <w:t xml:space="preserve"> la falta de inclusión es usualmente asociada a la </w:t>
      </w:r>
      <w:r w:rsidRPr="00F008AA">
        <w:rPr>
          <w:rFonts w:ascii="Arial" w:hAnsi="Arial" w:cs="Arial"/>
          <w:sz w:val="22"/>
          <w:lang w:val="es-ES_tradnl"/>
        </w:rPr>
        <w:t xml:space="preserve">inhabilidad de cumplir con los requisitos </w:t>
      </w:r>
      <w:r w:rsidRPr="00C138D8">
        <w:rPr>
          <w:rFonts w:ascii="Arial" w:hAnsi="Arial" w:cs="Arial"/>
          <w:sz w:val="22"/>
          <w:lang w:val="es-ES_tradnl"/>
        </w:rPr>
        <w:t xml:space="preserve">bancarios, tanto en lo que hace al pago de los costos asociados como a la entrega de documentación -punto también realizado por </w:t>
      </w:r>
      <w:proofErr w:type="spellStart"/>
      <w:r w:rsidRPr="00C138D8">
        <w:rPr>
          <w:rFonts w:ascii="Arial" w:hAnsi="Arial" w:cs="Arial"/>
          <w:sz w:val="22"/>
          <w:lang w:val="es-ES_tradnl"/>
        </w:rPr>
        <w:t>Bebczuk</w:t>
      </w:r>
      <w:proofErr w:type="spellEnd"/>
      <w:r w:rsidRPr="00C138D8">
        <w:rPr>
          <w:rFonts w:ascii="Arial" w:hAnsi="Arial" w:cs="Arial"/>
          <w:sz w:val="22"/>
          <w:lang w:val="es-ES_tradnl"/>
        </w:rPr>
        <w:t xml:space="preserve"> (2008</w:t>
      </w:r>
      <w:r w:rsidR="00FA6F01" w:rsidRPr="00C138D8">
        <w:rPr>
          <w:rFonts w:ascii="Arial" w:hAnsi="Arial" w:cs="Arial"/>
          <w:sz w:val="22"/>
          <w:lang w:val="es-ES_tradnl"/>
        </w:rPr>
        <w:t>).</w:t>
      </w:r>
      <w:r w:rsidRPr="00C138D8">
        <w:rPr>
          <w:rFonts w:ascii="Arial" w:hAnsi="Arial" w:cs="Arial"/>
          <w:sz w:val="22"/>
          <w:lang w:val="es-ES_tradnl"/>
        </w:rPr>
        <w:t xml:space="preserve"> </w:t>
      </w:r>
    </w:p>
    <w:p w14:paraId="378ED624" w14:textId="52E11E13" w:rsidR="00FA6F01" w:rsidRDefault="00F008AA" w:rsidP="008C30DE">
      <w:pPr>
        <w:pStyle w:val="Paragraph"/>
        <w:tabs>
          <w:tab w:val="clear" w:pos="2448"/>
          <w:tab w:val="num" w:pos="720"/>
        </w:tabs>
        <w:ind w:left="720" w:hanging="720"/>
        <w:rPr>
          <w:rFonts w:ascii="Arial" w:hAnsi="Arial" w:cs="Arial"/>
          <w:sz w:val="22"/>
          <w:lang w:val="es-ES_tradnl"/>
        </w:rPr>
      </w:pPr>
      <w:r w:rsidRPr="00C138D8">
        <w:rPr>
          <w:rFonts w:ascii="Arial" w:hAnsi="Arial" w:cs="Arial"/>
          <w:sz w:val="22"/>
          <w:lang w:val="es-ES_tradnl"/>
        </w:rPr>
        <w:t xml:space="preserve">Como se mencionó antes, la literatura </w:t>
      </w:r>
      <w:r w:rsidR="00FE5DA1" w:rsidRPr="00C138D8">
        <w:rPr>
          <w:rFonts w:ascii="Arial" w:hAnsi="Arial" w:cs="Arial"/>
          <w:sz w:val="22"/>
          <w:lang w:val="es-ES_tradnl"/>
        </w:rPr>
        <w:t>destaca que</w:t>
      </w:r>
      <w:r w:rsidRPr="00C138D8">
        <w:rPr>
          <w:rFonts w:ascii="Arial" w:hAnsi="Arial" w:cs="Arial"/>
          <w:sz w:val="22"/>
          <w:lang w:val="es-ES_tradnl"/>
        </w:rPr>
        <w:t xml:space="preserve"> la transparencia y la calidad institucional tienen un impacto sobre el clima de negocios, inversiones y desarrollo del sector privado</w:t>
      </w:r>
      <w:r w:rsidRPr="00C138D8">
        <w:rPr>
          <w:rStyle w:val="FootnoteReference"/>
          <w:rFonts w:ascii="Arial" w:hAnsi="Arial" w:cs="Arial"/>
          <w:sz w:val="22"/>
        </w:rPr>
        <w:footnoteReference w:id="25"/>
      </w:r>
      <w:r w:rsidRPr="00C138D8">
        <w:rPr>
          <w:rFonts w:ascii="Arial" w:hAnsi="Arial" w:cs="Arial"/>
          <w:sz w:val="22"/>
          <w:lang w:val="es-ES_tradnl"/>
        </w:rPr>
        <w:t xml:space="preserve">. La evidencia empírica muestra </w:t>
      </w:r>
      <w:r w:rsidR="00FE5DA1" w:rsidRPr="00C138D8">
        <w:rPr>
          <w:rFonts w:ascii="Arial" w:hAnsi="Arial" w:cs="Arial"/>
          <w:sz w:val="22"/>
          <w:lang w:val="es-ES_tradnl"/>
        </w:rPr>
        <w:t xml:space="preserve">asimismo </w:t>
      </w:r>
      <w:r w:rsidRPr="00C138D8">
        <w:rPr>
          <w:rFonts w:ascii="Arial" w:hAnsi="Arial" w:cs="Arial"/>
          <w:sz w:val="22"/>
          <w:lang w:val="es-ES_tradnl"/>
        </w:rPr>
        <w:t>que la productividad y el crecimiento económico de un país pueden verse afectados por la falta de transparencia e integridad</w:t>
      </w:r>
      <w:r w:rsidRPr="00C138D8">
        <w:rPr>
          <w:rStyle w:val="FootnoteReference"/>
          <w:rFonts w:ascii="Arial" w:hAnsi="Arial" w:cs="Arial"/>
          <w:sz w:val="22"/>
        </w:rPr>
        <w:footnoteReference w:id="26"/>
      </w:r>
      <w:r w:rsidRPr="00C138D8">
        <w:rPr>
          <w:rFonts w:ascii="Arial" w:hAnsi="Arial" w:cs="Arial"/>
          <w:sz w:val="22"/>
          <w:lang w:val="es-ES_tradnl"/>
        </w:rPr>
        <w:t>. Entre las causas de este tipo de problema se encuentran, por un lado, sistemas y procesos que restringen el acceso a la información, tanto a los ciudadanos como a los actores económicos e, incluso, a los órganos del estado encargados del control; y, por otro, instituciones, leyes y regulaciones con defectos de diseño o técnicos, que dan lugar a discrecionalidad</w:t>
      </w:r>
      <w:r w:rsidR="00820308" w:rsidRPr="00C138D8">
        <w:rPr>
          <w:rFonts w:ascii="Arial" w:hAnsi="Arial" w:cs="Arial"/>
          <w:sz w:val="22"/>
          <w:lang w:val="es-ES_tradnl"/>
        </w:rPr>
        <w:t>.</w:t>
      </w:r>
    </w:p>
    <w:p w14:paraId="214BA93A" w14:textId="6E38EF2F" w:rsidR="00543A4D" w:rsidRPr="00C138D8" w:rsidRDefault="00BB66BE" w:rsidP="008C30DE">
      <w:pPr>
        <w:pStyle w:val="Paragraph"/>
        <w:tabs>
          <w:tab w:val="clear" w:pos="2448"/>
          <w:tab w:val="num" w:pos="720"/>
        </w:tabs>
        <w:ind w:left="720" w:hanging="720"/>
        <w:rPr>
          <w:rFonts w:ascii="Arial" w:hAnsi="Arial" w:cs="Arial"/>
          <w:sz w:val="22"/>
          <w:lang w:val="es-ES_tradnl"/>
        </w:rPr>
      </w:pPr>
      <w:r>
        <w:rPr>
          <w:rFonts w:ascii="Arial" w:hAnsi="Arial" w:cs="Arial"/>
          <w:sz w:val="22"/>
          <w:lang w:val="es-ES_tradnl"/>
        </w:rPr>
        <w:t>Centrándose en el</w:t>
      </w:r>
      <w:r w:rsidR="00543A4D">
        <w:rPr>
          <w:rFonts w:ascii="Arial" w:hAnsi="Arial" w:cs="Arial"/>
          <w:sz w:val="22"/>
          <w:lang w:val="es-ES_tradnl"/>
        </w:rPr>
        <w:t xml:space="preserve"> desarrollo del sistema financiero y el acceso a crédito, existe evidencia de que </w:t>
      </w:r>
      <w:r w:rsidR="005E50DF">
        <w:rPr>
          <w:rFonts w:ascii="Arial" w:hAnsi="Arial" w:cs="Arial"/>
          <w:sz w:val="22"/>
          <w:lang w:val="es-ES_tradnl"/>
        </w:rPr>
        <w:t>m</w:t>
      </w:r>
      <w:r w:rsidR="00543A4D">
        <w:rPr>
          <w:rFonts w:ascii="Arial" w:hAnsi="Arial" w:cs="Arial"/>
          <w:sz w:val="22"/>
          <w:lang w:val="es-ES_tradnl"/>
        </w:rPr>
        <w:t xml:space="preserve">ayores niveles de transparencia y menores niveles de corrupción están asociados a menores costos de transacción en la </w:t>
      </w:r>
      <w:r w:rsidR="00543A4D" w:rsidRPr="004E7B6E">
        <w:rPr>
          <w:rFonts w:ascii="Arial" w:hAnsi="Arial" w:cs="Arial"/>
          <w:sz w:val="22"/>
          <w:lang w:val="es-ES_tradnl"/>
        </w:rPr>
        <w:t>economía</w:t>
      </w:r>
      <w:r w:rsidR="00543A4D">
        <w:rPr>
          <w:rFonts w:ascii="Arial" w:hAnsi="Arial" w:cs="Arial"/>
          <w:sz w:val="22"/>
          <w:lang w:val="es-ES_tradnl"/>
        </w:rPr>
        <w:t xml:space="preserve">, y en este caso en particular en menores costos de transacción para el acceso a financiamiento. Por ejemplo, </w:t>
      </w:r>
      <w:r>
        <w:rPr>
          <w:rFonts w:ascii="Arial" w:hAnsi="Arial" w:cs="Arial"/>
          <w:sz w:val="22"/>
          <w:lang w:val="es-ES_tradnl"/>
        </w:rPr>
        <w:t xml:space="preserve">en un estudio empírico reciente para </w:t>
      </w:r>
      <w:proofErr w:type="spellStart"/>
      <w:r>
        <w:rPr>
          <w:rFonts w:ascii="Arial" w:hAnsi="Arial" w:cs="Arial"/>
          <w:sz w:val="22"/>
          <w:lang w:val="es-ES_tradnl"/>
        </w:rPr>
        <w:t>MiPYME</w:t>
      </w:r>
      <w:proofErr w:type="spellEnd"/>
      <w:r>
        <w:rPr>
          <w:rFonts w:ascii="Arial" w:hAnsi="Arial" w:cs="Arial"/>
          <w:sz w:val="22"/>
          <w:lang w:val="es-ES_tradnl"/>
        </w:rPr>
        <w:t xml:space="preserve">, </w:t>
      </w:r>
      <w:proofErr w:type="spellStart"/>
      <w:r w:rsidR="00543A4D">
        <w:rPr>
          <w:rFonts w:ascii="Arial" w:hAnsi="Arial" w:cs="Arial"/>
          <w:sz w:val="22"/>
          <w:lang w:val="es-ES_tradnl"/>
        </w:rPr>
        <w:t>Galli</w:t>
      </w:r>
      <w:proofErr w:type="spellEnd"/>
      <w:r w:rsidR="00543A4D">
        <w:rPr>
          <w:rFonts w:ascii="Arial" w:hAnsi="Arial" w:cs="Arial"/>
          <w:sz w:val="22"/>
          <w:lang w:val="es-ES_tradnl"/>
        </w:rPr>
        <w:t xml:space="preserve"> </w:t>
      </w:r>
      <w:r w:rsidR="00543A4D">
        <w:rPr>
          <w:rFonts w:ascii="Arial" w:hAnsi="Arial" w:cs="Arial"/>
          <w:sz w:val="22"/>
          <w:lang w:val="es-ES_tradnl"/>
        </w:rPr>
        <w:lastRenderedPageBreak/>
        <w:t>et al (2017)</w:t>
      </w:r>
      <w:r w:rsidR="00543A4D">
        <w:rPr>
          <w:rStyle w:val="FootnoteReference"/>
          <w:rFonts w:ascii="Arial" w:hAnsi="Arial" w:cs="Arial"/>
          <w:sz w:val="22"/>
          <w:lang w:val="es-ES_tradnl"/>
        </w:rPr>
        <w:footnoteReference w:id="27"/>
      </w:r>
      <w:r w:rsidR="00543A4D">
        <w:rPr>
          <w:rFonts w:ascii="Arial" w:hAnsi="Arial" w:cs="Arial"/>
          <w:sz w:val="22"/>
          <w:lang w:val="es-ES_tradnl"/>
        </w:rPr>
        <w:t xml:space="preserve"> encuentran que las pequeñas empresas ubicadas en países más corruptos tienen mayor probabilidad de auto-restringirse para postular a créditos</w:t>
      </w:r>
      <w:r>
        <w:rPr>
          <w:rFonts w:ascii="Arial" w:hAnsi="Arial" w:cs="Arial"/>
          <w:sz w:val="22"/>
          <w:lang w:val="es-ES_tradnl"/>
        </w:rPr>
        <w:t xml:space="preserve"> cuando se las compara con sus pares ubicadas en países con menores niveles de corrupción</w:t>
      </w:r>
      <w:r w:rsidR="00543A4D">
        <w:rPr>
          <w:rFonts w:ascii="Arial" w:hAnsi="Arial" w:cs="Arial"/>
          <w:sz w:val="22"/>
          <w:lang w:val="es-ES_tradnl"/>
        </w:rPr>
        <w:t xml:space="preserve">. </w:t>
      </w:r>
      <w:r>
        <w:rPr>
          <w:rFonts w:ascii="Arial" w:hAnsi="Arial" w:cs="Arial"/>
          <w:sz w:val="22"/>
          <w:lang w:val="es-ES_tradnl"/>
        </w:rPr>
        <w:t>Se destaca que las medidas anticorrupción y las políticas orientadas a elevar los niveles de transparencia pueden ser cruciales para reducir las externalidades negativas generadas por un entorno institucional de baja calidad sobre el acceso a crédito para pequeñas firmas</w:t>
      </w:r>
      <w:r>
        <w:rPr>
          <w:rStyle w:val="FootnoteReference"/>
          <w:rFonts w:ascii="Arial" w:hAnsi="Arial" w:cs="Arial"/>
          <w:sz w:val="22"/>
          <w:lang w:val="es-ES_tradnl"/>
        </w:rPr>
        <w:footnoteReference w:id="28"/>
      </w:r>
      <w:r>
        <w:rPr>
          <w:rFonts w:ascii="Arial" w:hAnsi="Arial" w:cs="Arial"/>
          <w:sz w:val="22"/>
          <w:lang w:val="es-ES_tradnl"/>
        </w:rPr>
        <w:t xml:space="preserve">. </w:t>
      </w:r>
      <w:r w:rsidR="00543A4D">
        <w:rPr>
          <w:rFonts w:ascii="Arial" w:hAnsi="Arial" w:cs="Arial"/>
          <w:sz w:val="22"/>
          <w:lang w:val="es-ES_tradnl"/>
        </w:rPr>
        <w:t>Asimismo, se ha estimado que los países corruptos tienden a presentar menores niveles de depósitos del público y menor crédito al sector privado debido a que un estado debilitado no tiene la capacidad de resolver los problemas de política que dificultan el desarrollo financiero</w:t>
      </w:r>
      <w:r w:rsidR="00543A4D">
        <w:rPr>
          <w:rStyle w:val="FootnoteReference"/>
          <w:rFonts w:ascii="Arial" w:hAnsi="Arial" w:cs="Arial"/>
          <w:sz w:val="22"/>
          <w:lang w:val="es-ES_tradnl"/>
        </w:rPr>
        <w:footnoteReference w:id="29"/>
      </w:r>
      <w:r w:rsidR="00543A4D">
        <w:rPr>
          <w:rFonts w:ascii="Arial" w:hAnsi="Arial" w:cs="Arial"/>
          <w:sz w:val="22"/>
          <w:lang w:val="es-ES_tradnl"/>
        </w:rPr>
        <w:t>. Más aún, altos niveles de corrupción pueden afectar la capacidad de las instituciones gubernamentales para eliminar sobornos y conflictos de interés en la implementación de reformas financieras</w:t>
      </w:r>
      <w:r w:rsidR="00543A4D">
        <w:rPr>
          <w:rStyle w:val="FootnoteReference"/>
          <w:rFonts w:ascii="Arial" w:hAnsi="Arial" w:cs="Arial"/>
          <w:sz w:val="22"/>
          <w:lang w:val="es-ES_tradnl"/>
        </w:rPr>
        <w:footnoteReference w:id="30"/>
      </w:r>
      <w:r w:rsidR="00543A4D">
        <w:rPr>
          <w:rFonts w:ascii="Arial" w:hAnsi="Arial" w:cs="Arial"/>
          <w:sz w:val="22"/>
          <w:lang w:val="es-ES_tradnl"/>
        </w:rPr>
        <w:t>. Es por esto, que puede argumentarse que los efectos de las reformas de transparencia tienen, también, efectos transversales sobre las otras reformas de este programa, al mejorar las condiciones que favorecerán la implementación de las medidas de política.</w:t>
      </w:r>
    </w:p>
    <w:p w14:paraId="619ACE78" w14:textId="1A5FC887" w:rsidR="00043D1B" w:rsidRPr="00E6222B" w:rsidRDefault="00043D1B" w:rsidP="00043D1B">
      <w:pPr>
        <w:pStyle w:val="Paragraph"/>
        <w:numPr>
          <w:ilvl w:val="0"/>
          <w:numId w:val="0"/>
        </w:numPr>
        <w:ind w:left="720"/>
        <w:rPr>
          <w:rFonts w:ascii="Arial" w:hAnsi="Arial" w:cs="Arial"/>
          <w:b/>
          <w:sz w:val="22"/>
          <w:u w:val="single"/>
          <w:lang w:val="pt-BR"/>
        </w:rPr>
      </w:pPr>
      <w:bookmarkStart w:id="5" w:name="_Hlk488509314"/>
      <w:r w:rsidRPr="00E6222B">
        <w:rPr>
          <w:rFonts w:ascii="Arial" w:hAnsi="Arial" w:cs="Arial"/>
          <w:b/>
          <w:sz w:val="22"/>
          <w:u w:val="single"/>
          <w:lang w:val="pt-BR"/>
        </w:rPr>
        <w:t>Metodologia I: Modelo de equilíbrio general</w:t>
      </w:r>
    </w:p>
    <w:bookmarkEnd w:id="5"/>
    <w:p w14:paraId="61387E07" w14:textId="10A6FD0C" w:rsidR="001A187A" w:rsidRPr="00E6222B" w:rsidRDefault="00B7120A" w:rsidP="008C30DE">
      <w:pPr>
        <w:pStyle w:val="Paragraph"/>
        <w:tabs>
          <w:tab w:val="clear" w:pos="2448"/>
          <w:tab w:val="num" w:pos="720"/>
        </w:tabs>
        <w:ind w:left="720" w:hanging="720"/>
        <w:rPr>
          <w:rFonts w:ascii="Arial" w:hAnsi="Arial" w:cs="Arial"/>
          <w:sz w:val="22"/>
          <w:lang w:val="es-ES_tradnl"/>
        </w:rPr>
      </w:pPr>
      <w:r w:rsidRPr="00E6222B">
        <w:rPr>
          <w:rFonts w:ascii="Arial" w:hAnsi="Arial" w:cs="Arial"/>
          <w:b/>
          <w:sz w:val="22"/>
          <w:lang w:val="es-ES_tradnl"/>
        </w:rPr>
        <w:t>Modelo de referencia</w:t>
      </w:r>
      <w:r w:rsidRPr="00E6222B">
        <w:rPr>
          <w:rFonts w:ascii="Arial" w:hAnsi="Arial" w:cs="Arial"/>
          <w:sz w:val="22"/>
          <w:lang w:val="es-ES_tradnl"/>
        </w:rPr>
        <w:t xml:space="preserve">. El modelo de referencia </w:t>
      </w:r>
      <w:r w:rsidR="001A187A" w:rsidRPr="00E6222B">
        <w:rPr>
          <w:rFonts w:ascii="Arial" w:hAnsi="Arial" w:cs="Arial"/>
          <w:sz w:val="22"/>
          <w:lang w:val="es-ES_tradnl"/>
        </w:rPr>
        <w:t xml:space="preserve">es el presentado en </w:t>
      </w:r>
      <w:proofErr w:type="spellStart"/>
      <w:r w:rsidR="001A187A" w:rsidRPr="00E6222B">
        <w:rPr>
          <w:rFonts w:ascii="Arial" w:hAnsi="Arial" w:cs="Arial"/>
          <w:sz w:val="22"/>
          <w:lang w:val="es-ES_tradnl"/>
        </w:rPr>
        <w:t>Karpowicz</w:t>
      </w:r>
      <w:proofErr w:type="spellEnd"/>
      <w:r w:rsidR="001A187A" w:rsidRPr="00E6222B">
        <w:rPr>
          <w:rFonts w:ascii="Arial" w:hAnsi="Arial" w:cs="Arial"/>
          <w:sz w:val="22"/>
          <w:lang w:val="es-ES_tradnl"/>
        </w:rPr>
        <w:t xml:space="preserve"> (2014)</w:t>
      </w:r>
      <w:r w:rsidR="001A187A" w:rsidRPr="00E6222B">
        <w:rPr>
          <w:rStyle w:val="FootnoteReference"/>
          <w:rFonts w:ascii="Arial" w:hAnsi="Arial" w:cs="Arial"/>
          <w:sz w:val="22"/>
          <w:lang w:val="es-ES_tradnl"/>
        </w:rPr>
        <w:footnoteReference w:id="31"/>
      </w:r>
      <w:r w:rsidR="001A187A" w:rsidRPr="00E6222B">
        <w:rPr>
          <w:rFonts w:ascii="Arial" w:hAnsi="Arial" w:cs="Arial"/>
          <w:sz w:val="22"/>
          <w:lang w:val="es-ES_tradnl"/>
        </w:rPr>
        <w:t xml:space="preserve">, que es a su vez el modelo utilizado en </w:t>
      </w:r>
      <w:proofErr w:type="spellStart"/>
      <w:r w:rsidR="001A187A" w:rsidRPr="00E6222B">
        <w:rPr>
          <w:rFonts w:ascii="Arial" w:hAnsi="Arial" w:cs="Arial"/>
          <w:sz w:val="22"/>
          <w:lang w:val="es-ES_tradnl"/>
        </w:rPr>
        <w:t>Dabla</w:t>
      </w:r>
      <w:proofErr w:type="spellEnd"/>
      <w:r w:rsidR="001A187A" w:rsidRPr="00E6222B">
        <w:rPr>
          <w:rFonts w:ascii="Arial" w:hAnsi="Arial" w:cs="Arial"/>
          <w:sz w:val="22"/>
          <w:lang w:val="es-ES_tradnl"/>
        </w:rPr>
        <w:t>-Norris y otros (2014)</w:t>
      </w:r>
      <w:r w:rsidR="001A187A" w:rsidRPr="00E6222B">
        <w:rPr>
          <w:rStyle w:val="FootnoteReference"/>
          <w:rFonts w:ascii="Arial" w:hAnsi="Arial" w:cs="Arial"/>
          <w:sz w:val="22"/>
          <w:lang w:val="es-ES_tradnl"/>
        </w:rPr>
        <w:footnoteReference w:id="32"/>
      </w:r>
      <w:r w:rsidR="001A187A" w:rsidRPr="00E6222B">
        <w:rPr>
          <w:rFonts w:ascii="Arial" w:hAnsi="Arial" w:cs="Arial"/>
          <w:sz w:val="22"/>
          <w:lang w:val="es-ES_tradnl"/>
        </w:rPr>
        <w:t xml:space="preserve"> luego publicado como documento de trabajo del Fondo Monetario Internacional (</w:t>
      </w:r>
      <w:proofErr w:type="spellStart"/>
      <w:r w:rsidR="001A187A" w:rsidRPr="00E6222B">
        <w:rPr>
          <w:rFonts w:ascii="Arial" w:hAnsi="Arial" w:cs="Arial"/>
          <w:sz w:val="22"/>
          <w:lang w:val="es-ES_tradnl"/>
        </w:rPr>
        <w:t>Dabla</w:t>
      </w:r>
      <w:proofErr w:type="spellEnd"/>
      <w:r w:rsidR="00570875">
        <w:rPr>
          <w:rFonts w:ascii="Arial" w:hAnsi="Arial" w:cs="Arial"/>
          <w:sz w:val="22"/>
          <w:lang w:val="es-ES_tradnl"/>
        </w:rPr>
        <w:noBreakHyphen/>
      </w:r>
      <w:r w:rsidR="001A187A" w:rsidRPr="00E6222B">
        <w:rPr>
          <w:rFonts w:ascii="Arial" w:hAnsi="Arial" w:cs="Arial"/>
          <w:sz w:val="22"/>
          <w:lang w:val="es-ES_tradnl"/>
        </w:rPr>
        <w:t>Norris y otros, 2015</w:t>
      </w:r>
      <w:r w:rsidR="001A187A" w:rsidRPr="00E6222B">
        <w:rPr>
          <w:rStyle w:val="FootnoteReference"/>
          <w:rFonts w:ascii="Arial" w:hAnsi="Arial" w:cs="Arial"/>
          <w:sz w:val="22"/>
          <w:lang w:val="es-ES_tradnl"/>
        </w:rPr>
        <w:footnoteReference w:id="33"/>
      </w:r>
      <w:r w:rsidR="001A187A" w:rsidRPr="00E6222B">
        <w:rPr>
          <w:rFonts w:ascii="Arial" w:hAnsi="Arial" w:cs="Arial"/>
          <w:sz w:val="22"/>
          <w:lang w:val="es-ES_tradnl"/>
        </w:rPr>
        <w:t xml:space="preserve">). En los tres casos, el modelo subyacente es el mismo siendo en </w:t>
      </w:r>
      <w:proofErr w:type="spellStart"/>
      <w:r w:rsidR="001A187A" w:rsidRPr="00E6222B">
        <w:rPr>
          <w:rFonts w:ascii="Arial" w:hAnsi="Arial" w:cs="Arial"/>
          <w:sz w:val="22"/>
          <w:lang w:val="es-ES_tradnl"/>
        </w:rPr>
        <w:t>Dabla</w:t>
      </w:r>
      <w:proofErr w:type="spellEnd"/>
      <w:r w:rsidR="001A187A" w:rsidRPr="00E6222B">
        <w:rPr>
          <w:rFonts w:ascii="Arial" w:hAnsi="Arial" w:cs="Arial"/>
          <w:sz w:val="22"/>
          <w:lang w:val="es-ES_tradnl"/>
        </w:rPr>
        <w:t xml:space="preserve">-Norris y otros (2014, 2015) calibrado para Uganda, Kenia, Mozambique, Malasia, Filipinas, y Egipto, en tanto que </w:t>
      </w:r>
      <w:proofErr w:type="spellStart"/>
      <w:r w:rsidR="001A187A" w:rsidRPr="00E6222B">
        <w:rPr>
          <w:rFonts w:ascii="Arial" w:hAnsi="Arial" w:cs="Arial"/>
          <w:sz w:val="22"/>
          <w:lang w:val="es-ES_tradnl"/>
        </w:rPr>
        <w:t>Karpowicz</w:t>
      </w:r>
      <w:proofErr w:type="spellEnd"/>
      <w:r w:rsidR="001A187A" w:rsidRPr="00E6222B">
        <w:rPr>
          <w:rFonts w:ascii="Arial" w:hAnsi="Arial" w:cs="Arial"/>
          <w:sz w:val="22"/>
          <w:lang w:val="es-ES_tradnl"/>
        </w:rPr>
        <w:t xml:space="preserve"> (2014) replica el modelo calibrándolo para Colombia. </w:t>
      </w:r>
      <w:r w:rsidR="00E6222B" w:rsidRPr="00E6222B">
        <w:rPr>
          <w:rFonts w:ascii="Arial" w:hAnsi="Arial" w:cs="Arial"/>
          <w:sz w:val="22"/>
          <w:lang w:val="es-ES_tradnl"/>
        </w:rPr>
        <w:t>Este modelo ha sido utilizado por el BID para calibrar otras economías de la región como Uruguay y Jamaica.</w:t>
      </w:r>
    </w:p>
    <w:p w14:paraId="61387E08" w14:textId="7CEEB107" w:rsidR="00FA739A" w:rsidRPr="00113634" w:rsidRDefault="00FA739A" w:rsidP="008C30DE">
      <w:pPr>
        <w:pStyle w:val="Paragraph"/>
        <w:tabs>
          <w:tab w:val="clear" w:pos="2448"/>
          <w:tab w:val="num" w:pos="720"/>
        </w:tabs>
        <w:ind w:left="720" w:hanging="720"/>
        <w:rPr>
          <w:rFonts w:ascii="Arial" w:hAnsi="Arial" w:cs="Arial"/>
          <w:sz w:val="22"/>
          <w:lang w:val="es-ES_tradnl"/>
        </w:rPr>
      </w:pPr>
      <w:r w:rsidRPr="00113634">
        <w:rPr>
          <w:rFonts w:ascii="Arial" w:hAnsi="Arial" w:cs="Arial"/>
          <w:b/>
          <w:sz w:val="22"/>
          <w:lang w:val="es-ES_tradnl"/>
        </w:rPr>
        <w:t>Descripción del modelo</w:t>
      </w:r>
      <w:r w:rsidR="00A94BE5" w:rsidRPr="00113634">
        <w:rPr>
          <w:rStyle w:val="FootnoteReference"/>
          <w:rFonts w:ascii="Arial" w:hAnsi="Arial" w:cs="Arial"/>
          <w:b/>
          <w:sz w:val="22"/>
          <w:lang w:val="es-ES_tradnl"/>
        </w:rPr>
        <w:footnoteReference w:id="34"/>
      </w:r>
      <w:r w:rsidRPr="00113634">
        <w:rPr>
          <w:rFonts w:ascii="Arial" w:hAnsi="Arial" w:cs="Arial"/>
          <w:sz w:val="22"/>
          <w:lang w:val="es-ES_tradnl"/>
        </w:rPr>
        <w:t xml:space="preserve">. </w:t>
      </w:r>
      <w:r w:rsidR="00A94BE5" w:rsidRPr="00113634">
        <w:rPr>
          <w:rFonts w:ascii="Arial" w:hAnsi="Arial" w:cs="Arial"/>
          <w:sz w:val="22"/>
          <w:lang w:val="es-ES_tradnl"/>
        </w:rPr>
        <w:t>Se presenta aquí una descripción general del modelo utilizado para generar las imputaciones de este anexo (el modelo se discute en más detalle en el anexo de Monitoreo y Evaluación).</w:t>
      </w:r>
      <w:r w:rsidR="009F27C1" w:rsidRPr="00113634">
        <w:rPr>
          <w:rFonts w:ascii="Arial" w:hAnsi="Arial" w:cs="Arial"/>
          <w:sz w:val="22"/>
          <w:lang w:val="es-ES_tradnl"/>
        </w:rPr>
        <w:t xml:space="preserve"> Tal como se discute en </w:t>
      </w:r>
      <w:proofErr w:type="spellStart"/>
      <w:r w:rsidR="009F27C1" w:rsidRPr="00113634">
        <w:rPr>
          <w:rFonts w:ascii="Arial" w:hAnsi="Arial" w:cs="Arial"/>
          <w:sz w:val="22"/>
          <w:lang w:val="es-ES_tradnl"/>
        </w:rPr>
        <w:t>Dabla</w:t>
      </w:r>
      <w:proofErr w:type="spellEnd"/>
      <w:r w:rsidR="009F27C1" w:rsidRPr="00113634">
        <w:rPr>
          <w:rFonts w:ascii="Arial" w:hAnsi="Arial" w:cs="Arial"/>
          <w:sz w:val="22"/>
          <w:lang w:val="es-ES_tradnl"/>
        </w:rPr>
        <w:t>-Norris y otros (2014), el modelo se enfoca en tres dimensiones de profundización financiera: Alcance, profundidad, y eficiencia</w:t>
      </w:r>
      <w:r w:rsidR="009F27C1" w:rsidRPr="00113634">
        <w:rPr>
          <w:rStyle w:val="FootnoteReference"/>
          <w:rFonts w:ascii="Arial" w:hAnsi="Arial" w:cs="Arial"/>
          <w:sz w:val="22"/>
          <w:lang w:val="es-ES_tradnl"/>
        </w:rPr>
        <w:footnoteReference w:id="35"/>
      </w:r>
      <w:r w:rsidR="009F27C1" w:rsidRPr="00113634">
        <w:rPr>
          <w:rFonts w:ascii="Arial" w:hAnsi="Arial" w:cs="Arial"/>
          <w:sz w:val="22"/>
          <w:lang w:val="es-ES_tradnl"/>
        </w:rPr>
        <w:t xml:space="preserve">. Se trata de un modelo </w:t>
      </w:r>
      <w:proofErr w:type="spellStart"/>
      <w:r w:rsidR="009F27C1" w:rsidRPr="00113634">
        <w:rPr>
          <w:rFonts w:ascii="Arial" w:hAnsi="Arial" w:cs="Arial"/>
          <w:sz w:val="22"/>
          <w:lang w:val="es-ES_tradnl"/>
        </w:rPr>
        <w:t>microfundado</w:t>
      </w:r>
      <w:proofErr w:type="spellEnd"/>
      <w:r w:rsidR="009F27C1" w:rsidRPr="00113634">
        <w:rPr>
          <w:rFonts w:ascii="Arial" w:hAnsi="Arial" w:cs="Arial"/>
          <w:sz w:val="22"/>
          <w:lang w:val="es-ES_tradnl"/>
        </w:rPr>
        <w:t xml:space="preserve">, de agentes heterogéneos en cuanto a la distribución de riqueza y talento, que pueden elegir entre dos actividades (asalariado o </w:t>
      </w:r>
      <w:r w:rsidR="009F27C1" w:rsidRPr="00113634">
        <w:rPr>
          <w:rFonts w:ascii="Arial" w:hAnsi="Arial" w:cs="Arial"/>
          <w:sz w:val="22"/>
          <w:lang w:val="es-ES_tradnl"/>
        </w:rPr>
        <w:lastRenderedPageBreak/>
        <w:t xml:space="preserve">emprendedor). Existen dos regímenes, uno con crédito y otro sólo con ahorros. Los agentes en el régimen de ahorro, al cual se accede sin costo, no pueden endeudarse. Para pasar al régimen de crédito los agentes deben pagar un costo de participación. Una vez en el régimen de crédito, el total del crédito al que pueden acceder está limitado por la disponibilidad de activos para servir de garantía. Adicionalmente existen costos de monitoreo que afectan las condiciones de préstamo. </w:t>
      </w:r>
    </w:p>
    <w:p w14:paraId="61387E09" w14:textId="06660421" w:rsidR="009E2687" w:rsidRPr="007C24BD" w:rsidRDefault="00FA739A">
      <w:pPr>
        <w:pStyle w:val="Paragraph"/>
        <w:tabs>
          <w:tab w:val="clear" w:pos="2448"/>
          <w:tab w:val="num" w:pos="720"/>
        </w:tabs>
        <w:ind w:left="720" w:hanging="720"/>
        <w:rPr>
          <w:rFonts w:ascii="Arial" w:hAnsi="Arial" w:cs="Arial"/>
          <w:sz w:val="22"/>
          <w:lang w:val="es-ES_tradnl"/>
        </w:rPr>
      </w:pPr>
      <w:r w:rsidRPr="007C24BD">
        <w:rPr>
          <w:rFonts w:ascii="Arial" w:hAnsi="Arial" w:cs="Arial"/>
          <w:b/>
          <w:sz w:val="22"/>
          <w:lang w:val="es-ES_tradnl"/>
        </w:rPr>
        <w:t>Parámetros de política y relación con el programa</w:t>
      </w:r>
      <w:r w:rsidRPr="007C24BD">
        <w:rPr>
          <w:rFonts w:ascii="Arial" w:hAnsi="Arial" w:cs="Arial"/>
          <w:sz w:val="22"/>
          <w:lang w:val="es-ES_tradnl"/>
        </w:rPr>
        <w:t>.</w:t>
      </w:r>
      <w:r w:rsidR="00E3366F" w:rsidRPr="007C24BD">
        <w:rPr>
          <w:rFonts w:ascii="Arial" w:hAnsi="Arial" w:cs="Arial"/>
          <w:sz w:val="22"/>
          <w:lang w:val="es-ES_tradnl"/>
        </w:rPr>
        <w:t xml:space="preserve"> Tal como se discute en </w:t>
      </w:r>
      <w:proofErr w:type="spellStart"/>
      <w:r w:rsidR="00E3366F" w:rsidRPr="007C24BD">
        <w:rPr>
          <w:rFonts w:ascii="Arial" w:hAnsi="Arial" w:cs="Arial"/>
          <w:sz w:val="22"/>
          <w:lang w:val="es-ES_tradnl"/>
        </w:rPr>
        <w:t>Dabla</w:t>
      </w:r>
      <w:proofErr w:type="spellEnd"/>
      <w:r w:rsidR="00E3366F" w:rsidRPr="007C24BD">
        <w:rPr>
          <w:rFonts w:ascii="Arial" w:hAnsi="Arial" w:cs="Arial"/>
          <w:sz w:val="22"/>
          <w:lang w:val="es-ES_tradnl"/>
        </w:rPr>
        <w:t>-Norris y otros (2014), el modelo se enfoca en tres dimensiones de profundización financiera: Alcance, profundidad, y eficiencia</w:t>
      </w:r>
      <w:r w:rsidR="00CE60EB" w:rsidRPr="007C24BD">
        <w:rPr>
          <w:rFonts w:ascii="Arial" w:hAnsi="Arial" w:cs="Arial"/>
          <w:sz w:val="22"/>
          <w:lang w:val="es-ES_tradnl"/>
        </w:rPr>
        <w:t>. S</w:t>
      </w:r>
      <w:r w:rsidR="009F27C1" w:rsidRPr="007C24BD">
        <w:rPr>
          <w:rFonts w:ascii="Arial" w:hAnsi="Arial" w:cs="Arial"/>
          <w:sz w:val="22"/>
          <w:lang w:val="es-ES_tradnl"/>
        </w:rPr>
        <w:t xml:space="preserve">e trata entonces de un modelo de desarrollo financiero </w:t>
      </w:r>
      <w:r w:rsidR="00DE31B3" w:rsidRPr="007C24BD">
        <w:rPr>
          <w:rFonts w:ascii="Arial" w:hAnsi="Arial" w:cs="Arial"/>
          <w:sz w:val="22"/>
          <w:lang w:val="es-ES_tradnl"/>
        </w:rPr>
        <w:t xml:space="preserve">que captura la importancia de estas variables. </w:t>
      </w:r>
      <w:r w:rsidR="00CE60EB" w:rsidRPr="007C24BD">
        <w:rPr>
          <w:rFonts w:ascii="Arial" w:hAnsi="Arial" w:cs="Arial"/>
          <w:sz w:val="22"/>
          <w:lang w:val="es-ES_tradnl"/>
        </w:rPr>
        <w:t>A continuación,</w:t>
      </w:r>
      <w:r w:rsidR="00DE31B3" w:rsidRPr="007C24BD">
        <w:rPr>
          <w:rFonts w:ascii="Arial" w:hAnsi="Arial" w:cs="Arial"/>
          <w:sz w:val="22"/>
          <w:lang w:val="es-ES_tradnl"/>
        </w:rPr>
        <w:t xml:space="preserve"> se detallan estos concepto</w:t>
      </w:r>
      <w:r w:rsidR="00CE60EB" w:rsidRPr="007C24BD">
        <w:rPr>
          <w:rFonts w:ascii="Arial" w:hAnsi="Arial" w:cs="Arial"/>
          <w:sz w:val="22"/>
          <w:lang w:val="es-ES_tradnl"/>
        </w:rPr>
        <w:t>s</w:t>
      </w:r>
      <w:r w:rsidR="00DE31B3" w:rsidRPr="007C24BD">
        <w:rPr>
          <w:rFonts w:ascii="Arial" w:hAnsi="Arial" w:cs="Arial"/>
          <w:sz w:val="22"/>
          <w:lang w:val="es-ES_tradnl"/>
        </w:rPr>
        <w:t xml:space="preserve"> y, en particular, se traza un paralelismo con las políticas apoyadas</w:t>
      </w:r>
      <w:r w:rsidR="00DE31B3" w:rsidRPr="007C24BD">
        <w:rPr>
          <w:rStyle w:val="FootnoteReference"/>
          <w:rFonts w:ascii="Arial" w:hAnsi="Arial" w:cs="Arial"/>
          <w:sz w:val="22"/>
          <w:lang w:val="es-ES_tradnl"/>
        </w:rPr>
        <w:footnoteReference w:id="36"/>
      </w:r>
      <w:r w:rsidR="007C24BD" w:rsidRPr="007C24BD">
        <w:rPr>
          <w:rFonts w:ascii="Arial" w:hAnsi="Arial" w:cs="Arial"/>
          <w:sz w:val="22"/>
          <w:lang w:val="es-ES_tradnl"/>
        </w:rPr>
        <w:t>.</w:t>
      </w:r>
      <w:r w:rsidR="00A20AE6" w:rsidRPr="007C24BD">
        <w:rPr>
          <w:rFonts w:ascii="Arial" w:hAnsi="Arial" w:cs="Arial"/>
          <w:sz w:val="22"/>
          <w:lang w:val="es-ES_tradnl"/>
        </w:rPr>
        <w:t xml:space="preserve"> </w:t>
      </w:r>
    </w:p>
    <w:p w14:paraId="365B3DCC" w14:textId="77777777" w:rsidR="00137EE5" w:rsidRPr="00963C34" w:rsidRDefault="00137EE5" w:rsidP="00137EE5">
      <w:pPr>
        <w:pStyle w:val="subpar"/>
        <w:tabs>
          <w:tab w:val="clear" w:pos="2304"/>
        </w:tabs>
        <w:ind w:left="1440" w:hanging="720"/>
        <w:rPr>
          <w:rFonts w:ascii="Arial" w:eastAsiaTheme="minorEastAsia" w:hAnsi="Arial" w:cs="Arial"/>
          <w:sz w:val="22"/>
          <w:szCs w:val="22"/>
          <w:lang w:val="es-ES_tradnl"/>
        </w:rPr>
      </w:pPr>
      <w:r w:rsidRPr="00963C34">
        <w:rPr>
          <w:rFonts w:ascii="Arial" w:hAnsi="Arial" w:cs="Arial"/>
          <w:b/>
          <w:sz w:val="22"/>
          <w:szCs w:val="22"/>
          <w:lang w:val="es-ES_tradnl"/>
        </w:rPr>
        <w:t>Alcance</w:t>
      </w:r>
      <w:r w:rsidRPr="00963C34">
        <w:rPr>
          <w:rFonts w:ascii="Arial" w:hAnsi="Arial" w:cs="Arial"/>
          <w:sz w:val="22"/>
          <w:szCs w:val="22"/>
          <w:lang w:val="es-ES_tradnl"/>
        </w:rPr>
        <w:t xml:space="preserve"> (“</w:t>
      </w:r>
      <w:proofErr w:type="spellStart"/>
      <w:r w:rsidRPr="00570875">
        <w:rPr>
          <w:rFonts w:ascii="Arial" w:hAnsi="Arial" w:cs="Arial"/>
          <w:i/>
          <w:sz w:val="22"/>
          <w:szCs w:val="22"/>
          <w:lang w:val="es-ES_tradnl"/>
        </w:rPr>
        <w:t>reach</w:t>
      </w:r>
      <w:proofErr w:type="spellEnd"/>
      <w:r w:rsidRPr="00963C34">
        <w:rPr>
          <w:rFonts w:ascii="Arial" w:hAnsi="Arial" w:cs="Arial"/>
          <w:sz w:val="22"/>
          <w:szCs w:val="22"/>
          <w:lang w:val="es-ES_tradnl"/>
        </w:rPr>
        <w:t xml:space="preserve">”). Participar en transacciones del sistema financiero involucra costos, los cuales afectan el nivel de participación de los agentes en procesos de intermediación financiera. Estos costos de transacción son capturados en el modelo con el parámetro </w:t>
      </w:r>
      <m:oMath>
        <m:r>
          <w:rPr>
            <w:rFonts w:ascii="Cambria Math" w:hAnsi="Cambria Math" w:cs="Arial"/>
            <w:sz w:val="22"/>
            <w:szCs w:val="22"/>
            <w:lang w:val="es-ES_tradnl"/>
          </w:rPr>
          <m:t>ψ</m:t>
        </m:r>
      </m:oMath>
      <w:r>
        <w:rPr>
          <w:rFonts w:ascii="Arial" w:eastAsiaTheme="minorEastAsia" w:hAnsi="Arial" w:cs="Arial"/>
          <w:sz w:val="22"/>
          <w:szCs w:val="22"/>
          <w:lang w:val="es-ES_tradnl"/>
        </w:rPr>
        <w:t>.</w:t>
      </w:r>
    </w:p>
    <w:p w14:paraId="655E99F7" w14:textId="77777777" w:rsidR="00137EE5" w:rsidRDefault="00137EE5" w:rsidP="00137EE5">
      <w:pPr>
        <w:pStyle w:val="subpar"/>
        <w:numPr>
          <w:ilvl w:val="0"/>
          <w:numId w:val="0"/>
        </w:numPr>
        <w:ind w:left="1440"/>
        <w:rPr>
          <w:rFonts w:ascii="Arial" w:eastAsiaTheme="minorEastAsia" w:hAnsi="Arial" w:cs="Arial"/>
          <w:sz w:val="22"/>
          <w:szCs w:val="22"/>
          <w:lang w:val="es-ES_tradnl"/>
        </w:rPr>
      </w:pPr>
      <w:r w:rsidRPr="00963C34">
        <w:rPr>
          <w:rFonts w:ascii="Arial" w:eastAsiaTheme="minorEastAsia" w:hAnsi="Arial" w:cs="Arial"/>
          <w:sz w:val="22"/>
          <w:szCs w:val="22"/>
          <w:lang w:val="es-ES_tradnl"/>
        </w:rPr>
        <w:t>Dentro de las medidas consideradas en la matriz de políticas del programa, las que pueden asociarse más claramente al concepto de “alcance” son:</w:t>
      </w:r>
    </w:p>
    <w:p w14:paraId="79459748" w14:textId="77777777" w:rsidR="00137EE5" w:rsidRPr="001A706B" w:rsidRDefault="00137EE5" w:rsidP="00137EE5">
      <w:pPr>
        <w:pStyle w:val="subpar"/>
        <w:numPr>
          <w:ilvl w:val="0"/>
          <w:numId w:val="0"/>
        </w:numPr>
        <w:ind w:left="1440"/>
        <w:rPr>
          <w:rFonts w:ascii="Arial" w:eastAsiaTheme="minorEastAsia" w:hAnsi="Arial" w:cs="Arial"/>
          <w:i/>
          <w:sz w:val="22"/>
          <w:szCs w:val="22"/>
          <w:lang w:val="es-ES_tradnl"/>
        </w:rPr>
      </w:pPr>
      <w:r w:rsidRPr="001A706B">
        <w:rPr>
          <w:rFonts w:ascii="Arial" w:eastAsiaTheme="minorEastAsia" w:hAnsi="Arial" w:cs="Arial"/>
          <w:i/>
          <w:sz w:val="22"/>
          <w:szCs w:val="22"/>
          <w:lang w:val="es-ES_tradnl"/>
        </w:rPr>
        <w:t>Componente III: Mejora del funcionamiento del sistema financiero</w:t>
      </w:r>
    </w:p>
    <w:p w14:paraId="7DC99D56" w14:textId="77777777" w:rsidR="00137EE5" w:rsidRDefault="00137EE5" w:rsidP="00137EE5">
      <w:pPr>
        <w:pStyle w:val="SubSubPar"/>
        <w:tabs>
          <w:tab w:val="clear" w:pos="2736"/>
        </w:tabs>
        <w:ind w:left="2070" w:hanging="360"/>
        <w:rPr>
          <w:rFonts w:ascii="Arial" w:hAnsi="Arial" w:cs="Arial"/>
          <w:sz w:val="22"/>
          <w:szCs w:val="22"/>
          <w:lang w:val="es-ES_tradnl"/>
        </w:rPr>
      </w:pPr>
      <w:r w:rsidRPr="00A83442">
        <w:rPr>
          <w:rFonts w:ascii="Arial" w:hAnsi="Arial" w:cs="Arial"/>
          <w:sz w:val="22"/>
          <w:szCs w:val="22"/>
          <w:lang w:val="es-ES_tradnl"/>
        </w:rPr>
        <w:t xml:space="preserve">Preparación de un diagnóstico sobre las necesidades de datos para el acceso a servicios financieros de las empresas desglosado por género. </w:t>
      </w:r>
    </w:p>
    <w:p w14:paraId="3AA5F9EF" w14:textId="77777777" w:rsidR="00137EE5" w:rsidRPr="00871C21" w:rsidRDefault="00137EE5" w:rsidP="00137EE5">
      <w:pPr>
        <w:pStyle w:val="SubSubPar"/>
        <w:numPr>
          <w:ilvl w:val="0"/>
          <w:numId w:val="0"/>
        </w:numPr>
        <w:ind w:left="2070"/>
        <w:rPr>
          <w:rFonts w:ascii="Arial" w:hAnsi="Arial" w:cs="Arial"/>
          <w:sz w:val="22"/>
          <w:szCs w:val="22"/>
          <w:lang w:val="es-ES_tradnl"/>
        </w:rPr>
      </w:pPr>
      <w:r>
        <w:rPr>
          <w:rFonts w:ascii="Arial" w:hAnsi="Arial" w:cs="Arial"/>
          <w:sz w:val="22"/>
          <w:szCs w:val="22"/>
          <w:lang w:val="es-ES_tradnl"/>
        </w:rPr>
        <w:t>Esta medida está orientada a determinar las barreras de acceso a servicios financieros que enfrenta un grupo significativo de la población. Se espera que la estrategia que derive de estos diagnósticos genere una reducción de los costos de entrada para un segmento excluido de la población femenina.</w:t>
      </w:r>
    </w:p>
    <w:p w14:paraId="0C720BE3" w14:textId="79C14D9D" w:rsidR="00137EE5" w:rsidRPr="00293222" w:rsidRDefault="00137EE5" w:rsidP="00137EE5">
      <w:pPr>
        <w:pStyle w:val="SubSubPar"/>
        <w:numPr>
          <w:ilvl w:val="0"/>
          <w:numId w:val="0"/>
        </w:numPr>
        <w:tabs>
          <w:tab w:val="clear" w:pos="0"/>
        </w:tabs>
        <w:ind w:left="1440"/>
        <w:rPr>
          <w:rFonts w:ascii="Arial" w:hAnsi="Arial" w:cs="Arial"/>
          <w:i/>
          <w:sz w:val="22"/>
          <w:szCs w:val="22"/>
          <w:highlight w:val="yellow"/>
          <w:lang w:val="es-ES_tradnl"/>
        </w:rPr>
      </w:pPr>
      <w:r w:rsidRPr="00293222">
        <w:rPr>
          <w:rFonts w:ascii="Arial" w:hAnsi="Arial" w:cs="Arial"/>
          <w:i/>
          <w:sz w:val="22"/>
          <w:szCs w:val="22"/>
          <w:lang w:val="es-ES_tradnl"/>
        </w:rPr>
        <w:t xml:space="preserve">Componente IV: </w:t>
      </w:r>
      <w:r w:rsidR="008D2C95" w:rsidRPr="008D2C95">
        <w:rPr>
          <w:rFonts w:ascii="Arial" w:hAnsi="Arial" w:cs="Arial"/>
          <w:i/>
          <w:sz w:val="22"/>
          <w:szCs w:val="22"/>
          <w:lang w:val="es-ES_tradnl"/>
        </w:rPr>
        <w:t>Mejora del marco legal e institucional del financiamiento a largo plazo</w:t>
      </w:r>
    </w:p>
    <w:p w14:paraId="0E3EB093" w14:textId="77777777" w:rsidR="00137EE5" w:rsidRDefault="00137EE5" w:rsidP="00137EE5">
      <w:pPr>
        <w:pStyle w:val="SubSubPar"/>
        <w:tabs>
          <w:tab w:val="clear" w:pos="0"/>
          <w:tab w:val="clear" w:pos="2736"/>
        </w:tabs>
        <w:ind w:left="2070" w:hanging="360"/>
        <w:rPr>
          <w:rFonts w:ascii="Arial" w:hAnsi="Arial" w:cs="Arial"/>
          <w:sz w:val="22"/>
          <w:szCs w:val="22"/>
          <w:lang w:val="es-ES_tradnl"/>
        </w:rPr>
      </w:pPr>
      <w:r w:rsidRPr="00293222">
        <w:rPr>
          <w:rFonts w:ascii="Arial" w:hAnsi="Arial" w:cs="Arial"/>
          <w:sz w:val="22"/>
          <w:szCs w:val="22"/>
          <w:lang w:val="es-ES_tradnl"/>
        </w:rPr>
        <w:t>Elaboración de un plan de adecuación de la Agencia Financiera de Desarrollo (AFD) a las mejores prácticas internacionales de estructuración como banca de desarrollo de segundo piso.</w:t>
      </w:r>
      <w:r>
        <w:rPr>
          <w:rFonts w:ascii="Arial" w:hAnsi="Arial" w:cs="Arial"/>
          <w:sz w:val="22"/>
          <w:szCs w:val="22"/>
          <w:lang w:val="es-ES_tradnl"/>
        </w:rPr>
        <w:t xml:space="preserve"> Para el segundo tramo se espera un i</w:t>
      </w:r>
      <w:r w:rsidRPr="00293222">
        <w:rPr>
          <w:rFonts w:ascii="Arial" w:hAnsi="Arial" w:cs="Arial"/>
          <w:sz w:val="22"/>
          <w:szCs w:val="22"/>
          <w:lang w:val="es-ES_tradnl"/>
        </w:rPr>
        <w:t>nforme sobre el des</w:t>
      </w:r>
      <w:r>
        <w:rPr>
          <w:rFonts w:ascii="Arial" w:hAnsi="Arial" w:cs="Arial"/>
          <w:sz w:val="22"/>
          <w:szCs w:val="22"/>
          <w:lang w:val="es-ES_tradnl"/>
        </w:rPr>
        <w:t>arrollo de la implantación del p</w:t>
      </w:r>
      <w:r w:rsidRPr="00293222">
        <w:rPr>
          <w:rFonts w:ascii="Arial" w:hAnsi="Arial" w:cs="Arial"/>
          <w:sz w:val="22"/>
          <w:szCs w:val="22"/>
          <w:lang w:val="es-ES_tradnl"/>
        </w:rPr>
        <w:t>lan</w:t>
      </w:r>
      <w:r>
        <w:rPr>
          <w:rFonts w:ascii="Arial" w:hAnsi="Arial" w:cs="Arial"/>
          <w:sz w:val="22"/>
          <w:szCs w:val="22"/>
          <w:lang w:val="es-ES_tradnl"/>
        </w:rPr>
        <w:t>.</w:t>
      </w:r>
    </w:p>
    <w:p w14:paraId="1608B838" w14:textId="77777777" w:rsidR="00137EE5" w:rsidRDefault="00137EE5" w:rsidP="00137EE5">
      <w:pPr>
        <w:pStyle w:val="SubSubPar"/>
        <w:tabs>
          <w:tab w:val="clear" w:pos="0"/>
          <w:tab w:val="clear" w:pos="2736"/>
        </w:tabs>
        <w:ind w:left="2070" w:hanging="360"/>
        <w:rPr>
          <w:rFonts w:ascii="Arial" w:hAnsi="Arial" w:cs="Arial"/>
          <w:sz w:val="22"/>
          <w:szCs w:val="22"/>
          <w:lang w:val="es-ES_tradnl"/>
        </w:rPr>
      </w:pPr>
      <w:r w:rsidRPr="00293222">
        <w:rPr>
          <w:rFonts w:ascii="Arial" w:hAnsi="Arial" w:cs="Arial"/>
          <w:sz w:val="22"/>
          <w:szCs w:val="22"/>
          <w:lang w:val="es-ES_tradnl"/>
        </w:rPr>
        <w:t>Modernización del Banco Nacional de Fomento (BNF) a través de la implementación de nueva Carta Orgánica, impactando en la eficiencia y eficacia de su gestión.</w:t>
      </w:r>
      <w:r>
        <w:rPr>
          <w:rFonts w:ascii="Arial" w:hAnsi="Arial" w:cs="Arial"/>
          <w:sz w:val="22"/>
          <w:szCs w:val="22"/>
          <w:lang w:val="es-ES_tradnl"/>
        </w:rPr>
        <w:t xml:space="preserve"> Para el segundo tramo se espera </w:t>
      </w:r>
      <w:r>
        <w:rPr>
          <w:rFonts w:ascii="Arial" w:hAnsi="Arial" w:cs="Arial"/>
          <w:sz w:val="22"/>
          <w:szCs w:val="22"/>
          <w:lang w:val="es-ES_tradnl"/>
        </w:rPr>
        <w:lastRenderedPageBreak/>
        <w:t>la presentación del i</w:t>
      </w:r>
      <w:r w:rsidRPr="009C0687">
        <w:rPr>
          <w:rFonts w:ascii="Arial" w:hAnsi="Arial" w:cs="Arial"/>
          <w:sz w:val="22"/>
          <w:szCs w:val="22"/>
          <w:lang w:val="es-ES_tradnl"/>
        </w:rPr>
        <w:t xml:space="preserve">nforme sobre avances en la implementación de </w:t>
      </w:r>
      <w:r>
        <w:rPr>
          <w:rFonts w:ascii="Arial" w:hAnsi="Arial" w:cs="Arial"/>
          <w:sz w:val="22"/>
          <w:szCs w:val="22"/>
          <w:lang w:val="es-ES_tradnl"/>
        </w:rPr>
        <w:t>esta</w:t>
      </w:r>
      <w:r w:rsidRPr="009C0687">
        <w:rPr>
          <w:rFonts w:ascii="Arial" w:hAnsi="Arial" w:cs="Arial"/>
          <w:sz w:val="22"/>
          <w:szCs w:val="22"/>
          <w:lang w:val="es-ES_tradnl"/>
        </w:rPr>
        <w:t xml:space="preserve"> nueva Carta Orgánica</w:t>
      </w:r>
      <w:r>
        <w:rPr>
          <w:rFonts w:ascii="Arial" w:hAnsi="Arial" w:cs="Arial"/>
          <w:sz w:val="22"/>
          <w:szCs w:val="22"/>
          <w:lang w:val="es-ES_tradnl"/>
        </w:rPr>
        <w:t>.</w:t>
      </w:r>
    </w:p>
    <w:p w14:paraId="678FF463" w14:textId="6BDADA24" w:rsidR="00137EE5" w:rsidRDefault="00137EE5" w:rsidP="00137EE5">
      <w:pPr>
        <w:pStyle w:val="SubSubPar"/>
        <w:tabs>
          <w:tab w:val="clear" w:pos="0"/>
          <w:tab w:val="clear" w:pos="2736"/>
        </w:tabs>
        <w:ind w:left="2070" w:hanging="360"/>
        <w:rPr>
          <w:rFonts w:ascii="Arial" w:hAnsi="Arial" w:cs="Arial"/>
          <w:sz w:val="22"/>
          <w:szCs w:val="22"/>
          <w:lang w:val="es-ES_tradnl"/>
        </w:rPr>
      </w:pPr>
      <w:r w:rsidRPr="00F00916">
        <w:rPr>
          <w:rFonts w:ascii="Arial" w:hAnsi="Arial" w:cs="Arial"/>
          <w:sz w:val="22"/>
          <w:szCs w:val="22"/>
          <w:lang w:val="es-ES_tradnl"/>
        </w:rPr>
        <w:t xml:space="preserve">Promulgación y publicación de la ley que establece el Fondo de garantía para financiamiento </w:t>
      </w:r>
      <w:proofErr w:type="spellStart"/>
      <w:r w:rsidRPr="00F00916">
        <w:rPr>
          <w:rFonts w:ascii="Arial" w:hAnsi="Arial" w:cs="Arial"/>
          <w:sz w:val="22"/>
          <w:szCs w:val="22"/>
          <w:lang w:val="es-ES_tradnl"/>
        </w:rPr>
        <w:t>M</w:t>
      </w:r>
      <w:r w:rsidR="00383AB5">
        <w:rPr>
          <w:rFonts w:ascii="Arial" w:hAnsi="Arial" w:cs="Arial"/>
          <w:sz w:val="22"/>
          <w:szCs w:val="22"/>
          <w:lang w:val="es-ES_tradnl"/>
        </w:rPr>
        <w:t>i</w:t>
      </w:r>
      <w:r w:rsidRPr="00F00916">
        <w:rPr>
          <w:rFonts w:ascii="Arial" w:hAnsi="Arial" w:cs="Arial"/>
          <w:sz w:val="22"/>
          <w:szCs w:val="22"/>
          <w:lang w:val="es-ES_tradnl"/>
        </w:rPr>
        <w:t>P</w:t>
      </w:r>
      <w:r w:rsidR="00383AB5">
        <w:rPr>
          <w:rFonts w:ascii="Arial" w:hAnsi="Arial" w:cs="Arial"/>
          <w:sz w:val="22"/>
          <w:szCs w:val="22"/>
          <w:lang w:val="es-ES_tradnl"/>
        </w:rPr>
        <w:t>y</w:t>
      </w:r>
      <w:r w:rsidRPr="00F00916">
        <w:rPr>
          <w:rFonts w:ascii="Arial" w:hAnsi="Arial" w:cs="Arial"/>
          <w:sz w:val="22"/>
          <w:szCs w:val="22"/>
          <w:lang w:val="es-ES_tradnl"/>
        </w:rPr>
        <w:t>ME</w:t>
      </w:r>
      <w:proofErr w:type="spellEnd"/>
      <w:r w:rsidRPr="00F00916">
        <w:rPr>
          <w:rFonts w:ascii="Arial" w:hAnsi="Arial" w:cs="Arial"/>
          <w:sz w:val="22"/>
          <w:szCs w:val="22"/>
          <w:lang w:val="es-ES_tradnl"/>
        </w:rPr>
        <w:t xml:space="preserve"> y de su reglamentación.</w:t>
      </w:r>
      <w:r>
        <w:rPr>
          <w:rFonts w:ascii="Arial" w:hAnsi="Arial" w:cs="Arial"/>
          <w:sz w:val="22"/>
          <w:szCs w:val="22"/>
          <w:lang w:val="es-ES_tradnl"/>
        </w:rPr>
        <w:t xml:space="preserve"> El segundo tramo contempla la entrada en vigor del fondo.</w:t>
      </w:r>
    </w:p>
    <w:p w14:paraId="189F7513" w14:textId="77777777" w:rsidR="00137EE5" w:rsidRPr="00576CAE" w:rsidRDefault="00137EE5" w:rsidP="00137EE5">
      <w:pPr>
        <w:pStyle w:val="SubSubPar"/>
        <w:numPr>
          <w:ilvl w:val="0"/>
          <w:numId w:val="0"/>
        </w:numPr>
        <w:tabs>
          <w:tab w:val="clear" w:pos="0"/>
        </w:tabs>
        <w:ind w:left="1440"/>
        <w:rPr>
          <w:rFonts w:ascii="Arial" w:hAnsi="Arial" w:cs="Arial"/>
          <w:i/>
          <w:sz w:val="22"/>
          <w:szCs w:val="22"/>
          <w:lang w:val="es-ES_tradnl"/>
        </w:rPr>
      </w:pPr>
      <w:r w:rsidRPr="00576CAE">
        <w:rPr>
          <w:rFonts w:ascii="Arial" w:hAnsi="Arial" w:cs="Arial"/>
          <w:i/>
          <w:sz w:val="22"/>
          <w:szCs w:val="22"/>
          <w:lang w:val="es-ES_tradnl"/>
        </w:rPr>
        <w:t>Componente II: Fortalecimiento de la transparencia</w:t>
      </w:r>
    </w:p>
    <w:p w14:paraId="385B1E16" w14:textId="7DB702CB" w:rsidR="00137EE5" w:rsidRDefault="00137EE5" w:rsidP="00137EE5">
      <w:pPr>
        <w:pStyle w:val="SubSubPar"/>
        <w:tabs>
          <w:tab w:val="clear" w:pos="2736"/>
        </w:tabs>
        <w:ind w:left="2070" w:hanging="360"/>
        <w:rPr>
          <w:rFonts w:ascii="Arial" w:hAnsi="Arial" w:cs="Arial"/>
          <w:sz w:val="22"/>
          <w:szCs w:val="22"/>
          <w:lang w:val="es-ES_tradnl"/>
        </w:rPr>
      </w:pPr>
      <w:r w:rsidRPr="00A83442">
        <w:rPr>
          <w:rFonts w:ascii="Arial" w:hAnsi="Arial" w:cs="Arial"/>
          <w:sz w:val="22"/>
          <w:szCs w:val="22"/>
          <w:lang w:val="es-ES_tradnl"/>
        </w:rPr>
        <w:t>Elaboración de un anteproyecto de Ley de Gobierno Corporativo para las Empresas Públicas adecuando el sistema general de las empresas públicas a estándares in</w:t>
      </w:r>
      <w:r w:rsidR="00383AB5">
        <w:rPr>
          <w:rFonts w:ascii="Arial" w:hAnsi="Arial" w:cs="Arial"/>
          <w:sz w:val="22"/>
          <w:szCs w:val="22"/>
          <w:lang w:val="es-ES_tradnl"/>
        </w:rPr>
        <w:t>ternacionales, entre otros: (i) </w:t>
      </w:r>
      <w:r w:rsidRPr="00A83442">
        <w:rPr>
          <w:rFonts w:ascii="Arial" w:hAnsi="Arial" w:cs="Arial"/>
          <w:sz w:val="22"/>
          <w:szCs w:val="22"/>
          <w:lang w:val="es-ES_tradnl"/>
        </w:rPr>
        <w:t>transparencia en la elección e información suministrada por parte de los consejos de administración y los comités de auditoría; y (ii)</w:t>
      </w:r>
      <w:r w:rsidR="00383AB5">
        <w:rPr>
          <w:rFonts w:ascii="Arial" w:hAnsi="Arial" w:cs="Arial"/>
          <w:sz w:val="22"/>
          <w:szCs w:val="22"/>
          <w:lang w:val="es-ES_tradnl"/>
        </w:rPr>
        <w:t> </w:t>
      </w:r>
      <w:r w:rsidRPr="00A83442">
        <w:rPr>
          <w:rFonts w:ascii="Arial" w:hAnsi="Arial" w:cs="Arial"/>
          <w:sz w:val="22"/>
          <w:szCs w:val="22"/>
          <w:lang w:val="es-ES_tradnl"/>
        </w:rPr>
        <w:t>rendición de cuentas de los miembros del consejo de administración.</w:t>
      </w:r>
    </w:p>
    <w:p w14:paraId="1A9E1713" w14:textId="77777777" w:rsidR="00137EE5" w:rsidRDefault="00137EE5" w:rsidP="00137EE5">
      <w:pPr>
        <w:pStyle w:val="SubSubPar"/>
        <w:tabs>
          <w:tab w:val="clear" w:pos="2736"/>
        </w:tabs>
        <w:ind w:left="2070" w:hanging="360"/>
        <w:rPr>
          <w:rFonts w:ascii="Arial" w:hAnsi="Arial" w:cs="Arial"/>
          <w:sz w:val="22"/>
          <w:szCs w:val="22"/>
          <w:lang w:val="es-ES_tradnl"/>
        </w:rPr>
      </w:pPr>
      <w:r w:rsidRPr="00871C21">
        <w:rPr>
          <w:rFonts w:ascii="Arial" w:hAnsi="Arial" w:cs="Arial"/>
          <w:sz w:val="22"/>
          <w:szCs w:val="22"/>
          <w:lang w:val="es-ES_tradnl"/>
        </w:rPr>
        <w:t>Presentación al Congreso de un Proyecto de Ley que regula las acciones al portador</w:t>
      </w:r>
    </w:p>
    <w:p w14:paraId="61387E1C" w14:textId="615F53CB" w:rsidR="008A3A01" w:rsidRPr="00D276AC" w:rsidRDefault="006046A8" w:rsidP="00137EE5">
      <w:pPr>
        <w:pStyle w:val="SubSubPar"/>
        <w:numPr>
          <w:ilvl w:val="0"/>
          <w:numId w:val="0"/>
        </w:numPr>
        <w:tabs>
          <w:tab w:val="clear" w:pos="0"/>
        </w:tabs>
        <w:ind w:left="2070"/>
        <w:rPr>
          <w:rFonts w:ascii="Arial" w:hAnsi="Arial" w:cs="Arial"/>
          <w:sz w:val="22"/>
          <w:szCs w:val="22"/>
          <w:highlight w:val="yellow"/>
          <w:lang w:val="es-ES_tradnl"/>
        </w:rPr>
      </w:pPr>
      <w:r>
        <w:rPr>
          <w:rFonts w:ascii="Arial" w:hAnsi="Arial" w:cs="Arial"/>
          <w:sz w:val="22"/>
          <w:szCs w:val="22"/>
          <w:lang w:val="es-ES_tradnl"/>
        </w:rPr>
        <w:t>Como se ha mencionado antes, m</w:t>
      </w:r>
      <w:r w:rsidR="00543A4D">
        <w:rPr>
          <w:rFonts w:ascii="Arial" w:hAnsi="Arial" w:cs="Arial"/>
          <w:sz w:val="22"/>
          <w:szCs w:val="22"/>
          <w:lang w:val="es-ES_tradnl"/>
        </w:rPr>
        <w:t>ayores niveles de transparencia y m</w:t>
      </w:r>
      <w:r w:rsidR="00137EE5">
        <w:rPr>
          <w:rFonts w:ascii="Arial" w:hAnsi="Arial" w:cs="Arial"/>
          <w:sz w:val="22"/>
          <w:szCs w:val="22"/>
          <w:lang w:val="es-ES_tradnl"/>
        </w:rPr>
        <w:t xml:space="preserve">enores niveles de corrupción están asociados a menores costos de transacción en la </w:t>
      </w:r>
      <w:r w:rsidR="00137EE5" w:rsidRPr="004E7B6E">
        <w:rPr>
          <w:rFonts w:ascii="Arial" w:hAnsi="Arial" w:cs="Arial"/>
          <w:sz w:val="22"/>
          <w:szCs w:val="22"/>
          <w:lang w:val="es-ES_tradnl"/>
        </w:rPr>
        <w:t>economía</w:t>
      </w:r>
      <w:r w:rsidR="00137EE5">
        <w:rPr>
          <w:rFonts w:ascii="Arial" w:hAnsi="Arial" w:cs="Arial"/>
          <w:sz w:val="22"/>
          <w:szCs w:val="22"/>
          <w:lang w:val="es-ES_tradnl"/>
        </w:rPr>
        <w:t>, y en este caso en particular en menores costos de transacción para el acceso a financiamiento</w:t>
      </w:r>
      <w:r>
        <w:rPr>
          <w:rFonts w:ascii="Arial" w:hAnsi="Arial" w:cs="Arial"/>
          <w:sz w:val="22"/>
          <w:szCs w:val="22"/>
          <w:lang w:val="es-ES_tradnl"/>
        </w:rPr>
        <w:t>.</w:t>
      </w:r>
      <w:r w:rsidR="00543A4D">
        <w:rPr>
          <w:rFonts w:ascii="Arial" w:hAnsi="Arial" w:cs="Arial"/>
          <w:sz w:val="22"/>
          <w:szCs w:val="22"/>
          <w:lang w:val="es-ES_tradnl"/>
        </w:rPr>
        <w:t xml:space="preserve"> </w:t>
      </w:r>
      <w:r>
        <w:rPr>
          <w:rFonts w:ascii="Arial" w:hAnsi="Arial" w:cs="Arial"/>
          <w:sz w:val="22"/>
          <w:szCs w:val="22"/>
          <w:lang w:val="es-ES_tradnl"/>
        </w:rPr>
        <w:t xml:space="preserve">Por ejemplo, </w:t>
      </w:r>
      <w:proofErr w:type="spellStart"/>
      <w:r w:rsidR="00543A4D">
        <w:rPr>
          <w:rFonts w:ascii="Arial" w:hAnsi="Arial" w:cs="Arial"/>
          <w:sz w:val="22"/>
          <w:szCs w:val="22"/>
          <w:lang w:val="es-ES_tradnl"/>
        </w:rPr>
        <w:t>Galli</w:t>
      </w:r>
      <w:proofErr w:type="spellEnd"/>
      <w:r w:rsidR="00543A4D">
        <w:rPr>
          <w:rFonts w:ascii="Arial" w:hAnsi="Arial" w:cs="Arial"/>
          <w:sz w:val="22"/>
          <w:szCs w:val="22"/>
          <w:lang w:val="es-ES_tradnl"/>
        </w:rPr>
        <w:t xml:space="preserve"> et al (2017)</w:t>
      </w:r>
      <w:r w:rsidR="00543A4D">
        <w:rPr>
          <w:rStyle w:val="FootnoteReference"/>
          <w:rFonts w:ascii="Arial" w:hAnsi="Arial" w:cs="Arial"/>
          <w:sz w:val="22"/>
          <w:szCs w:val="22"/>
          <w:lang w:val="es-ES_tradnl"/>
        </w:rPr>
        <w:footnoteReference w:id="37"/>
      </w:r>
      <w:r w:rsidR="00543A4D">
        <w:rPr>
          <w:rFonts w:ascii="Arial" w:hAnsi="Arial" w:cs="Arial"/>
          <w:sz w:val="22"/>
          <w:szCs w:val="22"/>
          <w:lang w:val="es-ES_tradnl"/>
        </w:rPr>
        <w:t xml:space="preserve"> encuentran</w:t>
      </w:r>
      <w:r>
        <w:rPr>
          <w:rFonts w:ascii="Arial" w:hAnsi="Arial" w:cs="Arial"/>
          <w:sz w:val="22"/>
          <w:szCs w:val="22"/>
          <w:lang w:val="es-ES_tradnl"/>
        </w:rPr>
        <w:t xml:space="preserve"> una relación negativa entre corrupción y acceso a crédito.</w:t>
      </w:r>
      <w:r w:rsidR="00543A4D">
        <w:rPr>
          <w:rFonts w:ascii="Arial" w:hAnsi="Arial" w:cs="Arial"/>
          <w:sz w:val="22"/>
          <w:szCs w:val="22"/>
          <w:lang w:val="es-ES_tradnl"/>
        </w:rPr>
        <w:t xml:space="preserve"> Asimismo</w:t>
      </w:r>
      <w:r w:rsidR="00137EE5">
        <w:rPr>
          <w:rFonts w:ascii="Arial" w:hAnsi="Arial" w:cs="Arial"/>
          <w:sz w:val="22"/>
          <w:szCs w:val="22"/>
          <w:lang w:val="es-ES_tradnl"/>
        </w:rPr>
        <w:t>, se ha estimado que los países corruptos tienden a presentar menores niveles de depósitos del público y menor crédito al sector privado debido a que un estado debilitado no tiene la capacidad de resolver los problemas de política que dificultan el desarrollo financiero</w:t>
      </w:r>
      <w:r w:rsidR="00137EE5">
        <w:rPr>
          <w:rStyle w:val="FootnoteReference"/>
          <w:rFonts w:ascii="Arial" w:hAnsi="Arial" w:cs="Arial"/>
          <w:sz w:val="22"/>
          <w:szCs w:val="22"/>
          <w:lang w:val="es-ES_tradnl"/>
        </w:rPr>
        <w:footnoteReference w:id="38"/>
      </w:r>
      <w:r w:rsidR="00137EE5">
        <w:rPr>
          <w:rFonts w:ascii="Arial" w:hAnsi="Arial" w:cs="Arial"/>
          <w:sz w:val="22"/>
          <w:szCs w:val="22"/>
          <w:lang w:val="es-ES_tradnl"/>
        </w:rPr>
        <w:t xml:space="preserve">. </w:t>
      </w:r>
      <w:r>
        <w:rPr>
          <w:rFonts w:ascii="Arial" w:hAnsi="Arial" w:cs="Arial"/>
          <w:sz w:val="22"/>
          <w:szCs w:val="22"/>
          <w:lang w:val="es-ES_tradnl"/>
        </w:rPr>
        <w:t>De igual manera,</w:t>
      </w:r>
      <w:r w:rsidR="00137EE5">
        <w:rPr>
          <w:rFonts w:ascii="Arial" w:hAnsi="Arial" w:cs="Arial"/>
          <w:sz w:val="22"/>
          <w:szCs w:val="22"/>
          <w:lang w:val="es-ES_tradnl"/>
        </w:rPr>
        <w:t xml:space="preserve"> altos niveles de corrupción pueden afectar la capacidad de las instituciones gubernamentales para eliminar sobornos y conflictos de interés en la implementación de reformas financieras</w:t>
      </w:r>
      <w:r w:rsidR="00137EE5">
        <w:rPr>
          <w:rStyle w:val="FootnoteReference"/>
          <w:rFonts w:ascii="Arial" w:hAnsi="Arial" w:cs="Arial"/>
          <w:sz w:val="22"/>
          <w:szCs w:val="22"/>
          <w:lang w:val="es-ES_tradnl"/>
        </w:rPr>
        <w:footnoteReference w:id="39"/>
      </w:r>
      <w:r w:rsidR="00137EE5">
        <w:rPr>
          <w:rFonts w:ascii="Arial" w:hAnsi="Arial" w:cs="Arial"/>
          <w:sz w:val="22"/>
          <w:szCs w:val="22"/>
          <w:lang w:val="es-ES_tradnl"/>
        </w:rPr>
        <w:t xml:space="preserve">. </w:t>
      </w:r>
    </w:p>
    <w:p w14:paraId="1B14DA40" w14:textId="77777777" w:rsidR="00137EE5" w:rsidRPr="00FB5D53" w:rsidRDefault="00137EE5" w:rsidP="00137EE5">
      <w:pPr>
        <w:pStyle w:val="subpar"/>
        <w:tabs>
          <w:tab w:val="clear" w:pos="2304"/>
        </w:tabs>
        <w:ind w:left="1440" w:hanging="720"/>
        <w:rPr>
          <w:rFonts w:ascii="Arial" w:eastAsiaTheme="minorEastAsia" w:hAnsi="Arial" w:cs="Arial"/>
          <w:sz w:val="22"/>
          <w:szCs w:val="22"/>
          <w:lang w:val="es-ES_tradnl"/>
        </w:rPr>
      </w:pPr>
      <w:r w:rsidRPr="008A71B2">
        <w:rPr>
          <w:rFonts w:ascii="Arial" w:hAnsi="Arial" w:cs="Arial"/>
          <w:b/>
          <w:sz w:val="22"/>
          <w:szCs w:val="22"/>
          <w:lang w:val="es-ES_tradnl"/>
        </w:rPr>
        <w:t>Profundidad</w:t>
      </w:r>
      <w:r w:rsidRPr="00FB5D53">
        <w:rPr>
          <w:rFonts w:ascii="Arial" w:hAnsi="Arial" w:cs="Arial"/>
          <w:sz w:val="22"/>
          <w:szCs w:val="22"/>
          <w:lang w:val="es-ES_tradnl"/>
        </w:rPr>
        <w:t xml:space="preserve"> (“</w:t>
      </w:r>
      <w:proofErr w:type="spellStart"/>
      <w:r w:rsidRPr="00FB5D53">
        <w:rPr>
          <w:rFonts w:ascii="Arial" w:hAnsi="Arial" w:cs="Arial"/>
          <w:sz w:val="22"/>
          <w:szCs w:val="22"/>
          <w:lang w:val="es-ES_tradnl"/>
        </w:rPr>
        <w:t>depth</w:t>
      </w:r>
      <w:proofErr w:type="spellEnd"/>
      <w:r w:rsidRPr="00FB5D53">
        <w:rPr>
          <w:rFonts w:ascii="Arial" w:hAnsi="Arial" w:cs="Arial"/>
          <w:sz w:val="22"/>
          <w:szCs w:val="22"/>
          <w:lang w:val="es-ES_tradnl"/>
        </w:rPr>
        <w:t xml:space="preserve">”). Una vez superados los costos de participación, existen otros elementos que determinan el grado en el que se participa de los procesos de intermediación. La posibilidad de que un deudor pueda no pagar su deuda (“default”) y de que la </w:t>
      </w:r>
      <w:proofErr w:type="spellStart"/>
      <w:r w:rsidRPr="00FB5D53">
        <w:rPr>
          <w:rFonts w:ascii="Arial" w:hAnsi="Arial" w:cs="Arial"/>
          <w:sz w:val="22"/>
          <w:szCs w:val="22"/>
          <w:lang w:val="es-ES_tradnl"/>
        </w:rPr>
        <w:t>ejecutabilidad</w:t>
      </w:r>
      <w:proofErr w:type="spellEnd"/>
      <w:r w:rsidRPr="00FB5D53">
        <w:rPr>
          <w:rFonts w:ascii="Arial" w:hAnsi="Arial" w:cs="Arial"/>
          <w:sz w:val="22"/>
          <w:szCs w:val="22"/>
          <w:lang w:val="es-ES_tradnl"/>
        </w:rPr>
        <w:t xml:space="preserve"> de los contratos sea imperfecta, conlleva a la existencia de garantías (“colateral”). Las condiciones asociadas a estas afectan directamente la profundidad financiera. Estos elementos son capturados en el modelo por el parámetro </w:t>
      </w:r>
      <m:oMath>
        <m:r>
          <w:rPr>
            <w:rFonts w:ascii="Cambria Math" w:hAnsi="Cambria Math" w:cs="Arial"/>
            <w:sz w:val="22"/>
            <w:szCs w:val="22"/>
            <w:lang w:val="es-ES_tradnl"/>
          </w:rPr>
          <m:t>λ</m:t>
        </m:r>
      </m:oMath>
      <w:r w:rsidRPr="00FB5D53">
        <w:rPr>
          <w:rFonts w:ascii="Arial" w:eastAsiaTheme="minorEastAsia" w:hAnsi="Arial" w:cs="Arial"/>
          <w:sz w:val="22"/>
          <w:szCs w:val="22"/>
          <w:lang w:val="es-ES_tradnl"/>
        </w:rPr>
        <w:t xml:space="preserve"> (dónde un valor más alto representa una relajación de las restricciones, y un valor de </w:t>
      </w:r>
      <m:oMath>
        <m:r>
          <w:rPr>
            <w:rFonts w:ascii="Cambria Math" w:eastAsiaTheme="minorEastAsia" w:hAnsi="Cambria Math" w:cs="Arial"/>
            <w:sz w:val="22"/>
            <w:szCs w:val="22"/>
            <w:lang w:val="es-ES_tradnl"/>
          </w:rPr>
          <m:t>λ=1</m:t>
        </m:r>
      </m:oMath>
      <w:r w:rsidRPr="00FB5D53">
        <w:rPr>
          <w:rFonts w:ascii="Arial" w:eastAsiaTheme="minorEastAsia" w:hAnsi="Arial" w:cs="Arial"/>
          <w:sz w:val="22"/>
          <w:szCs w:val="22"/>
          <w:lang w:val="es-ES_tradnl"/>
        </w:rPr>
        <w:t xml:space="preserve"> sería un extremo en el cual emprendedores con proyectos viables no pueden endeudarse).  </w:t>
      </w:r>
    </w:p>
    <w:p w14:paraId="0A0597A1" w14:textId="77777777" w:rsidR="00137EE5" w:rsidRPr="00395CE8" w:rsidRDefault="00137EE5" w:rsidP="00137EE5">
      <w:pPr>
        <w:pStyle w:val="subpar"/>
        <w:numPr>
          <w:ilvl w:val="0"/>
          <w:numId w:val="0"/>
        </w:numPr>
        <w:ind w:left="1440"/>
        <w:rPr>
          <w:rFonts w:ascii="Arial" w:eastAsiaTheme="minorEastAsia" w:hAnsi="Arial" w:cs="Arial"/>
          <w:sz w:val="22"/>
          <w:szCs w:val="22"/>
          <w:lang w:val="es-ES_tradnl"/>
        </w:rPr>
      </w:pPr>
      <w:r w:rsidRPr="00395CE8">
        <w:rPr>
          <w:rFonts w:ascii="Arial" w:eastAsiaTheme="minorEastAsia" w:hAnsi="Arial" w:cs="Arial"/>
          <w:sz w:val="22"/>
          <w:szCs w:val="22"/>
          <w:lang w:val="es-ES_tradnl"/>
        </w:rPr>
        <w:lastRenderedPageBreak/>
        <w:t>Dentro de las reformas apoyadas, los elementos que afectan más directamente este parámetro son:</w:t>
      </w:r>
    </w:p>
    <w:p w14:paraId="1396AED1" w14:textId="3776084C" w:rsidR="00137EE5" w:rsidRPr="00293222" w:rsidRDefault="00137EE5" w:rsidP="00137EE5">
      <w:pPr>
        <w:pStyle w:val="SubSubPar"/>
        <w:numPr>
          <w:ilvl w:val="0"/>
          <w:numId w:val="0"/>
        </w:numPr>
        <w:tabs>
          <w:tab w:val="clear" w:pos="0"/>
        </w:tabs>
        <w:ind w:left="1440"/>
        <w:rPr>
          <w:rFonts w:ascii="Arial" w:hAnsi="Arial" w:cs="Arial"/>
          <w:i/>
          <w:sz w:val="22"/>
          <w:szCs w:val="22"/>
          <w:highlight w:val="yellow"/>
          <w:lang w:val="es-ES_tradnl"/>
        </w:rPr>
      </w:pPr>
      <w:r w:rsidRPr="00293222">
        <w:rPr>
          <w:rFonts w:ascii="Arial" w:hAnsi="Arial" w:cs="Arial"/>
          <w:i/>
          <w:sz w:val="22"/>
          <w:szCs w:val="22"/>
          <w:lang w:val="es-ES_tradnl"/>
        </w:rPr>
        <w:t xml:space="preserve">Componente IV: </w:t>
      </w:r>
      <w:r w:rsidR="008D2C95" w:rsidRPr="008D2C95">
        <w:rPr>
          <w:rFonts w:ascii="Arial" w:hAnsi="Arial" w:cs="Arial"/>
          <w:i/>
          <w:sz w:val="22"/>
          <w:szCs w:val="22"/>
          <w:lang w:val="es-ES_tradnl"/>
        </w:rPr>
        <w:t>Mejora del marco legal e institucional del financiamiento a largo plazo</w:t>
      </w:r>
    </w:p>
    <w:p w14:paraId="16BD4BAA" w14:textId="2BBA5108" w:rsidR="00137EE5" w:rsidRDefault="00137EE5" w:rsidP="00137EE5">
      <w:pPr>
        <w:pStyle w:val="SubSubPar"/>
        <w:tabs>
          <w:tab w:val="clear" w:pos="2736"/>
        </w:tabs>
        <w:ind w:left="2070" w:hanging="360"/>
        <w:rPr>
          <w:rFonts w:ascii="Arial" w:hAnsi="Arial" w:cs="Arial"/>
          <w:sz w:val="22"/>
          <w:szCs w:val="22"/>
          <w:lang w:val="es-ES_tradnl"/>
        </w:rPr>
      </w:pPr>
      <w:r w:rsidRPr="00035CA7">
        <w:rPr>
          <w:rFonts w:ascii="Arial" w:hAnsi="Arial" w:cs="Arial"/>
          <w:sz w:val="22"/>
          <w:szCs w:val="22"/>
          <w:lang w:val="es-ES_tradnl"/>
        </w:rPr>
        <w:t xml:space="preserve"> Elaboración de un anteproyecto de Ley de Garantías Mobiliarias</w:t>
      </w:r>
      <w:r>
        <w:rPr>
          <w:rFonts w:ascii="Arial" w:hAnsi="Arial" w:cs="Arial"/>
          <w:sz w:val="22"/>
          <w:szCs w:val="22"/>
          <w:lang w:val="es-ES_tradnl"/>
        </w:rPr>
        <w:t>. Para el segundo tramo se tiene programa la presentación de esta ley ante el congreso.</w:t>
      </w:r>
    </w:p>
    <w:p w14:paraId="0A9E41B3" w14:textId="770C7406" w:rsidR="00293222" w:rsidRPr="001A706B" w:rsidRDefault="00137EE5" w:rsidP="00137EE5">
      <w:pPr>
        <w:pStyle w:val="SubSubPar"/>
        <w:tabs>
          <w:tab w:val="clear" w:pos="2736"/>
        </w:tabs>
        <w:ind w:left="2070" w:hanging="360"/>
        <w:rPr>
          <w:rFonts w:ascii="Arial" w:hAnsi="Arial" w:cs="Arial"/>
          <w:sz w:val="22"/>
          <w:szCs w:val="22"/>
          <w:lang w:val="es-ES_tradnl"/>
        </w:rPr>
      </w:pPr>
      <w:r w:rsidRPr="00293222">
        <w:rPr>
          <w:rFonts w:ascii="Arial" w:hAnsi="Arial" w:cs="Arial"/>
          <w:sz w:val="22"/>
          <w:szCs w:val="22"/>
          <w:lang w:val="es-ES_tradnl"/>
        </w:rPr>
        <w:t>Propuesta de modernización y fortalecimiento del régimen de insolvencia de Paraguay, Ley 154 de 1969</w:t>
      </w:r>
      <w:r>
        <w:rPr>
          <w:rFonts w:ascii="Arial" w:hAnsi="Arial" w:cs="Arial"/>
          <w:sz w:val="22"/>
          <w:szCs w:val="22"/>
          <w:lang w:val="es-ES_tradnl"/>
        </w:rPr>
        <w:t>. Para el segundo tramo se espera su presentación</w:t>
      </w:r>
      <w:r w:rsidR="00293222">
        <w:rPr>
          <w:rFonts w:ascii="Arial" w:hAnsi="Arial" w:cs="Arial"/>
          <w:sz w:val="22"/>
          <w:szCs w:val="22"/>
          <w:lang w:val="es-ES_tradnl"/>
        </w:rPr>
        <w:t>.</w:t>
      </w:r>
    </w:p>
    <w:p w14:paraId="5EAE0A2A" w14:textId="77777777" w:rsidR="00137EE5" w:rsidRPr="00946107" w:rsidRDefault="00137EE5" w:rsidP="00137EE5">
      <w:pPr>
        <w:pStyle w:val="subpar"/>
        <w:tabs>
          <w:tab w:val="clear" w:pos="2304"/>
        </w:tabs>
        <w:ind w:left="1440" w:hanging="720"/>
        <w:rPr>
          <w:rFonts w:ascii="Arial" w:hAnsi="Arial" w:cs="Arial"/>
          <w:sz w:val="22"/>
          <w:szCs w:val="22"/>
          <w:lang w:val="es-ES_tradnl"/>
        </w:rPr>
      </w:pPr>
      <w:r w:rsidRPr="00946107">
        <w:rPr>
          <w:rFonts w:ascii="Arial" w:hAnsi="Arial" w:cs="Arial"/>
          <w:b/>
          <w:sz w:val="22"/>
          <w:szCs w:val="22"/>
          <w:lang w:val="es-ES_tradnl"/>
        </w:rPr>
        <w:t>Eficiencia.</w:t>
      </w:r>
      <w:r w:rsidRPr="00946107">
        <w:rPr>
          <w:rFonts w:ascii="Arial" w:hAnsi="Arial" w:cs="Arial"/>
          <w:sz w:val="22"/>
          <w:szCs w:val="22"/>
          <w:lang w:val="es-ES_tradnl"/>
        </w:rPr>
        <w:t xml:space="preserve"> Resolver los problemas emergentes de la distribución asimétrica de información entre deudores y acreedores es costoso pues involucra realizar actividades de verificación y monitoreo. En particular, el modelo en consideración traslada estos costos de intermediación al costo de financiamiento. El parámetro que captura los costos y la eficiencia de intermediación es </w:t>
      </w:r>
      <m:oMath>
        <m:r>
          <w:rPr>
            <w:rFonts w:ascii="Cambria Math" w:hAnsi="Cambria Math" w:cs="Arial"/>
            <w:sz w:val="22"/>
            <w:szCs w:val="22"/>
            <w:lang w:val="es-ES_tradnl"/>
          </w:rPr>
          <m:t>χ</m:t>
        </m:r>
      </m:oMath>
      <w:r w:rsidRPr="00946107">
        <w:rPr>
          <w:rFonts w:ascii="Arial" w:eastAsiaTheme="minorEastAsia" w:hAnsi="Arial" w:cs="Arial"/>
          <w:sz w:val="22"/>
          <w:szCs w:val="22"/>
          <w:lang w:val="es-ES_tradnl"/>
        </w:rPr>
        <w:t xml:space="preserve">. Por otro lado, el spread de tasas de interés, que refleja estos costos y eficiencias de la intermediación se ve influenciado por la estabilidad del sector financiero y de la economía en general, lo cual se traduce en distintos niveles de prima de riesgo consideradas en los costos finales del crédito. Dentro de las medidas apoyadas al momento de aprobar la primera operación, los elementos que afectan más directamente este parámetro son: </w:t>
      </w:r>
    </w:p>
    <w:p w14:paraId="55C8E5D1" w14:textId="77777777" w:rsidR="00137EE5" w:rsidRPr="001A706B" w:rsidRDefault="00137EE5" w:rsidP="00137EE5">
      <w:pPr>
        <w:pStyle w:val="subpar"/>
        <w:numPr>
          <w:ilvl w:val="0"/>
          <w:numId w:val="0"/>
        </w:numPr>
        <w:ind w:left="1440"/>
        <w:rPr>
          <w:rFonts w:ascii="Arial" w:eastAsiaTheme="minorEastAsia" w:hAnsi="Arial" w:cs="Arial"/>
          <w:i/>
          <w:sz w:val="22"/>
          <w:szCs w:val="22"/>
          <w:lang w:val="es-ES_tradnl"/>
        </w:rPr>
      </w:pPr>
      <w:r w:rsidRPr="001A706B">
        <w:rPr>
          <w:rFonts w:ascii="Arial" w:eastAsiaTheme="minorEastAsia" w:hAnsi="Arial" w:cs="Arial"/>
          <w:i/>
          <w:sz w:val="22"/>
          <w:szCs w:val="22"/>
          <w:lang w:val="es-ES_tradnl"/>
        </w:rPr>
        <w:t>Componente III: Mejora del funcionamiento del sistema financiero</w:t>
      </w:r>
    </w:p>
    <w:p w14:paraId="172566BC" w14:textId="0DA00949" w:rsidR="00137EE5" w:rsidRDefault="00137EE5" w:rsidP="00137EE5">
      <w:pPr>
        <w:pStyle w:val="SubSubPar"/>
        <w:tabs>
          <w:tab w:val="clear" w:pos="2736"/>
        </w:tabs>
        <w:ind w:left="2070" w:hanging="360"/>
        <w:rPr>
          <w:rFonts w:ascii="Arial" w:hAnsi="Arial" w:cs="Arial"/>
          <w:sz w:val="22"/>
          <w:szCs w:val="22"/>
          <w:lang w:val="es-ES_tradnl"/>
        </w:rPr>
      </w:pPr>
      <w:r w:rsidRPr="001A706B">
        <w:rPr>
          <w:rFonts w:ascii="Arial" w:hAnsi="Arial" w:cs="Arial"/>
          <w:sz w:val="22"/>
          <w:szCs w:val="22"/>
          <w:lang w:val="es-ES_tradnl"/>
        </w:rPr>
        <w:t xml:space="preserve">Modificación de la Ley </w:t>
      </w:r>
      <w:r w:rsidR="00D2728B">
        <w:rPr>
          <w:rFonts w:ascii="Arial" w:hAnsi="Arial" w:cs="Arial"/>
          <w:sz w:val="22"/>
          <w:szCs w:val="22"/>
          <w:lang w:val="es-ES_tradnl"/>
        </w:rPr>
        <w:t xml:space="preserve">General </w:t>
      </w:r>
      <w:r w:rsidRPr="001A706B">
        <w:rPr>
          <w:rFonts w:ascii="Arial" w:hAnsi="Arial" w:cs="Arial"/>
          <w:sz w:val="22"/>
          <w:szCs w:val="22"/>
          <w:lang w:val="es-ES_tradnl"/>
        </w:rPr>
        <w:t>de Bancos</w:t>
      </w:r>
      <w:r w:rsidR="00D2728B">
        <w:rPr>
          <w:rFonts w:ascii="Arial" w:hAnsi="Arial" w:cs="Arial"/>
          <w:sz w:val="22"/>
          <w:szCs w:val="22"/>
          <w:lang w:val="es-ES_tradnl"/>
        </w:rPr>
        <w:t>, Financieras y Otras Entidades de Crédito</w:t>
      </w:r>
      <w:r w:rsidRPr="001A706B">
        <w:rPr>
          <w:rFonts w:ascii="Arial" w:hAnsi="Arial" w:cs="Arial"/>
          <w:sz w:val="22"/>
          <w:szCs w:val="22"/>
          <w:lang w:val="es-ES_tradnl"/>
        </w:rPr>
        <w:t xml:space="preserve"> con la finalidad de mejorar: (i) </w:t>
      </w:r>
      <w:r w:rsidR="007E2CF4">
        <w:rPr>
          <w:rFonts w:ascii="Arial" w:hAnsi="Arial" w:cs="Arial"/>
          <w:sz w:val="22"/>
          <w:szCs w:val="22"/>
          <w:lang w:val="es-ES_tradnl"/>
        </w:rPr>
        <w:t>l</w:t>
      </w:r>
      <w:r w:rsidRPr="001A706B">
        <w:rPr>
          <w:rFonts w:ascii="Arial" w:hAnsi="Arial" w:cs="Arial"/>
          <w:sz w:val="22"/>
          <w:szCs w:val="22"/>
          <w:lang w:val="es-ES_tradnl"/>
        </w:rPr>
        <w:t xml:space="preserve">a regulación de adecuación de </w:t>
      </w:r>
      <w:r w:rsidR="007E2CF4">
        <w:rPr>
          <w:rFonts w:ascii="Arial" w:hAnsi="Arial" w:cs="Arial"/>
          <w:sz w:val="22"/>
          <w:szCs w:val="22"/>
          <w:lang w:val="es-ES_tradnl"/>
        </w:rPr>
        <w:t>capital; (ii) l</w:t>
      </w:r>
      <w:r w:rsidRPr="001A706B">
        <w:rPr>
          <w:rFonts w:ascii="Arial" w:hAnsi="Arial" w:cs="Arial"/>
          <w:sz w:val="22"/>
          <w:szCs w:val="22"/>
          <w:lang w:val="es-ES_tradnl"/>
        </w:rPr>
        <w:t xml:space="preserve">as capacidades de la Superintendencia de Bancos en materia sancionatoria y </w:t>
      </w:r>
      <w:r w:rsidR="007E2CF4">
        <w:rPr>
          <w:rFonts w:ascii="Arial" w:hAnsi="Arial" w:cs="Arial"/>
          <w:sz w:val="22"/>
          <w:szCs w:val="22"/>
          <w:lang w:val="es-ES_tradnl"/>
        </w:rPr>
        <w:t>de regulación basada en riesgos; y</w:t>
      </w:r>
      <w:r w:rsidRPr="001A706B">
        <w:rPr>
          <w:rFonts w:ascii="Arial" w:hAnsi="Arial" w:cs="Arial"/>
          <w:sz w:val="22"/>
          <w:szCs w:val="22"/>
          <w:lang w:val="es-ES_tradnl"/>
        </w:rPr>
        <w:t xml:space="preserve"> (iii)</w:t>
      </w:r>
      <w:r>
        <w:rPr>
          <w:rFonts w:ascii="Arial" w:hAnsi="Arial" w:cs="Arial"/>
          <w:sz w:val="22"/>
          <w:szCs w:val="22"/>
          <w:lang w:val="es-ES_tradnl"/>
        </w:rPr>
        <w:t xml:space="preserve"> </w:t>
      </w:r>
      <w:r w:rsidR="007E2CF4">
        <w:rPr>
          <w:rFonts w:ascii="Arial" w:hAnsi="Arial" w:cs="Arial"/>
          <w:sz w:val="22"/>
          <w:szCs w:val="22"/>
          <w:lang w:val="es-ES_tradnl"/>
        </w:rPr>
        <w:t>e</w:t>
      </w:r>
      <w:r w:rsidRPr="001A706B">
        <w:rPr>
          <w:rFonts w:ascii="Arial" w:hAnsi="Arial" w:cs="Arial"/>
          <w:sz w:val="22"/>
          <w:szCs w:val="22"/>
          <w:lang w:val="es-ES_tradnl"/>
        </w:rPr>
        <w:t xml:space="preserve">l </w:t>
      </w:r>
      <w:r w:rsidR="007E2CF4">
        <w:rPr>
          <w:rFonts w:ascii="Arial" w:hAnsi="Arial" w:cs="Arial"/>
          <w:sz w:val="22"/>
          <w:szCs w:val="22"/>
          <w:lang w:val="es-ES_tradnl"/>
        </w:rPr>
        <w:t>g</w:t>
      </w:r>
      <w:r w:rsidRPr="001A706B">
        <w:rPr>
          <w:rFonts w:ascii="Arial" w:hAnsi="Arial" w:cs="Arial"/>
          <w:sz w:val="22"/>
          <w:szCs w:val="22"/>
          <w:lang w:val="es-ES_tradnl"/>
        </w:rPr>
        <w:t xml:space="preserve">obierno </w:t>
      </w:r>
      <w:r w:rsidR="007E2CF4">
        <w:rPr>
          <w:rFonts w:ascii="Arial" w:hAnsi="Arial" w:cs="Arial"/>
          <w:sz w:val="22"/>
          <w:szCs w:val="22"/>
          <w:lang w:val="es-ES_tradnl"/>
        </w:rPr>
        <w:t>c</w:t>
      </w:r>
      <w:r w:rsidRPr="001A706B">
        <w:rPr>
          <w:rFonts w:ascii="Arial" w:hAnsi="Arial" w:cs="Arial"/>
          <w:sz w:val="22"/>
          <w:szCs w:val="22"/>
          <w:lang w:val="es-ES_tradnl"/>
        </w:rPr>
        <w:t>orporativo de las entidades financieras.</w:t>
      </w:r>
      <w:r>
        <w:rPr>
          <w:rFonts w:ascii="Arial" w:hAnsi="Arial" w:cs="Arial"/>
          <w:sz w:val="22"/>
          <w:szCs w:val="22"/>
          <w:lang w:val="es-ES_tradnl"/>
        </w:rPr>
        <w:t xml:space="preserve"> Para el segundo tramo se buscará la entrada en vigencia de dicha normativa.</w:t>
      </w:r>
    </w:p>
    <w:p w14:paraId="10E2EBAE" w14:textId="77777777" w:rsidR="00137EE5" w:rsidRDefault="00137EE5" w:rsidP="00137EE5">
      <w:pPr>
        <w:pStyle w:val="SubSubPar"/>
        <w:tabs>
          <w:tab w:val="clear" w:pos="2736"/>
        </w:tabs>
        <w:ind w:left="2070" w:hanging="360"/>
        <w:rPr>
          <w:rFonts w:ascii="Arial" w:hAnsi="Arial" w:cs="Arial"/>
          <w:sz w:val="22"/>
          <w:szCs w:val="22"/>
          <w:lang w:val="es-ES_tradnl"/>
        </w:rPr>
      </w:pPr>
      <w:r w:rsidRPr="001A706B">
        <w:rPr>
          <w:rFonts w:ascii="Arial" w:hAnsi="Arial" w:cs="Arial"/>
          <w:sz w:val="22"/>
          <w:szCs w:val="22"/>
          <w:lang w:val="es-ES_tradnl"/>
        </w:rPr>
        <w:t>Modificación de la Carta Orgánica del Banco Central con la finalidad de mejorar su capacidad sancionatoria y de inspección</w:t>
      </w:r>
      <w:r>
        <w:rPr>
          <w:rFonts w:ascii="Arial" w:hAnsi="Arial" w:cs="Arial"/>
          <w:sz w:val="22"/>
          <w:szCs w:val="22"/>
          <w:lang w:val="es-ES_tradnl"/>
        </w:rPr>
        <w:t>. Para el segundo tramo, será se buscará la p</w:t>
      </w:r>
      <w:r w:rsidRPr="004269C8">
        <w:rPr>
          <w:rFonts w:ascii="Arial" w:hAnsi="Arial" w:cs="Arial"/>
          <w:sz w:val="22"/>
          <w:szCs w:val="22"/>
          <w:lang w:val="es-ES_tradnl"/>
        </w:rPr>
        <w:t>romulgación y publicación de la Ley de Carta Orgánica del BCP</w:t>
      </w:r>
      <w:r>
        <w:rPr>
          <w:rFonts w:ascii="Arial" w:hAnsi="Arial" w:cs="Arial"/>
          <w:sz w:val="22"/>
          <w:szCs w:val="22"/>
          <w:lang w:val="es-ES_tradnl"/>
        </w:rPr>
        <w:t>.</w:t>
      </w:r>
    </w:p>
    <w:p w14:paraId="6C781A38" w14:textId="77777777" w:rsidR="00137EE5" w:rsidRPr="001C464A" w:rsidRDefault="00137EE5" w:rsidP="00137EE5">
      <w:pPr>
        <w:pStyle w:val="SubSubPar"/>
        <w:tabs>
          <w:tab w:val="clear" w:pos="2736"/>
        </w:tabs>
        <w:ind w:left="2070" w:hanging="360"/>
        <w:rPr>
          <w:rFonts w:ascii="Arial" w:hAnsi="Arial" w:cs="Arial"/>
          <w:sz w:val="22"/>
          <w:szCs w:val="22"/>
          <w:lang w:val="es-ES_tradnl"/>
        </w:rPr>
      </w:pPr>
      <w:r w:rsidRPr="004269C8">
        <w:rPr>
          <w:rFonts w:ascii="Arial" w:hAnsi="Arial" w:cs="Arial"/>
          <w:sz w:val="22"/>
          <w:szCs w:val="22"/>
          <w:lang w:val="es-ES_tradnl"/>
        </w:rPr>
        <w:t>Promulgación y publicación de una Ley que regule el mercado de capitales con la finalidad de mejorar la estabilidad del sistema de acuerdo a mejores prácticas.</w:t>
      </w:r>
      <w:r>
        <w:rPr>
          <w:rFonts w:ascii="Arial" w:hAnsi="Arial" w:cs="Arial"/>
          <w:sz w:val="22"/>
          <w:szCs w:val="22"/>
          <w:lang w:val="es-ES_tradnl"/>
        </w:rPr>
        <w:t xml:space="preserve"> Para el segundo tramo, se desarrollará</w:t>
      </w:r>
      <w:r w:rsidRPr="004269C8">
        <w:rPr>
          <w:rFonts w:ascii="Arial" w:hAnsi="Arial" w:cs="Arial"/>
          <w:sz w:val="22"/>
          <w:szCs w:val="22"/>
          <w:lang w:val="es-ES_tradnl"/>
        </w:rPr>
        <w:t xml:space="preserve"> </w:t>
      </w:r>
      <w:r w:rsidRPr="001C464A">
        <w:rPr>
          <w:rFonts w:ascii="Arial" w:hAnsi="Arial" w:cs="Arial"/>
          <w:sz w:val="22"/>
          <w:szCs w:val="22"/>
          <w:lang w:val="es-ES_tradnl"/>
        </w:rPr>
        <w:t xml:space="preserve">una estrategia y un análisis de brecha para el cumplimiento con los principios de IOSCO. </w:t>
      </w:r>
    </w:p>
    <w:p w14:paraId="61387E3C" w14:textId="5692D665" w:rsidR="00074F51" w:rsidRDefault="00137EE5" w:rsidP="00137EE5">
      <w:pPr>
        <w:pStyle w:val="SubSubPar"/>
        <w:tabs>
          <w:tab w:val="clear" w:pos="2736"/>
        </w:tabs>
        <w:ind w:left="2070" w:hanging="360"/>
        <w:rPr>
          <w:rFonts w:ascii="Arial" w:hAnsi="Arial" w:cs="Arial"/>
          <w:sz w:val="22"/>
          <w:szCs w:val="22"/>
          <w:lang w:val="es-ES_tradnl"/>
        </w:rPr>
      </w:pPr>
      <w:r w:rsidRPr="001C464A">
        <w:rPr>
          <w:rFonts w:ascii="Arial" w:hAnsi="Arial" w:cs="Arial"/>
          <w:sz w:val="22"/>
          <w:szCs w:val="22"/>
          <w:lang w:val="es-ES_tradnl"/>
        </w:rPr>
        <w:t xml:space="preserve">Desarrollo de una Propuesta de Comité de Estabilidad Financiera. El segundo tramo será condicional a la entrada en funcionamiento de </w:t>
      </w:r>
      <w:r w:rsidRPr="00C46B9F">
        <w:rPr>
          <w:rFonts w:ascii="Arial" w:hAnsi="Arial" w:cs="Arial"/>
          <w:sz w:val="22"/>
          <w:szCs w:val="22"/>
          <w:lang w:val="es-ES_tradnl"/>
        </w:rPr>
        <w:t>dicho comité</w:t>
      </w:r>
      <w:r w:rsidR="004269C8" w:rsidRPr="0014488F">
        <w:rPr>
          <w:rFonts w:ascii="Arial" w:hAnsi="Arial" w:cs="Arial"/>
          <w:sz w:val="22"/>
          <w:szCs w:val="22"/>
          <w:lang w:val="es-ES_tradnl"/>
        </w:rPr>
        <w:t>.</w:t>
      </w:r>
    </w:p>
    <w:p w14:paraId="60308B80" w14:textId="6257E032" w:rsidR="00E11838" w:rsidRPr="00F85ACC" w:rsidRDefault="00E11838" w:rsidP="00E11838">
      <w:pPr>
        <w:pStyle w:val="Paragraph"/>
        <w:numPr>
          <w:ilvl w:val="0"/>
          <w:numId w:val="0"/>
        </w:numPr>
        <w:ind w:left="720"/>
        <w:rPr>
          <w:rFonts w:ascii="Arial" w:hAnsi="Arial" w:cs="Arial"/>
          <w:sz w:val="22"/>
          <w:u w:val="single"/>
          <w:lang w:val="es-ES_tradnl"/>
        </w:rPr>
      </w:pPr>
      <w:r w:rsidRPr="00F85ACC">
        <w:rPr>
          <w:rFonts w:ascii="Arial" w:hAnsi="Arial" w:cs="Arial"/>
          <w:b/>
          <w:sz w:val="22"/>
          <w:u w:val="single"/>
          <w:lang w:val="es-ES_tradnl"/>
        </w:rPr>
        <w:lastRenderedPageBreak/>
        <w:t>Metodología II: Elasticidad Corrupción-PIB</w:t>
      </w:r>
    </w:p>
    <w:p w14:paraId="142D15A4" w14:textId="66E52E99" w:rsidR="00E11838" w:rsidRPr="00F85ACC" w:rsidRDefault="00F85ACC" w:rsidP="004D2164">
      <w:pPr>
        <w:pStyle w:val="Paragraph"/>
        <w:tabs>
          <w:tab w:val="clear" w:pos="2448"/>
          <w:tab w:val="num" w:pos="720"/>
        </w:tabs>
        <w:ind w:left="720" w:hanging="720"/>
        <w:rPr>
          <w:rFonts w:ascii="Arial" w:hAnsi="Arial" w:cs="Arial"/>
          <w:sz w:val="22"/>
          <w:lang w:val="es-ES_tradnl"/>
        </w:rPr>
      </w:pPr>
      <w:r w:rsidRPr="00F85ACC">
        <w:rPr>
          <w:rFonts w:ascii="Arial" w:hAnsi="Arial" w:cs="Arial"/>
          <w:b/>
          <w:sz w:val="22"/>
          <w:lang w:val="es-ES_tradnl"/>
        </w:rPr>
        <w:t>Políticas a ser consideradas</w:t>
      </w:r>
      <w:r w:rsidR="00F52372" w:rsidRPr="00F85ACC">
        <w:rPr>
          <w:rFonts w:ascii="Arial" w:hAnsi="Arial" w:cs="Arial"/>
          <w:sz w:val="22"/>
          <w:lang w:val="es-ES_tradnl"/>
        </w:rPr>
        <w:t xml:space="preserve">. </w:t>
      </w:r>
      <w:r w:rsidR="00462176" w:rsidRPr="00F85ACC">
        <w:rPr>
          <w:rFonts w:ascii="Arial" w:hAnsi="Arial" w:cs="Arial"/>
          <w:sz w:val="22"/>
          <w:lang w:val="es-ES_tradnl"/>
        </w:rPr>
        <w:t xml:space="preserve">Si bien se ha considerado los efectos de las políticas orientadas a reducir los niveles de corrupción como factibles de ser representados por modificaciones al parámetro de costos de transacción del modelo de equilibrio general, el presente análisis considera adecuado complementar estos cálculos con estimaciones de impactos provenientes de la literatura empírica que puedan ser vinculados a las otras políticas del componente, a decir: </w:t>
      </w:r>
    </w:p>
    <w:p w14:paraId="70AAC98A" w14:textId="694A0A76" w:rsidR="00462176" w:rsidRDefault="00462176" w:rsidP="00462176">
      <w:pPr>
        <w:pStyle w:val="SubSubPar"/>
        <w:tabs>
          <w:tab w:val="clear" w:pos="2736"/>
        </w:tabs>
        <w:ind w:left="2070" w:hanging="360"/>
        <w:rPr>
          <w:rFonts w:ascii="Arial" w:hAnsi="Arial" w:cs="Arial"/>
          <w:sz w:val="22"/>
          <w:szCs w:val="22"/>
          <w:lang w:val="es-ES_tradnl"/>
        </w:rPr>
      </w:pPr>
      <w:r w:rsidRPr="00462176">
        <w:rPr>
          <w:rFonts w:ascii="Arial" w:hAnsi="Arial" w:cs="Arial"/>
          <w:sz w:val="22"/>
          <w:szCs w:val="22"/>
          <w:lang w:val="es-ES_tradnl"/>
        </w:rPr>
        <w:t>Adopción de un instrumento de monitoreo de la implementación de la Ley 5282/14 de “libre Acceso a la Información Pública y Transparencia Gubernamental</w:t>
      </w:r>
      <w:r>
        <w:rPr>
          <w:rFonts w:ascii="Arial" w:hAnsi="Arial" w:cs="Arial"/>
          <w:sz w:val="22"/>
          <w:szCs w:val="22"/>
          <w:lang w:val="es-ES_tradnl"/>
        </w:rPr>
        <w:t>.</w:t>
      </w:r>
    </w:p>
    <w:p w14:paraId="588035CB" w14:textId="23D865FC" w:rsidR="00462176" w:rsidRDefault="00462176" w:rsidP="00462176">
      <w:pPr>
        <w:pStyle w:val="SubSubPar"/>
        <w:tabs>
          <w:tab w:val="clear" w:pos="2736"/>
        </w:tabs>
        <w:ind w:left="2070" w:hanging="360"/>
        <w:rPr>
          <w:rFonts w:ascii="Arial" w:hAnsi="Arial" w:cs="Arial"/>
          <w:sz w:val="22"/>
          <w:szCs w:val="22"/>
          <w:lang w:val="es-ES_tradnl"/>
        </w:rPr>
      </w:pPr>
      <w:r w:rsidRPr="00462176">
        <w:rPr>
          <w:rFonts w:ascii="Arial" w:hAnsi="Arial" w:cs="Arial"/>
          <w:sz w:val="22"/>
          <w:szCs w:val="22"/>
          <w:lang w:val="es-ES_tradnl"/>
        </w:rPr>
        <w:t xml:space="preserve">Elaboración de un </w:t>
      </w:r>
      <w:r w:rsidR="00B012B8" w:rsidRPr="00462176">
        <w:rPr>
          <w:rFonts w:ascii="Arial" w:hAnsi="Arial" w:cs="Arial"/>
          <w:sz w:val="22"/>
          <w:szCs w:val="22"/>
          <w:lang w:val="es-ES_tradnl"/>
        </w:rPr>
        <w:t>anteproyecto de</w:t>
      </w:r>
      <w:r w:rsidRPr="00462176">
        <w:rPr>
          <w:rFonts w:ascii="Arial" w:hAnsi="Arial" w:cs="Arial"/>
          <w:sz w:val="22"/>
          <w:szCs w:val="22"/>
          <w:lang w:val="es-ES_tradnl"/>
        </w:rPr>
        <w:t xml:space="preserve"> Ley de Gobierno Corporativo de las Empresas Públicas cumplimiento mejores prácticas internacionales, entre otras: (i) transparencia en la elección e información suministrada por parte de los consejos de administración y los comités de auditoría; y (ii) rendición de cuentas de los miembros del consejo de administración</w:t>
      </w:r>
      <w:r w:rsidR="005270E2">
        <w:rPr>
          <w:rFonts w:ascii="Arial" w:hAnsi="Arial" w:cs="Arial"/>
          <w:sz w:val="22"/>
          <w:szCs w:val="22"/>
          <w:lang w:val="es-ES_tradnl"/>
        </w:rPr>
        <w:t>. Para el segundo tramo se espera la presentación al congreso del proyecto de ley.</w:t>
      </w:r>
    </w:p>
    <w:p w14:paraId="7935CAB5" w14:textId="3AA11102" w:rsidR="00B012B8" w:rsidRDefault="00B012B8" w:rsidP="004D2164">
      <w:pPr>
        <w:pStyle w:val="Paragraph"/>
        <w:tabs>
          <w:tab w:val="clear" w:pos="2448"/>
          <w:tab w:val="num" w:pos="720"/>
        </w:tabs>
        <w:ind w:left="720" w:hanging="720"/>
        <w:rPr>
          <w:rFonts w:ascii="Arial" w:hAnsi="Arial" w:cs="Arial"/>
          <w:sz w:val="22"/>
          <w:lang w:val="es-ES_tradnl"/>
        </w:rPr>
      </w:pPr>
      <w:r>
        <w:rPr>
          <w:rFonts w:ascii="Arial" w:hAnsi="Arial" w:cs="Arial"/>
          <w:sz w:val="22"/>
          <w:lang w:val="es-ES_tradnl"/>
        </w:rPr>
        <w:t xml:space="preserve">La inclusión de esta segunda metodología tiene como objetivo complementar la estimación de los impactos estimados con el modelo de equilibrio general. Esto permite introducir </w:t>
      </w:r>
      <w:r w:rsidR="00BE675F">
        <w:rPr>
          <w:rFonts w:ascii="Arial" w:hAnsi="Arial" w:cs="Arial"/>
          <w:sz w:val="22"/>
          <w:lang w:val="es-ES_tradnl"/>
        </w:rPr>
        <w:t>al análisis estimado basado</w:t>
      </w:r>
      <w:r>
        <w:rPr>
          <w:rFonts w:ascii="Arial" w:hAnsi="Arial" w:cs="Arial"/>
          <w:sz w:val="22"/>
          <w:lang w:val="es-ES_tradnl"/>
        </w:rPr>
        <w:t xml:space="preserve"> en el uso de datos que van más allá del alcance de lo permitido por el modelo anterior, posibilitando así la inclusión de impactos sobre el PIB que no necesariamente se generan a través de un mejor funcionamiento del mercado financiero.</w:t>
      </w:r>
      <w:r w:rsidR="0080190C">
        <w:rPr>
          <w:rFonts w:ascii="Arial" w:hAnsi="Arial" w:cs="Arial"/>
          <w:sz w:val="22"/>
          <w:lang w:val="es-ES_tradnl"/>
        </w:rPr>
        <w:t xml:space="preserve"> Es importante destacar que el VPN de la operación es positivo incluso en el escenario en que no se incluyen los beneficios estimados a través de esta metodología</w:t>
      </w:r>
      <w:r w:rsidR="00BD5217">
        <w:rPr>
          <w:rFonts w:ascii="Arial" w:hAnsi="Arial" w:cs="Arial"/>
          <w:sz w:val="22"/>
          <w:lang w:val="es-ES_tradnl"/>
        </w:rPr>
        <w:t xml:space="preserve"> (ver análisis de sensibilidad). </w:t>
      </w:r>
    </w:p>
    <w:p w14:paraId="1CBE6C0E" w14:textId="47A09B34" w:rsidR="00557080" w:rsidRDefault="00557080" w:rsidP="004D2164">
      <w:pPr>
        <w:pStyle w:val="Paragraph"/>
        <w:tabs>
          <w:tab w:val="clear" w:pos="2448"/>
          <w:tab w:val="num" w:pos="720"/>
        </w:tabs>
        <w:ind w:left="720" w:hanging="720"/>
        <w:rPr>
          <w:rFonts w:ascii="Arial" w:hAnsi="Arial" w:cs="Arial"/>
          <w:sz w:val="22"/>
          <w:lang w:val="es-ES_tradnl"/>
        </w:rPr>
      </w:pPr>
      <w:r w:rsidRPr="00557080">
        <w:rPr>
          <w:rFonts w:ascii="Arial" w:hAnsi="Arial" w:cs="Arial"/>
          <w:b/>
          <w:sz w:val="22"/>
          <w:lang w:val="es-ES_tradnl"/>
        </w:rPr>
        <w:t>Literatura empírica</w:t>
      </w:r>
      <w:r>
        <w:rPr>
          <w:rFonts w:ascii="Arial" w:hAnsi="Arial" w:cs="Arial"/>
          <w:sz w:val="22"/>
          <w:lang w:val="es-ES_tradnl"/>
        </w:rPr>
        <w:t xml:space="preserve">.  Como se ha mencionado antes, altos niveles de transparencia e institucionalidad </w:t>
      </w:r>
      <w:r w:rsidRPr="003B1BF2">
        <w:rPr>
          <w:rFonts w:ascii="Arial" w:hAnsi="Arial" w:cs="Arial"/>
          <w:sz w:val="22"/>
          <w:lang w:val="es-ES_tradnl"/>
        </w:rPr>
        <w:t>son claves para la adecuada provisión de servicios públicos y</w:t>
      </w:r>
      <w:r>
        <w:rPr>
          <w:rFonts w:ascii="Arial" w:hAnsi="Arial" w:cs="Arial"/>
          <w:sz w:val="22"/>
          <w:lang w:val="es-ES_tradnl"/>
        </w:rPr>
        <w:t xml:space="preserve"> </w:t>
      </w:r>
      <w:r w:rsidRPr="003B1BF2">
        <w:rPr>
          <w:rFonts w:ascii="Arial" w:hAnsi="Arial" w:cs="Arial"/>
          <w:sz w:val="22"/>
          <w:lang w:val="es-ES_tradnl"/>
        </w:rPr>
        <w:t>constituyen una parte fundamental para sentar un clima de negocios que incentive</w:t>
      </w:r>
      <w:r>
        <w:rPr>
          <w:rFonts w:ascii="Arial" w:hAnsi="Arial" w:cs="Arial"/>
          <w:sz w:val="22"/>
          <w:lang w:val="es-ES_tradnl"/>
        </w:rPr>
        <w:t xml:space="preserve"> </w:t>
      </w:r>
      <w:r w:rsidRPr="003B1BF2">
        <w:rPr>
          <w:rFonts w:ascii="Arial" w:hAnsi="Arial" w:cs="Arial"/>
          <w:sz w:val="22"/>
          <w:lang w:val="es-ES_tradnl"/>
        </w:rPr>
        <w:t>las inversiones y apoye el de</w:t>
      </w:r>
      <w:r>
        <w:rPr>
          <w:rFonts w:ascii="Arial" w:hAnsi="Arial" w:cs="Arial"/>
          <w:sz w:val="22"/>
          <w:lang w:val="es-ES_tradnl"/>
        </w:rPr>
        <w:t>sarrollo del sector privado</w:t>
      </w:r>
      <w:r>
        <w:rPr>
          <w:rStyle w:val="FootnoteReference"/>
          <w:rFonts w:ascii="Arial" w:hAnsi="Arial" w:cs="Arial"/>
          <w:sz w:val="22"/>
          <w:lang w:val="es-ES_tradnl"/>
        </w:rPr>
        <w:footnoteReference w:id="40"/>
      </w:r>
      <w:r w:rsidRPr="003B1BF2">
        <w:rPr>
          <w:rFonts w:ascii="Arial" w:hAnsi="Arial" w:cs="Arial"/>
          <w:sz w:val="22"/>
          <w:lang w:val="es-ES_tradnl"/>
        </w:rPr>
        <w:t>. La evidencia empírica</w:t>
      </w:r>
      <w:r>
        <w:rPr>
          <w:rFonts w:ascii="Arial" w:hAnsi="Arial" w:cs="Arial"/>
          <w:sz w:val="22"/>
          <w:lang w:val="es-ES_tradnl"/>
        </w:rPr>
        <w:t xml:space="preserve"> </w:t>
      </w:r>
      <w:r w:rsidRPr="003B1BF2">
        <w:rPr>
          <w:rFonts w:ascii="Arial" w:hAnsi="Arial" w:cs="Arial"/>
          <w:sz w:val="22"/>
          <w:lang w:val="es-ES_tradnl"/>
        </w:rPr>
        <w:t>internacional muestra que la productividad y el crecimiento económico de un país</w:t>
      </w:r>
      <w:r>
        <w:rPr>
          <w:rFonts w:ascii="Arial" w:hAnsi="Arial" w:cs="Arial"/>
          <w:sz w:val="22"/>
          <w:lang w:val="es-ES_tradnl"/>
        </w:rPr>
        <w:t xml:space="preserve"> </w:t>
      </w:r>
      <w:r w:rsidRPr="003B1BF2">
        <w:rPr>
          <w:rFonts w:ascii="Arial" w:hAnsi="Arial" w:cs="Arial"/>
          <w:sz w:val="22"/>
          <w:lang w:val="es-ES_tradnl"/>
        </w:rPr>
        <w:t>pueden verse afectados por la falta</w:t>
      </w:r>
      <w:r>
        <w:rPr>
          <w:rFonts w:ascii="Arial" w:hAnsi="Arial" w:cs="Arial"/>
          <w:sz w:val="22"/>
          <w:lang w:val="es-ES_tradnl"/>
        </w:rPr>
        <w:t xml:space="preserve"> de transparencia e integridad</w:t>
      </w:r>
      <w:r>
        <w:rPr>
          <w:rStyle w:val="FootnoteReference"/>
          <w:rFonts w:ascii="Arial" w:hAnsi="Arial" w:cs="Arial"/>
          <w:sz w:val="22"/>
          <w:lang w:val="es-ES_tradnl"/>
        </w:rPr>
        <w:footnoteReference w:id="41"/>
      </w:r>
      <w:r w:rsidRPr="003B1BF2">
        <w:rPr>
          <w:rFonts w:ascii="Arial" w:hAnsi="Arial" w:cs="Arial"/>
          <w:sz w:val="22"/>
          <w:lang w:val="es-ES_tradnl"/>
        </w:rPr>
        <w:t>.</w:t>
      </w:r>
      <w:r w:rsidR="009A5B62">
        <w:rPr>
          <w:rFonts w:ascii="Arial" w:hAnsi="Arial" w:cs="Arial"/>
          <w:sz w:val="22"/>
          <w:lang w:val="es-ES_tradnl"/>
        </w:rPr>
        <w:t xml:space="preserve"> </w:t>
      </w:r>
    </w:p>
    <w:p w14:paraId="776EE2FA" w14:textId="0BB55EF2" w:rsidR="009A5B62" w:rsidRDefault="009A5B62" w:rsidP="004D2164">
      <w:pPr>
        <w:pStyle w:val="Paragraph"/>
        <w:tabs>
          <w:tab w:val="clear" w:pos="2448"/>
          <w:tab w:val="num" w:pos="720"/>
        </w:tabs>
        <w:ind w:left="720" w:hanging="720"/>
        <w:rPr>
          <w:rFonts w:ascii="Arial" w:hAnsi="Arial" w:cs="Arial"/>
          <w:sz w:val="22"/>
          <w:lang w:val="es-ES_tradnl"/>
        </w:rPr>
      </w:pPr>
      <w:r>
        <w:rPr>
          <w:rFonts w:ascii="Arial" w:hAnsi="Arial" w:cs="Arial"/>
          <w:sz w:val="22"/>
          <w:lang w:val="es-ES_tradnl"/>
        </w:rPr>
        <w:t>Por un lado, se ha estimado que mejoras los niveles de percepción de corrupción pueden llegar a tener impactos sobre los ing</w:t>
      </w:r>
      <w:r w:rsidR="00383AB5">
        <w:rPr>
          <w:rFonts w:ascii="Arial" w:hAnsi="Arial" w:cs="Arial"/>
          <w:sz w:val="22"/>
          <w:lang w:val="es-ES_tradnl"/>
        </w:rPr>
        <w:t>resos del Gobierno de hasta 0.8 </w:t>
      </w:r>
      <w:r>
        <w:rPr>
          <w:rFonts w:ascii="Arial" w:hAnsi="Arial" w:cs="Arial"/>
          <w:sz w:val="22"/>
          <w:lang w:val="es-ES_tradnl"/>
        </w:rPr>
        <w:t>puntos porcentuales sobre el PIB</w:t>
      </w:r>
      <w:r>
        <w:rPr>
          <w:rStyle w:val="FootnoteReference"/>
          <w:rFonts w:ascii="Arial" w:hAnsi="Arial" w:cs="Arial"/>
          <w:sz w:val="22"/>
          <w:lang w:val="es-ES_tradnl"/>
        </w:rPr>
        <w:footnoteReference w:id="42"/>
      </w:r>
      <w:r>
        <w:rPr>
          <w:rFonts w:ascii="Arial" w:hAnsi="Arial" w:cs="Arial"/>
          <w:sz w:val="22"/>
          <w:lang w:val="es-ES_tradnl"/>
        </w:rPr>
        <w:t xml:space="preserve">. </w:t>
      </w:r>
      <w:r w:rsidR="000D13AA">
        <w:rPr>
          <w:rFonts w:ascii="Arial" w:hAnsi="Arial" w:cs="Arial"/>
          <w:sz w:val="22"/>
          <w:lang w:val="es-ES_tradnl"/>
        </w:rPr>
        <w:t xml:space="preserve"> Asimismo, como se ha mencionado en la sección anterior, las reformas de transparencia tienen efectos positivos sobre el </w:t>
      </w:r>
      <w:r w:rsidR="000D13AA">
        <w:rPr>
          <w:rFonts w:ascii="Arial" w:hAnsi="Arial" w:cs="Arial"/>
          <w:sz w:val="22"/>
          <w:lang w:val="es-ES_tradnl"/>
        </w:rPr>
        <w:lastRenderedPageBreak/>
        <w:t>sistema financiero de los países</w:t>
      </w:r>
      <w:r w:rsidR="000D13AA">
        <w:rPr>
          <w:rStyle w:val="FootnoteReference"/>
          <w:rFonts w:ascii="Arial" w:hAnsi="Arial" w:cs="Arial"/>
          <w:sz w:val="22"/>
          <w:lang w:val="es-ES_tradnl"/>
        </w:rPr>
        <w:footnoteReference w:id="43"/>
      </w:r>
      <w:r w:rsidR="000D13AA">
        <w:rPr>
          <w:rFonts w:ascii="Arial" w:hAnsi="Arial" w:cs="Arial"/>
          <w:sz w:val="22"/>
          <w:lang w:val="es-ES_tradnl"/>
        </w:rPr>
        <w:t xml:space="preserve">. </w:t>
      </w:r>
      <w:r w:rsidR="00BE675F">
        <w:rPr>
          <w:rFonts w:ascii="Arial" w:hAnsi="Arial" w:cs="Arial"/>
          <w:sz w:val="22"/>
          <w:lang w:val="es-ES_tradnl"/>
        </w:rPr>
        <w:t>Por otro lado, se ha estimado efectos positivos de mejores niveles de corrupción sobre la inversión, innovación y la productividad de las firmas</w:t>
      </w:r>
      <w:r w:rsidR="00BE675F">
        <w:rPr>
          <w:rStyle w:val="FootnoteReference"/>
          <w:rFonts w:ascii="Arial" w:hAnsi="Arial" w:cs="Arial"/>
          <w:sz w:val="22"/>
          <w:lang w:val="es-ES_tradnl"/>
        </w:rPr>
        <w:footnoteReference w:id="44"/>
      </w:r>
      <w:r w:rsidR="00BE675F">
        <w:rPr>
          <w:rFonts w:ascii="Arial" w:hAnsi="Arial" w:cs="Arial"/>
          <w:sz w:val="22"/>
          <w:lang w:val="es-ES_tradnl"/>
        </w:rPr>
        <w:t>.</w:t>
      </w:r>
    </w:p>
    <w:p w14:paraId="32D27D70" w14:textId="299807DF" w:rsidR="00641D60" w:rsidRPr="00B012B8" w:rsidRDefault="00641D60" w:rsidP="004D2164">
      <w:pPr>
        <w:pStyle w:val="Paragraph"/>
        <w:tabs>
          <w:tab w:val="clear" w:pos="2448"/>
          <w:tab w:val="num" w:pos="720"/>
        </w:tabs>
        <w:ind w:left="720" w:hanging="720"/>
        <w:rPr>
          <w:rFonts w:ascii="Arial" w:hAnsi="Arial" w:cs="Arial"/>
          <w:sz w:val="22"/>
          <w:lang w:val="es-ES_tradnl"/>
        </w:rPr>
      </w:pPr>
      <w:r>
        <w:rPr>
          <w:rFonts w:ascii="Arial" w:hAnsi="Arial" w:cs="Arial"/>
          <w:b/>
          <w:sz w:val="22"/>
          <w:lang w:val="es-ES_tradnl"/>
        </w:rPr>
        <w:t>Elasticidad PIB-Corrupción.</w:t>
      </w:r>
      <w:r>
        <w:rPr>
          <w:rFonts w:ascii="Arial" w:hAnsi="Arial" w:cs="Arial"/>
          <w:sz w:val="22"/>
          <w:lang w:val="es-ES_tradnl"/>
        </w:rPr>
        <w:t xml:space="preserve"> Para la estimación de los impactos mejoras en los niveles de corrupción a través de las políticas de transparencias promovidas por la operación se utilizarán los resultados hallados por </w:t>
      </w:r>
      <w:proofErr w:type="spellStart"/>
      <w:r>
        <w:rPr>
          <w:rFonts w:ascii="Arial" w:hAnsi="Arial" w:cs="Arial"/>
          <w:sz w:val="22"/>
          <w:lang w:val="es-ES_tradnl"/>
        </w:rPr>
        <w:t>Ugur</w:t>
      </w:r>
      <w:proofErr w:type="spellEnd"/>
      <w:r>
        <w:rPr>
          <w:rFonts w:ascii="Arial" w:hAnsi="Arial" w:cs="Arial"/>
          <w:sz w:val="22"/>
          <w:lang w:val="es-ES_tradnl"/>
        </w:rPr>
        <w:t xml:space="preserve"> y </w:t>
      </w:r>
      <w:proofErr w:type="spellStart"/>
      <w:r>
        <w:rPr>
          <w:rFonts w:ascii="Arial" w:hAnsi="Arial" w:cs="Arial"/>
          <w:sz w:val="22"/>
          <w:lang w:val="es-ES_tradnl"/>
        </w:rPr>
        <w:t>Dasgupta</w:t>
      </w:r>
      <w:proofErr w:type="spellEnd"/>
      <w:r>
        <w:rPr>
          <w:rFonts w:ascii="Arial" w:hAnsi="Arial" w:cs="Arial"/>
          <w:sz w:val="22"/>
          <w:lang w:val="es-ES_tradnl"/>
        </w:rPr>
        <w:t xml:space="preserve"> (2011)</w:t>
      </w:r>
      <w:r>
        <w:rPr>
          <w:rStyle w:val="FootnoteReference"/>
          <w:rFonts w:ascii="Arial" w:hAnsi="Arial" w:cs="Arial"/>
          <w:sz w:val="22"/>
          <w:lang w:val="es-ES_tradnl"/>
        </w:rPr>
        <w:footnoteReference w:id="45"/>
      </w:r>
      <w:r>
        <w:rPr>
          <w:rFonts w:ascii="Arial" w:hAnsi="Arial" w:cs="Arial"/>
          <w:sz w:val="22"/>
          <w:lang w:val="es-ES_tradnl"/>
        </w:rPr>
        <w:t>.</w:t>
      </w:r>
      <w:r w:rsidR="00C86D3D">
        <w:rPr>
          <w:rFonts w:ascii="Arial" w:hAnsi="Arial" w:cs="Arial"/>
          <w:sz w:val="22"/>
          <w:lang w:val="es-ES_tradnl"/>
        </w:rPr>
        <w:t xml:space="preserve"> En este estud</w:t>
      </w:r>
      <w:r w:rsidR="00570875">
        <w:rPr>
          <w:rFonts w:ascii="Arial" w:hAnsi="Arial" w:cs="Arial"/>
          <w:sz w:val="22"/>
          <w:lang w:val="es-ES_tradnl"/>
        </w:rPr>
        <w:t xml:space="preserve">io los autores realizan un </w:t>
      </w:r>
      <w:proofErr w:type="spellStart"/>
      <w:r w:rsidR="00570875">
        <w:rPr>
          <w:rFonts w:ascii="Arial" w:hAnsi="Arial" w:cs="Arial"/>
          <w:sz w:val="22"/>
          <w:lang w:val="es-ES_tradnl"/>
        </w:rPr>
        <w:t>meta</w:t>
      </w:r>
      <w:r w:rsidR="00C86D3D">
        <w:rPr>
          <w:rFonts w:ascii="Arial" w:hAnsi="Arial" w:cs="Arial"/>
          <w:sz w:val="22"/>
          <w:lang w:val="es-ES_tradnl"/>
        </w:rPr>
        <w:t>análisis</w:t>
      </w:r>
      <w:proofErr w:type="spellEnd"/>
      <w:r w:rsidR="00C86D3D">
        <w:rPr>
          <w:rFonts w:ascii="Arial" w:hAnsi="Arial" w:cs="Arial"/>
          <w:sz w:val="22"/>
          <w:lang w:val="es-ES_tradnl"/>
        </w:rPr>
        <w:t xml:space="preserve"> a partir de 62 estudios teóricos y 53 estudios empíricos (con 596 estimaciones en total) que estudian la relación PIB per cápita – corrupción.</w:t>
      </w:r>
      <w:r>
        <w:rPr>
          <w:rFonts w:ascii="Arial" w:hAnsi="Arial" w:cs="Arial"/>
          <w:sz w:val="22"/>
          <w:lang w:val="es-ES_tradnl"/>
        </w:rPr>
        <w:t xml:space="preserve"> </w:t>
      </w:r>
      <w:r w:rsidR="00C86D3D">
        <w:rPr>
          <w:rFonts w:ascii="Arial" w:hAnsi="Arial" w:cs="Arial"/>
          <w:sz w:val="22"/>
          <w:lang w:val="es-ES_tradnl"/>
        </w:rPr>
        <w:t xml:space="preserve">Basada en esta evidencia, los autores construyen estimados sintéticos para distintos grupos de países basados en ingresos. Así, estiman que para los países de ingresos bajos </w:t>
      </w:r>
      <w:r w:rsidR="00834DBC">
        <w:rPr>
          <w:rFonts w:ascii="Arial" w:hAnsi="Arial" w:cs="Arial"/>
          <w:sz w:val="22"/>
          <w:lang w:val="es-ES_tradnl"/>
        </w:rPr>
        <w:t xml:space="preserve">mejoras en una unidad del índice de percepción de corrupción está asociado a un incremento de 0.59 puntos porcentuales en el crecimiento del PIB per cápita. Este estimado es de 0.91 puntos porcentuales para la muestra completa de países. En base a esto, el presente análisis utilizará el estimado de 0.59 puntos porcentuales para países de ingresos bajos.  Dado que el horizonte de análisis es solo de 10 años y que se considera la posibilidad de que las reformas apoyadas no tengan la misma efectividad de los estimados del estudio (por, entre otras razones, que son un subconjunto de un total de reformas necesarias para mejorar los niveles de corrupción en el país), se asumirá que este estimado tendrá un efecto equivalente </w:t>
      </w:r>
      <w:r w:rsidR="00834DBC" w:rsidRPr="0040446F">
        <w:rPr>
          <w:rFonts w:ascii="Arial" w:hAnsi="Arial" w:cs="Arial"/>
          <w:sz w:val="22"/>
          <w:lang w:val="es-ES_tradnl"/>
        </w:rPr>
        <w:t xml:space="preserve">al </w:t>
      </w:r>
      <w:r w:rsidR="001E09FF" w:rsidRPr="0040446F">
        <w:rPr>
          <w:rFonts w:ascii="Arial" w:hAnsi="Arial" w:cs="Arial"/>
          <w:sz w:val="22"/>
          <w:lang w:val="es-ES_tradnl"/>
        </w:rPr>
        <w:t>25</w:t>
      </w:r>
      <w:r w:rsidR="00834DBC" w:rsidRPr="0040446F">
        <w:rPr>
          <w:rFonts w:ascii="Arial" w:hAnsi="Arial" w:cs="Arial"/>
          <w:sz w:val="22"/>
          <w:lang w:val="es-ES_tradnl"/>
        </w:rPr>
        <w:t>%</w:t>
      </w:r>
      <w:r w:rsidR="00834DBC">
        <w:rPr>
          <w:rFonts w:ascii="Arial" w:hAnsi="Arial" w:cs="Arial"/>
          <w:sz w:val="22"/>
          <w:lang w:val="es-ES_tradnl"/>
        </w:rPr>
        <w:t xml:space="preserve"> de la elasticidad</w:t>
      </w:r>
      <w:r w:rsidR="0022109F">
        <w:rPr>
          <w:rFonts w:ascii="Arial" w:hAnsi="Arial" w:cs="Arial"/>
          <w:sz w:val="22"/>
          <w:lang w:val="es-ES_tradnl"/>
        </w:rPr>
        <w:t xml:space="preserve"> tomada</w:t>
      </w:r>
      <w:r w:rsidR="00834DBC">
        <w:rPr>
          <w:rFonts w:ascii="Arial" w:hAnsi="Arial" w:cs="Arial"/>
          <w:sz w:val="22"/>
          <w:lang w:val="es-ES_tradnl"/>
        </w:rPr>
        <w:t xml:space="preserve"> del estudio.</w:t>
      </w:r>
    </w:p>
    <w:p w14:paraId="61387E3E" w14:textId="359811D6" w:rsidR="004810E5" w:rsidRPr="00E72F77" w:rsidRDefault="00944EA3" w:rsidP="004D2164">
      <w:pPr>
        <w:pStyle w:val="Paragraph"/>
        <w:tabs>
          <w:tab w:val="clear" w:pos="2448"/>
          <w:tab w:val="num" w:pos="720"/>
        </w:tabs>
        <w:ind w:left="720" w:hanging="720"/>
        <w:rPr>
          <w:rFonts w:ascii="Arial" w:hAnsi="Arial" w:cs="Arial"/>
          <w:sz w:val="22"/>
          <w:lang w:val="es-ES_tradnl"/>
        </w:rPr>
      </w:pPr>
      <w:r w:rsidRPr="00440EA2">
        <w:rPr>
          <w:rFonts w:ascii="Arial" w:hAnsi="Arial" w:cs="Arial"/>
          <w:b/>
          <w:sz w:val="22"/>
          <w:lang w:val="es-ES_tradnl"/>
        </w:rPr>
        <w:t>Conexión con la matriz de resultados.</w:t>
      </w:r>
      <w:r w:rsidR="00DB1B7A" w:rsidRPr="00440EA2">
        <w:rPr>
          <w:rFonts w:ascii="Arial" w:hAnsi="Arial" w:cs="Arial"/>
          <w:sz w:val="22"/>
          <w:lang w:val="es-ES_tradnl"/>
        </w:rPr>
        <w:t xml:space="preserve"> Aunque conceptualmente los parámetros que guían el alcance, profundidad, y eficiencia están coherentemente definidos en el modelo, y que los valores de los mismos son conocidos y han de computarse nuevamente para la etapa de evaluación, proveyendo así la información necesaria para su inclusión en la matriz de resultados</w:t>
      </w:r>
      <w:r w:rsidR="008D1BCD" w:rsidRPr="00440EA2">
        <w:rPr>
          <w:rFonts w:ascii="Arial" w:hAnsi="Arial" w:cs="Arial"/>
          <w:sz w:val="22"/>
          <w:lang w:val="es-ES_tradnl"/>
        </w:rPr>
        <w:t xml:space="preserve">, se considera que resulta más </w:t>
      </w:r>
      <w:r w:rsidR="00E57CE0" w:rsidRPr="00440EA2">
        <w:rPr>
          <w:rFonts w:ascii="Arial" w:hAnsi="Arial" w:cs="Arial"/>
          <w:sz w:val="22"/>
          <w:lang w:val="es-ES_tradnl"/>
        </w:rPr>
        <w:t>conveniente utilizar un subconjunto representativo de indicadores que capten los aspectos globales de las reformas en su conjunto.</w:t>
      </w:r>
      <w:r w:rsidR="001021F2" w:rsidRPr="00440EA2">
        <w:rPr>
          <w:rFonts w:ascii="Arial" w:hAnsi="Arial" w:cs="Arial"/>
          <w:sz w:val="22"/>
          <w:lang w:val="es-ES_tradnl"/>
        </w:rPr>
        <w:t xml:space="preserve"> En particular, se opta</w:t>
      </w:r>
      <w:r w:rsidR="00E57CE0" w:rsidRPr="00440EA2">
        <w:rPr>
          <w:rFonts w:ascii="Arial" w:hAnsi="Arial" w:cs="Arial"/>
          <w:sz w:val="22"/>
          <w:lang w:val="es-ES_tradnl"/>
        </w:rPr>
        <w:t xml:space="preserve"> para </w:t>
      </w:r>
      <w:r w:rsidR="00F53369">
        <w:rPr>
          <w:rFonts w:ascii="Arial" w:hAnsi="Arial" w:cs="Arial"/>
          <w:sz w:val="22"/>
          <w:lang w:val="es-ES_tradnl"/>
        </w:rPr>
        <w:t>los</w:t>
      </w:r>
      <w:r w:rsidR="00E57CE0" w:rsidRPr="00440EA2">
        <w:rPr>
          <w:rFonts w:ascii="Arial" w:hAnsi="Arial" w:cs="Arial"/>
          <w:sz w:val="22"/>
          <w:lang w:val="es-ES_tradnl"/>
        </w:rPr>
        <w:t xml:space="preserve"> componente</w:t>
      </w:r>
      <w:r w:rsidR="00F53369">
        <w:rPr>
          <w:rFonts w:ascii="Arial" w:hAnsi="Arial" w:cs="Arial"/>
          <w:sz w:val="22"/>
          <w:lang w:val="es-ES_tradnl"/>
        </w:rPr>
        <w:t>s</w:t>
      </w:r>
      <w:r w:rsidR="00E57CE0" w:rsidRPr="00440EA2">
        <w:rPr>
          <w:rFonts w:ascii="Arial" w:hAnsi="Arial" w:cs="Arial"/>
          <w:sz w:val="22"/>
          <w:lang w:val="es-ES_tradnl"/>
        </w:rPr>
        <w:t xml:space="preserve"> de reformas financieras </w:t>
      </w:r>
      <w:r w:rsidR="00F53369">
        <w:rPr>
          <w:rFonts w:ascii="Arial" w:hAnsi="Arial" w:cs="Arial"/>
          <w:sz w:val="22"/>
          <w:lang w:val="es-ES_tradnl"/>
        </w:rPr>
        <w:t>e institucionalidad del financiamiento de largo plazo</w:t>
      </w:r>
      <w:r w:rsidR="00E57CE0" w:rsidRPr="00440EA2">
        <w:rPr>
          <w:rFonts w:ascii="Arial" w:hAnsi="Arial" w:cs="Arial"/>
          <w:sz w:val="22"/>
          <w:lang w:val="es-ES_tradnl"/>
        </w:rPr>
        <w:t xml:space="preserve">, los indicadores de crédito bancario al sector privado como </w:t>
      </w:r>
      <w:r w:rsidR="00545A9E" w:rsidRPr="00440EA2">
        <w:rPr>
          <w:rFonts w:ascii="Arial" w:hAnsi="Arial" w:cs="Arial"/>
          <w:sz w:val="22"/>
          <w:lang w:val="es-ES_tradnl"/>
        </w:rPr>
        <w:t>porcentaje</w:t>
      </w:r>
      <w:r w:rsidR="00E57CE0" w:rsidRPr="00440EA2">
        <w:rPr>
          <w:rFonts w:ascii="Arial" w:hAnsi="Arial" w:cs="Arial"/>
          <w:sz w:val="22"/>
          <w:lang w:val="es-ES_tradnl"/>
        </w:rPr>
        <w:t xml:space="preserve"> del PIB</w:t>
      </w:r>
      <w:r w:rsidR="00545A9E" w:rsidRPr="00440EA2">
        <w:rPr>
          <w:rFonts w:ascii="Arial" w:hAnsi="Arial" w:cs="Arial"/>
          <w:sz w:val="22"/>
          <w:lang w:val="es-ES_tradnl"/>
        </w:rPr>
        <w:t xml:space="preserve">, índice de regulación del </w:t>
      </w:r>
      <w:r w:rsidR="00545A9E" w:rsidRPr="00E72F77">
        <w:rPr>
          <w:rFonts w:ascii="Arial" w:hAnsi="Arial" w:cs="Arial"/>
          <w:sz w:val="22"/>
          <w:lang w:val="es-ES_tradnl"/>
        </w:rPr>
        <w:t>mercado de valores e índice de fortaleza de los derechos legales.</w:t>
      </w:r>
      <w:r w:rsidR="00440EA2" w:rsidRPr="00E72F77">
        <w:rPr>
          <w:rFonts w:ascii="Arial" w:hAnsi="Arial" w:cs="Arial"/>
          <w:sz w:val="22"/>
          <w:lang w:val="es-ES_tradnl"/>
        </w:rPr>
        <w:t xml:space="preserve"> </w:t>
      </w:r>
      <w:r w:rsidR="00545A9E" w:rsidRPr="00E72F77">
        <w:rPr>
          <w:rFonts w:ascii="Arial" w:hAnsi="Arial" w:cs="Arial"/>
          <w:sz w:val="22"/>
          <w:lang w:val="es-ES_tradnl"/>
        </w:rPr>
        <w:t>Para el componente de transparencia se utilizará el índice de percepción de la corrupción.</w:t>
      </w:r>
      <w:r w:rsidR="00440EA2" w:rsidRPr="00E72F77">
        <w:rPr>
          <w:rFonts w:ascii="Arial" w:hAnsi="Arial" w:cs="Arial"/>
          <w:sz w:val="22"/>
          <w:lang w:val="es-ES_tradnl"/>
        </w:rPr>
        <w:t xml:space="preserve"> Se considera que estos resultados engloban el impacto esperado de estos componentes, proveniente de las contribuciones de todas las políticas que serán apoyadas.</w:t>
      </w:r>
    </w:p>
    <w:p w14:paraId="61387E3F" w14:textId="77777777" w:rsidR="00FA739A" w:rsidRPr="00E72F77" w:rsidRDefault="008C6018" w:rsidP="00FA739A">
      <w:pPr>
        <w:pStyle w:val="Chapter"/>
        <w:rPr>
          <w:rFonts w:ascii="Arial" w:hAnsi="Arial" w:cs="Arial"/>
          <w:lang w:val="es-ES_tradnl"/>
        </w:rPr>
      </w:pPr>
      <w:bookmarkStart w:id="7" w:name="_Toc489439261"/>
      <w:r w:rsidRPr="00E72F77">
        <w:rPr>
          <w:rFonts w:ascii="Arial" w:hAnsi="Arial" w:cs="Arial"/>
          <w:lang w:val="es-ES_tradnl"/>
        </w:rPr>
        <w:lastRenderedPageBreak/>
        <w:t>Valoración Beneficios y C</w:t>
      </w:r>
      <w:r w:rsidR="00683A40" w:rsidRPr="00E72F77">
        <w:rPr>
          <w:rFonts w:ascii="Arial" w:hAnsi="Arial" w:cs="Arial"/>
          <w:lang w:val="es-ES_tradnl"/>
        </w:rPr>
        <w:t>ostos</w:t>
      </w:r>
      <w:bookmarkEnd w:id="7"/>
    </w:p>
    <w:p w14:paraId="61387E41" w14:textId="7DD078F1" w:rsidR="007E5C40" w:rsidRPr="00E72F77" w:rsidRDefault="00A90AC3">
      <w:pPr>
        <w:pStyle w:val="Paragraph"/>
        <w:tabs>
          <w:tab w:val="clear" w:pos="2448"/>
          <w:tab w:val="num" w:pos="720"/>
        </w:tabs>
        <w:ind w:left="720" w:hanging="720"/>
        <w:rPr>
          <w:rFonts w:ascii="Arial" w:hAnsi="Arial" w:cs="Arial"/>
          <w:sz w:val="22"/>
          <w:lang w:val="es-ES_tradnl"/>
        </w:rPr>
      </w:pPr>
      <w:r w:rsidRPr="00E72F77">
        <w:rPr>
          <w:rFonts w:ascii="Arial" w:hAnsi="Arial" w:cs="Arial"/>
          <w:b/>
          <w:sz w:val="22"/>
          <w:lang w:val="es-ES_tradnl"/>
        </w:rPr>
        <w:t>Período</w:t>
      </w:r>
      <w:r w:rsidR="00FB2F0A" w:rsidRPr="00E72F77">
        <w:rPr>
          <w:rFonts w:ascii="Arial" w:hAnsi="Arial" w:cs="Arial"/>
          <w:b/>
          <w:sz w:val="22"/>
          <w:lang w:val="es-ES_tradnl"/>
        </w:rPr>
        <w:t xml:space="preserve"> de referencia</w:t>
      </w:r>
      <w:r w:rsidRPr="00E72F77">
        <w:rPr>
          <w:rFonts w:ascii="Arial" w:hAnsi="Arial" w:cs="Arial"/>
          <w:b/>
          <w:sz w:val="22"/>
          <w:lang w:val="es-ES_tradnl"/>
        </w:rPr>
        <w:t xml:space="preserve"> y </w:t>
      </w:r>
      <w:proofErr w:type="spellStart"/>
      <w:r w:rsidRPr="00E72F77">
        <w:rPr>
          <w:rFonts w:ascii="Arial" w:hAnsi="Arial" w:cs="Arial"/>
          <w:b/>
          <w:sz w:val="22"/>
          <w:lang w:val="es-ES_tradnl"/>
        </w:rPr>
        <w:t>contrafactual</w:t>
      </w:r>
      <w:proofErr w:type="spellEnd"/>
      <w:r w:rsidRPr="00E72F77">
        <w:rPr>
          <w:rFonts w:ascii="Arial" w:hAnsi="Arial" w:cs="Arial"/>
          <w:b/>
          <w:sz w:val="22"/>
          <w:lang w:val="es-ES_tradnl"/>
        </w:rPr>
        <w:t xml:space="preserve">. </w:t>
      </w:r>
      <w:r w:rsidR="00DC6EC9" w:rsidRPr="00E72F77">
        <w:rPr>
          <w:rFonts w:ascii="Arial" w:hAnsi="Arial" w:cs="Arial"/>
          <w:sz w:val="22"/>
          <w:lang w:val="es-ES_tradnl"/>
        </w:rPr>
        <w:t>Se computará</w:t>
      </w:r>
      <w:r w:rsidR="00237FC3" w:rsidRPr="00E72F77">
        <w:rPr>
          <w:rFonts w:ascii="Arial" w:hAnsi="Arial" w:cs="Arial"/>
          <w:sz w:val="22"/>
          <w:lang w:val="es-ES_tradnl"/>
        </w:rPr>
        <w:t xml:space="preserve">n los flujos económicos diferenciales atribuibles a las reformas, y no se </w:t>
      </w:r>
      <w:r w:rsidR="00DC6EC9" w:rsidRPr="00E72F77">
        <w:rPr>
          <w:rFonts w:ascii="Arial" w:hAnsi="Arial" w:cs="Arial"/>
          <w:sz w:val="22"/>
          <w:lang w:val="es-ES_tradnl"/>
        </w:rPr>
        <w:t>considerarán</w:t>
      </w:r>
      <w:r w:rsidR="00237FC3" w:rsidRPr="00E72F77">
        <w:rPr>
          <w:rFonts w:ascii="Arial" w:hAnsi="Arial" w:cs="Arial"/>
          <w:sz w:val="22"/>
          <w:lang w:val="es-ES_tradnl"/>
        </w:rPr>
        <w:t xml:space="preserve"> dentro de los mismos los flujos financieros surgidos de la operación. </w:t>
      </w:r>
      <w:r w:rsidR="00DC6EC9" w:rsidRPr="00E72F77">
        <w:rPr>
          <w:rFonts w:ascii="Arial" w:hAnsi="Arial" w:cs="Arial"/>
          <w:sz w:val="22"/>
          <w:lang w:val="es-ES_tradnl"/>
        </w:rPr>
        <w:t>Estos flujos serán considerados</w:t>
      </w:r>
      <w:r w:rsidR="00922A21" w:rsidRPr="00E72F77">
        <w:rPr>
          <w:rFonts w:ascii="Arial" w:hAnsi="Arial" w:cs="Arial"/>
          <w:sz w:val="22"/>
          <w:lang w:val="es-ES_tradnl"/>
        </w:rPr>
        <w:t xml:space="preserve"> en términos reales, sobre un período de </w:t>
      </w:r>
      <w:r w:rsidR="004749CA" w:rsidRPr="00E72F77">
        <w:rPr>
          <w:rFonts w:ascii="Arial" w:hAnsi="Arial" w:cs="Arial"/>
          <w:sz w:val="22"/>
          <w:lang w:val="es-ES_tradnl"/>
        </w:rPr>
        <w:t>10</w:t>
      </w:r>
      <w:r w:rsidR="00922A21" w:rsidRPr="00E72F77">
        <w:rPr>
          <w:rFonts w:ascii="Arial" w:hAnsi="Arial" w:cs="Arial"/>
          <w:sz w:val="22"/>
          <w:lang w:val="es-ES_tradnl"/>
        </w:rPr>
        <w:t xml:space="preserve"> años, que son descontados a una tasa anual del 12% según convención del BID para la evaluación económica de proyectos.</w:t>
      </w:r>
      <w:r w:rsidR="005D361D" w:rsidRPr="00E72F77">
        <w:rPr>
          <w:rFonts w:ascii="Arial" w:hAnsi="Arial" w:cs="Arial"/>
          <w:sz w:val="22"/>
          <w:lang w:val="es-ES_tradnl"/>
        </w:rPr>
        <w:t xml:space="preserve"> En este punto es importante notar el período, en años calendario, sobre los cuales se computa el beneficio de las reformas como así también </w:t>
      </w:r>
      <w:r w:rsidR="003300CC" w:rsidRPr="00E72F77">
        <w:rPr>
          <w:rFonts w:ascii="Arial" w:hAnsi="Arial" w:cs="Arial"/>
          <w:sz w:val="22"/>
          <w:lang w:val="es-ES_tradnl"/>
        </w:rPr>
        <w:t xml:space="preserve">la definición del escenario </w:t>
      </w:r>
      <w:proofErr w:type="spellStart"/>
      <w:r w:rsidR="003300CC" w:rsidRPr="00E72F77">
        <w:rPr>
          <w:rFonts w:ascii="Arial" w:hAnsi="Arial" w:cs="Arial"/>
          <w:sz w:val="22"/>
          <w:lang w:val="es-ES_tradnl"/>
        </w:rPr>
        <w:t>contrafactual</w:t>
      </w:r>
      <w:proofErr w:type="spellEnd"/>
      <w:r w:rsidR="003300CC" w:rsidRPr="00E72F77">
        <w:rPr>
          <w:rFonts w:ascii="Arial" w:hAnsi="Arial" w:cs="Arial"/>
          <w:sz w:val="22"/>
          <w:lang w:val="es-ES_tradnl"/>
        </w:rPr>
        <w:t>.</w:t>
      </w:r>
      <w:r w:rsidR="009B4838" w:rsidRPr="00E72F77">
        <w:rPr>
          <w:rFonts w:ascii="Arial" w:hAnsi="Arial" w:cs="Arial"/>
          <w:sz w:val="22"/>
          <w:lang w:val="es-ES_tradnl"/>
        </w:rPr>
        <w:t xml:space="preserve"> </w:t>
      </w:r>
      <w:r w:rsidR="00A03852" w:rsidRPr="00E72F77">
        <w:rPr>
          <w:rFonts w:ascii="Arial" w:hAnsi="Arial" w:cs="Arial"/>
          <w:sz w:val="22"/>
          <w:lang w:val="es-ES_tradnl"/>
        </w:rPr>
        <w:t xml:space="preserve"> En primer lugar, al momento de realizar el</w:t>
      </w:r>
      <w:r w:rsidR="009B4838" w:rsidRPr="00E72F77">
        <w:rPr>
          <w:rFonts w:ascii="Arial" w:hAnsi="Arial" w:cs="Arial"/>
          <w:sz w:val="22"/>
          <w:lang w:val="es-ES_tradnl"/>
        </w:rPr>
        <w:t xml:space="preserve"> presente</w:t>
      </w:r>
      <w:r w:rsidR="00A03852" w:rsidRPr="00E72F77">
        <w:rPr>
          <w:rFonts w:ascii="Arial" w:hAnsi="Arial" w:cs="Arial"/>
          <w:sz w:val="22"/>
          <w:lang w:val="es-ES_tradnl"/>
        </w:rPr>
        <w:t xml:space="preserve"> análisis </w:t>
      </w:r>
      <w:r w:rsidR="009B4838" w:rsidRPr="00E72F77">
        <w:rPr>
          <w:rFonts w:ascii="Arial" w:hAnsi="Arial" w:cs="Arial"/>
          <w:sz w:val="22"/>
          <w:lang w:val="es-ES_tradnl"/>
        </w:rPr>
        <w:t>es posible</w:t>
      </w:r>
      <w:r w:rsidR="00A03852" w:rsidRPr="00E72F77">
        <w:rPr>
          <w:rFonts w:ascii="Arial" w:hAnsi="Arial" w:cs="Arial"/>
          <w:sz w:val="22"/>
          <w:lang w:val="es-ES_tradnl"/>
        </w:rPr>
        <w:t xml:space="preserve"> </w:t>
      </w:r>
      <w:r w:rsidR="00081EBE" w:rsidRPr="00E72F77">
        <w:rPr>
          <w:rFonts w:ascii="Arial" w:hAnsi="Arial" w:cs="Arial"/>
          <w:sz w:val="22"/>
          <w:lang w:val="es-ES_tradnl"/>
        </w:rPr>
        <w:t xml:space="preserve">argumentar que </w:t>
      </w:r>
      <w:r w:rsidR="00A03852" w:rsidRPr="00E72F77">
        <w:rPr>
          <w:rFonts w:ascii="Arial" w:hAnsi="Arial" w:cs="Arial"/>
          <w:sz w:val="22"/>
          <w:lang w:val="es-ES_tradnl"/>
        </w:rPr>
        <w:t xml:space="preserve">las proyecciones de </w:t>
      </w:r>
      <w:r w:rsidR="00395F30" w:rsidRPr="00E72F77">
        <w:rPr>
          <w:rFonts w:ascii="Arial" w:hAnsi="Arial" w:cs="Arial"/>
          <w:sz w:val="22"/>
          <w:lang w:val="es-ES_tradnl"/>
        </w:rPr>
        <w:t>PIB</w:t>
      </w:r>
      <w:r w:rsidR="00A03852" w:rsidRPr="00E72F77">
        <w:rPr>
          <w:rFonts w:ascii="Arial" w:hAnsi="Arial" w:cs="Arial"/>
          <w:sz w:val="22"/>
          <w:lang w:val="es-ES_tradnl"/>
        </w:rPr>
        <w:t xml:space="preserve"> (tomadas del reporte del </w:t>
      </w:r>
      <w:r w:rsidR="009B4838" w:rsidRPr="00E72F77">
        <w:rPr>
          <w:rFonts w:ascii="Arial" w:hAnsi="Arial" w:cs="Arial"/>
          <w:sz w:val="22"/>
          <w:lang w:val="es-ES_tradnl"/>
        </w:rPr>
        <w:t>informe del artículo IV del FMI más reciente</w:t>
      </w:r>
      <w:r w:rsidR="009B4838" w:rsidRPr="00E72F77">
        <w:rPr>
          <w:rStyle w:val="FootnoteReference"/>
          <w:rFonts w:ascii="Arial" w:hAnsi="Arial" w:cs="Arial"/>
          <w:sz w:val="22"/>
          <w:lang w:val="es-ES_tradnl"/>
        </w:rPr>
        <w:footnoteReference w:id="46"/>
      </w:r>
      <w:r w:rsidR="00990201" w:rsidRPr="00E72F77">
        <w:rPr>
          <w:rFonts w:ascii="Arial" w:hAnsi="Arial" w:cs="Arial"/>
          <w:sz w:val="22"/>
          <w:lang w:val="es-ES_tradnl"/>
        </w:rPr>
        <w:t>) no considera</w:t>
      </w:r>
      <w:r w:rsidR="009B4838" w:rsidRPr="00E72F77">
        <w:rPr>
          <w:rFonts w:ascii="Arial" w:hAnsi="Arial" w:cs="Arial"/>
          <w:sz w:val="22"/>
          <w:lang w:val="es-ES_tradnl"/>
        </w:rPr>
        <w:t>n</w:t>
      </w:r>
      <w:r w:rsidR="00990201" w:rsidRPr="00E72F77">
        <w:rPr>
          <w:rFonts w:ascii="Arial" w:hAnsi="Arial" w:cs="Arial"/>
          <w:sz w:val="22"/>
          <w:lang w:val="es-ES_tradnl"/>
        </w:rPr>
        <w:t xml:space="preserve"> las reformas apoyadas por la operación.</w:t>
      </w:r>
      <w:r w:rsidR="009B4838" w:rsidRPr="00E72F77">
        <w:rPr>
          <w:rFonts w:ascii="Arial" w:hAnsi="Arial" w:cs="Arial"/>
          <w:sz w:val="22"/>
          <w:lang w:val="es-ES_tradnl"/>
        </w:rPr>
        <w:t xml:space="preserve"> En efecto, como se puede revisar en la matriz de políticas, estas medidas se encuentran en una etapa inicial, que se espera se consoliden durante el horizonte de evaluación de este análisis. Por lo tanto, el </w:t>
      </w:r>
      <w:proofErr w:type="spellStart"/>
      <w:r w:rsidR="009B4838" w:rsidRPr="00E72F77">
        <w:rPr>
          <w:rFonts w:ascii="Arial" w:hAnsi="Arial" w:cs="Arial"/>
          <w:sz w:val="22"/>
          <w:lang w:val="es-ES_tradnl"/>
        </w:rPr>
        <w:t>contrafactual</w:t>
      </w:r>
      <w:proofErr w:type="spellEnd"/>
      <w:r w:rsidR="009B4838" w:rsidRPr="00E72F77">
        <w:rPr>
          <w:rFonts w:ascii="Arial" w:hAnsi="Arial" w:cs="Arial"/>
          <w:sz w:val="22"/>
          <w:lang w:val="es-ES_tradnl"/>
        </w:rPr>
        <w:t xml:space="preserve"> será la evolución proyectada del PIB por el FMI</w:t>
      </w:r>
      <w:r w:rsidR="00590C2D" w:rsidRPr="00E72F77">
        <w:rPr>
          <w:rFonts w:ascii="Arial" w:hAnsi="Arial" w:cs="Arial"/>
          <w:sz w:val="22"/>
          <w:lang w:val="es-ES_tradnl"/>
        </w:rPr>
        <w:t xml:space="preserve">. </w:t>
      </w:r>
      <w:r w:rsidR="00BD0338" w:rsidRPr="00E72F77">
        <w:rPr>
          <w:rFonts w:ascii="Arial" w:hAnsi="Arial" w:cs="Arial"/>
          <w:sz w:val="22"/>
          <w:lang w:val="es-ES_tradnl"/>
        </w:rPr>
        <w:t>En segundo lugar</w:t>
      </w:r>
      <w:r w:rsidR="00081EBE" w:rsidRPr="00E72F77">
        <w:rPr>
          <w:rFonts w:ascii="Arial" w:hAnsi="Arial" w:cs="Arial"/>
          <w:lang w:val="es-ES_tradnl"/>
        </w:rPr>
        <w:t>,</w:t>
      </w:r>
      <w:r w:rsidR="00BD0338" w:rsidRPr="00E72F77">
        <w:rPr>
          <w:rFonts w:ascii="Arial" w:hAnsi="Arial" w:cs="Arial"/>
          <w:sz w:val="22"/>
          <w:lang w:val="es-ES_tradnl"/>
        </w:rPr>
        <w:t xml:space="preserve"> </w:t>
      </w:r>
      <w:r w:rsidR="009B4838" w:rsidRPr="00E72F77">
        <w:rPr>
          <w:rFonts w:ascii="Arial" w:hAnsi="Arial" w:cs="Arial"/>
          <w:sz w:val="22"/>
          <w:lang w:val="es-ES_tradnl"/>
        </w:rPr>
        <w:t xml:space="preserve">el horizonte de 10 años asumido para la presente evaluación permite reflejar el hecho de que estas reformas irán generando efectos de manera gradual debido a que se espera que la adopción completa de los nuevos parámetros por los agentes de la economía y la traducción de estos en decisiones económicas no será </w:t>
      </w:r>
      <w:r w:rsidR="00E72F77" w:rsidRPr="00E0077A">
        <w:rPr>
          <w:rFonts w:ascii="Arial" w:hAnsi="Arial" w:cs="Arial"/>
          <w:sz w:val="22"/>
          <w:lang w:val="es-ES_tradnl"/>
        </w:rPr>
        <w:t>instantánea</w:t>
      </w:r>
      <w:r w:rsidR="00E0077A" w:rsidRPr="00E0077A">
        <w:rPr>
          <w:rStyle w:val="FootnoteReference"/>
          <w:rFonts w:ascii="Arial" w:hAnsi="Arial" w:cs="Arial"/>
          <w:sz w:val="22"/>
          <w:lang w:val="es-ES_tradnl"/>
        </w:rPr>
        <w:footnoteReference w:id="47"/>
      </w:r>
      <w:r w:rsidR="009B4838" w:rsidRPr="00E0077A">
        <w:rPr>
          <w:rFonts w:ascii="Arial" w:hAnsi="Arial" w:cs="Arial"/>
          <w:sz w:val="22"/>
          <w:lang w:val="es-ES_tradnl"/>
        </w:rPr>
        <w:t>.</w:t>
      </w:r>
    </w:p>
    <w:p w14:paraId="61387E43" w14:textId="35A27863" w:rsidR="00230F7D" w:rsidRPr="00BC68B4" w:rsidRDefault="00230F7D" w:rsidP="00CA0E88">
      <w:pPr>
        <w:pStyle w:val="Paragraph"/>
        <w:tabs>
          <w:tab w:val="clear" w:pos="2448"/>
          <w:tab w:val="num" w:pos="720"/>
        </w:tabs>
        <w:ind w:left="720" w:hanging="720"/>
        <w:rPr>
          <w:rFonts w:ascii="Arial" w:hAnsi="Arial" w:cs="Arial"/>
          <w:sz w:val="22"/>
          <w:lang w:val="es-ES_tradnl"/>
        </w:rPr>
      </w:pPr>
      <w:r w:rsidRPr="00BC68B4">
        <w:rPr>
          <w:rFonts w:ascii="Arial" w:hAnsi="Arial" w:cs="Arial"/>
          <w:b/>
          <w:sz w:val="22"/>
          <w:lang w:val="es-AR"/>
        </w:rPr>
        <w:t>Parametrización y cuantificaciones.</w:t>
      </w:r>
      <w:r w:rsidRPr="00BC68B4">
        <w:rPr>
          <w:rFonts w:ascii="Arial" w:hAnsi="Arial" w:cs="Arial"/>
          <w:sz w:val="22"/>
          <w:lang w:val="es-AR"/>
        </w:rPr>
        <w:t xml:space="preserve"> </w:t>
      </w:r>
      <w:r w:rsidR="00BC68B4" w:rsidRPr="00BC68B4">
        <w:rPr>
          <w:rFonts w:ascii="Arial" w:hAnsi="Arial" w:cs="Arial"/>
          <w:sz w:val="22"/>
          <w:lang w:val="es-AR"/>
        </w:rPr>
        <w:t xml:space="preserve">Para la parametrización del modelo de equilibrio general </w:t>
      </w:r>
      <w:r w:rsidR="00BC68B4" w:rsidRPr="00BC68B4">
        <w:rPr>
          <w:rFonts w:ascii="Arial" w:eastAsiaTheme="minorEastAsia" w:hAnsi="Arial" w:cs="Arial"/>
          <w:sz w:val="22"/>
          <w:lang w:val="es-ES_tradnl"/>
        </w:rPr>
        <w:t>es importante</w:t>
      </w:r>
      <w:r w:rsidR="00A41F53" w:rsidRPr="00BC68B4">
        <w:rPr>
          <w:rFonts w:ascii="Arial" w:eastAsiaTheme="minorEastAsia" w:hAnsi="Arial" w:cs="Arial"/>
          <w:sz w:val="22"/>
          <w:lang w:val="es-ES_tradnl"/>
        </w:rPr>
        <w:t xml:space="preserve"> recordar que </w:t>
      </w:r>
      <w:r w:rsidR="00BC68B4" w:rsidRPr="00BC68B4">
        <w:rPr>
          <w:rFonts w:ascii="Arial" w:eastAsiaTheme="minorEastAsia" w:hAnsi="Arial" w:cs="Arial"/>
          <w:sz w:val="22"/>
          <w:lang w:val="es-ES_tradnl"/>
        </w:rPr>
        <w:t>este no ha sido específicamente diseñado</w:t>
      </w:r>
      <w:r w:rsidR="00A41F53" w:rsidRPr="00BC68B4">
        <w:rPr>
          <w:rFonts w:ascii="Arial" w:eastAsiaTheme="minorEastAsia" w:hAnsi="Arial" w:cs="Arial"/>
          <w:sz w:val="22"/>
          <w:lang w:val="es-ES_tradnl"/>
        </w:rPr>
        <w:t xml:space="preserve"> para cuantificar est</w:t>
      </w:r>
      <w:r w:rsidR="00BC68B4">
        <w:rPr>
          <w:rFonts w:ascii="Arial" w:eastAsiaTheme="minorEastAsia" w:hAnsi="Arial" w:cs="Arial"/>
          <w:sz w:val="22"/>
          <w:lang w:val="es-ES_tradnl"/>
        </w:rPr>
        <w:t>e</w:t>
      </w:r>
      <w:r w:rsidR="00A41F53" w:rsidRPr="00BC68B4">
        <w:rPr>
          <w:rFonts w:ascii="Arial" w:eastAsiaTheme="minorEastAsia" w:hAnsi="Arial" w:cs="Arial"/>
          <w:sz w:val="22"/>
          <w:lang w:val="es-ES_tradnl"/>
        </w:rPr>
        <w:t xml:space="preserve"> </w:t>
      </w:r>
      <w:r w:rsidR="00BC68B4" w:rsidRPr="00BC68B4">
        <w:rPr>
          <w:rFonts w:ascii="Arial" w:eastAsiaTheme="minorEastAsia" w:hAnsi="Arial" w:cs="Arial"/>
          <w:sz w:val="22"/>
          <w:lang w:val="es-ES_tradnl"/>
        </w:rPr>
        <w:t>programa en específico,</w:t>
      </w:r>
      <w:r w:rsidR="00A41F53" w:rsidRPr="00BC68B4">
        <w:rPr>
          <w:rFonts w:ascii="Arial" w:eastAsiaTheme="minorEastAsia" w:hAnsi="Arial" w:cs="Arial"/>
          <w:sz w:val="22"/>
          <w:lang w:val="es-ES_tradnl"/>
        </w:rPr>
        <w:t xml:space="preserve"> con todas sus medidas particulares</w:t>
      </w:r>
      <w:r w:rsidR="00BC68B4" w:rsidRPr="00BC68B4">
        <w:rPr>
          <w:rFonts w:ascii="Arial" w:eastAsiaTheme="minorEastAsia" w:hAnsi="Arial" w:cs="Arial"/>
          <w:sz w:val="22"/>
          <w:lang w:val="es-ES_tradnl"/>
        </w:rPr>
        <w:t>,</w:t>
      </w:r>
      <w:r w:rsidR="00A41F53" w:rsidRPr="00BC68B4">
        <w:rPr>
          <w:rFonts w:ascii="Arial" w:eastAsiaTheme="minorEastAsia" w:hAnsi="Arial" w:cs="Arial"/>
          <w:sz w:val="22"/>
          <w:lang w:val="es-ES_tradnl"/>
        </w:rPr>
        <w:t xml:space="preserve"> y por tanto no es lógico pretender establecer un mapeo exacto entre medidas y parámetros</w:t>
      </w:r>
      <w:r w:rsidR="00571B4A" w:rsidRPr="00BC68B4">
        <w:rPr>
          <w:rFonts w:ascii="Arial" w:eastAsiaTheme="minorEastAsia" w:hAnsi="Arial" w:cs="Arial"/>
          <w:sz w:val="22"/>
          <w:lang w:val="es-ES_tradnl"/>
        </w:rPr>
        <w:t xml:space="preserve"> </w:t>
      </w:r>
      <m:oMath>
        <m:r>
          <w:rPr>
            <w:rFonts w:ascii="Cambria Math" w:hAnsi="Cambria Math" w:cs="Arial"/>
            <w:sz w:val="22"/>
            <w:lang w:val="es-ES_tradnl"/>
          </w:rPr>
          <m:t xml:space="preserve">ψ, λ, </m:t>
        </m:r>
        <m:r>
          <m:rPr>
            <m:sty m:val="p"/>
          </m:rPr>
          <w:rPr>
            <w:rFonts w:ascii="Cambria Math" w:hAnsi="Cambria Math" w:cs="Arial" w:hint="eastAsia"/>
            <w:sz w:val="22"/>
            <w:lang w:val="es-ES_tradnl"/>
          </w:rPr>
          <m:t>χ</m:t>
        </m:r>
      </m:oMath>
      <w:r w:rsidR="00A41F53" w:rsidRPr="00BC68B4">
        <w:rPr>
          <w:rFonts w:ascii="Arial" w:eastAsiaTheme="minorEastAsia" w:hAnsi="Arial" w:cs="Arial"/>
          <w:sz w:val="22"/>
          <w:lang w:val="es-ES_tradnl"/>
        </w:rPr>
        <w:t>.</w:t>
      </w:r>
      <w:r w:rsidR="00BC68B4">
        <w:rPr>
          <w:rFonts w:ascii="Arial" w:eastAsiaTheme="minorEastAsia" w:hAnsi="Arial" w:cs="Arial"/>
          <w:sz w:val="22"/>
          <w:lang w:val="es-ES_tradnl"/>
        </w:rPr>
        <w:t xml:space="preserve"> Sin embargo, como se ha descrito en la sección anterior, se considera que la gran mayoría del conjunto de las medidas apoyadas por la operación calza dentro de las tres dimensiones principales de este modelo.</w:t>
      </w:r>
    </w:p>
    <w:p w14:paraId="61387E44" w14:textId="4783A800" w:rsidR="005F6574" w:rsidRPr="0006726D" w:rsidRDefault="00395F30">
      <w:pPr>
        <w:pStyle w:val="Paragraph"/>
        <w:tabs>
          <w:tab w:val="clear" w:pos="2448"/>
          <w:tab w:val="num" w:pos="720"/>
        </w:tabs>
        <w:ind w:left="720" w:hanging="720"/>
        <w:rPr>
          <w:rFonts w:ascii="Arial" w:hAnsi="Arial" w:cs="Arial"/>
          <w:sz w:val="22"/>
          <w:lang w:val="es-ES_tradnl"/>
        </w:rPr>
      </w:pPr>
      <w:r w:rsidRPr="0006726D">
        <w:rPr>
          <w:rFonts w:ascii="Arial" w:hAnsi="Arial" w:cs="Arial"/>
          <w:b/>
          <w:sz w:val="22"/>
          <w:lang w:val="es-ES_tradnl"/>
        </w:rPr>
        <w:t>PIB</w:t>
      </w:r>
      <w:r w:rsidR="00230F7D" w:rsidRPr="0006726D">
        <w:rPr>
          <w:rFonts w:ascii="Arial" w:hAnsi="Arial" w:cs="Arial"/>
          <w:b/>
          <w:sz w:val="22"/>
          <w:lang w:val="es-ES_tradnl"/>
        </w:rPr>
        <w:t xml:space="preserve"> y costos </w:t>
      </w:r>
      <w:proofErr w:type="spellStart"/>
      <w:r w:rsidR="00230F7D" w:rsidRPr="0006726D">
        <w:rPr>
          <w:rFonts w:ascii="Arial" w:hAnsi="Arial" w:cs="Arial"/>
          <w:b/>
          <w:sz w:val="22"/>
          <w:lang w:val="es-ES_tradnl"/>
        </w:rPr>
        <w:t>contrafactuales</w:t>
      </w:r>
      <w:proofErr w:type="spellEnd"/>
      <w:r w:rsidR="00230F7D" w:rsidRPr="0006726D">
        <w:rPr>
          <w:rFonts w:ascii="Arial" w:hAnsi="Arial" w:cs="Arial"/>
          <w:b/>
          <w:sz w:val="22"/>
          <w:lang w:val="es-ES_tradnl"/>
        </w:rPr>
        <w:t xml:space="preserve">. </w:t>
      </w:r>
      <w:r w:rsidR="00433E0A" w:rsidRPr="0006726D">
        <w:rPr>
          <w:rFonts w:ascii="Arial" w:hAnsi="Arial" w:cs="Arial"/>
          <w:sz w:val="22"/>
          <w:lang w:val="es-ES_tradnl"/>
        </w:rPr>
        <w:t>Para establecer l</w:t>
      </w:r>
      <w:r w:rsidR="00DE79E8" w:rsidRPr="0006726D">
        <w:rPr>
          <w:rFonts w:ascii="Arial" w:hAnsi="Arial" w:cs="Arial"/>
          <w:sz w:val="22"/>
          <w:lang w:val="es-ES_tradnl"/>
        </w:rPr>
        <w:t>os flujos económicos positivos</w:t>
      </w:r>
      <w:r w:rsidR="00433E0A" w:rsidRPr="0006726D">
        <w:rPr>
          <w:rFonts w:ascii="Arial" w:hAnsi="Arial" w:cs="Arial"/>
          <w:sz w:val="22"/>
          <w:lang w:val="es-ES_tradnl"/>
        </w:rPr>
        <w:t xml:space="preserve"> atribuibles a las políticas implementadas se parte de un escenario base de evolución del </w:t>
      </w:r>
      <w:r w:rsidRPr="0006726D">
        <w:rPr>
          <w:rFonts w:ascii="Arial" w:hAnsi="Arial" w:cs="Arial"/>
          <w:sz w:val="22"/>
          <w:lang w:val="es-ES_tradnl"/>
        </w:rPr>
        <w:t>PIB</w:t>
      </w:r>
      <w:r w:rsidR="00433E0A" w:rsidRPr="0006726D">
        <w:rPr>
          <w:rFonts w:ascii="Arial" w:hAnsi="Arial" w:cs="Arial"/>
          <w:sz w:val="22"/>
          <w:lang w:val="es-ES_tradnl"/>
        </w:rPr>
        <w:t xml:space="preserve"> para el período considerado basado en las proyecciones del Fondo Monetario Internacional</w:t>
      </w:r>
      <w:r w:rsidR="0006726D" w:rsidRPr="0006726D">
        <w:rPr>
          <w:rFonts w:ascii="Arial" w:hAnsi="Arial" w:cs="Arial"/>
          <w:sz w:val="22"/>
          <w:lang w:val="es-ES_tradnl"/>
        </w:rPr>
        <w:t xml:space="preserve">, </w:t>
      </w:r>
      <w:r w:rsidR="00266E09" w:rsidRPr="0006726D">
        <w:rPr>
          <w:rFonts w:ascii="Arial" w:hAnsi="Arial" w:cs="Arial"/>
          <w:sz w:val="22"/>
          <w:lang w:val="es-ES_tradnl"/>
        </w:rPr>
        <w:t xml:space="preserve">dado que dicha proyección no considera los efectos de la reforma. En cuanto a los </w:t>
      </w:r>
      <w:r w:rsidR="00433E0A" w:rsidRPr="0006726D">
        <w:rPr>
          <w:rFonts w:ascii="Arial" w:hAnsi="Arial" w:cs="Arial"/>
          <w:sz w:val="22"/>
          <w:lang w:val="es-ES_tradnl"/>
        </w:rPr>
        <w:t>costos en el escenario sin reformas</w:t>
      </w:r>
      <w:r w:rsidR="00266E09" w:rsidRPr="0006726D">
        <w:rPr>
          <w:rFonts w:ascii="Arial" w:hAnsi="Arial" w:cs="Arial"/>
          <w:sz w:val="22"/>
          <w:lang w:val="es-ES_tradnl"/>
        </w:rPr>
        <w:t>, los mismos</w:t>
      </w:r>
      <w:r w:rsidR="00433E0A" w:rsidRPr="0006726D">
        <w:rPr>
          <w:rFonts w:ascii="Arial" w:hAnsi="Arial" w:cs="Arial"/>
          <w:sz w:val="22"/>
          <w:lang w:val="es-ES_tradnl"/>
        </w:rPr>
        <w:t xml:space="preserve"> son cero ya que las actividades necesarias para implementar estas medidas</w:t>
      </w:r>
      <w:r w:rsidR="00266E09" w:rsidRPr="0006726D">
        <w:rPr>
          <w:rFonts w:ascii="Arial" w:hAnsi="Arial" w:cs="Arial"/>
          <w:sz w:val="22"/>
          <w:lang w:val="es-ES_tradnl"/>
        </w:rPr>
        <w:t xml:space="preserve"> corresponden al escenario con reformas.</w:t>
      </w:r>
      <w:r w:rsidR="00433E0A" w:rsidRPr="0006726D">
        <w:rPr>
          <w:rFonts w:ascii="Arial" w:hAnsi="Arial" w:cs="Arial"/>
          <w:sz w:val="22"/>
          <w:lang w:val="es-ES_tradnl"/>
        </w:rPr>
        <w:t xml:space="preserve"> </w:t>
      </w:r>
    </w:p>
    <w:p w14:paraId="61387E45" w14:textId="140473FC" w:rsidR="00221970" w:rsidRPr="0006055A" w:rsidRDefault="00191438" w:rsidP="00221970">
      <w:pPr>
        <w:pStyle w:val="Paragraph"/>
        <w:tabs>
          <w:tab w:val="clear" w:pos="2448"/>
          <w:tab w:val="num" w:pos="720"/>
        </w:tabs>
        <w:ind w:left="720" w:hanging="720"/>
        <w:rPr>
          <w:rFonts w:ascii="Arial" w:hAnsi="Arial" w:cs="Arial"/>
          <w:sz w:val="22"/>
          <w:lang w:val="es-ES_tradnl"/>
        </w:rPr>
      </w:pPr>
      <w:r w:rsidRPr="0030251C">
        <w:rPr>
          <w:rFonts w:ascii="Arial" w:hAnsi="Arial" w:cs="Arial"/>
          <w:b/>
          <w:sz w:val="22"/>
          <w:lang w:val="es-ES_tradnl"/>
        </w:rPr>
        <w:t xml:space="preserve">Beneficios. </w:t>
      </w:r>
      <w:r w:rsidR="0006726D" w:rsidRPr="0030251C">
        <w:rPr>
          <w:rFonts w:ascii="Arial" w:hAnsi="Arial" w:cs="Arial"/>
          <w:sz w:val="22"/>
          <w:lang w:val="es-ES_tradnl"/>
        </w:rPr>
        <w:t>L</w:t>
      </w:r>
      <w:r w:rsidR="00A2342A" w:rsidRPr="0030251C">
        <w:rPr>
          <w:rFonts w:ascii="Arial" w:hAnsi="Arial" w:cs="Arial"/>
          <w:sz w:val="22"/>
          <w:lang w:val="es-ES_tradnl"/>
        </w:rPr>
        <w:t>os flujos de beneficios</w:t>
      </w:r>
      <w:r w:rsidR="004749CA" w:rsidRPr="0030251C">
        <w:rPr>
          <w:rFonts w:ascii="Arial" w:hAnsi="Arial" w:cs="Arial"/>
          <w:sz w:val="22"/>
          <w:lang w:val="es-ES_tradnl"/>
        </w:rPr>
        <w:t xml:space="preserve"> se computan</w:t>
      </w:r>
      <w:r w:rsidR="00DE79E8" w:rsidRPr="0030251C">
        <w:rPr>
          <w:rFonts w:ascii="Arial" w:hAnsi="Arial" w:cs="Arial"/>
          <w:sz w:val="22"/>
          <w:lang w:val="es-ES_tradnl"/>
        </w:rPr>
        <w:t xml:space="preserve"> a partir de los resultados derivados de variar los </w:t>
      </w:r>
      <w:r w:rsidR="00A2342A" w:rsidRPr="0030251C">
        <w:rPr>
          <w:rFonts w:ascii="Arial" w:hAnsi="Arial" w:cs="Arial"/>
          <w:sz w:val="22"/>
          <w:lang w:val="es-ES_tradnl"/>
        </w:rPr>
        <w:t>parámetros de costos de participación, restricciones de garantías, y de costos de intermediación (</w:t>
      </w:r>
      <m:oMath>
        <m:r>
          <w:rPr>
            <w:rFonts w:ascii="Cambria Math" w:hAnsi="Cambria Math" w:cs="Arial"/>
            <w:sz w:val="22"/>
            <w:lang w:val="es-ES_tradnl"/>
          </w:rPr>
          <m:t xml:space="preserve">ψ, λ, </m:t>
        </m:r>
        <m:r>
          <m:rPr>
            <m:sty m:val="p"/>
          </m:rPr>
          <w:rPr>
            <w:rFonts w:ascii="Cambria Math" w:hAnsi="Cambria Math" w:cs="Arial" w:hint="eastAsia"/>
            <w:sz w:val="22"/>
            <w:lang w:val="es-ES_tradnl"/>
          </w:rPr>
          <m:t>χ</m:t>
        </m:r>
      </m:oMath>
      <w:r w:rsidR="00A2342A" w:rsidRPr="0030251C">
        <w:rPr>
          <w:rFonts w:ascii="Arial" w:eastAsiaTheme="minorEastAsia" w:hAnsi="Arial" w:cs="Arial"/>
          <w:sz w:val="22"/>
          <w:lang w:val="es-ES_tradnl"/>
        </w:rPr>
        <w:t xml:space="preserve"> respectivamente) en lo que se considera será el impacto de las reformas </w:t>
      </w:r>
      <w:r w:rsidR="0006726D" w:rsidRPr="0030251C">
        <w:rPr>
          <w:rFonts w:ascii="Arial" w:eastAsiaTheme="minorEastAsia" w:hAnsi="Arial" w:cs="Arial"/>
          <w:sz w:val="22"/>
          <w:lang w:val="es-ES_tradnl"/>
        </w:rPr>
        <w:t xml:space="preserve">vinculadas al sector financiero, mejora de </w:t>
      </w:r>
      <w:r w:rsidR="00531C70">
        <w:rPr>
          <w:rFonts w:ascii="Arial" w:eastAsiaTheme="minorEastAsia" w:hAnsi="Arial" w:cs="Arial"/>
          <w:sz w:val="22"/>
          <w:lang w:val="es-ES_tradnl"/>
        </w:rPr>
        <w:t>institucionalidad del financiamiento</w:t>
      </w:r>
      <w:r w:rsidR="0006726D" w:rsidRPr="0030251C">
        <w:rPr>
          <w:rFonts w:ascii="Arial" w:eastAsiaTheme="minorEastAsia" w:hAnsi="Arial" w:cs="Arial"/>
          <w:sz w:val="22"/>
          <w:lang w:val="es-ES_tradnl"/>
        </w:rPr>
        <w:t xml:space="preserve"> y algunas medidas de transparencia </w:t>
      </w:r>
      <w:r w:rsidR="00A2342A" w:rsidRPr="0030251C">
        <w:rPr>
          <w:rFonts w:ascii="Arial" w:eastAsiaTheme="minorEastAsia" w:hAnsi="Arial" w:cs="Arial"/>
          <w:sz w:val="22"/>
          <w:lang w:val="es-ES_tradnl"/>
        </w:rPr>
        <w:t xml:space="preserve">sobre estos parámetros. </w:t>
      </w:r>
      <w:r w:rsidR="0006726D" w:rsidRPr="0030251C">
        <w:rPr>
          <w:rFonts w:ascii="Arial" w:eastAsiaTheme="minorEastAsia" w:hAnsi="Arial" w:cs="Arial"/>
          <w:sz w:val="22"/>
          <w:lang w:val="es-ES_tradnl"/>
        </w:rPr>
        <w:t>Para las otras políticas vinculadas a transparen</w:t>
      </w:r>
      <w:r w:rsidR="00410D44">
        <w:rPr>
          <w:rFonts w:ascii="Arial" w:eastAsiaTheme="minorEastAsia" w:hAnsi="Arial" w:cs="Arial"/>
          <w:sz w:val="22"/>
          <w:lang w:val="es-ES_tradnl"/>
        </w:rPr>
        <w:t>cia, los beneficios se calculará</w:t>
      </w:r>
      <w:r w:rsidR="0006726D" w:rsidRPr="0030251C">
        <w:rPr>
          <w:rFonts w:ascii="Arial" w:eastAsiaTheme="minorEastAsia" w:hAnsi="Arial" w:cs="Arial"/>
          <w:sz w:val="22"/>
          <w:lang w:val="es-ES_tradnl"/>
        </w:rPr>
        <w:t xml:space="preserve">n a partir de elasticidad PIB-corrupción obtenida de la literatura empírica. </w:t>
      </w:r>
      <w:r w:rsidR="00BC0806" w:rsidRPr="0030251C">
        <w:rPr>
          <w:rFonts w:ascii="Arial" w:eastAsiaTheme="minorEastAsia" w:hAnsi="Arial" w:cs="Arial"/>
          <w:sz w:val="22"/>
          <w:lang w:val="es-ES_tradnl"/>
        </w:rPr>
        <w:t>En función del análi</w:t>
      </w:r>
      <w:r w:rsidR="00DE79E8" w:rsidRPr="0030251C">
        <w:rPr>
          <w:rFonts w:ascii="Arial" w:eastAsiaTheme="minorEastAsia" w:hAnsi="Arial" w:cs="Arial"/>
          <w:sz w:val="22"/>
          <w:lang w:val="es-ES_tradnl"/>
        </w:rPr>
        <w:t>sis de las políticas apoyadas</w:t>
      </w:r>
      <w:r w:rsidR="004749CA" w:rsidRPr="0030251C">
        <w:rPr>
          <w:rFonts w:ascii="Arial" w:eastAsiaTheme="minorEastAsia" w:hAnsi="Arial" w:cs="Arial"/>
          <w:sz w:val="22"/>
          <w:lang w:val="es-ES_tradnl"/>
        </w:rPr>
        <w:t xml:space="preserve"> y un extenso </w:t>
      </w:r>
      <w:r w:rsidR="004749CA" w:rsidRPr="0030251C">
        <w:rPr>
          <w:rFonts w:ascii="Arial" w:eastAsiaTheme="minorEastAsia" w:hAnsi="Arial" w:cs="Arial"/>
          <w:sz w:val="22"/>
          <w:lang w:val="es-ES_tradnl"/>
        </w:rPr>
        <w:lastRenderedPageBreak/>
        <w:t>dialogo con los actores involucrados, en particular con Ministe</w:t>
      </w:r>
      <w:r w:rsidR="0030251C" w:rsidRPr="0030251C">
        <w:rPr>
          <w:rFonts w:ascii="Arial" w:eastAsiaTheme="minorEastAsia" w:hAnsi="Arial" w:cs="Arial"/>
          <w:sz w:val="22"/>
          <w:lang w:val="es-ES_tradnl"/>
        </w:rPr>
        <w:t>rio de Hacienda de Paraguay</w:t>
      </w:r>
      <w:r w:rsidR="004749CA" w:rsidRPr="0030251C">
        <w:rPr>
          <w:rFonts w:ascii="Arial" w:eastAsiaTheme="minorEastAsia" w:hAnsi="Arial" w:cs="Arial"/>
          <w:sz w:val="22"/>
          <w:lang w:val="es-ES_tradnl"/>
        </w:rPr>
        <w:t xml:space="preserve">, </w:t>
      </w:r>
      <w:r w:rsidRPr="0030251C">
        <w:rPr>
          <w:rFonts w:ascii="Arial" w:eastAsiaTheme="minorEastAsia" w:hAnsi="Arial" w:cs="Arial"/>
          <w:sz w:val="22"/>
          <w:lang w:val="es-ES_tradnl"/>
        </w:rPr>
        <w:t xml:space="preserve">se concluyó </w:t>
      </w:r>
      <w:r w:rsidR="004749CA" w:rsidRPr="0030251C">
        <w:rPr>
          <w:rFonts w:ascii="Arial" w:eastAsiaTheme="minorEastAsia" w:hAnsi="Arial" w:cs="Arial"/>
          <w:sz w:val="22"/>
          <w:lang w:val="es-ES_tradnl"/>
        </w:rPr>
        <w:t xml:space="preserve">que las variaciones de los </w:t>
      </w:r>
      <w:r w:rsidR="004749CA" w:rsidRPr="0006055A">
        <w:rPr>
          <w:rFonts w:ascii="Arial" w:eastAsiaTheme="minorEastAsia" w:hAnsi="Arial" w:cs="Arial"/>
          <w:sz w:val="22"/>
          <w:lang w:val="es-ES_tradnl"/>
        </w:rPr>
        <w:t>parámetro</w:t>
      </w:r>
      <w:r w:rsidRPr="0006055A">
        <w:rPr>
          <w:rFonts w:ascii="Arial" w:eastAsiaTheme="minorEastAsia" w:hAnsi="Arial" w:cs="Arial"/>
          <w:sz w:val="22"/>
          <w:lang w:val="es-ES_tradnl"/>
        </w:rPr>
        <w:t>s</w:t>
      </w:r>
      <w:r w:rsidR="004749CA" w:rsidRPr="0006055A">
        <w:rPr>
          <w:rFonts w:ascii="Arial" w:eastAsiaTheme="minorEastAsia" w:hAnsi="Arial" w:cs="Arial"/>
          <w:sz w:val="22"/>
          <w:lang w:val="es-ES_tradnl"/>
        </w:rPr>
        <w:t xml:space="preserve"> que aproximan cuantitativamente las políticas implementadas </w:t>
      </w:r>
      <w:r w:rsidRPr="0006055A">
        <w:rPr>
          <w:rFonts w:ascii="Arial" w:eastAsiaTheme="minorEastAsia" w:hAnsi="Arial" w:cs="Arial"/>
          <w:sz w:val="22"/>
          <w:lang w:val="es-ES_tradnl"/>
        </w:rPr>
        <w:t xml:space="preserve">fueran </w:t>
      </w:r>
      <w:r w:rsidR="00221970" w:rsidRPr="0006055A">
        <w:rPr>
          <w:rFonts w:ascii="Arial" w:eastAsiaTheme="minorEastAsia" w:hAnsi="Arial" w:cs="Arial"/>
          <w:sz w:val="22"/>
          <w:lang w:val="es-ES_tradnl"/>
        </w:rPr>
        <w:t>-</w:t>
      </w:r>
      <w:r w:rsidR="00F53369" w:rsidRPr="0006055A">
        <w:rPr>
          <w:rFonts w:ascii="Arial" w:eastAsiaTheme="minorEastAsia" w:hAnsi="Arial" w:cs="Arial"/>
          <w:sz w:val="22"/>
          <w:lang w:val="es-ES_tradnl"/>
        </w:rPr>
        <w:t>11</w:t>
      </w:r>
      <w:r w:rsidR="00221970" w:rsidRPr="0006055A">
        <w:rPr>
          <w:rFonts w:ascii="Arial" w:eastAsiaTheme="minorEastAsia" w:hAnsi="Arial" w:cs="Arial"/>
          <w:sz w:val="22"/>
          <w:lang w:val="es-ES_tradnl"/>
        </w:rPr>
        <w:t>% para costos de participación, +</w:t>
      </w:r>
      <w:r w:rsidR="00F53369" w:rsidRPr="0006055A">
        <w:rPr>
          <w:rFonts w:ascii="Arial" w:eastAsiaTheme="minorEastAsia" w:hAnsi="Arial" w:cs="Arial"/>
          <w:sz w:val="22"/>
          <w:lang w:val="es-ES_tradnl"/>
        </w:rPr>
        <w:t>5</w:t>
      </w:r>
      <w:r w:rsidR="00221970" w:rsidRPr="0006055A">
        <w:rPr>
          <w:rFonts w:ascii="Arial" w:eastAsiaTheme="minorEastAsia" w:hAnsi="Arial" w:cs="Arial"/>
          <w:sz w:val="22"/>
          <w:lang w:val="es-ES_tradnl"/>
        </w:rPr>
        <w:t>% para el parámetro de garantías, y -</w:t>
      </w:r>
      <w:r w:rsidR="00F53369" w:rsidRPr="0006055A">
        <w:rPr>
          <w:rFonts w:ascii="Arial" w:eastAsiaTheme="minorEastAsia" w:hAnsi="Arial" w:cs="Arial"/>
          <w:sz w:val="22"/>
          <w:lang w:val="es-ES_tradnl"/>
        </w:rPr>
        <w:t>14</w:t>
      </w:r>
      <w:r w:rsidR="00221970" w:rsidRPr="0006055A">
        <w:rPr>
          <w:rFonts w:ascii="Arial" w:eastAsiaTheme="minorEastAsia" w:hAnsi="Arial" w:cs="Arial"/>
          <w:sz w:val="22"/>
          <w:lang w:val="es-ES_tradnl"/>
        </w:rPr>
        <w:t>% en costos de intermediación.</w:t>
      </w:r>
      <w:r w:rsidR="00DE79E8" w:rsidRPr="0006055A">
        <w:rPr>
          <w:rFonts w:ascii="Arial" w:eastAsiaTheme="minorEastAsia" w:hAnsi="Arial" w:cs="Arial"/>
          <w:sz w:val="22"/>
          <w:lang w:val="es-ES_tradnl"/>
        </w:rPr>
        <w:t xml:space="preserve"> </w:t>
      </w:r>
    </w:p>
    <w:p w14:paraId="61387E46" w14:textId="1C474012" w:rsidR="00A2342A" w:rsidRPr="0022109F" w:rsidRDefault="00A2342A" w:rsidP="00221970">
      <w:pPr>
        <w:pStyle w:val="Paragraph"/>
        <w:tabs>
          <w:tab w:val="clear" w:pos="2448"/>
          <w:tab w:val="num" w:pos="720"/>
        </w:tabs>
        <w:ind w:left="720" w:hanging="720"/>
        <w:rPr>
          <w:rFonts w:ascii="Arial" w:hAnsi="Arial" w:cs="Arial"/>
          <w:sz w:val="22"/>
          <w:lang w:val="es-ES_tradnl"/>
        </w:rPr>
      </w:pPr>
      <w:r w:rsidRPr="00B11FF4">
        <w:rPr>
          <w:rFonts w:ascii="Arial" w:eastAsiaTheme="minorEastAsia" w:hAnsi="Arial" w:cs="Arial"/>
          <w:sz w:val="22"/>
          <w:lang w:val="es-ES_tradnl"/>
        </w:rPr>
        <w:t xml:space="preserve">A los efectos de poner en </w:t>
      </w:r>
      <w:r w:rsidR="00221970" w:rsidRPr="00B11FF4">
        <w:rPr>
          <w:rFonts w:ascii="Arial" w:eastAsiaTheme="minorEastAsia" w:hAnsi="Arial" w:cs="Arial"/>
          <w:sz w:val="22"/>
          <w:lang w:val="es-ES_tradnl"/>
        </w:rPr>
        <w:t xml:space="preserve">una </w:t>
      </w:r>
      <w:r w:rsidRPr="00B11FF4">
        <w:rPr>
          <w:rFonts w:ascii="Arial" w:eastAsiaTheme="minorEastAsia" w:hAnsi="Arial" w:cs="Arial"/>
          <w:sz w:val="22"/>
          <w:lang w:val="es-ES_tradnl"/>
        </w:rPr>
        <w:t xml:space="preserve">perspectiva </w:t>
      </w:r>
      <w:r w:rsidR="00221970" w:rsidRPr="00B11FF4">
        <w:rPr>
          <w:rFonts w:ascii="Arial" w:eastAsiaTheme="minorEastAsia" w:hAnsi="Arial" w:cs="Arial"/>
          <w:sz w:val="22"/>
          <w:lang w:val="es-ES_tradnl"/>
        </w:rPr>
        <w:t xml:space="preserve">adicional </w:t>
      </w:r>
      <w:r w:rsidR="005162D0" w:rsidRPr="00B11FF4">
        <w:rPr>
          <w:rFonts w:ascii="Arial" w:eastAsiaTheme="minorEastAsia" w:hAnsi="Arial" w:cs="Arial"/>
          <w:sz w:val="22"/>
          <w:lang w:val="es-ES_tradnl"/>
        </w:rPr>
        <w:t>estos</w:t>
      </w:r>
      <w:r w:rsidRPr="00B11FF4">
        <w:rPr>
          <w:rFonts w:ascii="Arial" w:eastAsiaTheme="minorEastAsia" w:hAnsi="Arial" w:cs="Arial"/>
          <w:sz w:val="22"/>
          <w:lang w:val="es-ES_tradnl"/>
        </w:rPr>
        <w:t xml:space="preserve"> valores </w:t>
      </w:r>
      <w:r w:rsidR="005162D0" w:rsidRPr="00B11FF4">
        <w:rPr>
          <w:rFonts w:ascii="Arial" w:eastAsiaTheme="minorEastAsia" w:hAnsi="Arial" w:cs="Arial"/>
          <w:sz w:val="22"/>
          <w:lang w:val="es-ES_tradnl"/>
        </w:rPr>
        <w:t>y su razonabilidad</w:t>
      </w:r>
      <w:r w:rsidRPr="00B11FF4">
        <w:rPr>
          <w:rFonts w:ascii="Arial" w:eastAsiaTheme="minorEastAsia" w:hAnsi="Arial" w:cs="Arial"/>
          <w:sz w:val="22"/>
          <w:lang w:val="es-ES_tradnl"/>
        </w:rPr>
        <w:t xml:space="preserve">, en la tabla 3.A se presentan los valores calibrados para dichas variables </w:t>
      </w:r>
      <w:r w:rsidR="00BC0806" w:rsidRPr="00B11FF4">
        <w:rPr>
          <w:rFonts w:ascii="Arial" w:eastAsiaTheme="minorEastAsia" w:hAnsi="Arial" w:cs="Arial"/>
          <w:sz w:val="22"/>
          <w:lang w:val="es-ES_tradnl"/>
        </w:rPr>
        <w:t xml:space="preserve">para Colombia calculados en </w:t>
      </w:r>
      <w:proofErr w:type="spellStart"/>
      <w:r w:rsidR="00BC0806" w:rsidRPr="00B11FF4">
        <w:rPr>
          <w:rFonts w:ascii="Arial" w:eastAsiaTheme="minorEastAsia" w:hAnsi="Arial" w:cs="Arial"/>
          <w:sz w:val="22"/>
          <w:lang w:val="es-ES_tradnl"/>
        </w:rPr>
        <w:t>Karpowicz</w:t>
      </w:r>
      <w:proofErr w:type="spellEnd"/>
      <w:r w:rsidR="00BC0806" w:rsidRPr="00B11FF4">
        <w:rPr>
          <w:rFonts w:ascii="Arial" w:eastAsiaTheme="minorEastAsia" w:hAnsi="Arial" w:cs="Arial"/>
          <w:sz w:val="22"/>
          <w:lang w:val="es-ES_tradnl"/>
        </w:rPr>
        <w:t xml:space="preserve"> (2014)</w:t>
      </w:r>
      <w:r w:rsidR="00B11FF4" w:rsidRPr="00B11FF4">
        <w:rPr>
          <w:rFonts w:ascii="Arial" w:eastAsiaTheme="minorEastAsia" w:hAnsi="Arial" w:cs="Arial"/>
          <w:sz w:val="22"/>
          <w:lang w:val="es-ES_tradnl"/>
        </w:rPr>
        <w:t xml:space="preserve"> y para </w:t>
      </w:r>
      <w:proofErr w:type="spellStart"/>
      <w:r w:rsidR="00B11FF4" w:rsidRPr="00B11FF4">
        <w:rPr>
          <w:rFonts w:ascii="Arial" w:eastAsiaTheme="minorEastAsia" w:hAnsi="Arial" w:cs="Arial"/>
          <w:sz w:val="22"/>
          <w:lang w:val="es-ES_tradnl"/>
        </w:rPr>
        <w:t>Panama</w:t>
      </w:r>
      <w:proofErr w:type="spellEnd"/>
      <w:r w:rsidR="00B11FF4" w:rsidRPr="00B11FF4">
        <w:rPr>
          <w:rFonts w:ascii="Arial" w:eastAsiaTheme="minorEastAsia" w:hAnsi="Arial" w:cs="Arial"/>
          <w:sz w:val="22"/>
          <w:lang w:val="es-ES_tradnl"/>
        </w:rPr>
        <w:t>, y Uruguay por el BID</w:t>
      </w:r>
      <w:r w:rsidR="00BC0806" w:rsidRPr="00B11FF4">
        <w:rPr>
          <w:rFonts w:ascii="Arial" w:eastAsiaTheme="minorEastAsia" w:hAnsi="Arial" w:cs="Arial"/>
          <w:sz w:val="22"/>
          <w:lang w:val="es-ES_tradnl"/>
        </w:rPr>
        <w:t xml:space="preserve">. </w:t>
      </w:r>
      <w:r w:rsidR="00B11FF4" w:rsidRPr="00B11FF4">
        <w:rPr>
          <w:rFonts w:ascii="Arial" w:eastAsiaTheme="minorEastAsia" w:hAnsi="Arial" w:cs="Arial"/>
          <w:sz w:val="22"/>
          <w:lang w:val="es-ES_tradnl"/>
        </w:rPr>
        <w:t>Se considera la elección de estos países como representativa de un nivel referencial para la región respecto a valores de los parámetros a los que Paraguay debería acercarse. Se espera que con el proyecto la brecha de Paraguay respecto a estos países se reduzca en un 25</w:t>
      </w:r>
      <w:r w:rsidR="00B11FF4">
        <w:rPr>
          <w:rFonts w:ascii="Arial" w:eastAsiaTheme="minorEastAsia" w:hAnsi="Arial" w:cs="Arial"/>
          <w:sz w:val="22"/>
          <w:lang w:val="es-ES_tradnl"/>
        </w:rPr>
        <w:t>%</w:t>
      </w:r>
      <w:r w:rsidR="00221970" w:rsidRPr="00480DC7">
        <w:rPr>
          <w:rFonts w:ascii="Arial" w:eastAsiaTheme="minorEastAsia" w:hAnsi="Arial" w:cs="Arial"/>
          <w:sz w:val="22"/>
          <w:lang w:val="es-ES_tradnl"/>
        </w:rPr>
        <w:t xml:space="preserve">. </w:t>
      </w:r>
      <w:r w:rsidR="00B11FF4">
        <w:rPr>
          <w:rFonts w:ascii="Arial" w:eastAsiaTheme="minorEastAsia" w:hAnsi="Arial" w:cs="Arial"/>
          <w:sz w:val="22"/>
          <w:lang w:val="es-ES_tradnl"/>
        </w:rPr>
        <w:t>Esto implica la</w:t>
      </w:r>
      <w:r w:rsidR="00410D44">
        <w:rPr>
          <w:rFonts w:ascii="Arial" w:eastAsiaTheme="minorEastAsia" w:hAnsi="Arial" w:cs="Arial"/>
          <w:sz w:val="22"/>
          <w:lang w:val="es-ES_tradnl"/>
        </w:rPr>
        <w:t>s</w:t>
      </w:r>
      <w:r w:rsidR="00B11FF4">
        <w:rPr>
          <w:rFonts w:ascii="Arial" w:eastAsiaTheme="minorEastAsia" w:hAnsi="Arial" w:cs="Arial"/>
          <w:sz w:val="22"/>
          <w:lang w:val="es-ES_tradnl"/>
        </w:rPr>
        <w:t xml:space="preserve"> variaciones por parámetro mencionadas en el párrafo anterior.</w:t>
      </w:r>
    </w:p>
    <w:p w14:paraId="50169B1E" w14:textId="3570B8E3" w:rsidR="0022109F" w:rsidRPr="00480DC7" w:rsidRDefault="0022109F" w:rsidP="00221970">
      <w:pPr>
        <w:pStyle w:val="Paragraph"/>
        <w:tabs>
          <w:tab w:val="clear" w:pos="2448"/>
          <w:tab w:val="num" w:pos="720"/>
        </w:tabs>
        <w:ind w:left="720" w:hanging="720"/>
        <w:rPr>
          <w:rFonts w:ascii="Arial" w:hAnsi="Arial" w:cs="Arial"/>
          <w:sz w:val="22"/>
          <w:lang w:val="es-ES_tradnl"/>
        </w:rPr>
      </w:pPr>
      <w:r>
        <w:rPr>
          <w:rFonts w:ascii="Arial" w:hAnsi="Arial" w:cs="Arial"/>
          <w:sz w:val="22"/>
          <w:lang w:val="es-ES_tradnl"/>
        </w:rPr>
        <w:t xml:space="preserve">Los beneficios sobre el PIB provenientes de las reformas de transparencia que son cuantificados en base a la segunda metodología son calculados tras aplicar 0.59% sobre la tasa de crecimiento tendencial del PIB, multiplicados por un factor </w:t>
      </w:r>
      <w:r w:rsidRPr="005E44D3">
        <w:rPr>
          <w:rFonts w:ascii="Arial" w:hAnsi="Arial" w:cs="Arial"/>
          <w:sz w:val="22"/>
          <w:lang w:val="es-ES_tradnl"/>
        </w:rPr>
        <w:t xml:space="preserve">de </w:t>
      </w:r>
      <w:r w:rsidR="00F53369" w:rsidRPr="005E44D3">
        <w:rPr>
          <w:rFonts w:ascii="Arial" w:hAnsi="Arial" w:cs="Arial"/>
          <w:sz w:val="22"/>
          <w:lang w:val="es-ES_tradnl"/>
        </w:rPr>
        <w:t>0.25</w:t>
      </w:r>
      <w:r w:rsidRPr="005E44D3">
        <w:rPr>
          <w:rFonts w:ascii="Arial" w:hAnsi="Arial" w:cs="Arial"/>
          <w:sz w:val="22"/>
          <w:lang w:val="es-ES_tradnl"/>
        </w:rPr>
        <w:t>. (Ver</w:t>
      </w:r>
      <w:r>
        <w:rPr>
          <w:rFonts w:ascii="Arial" w:hAnsi="Arial" w:cs="Arial"/>
          <w:sz w:val="22"/>
          <w:lang w:val="es-ES_tradnl"/>
        </w:rPr>
        <w:t xml:space="preserve"> sección de metodología para una explicación de estas cifras). Si bien el estudio utilizado como fuente para esta elasticidad fue calculado sobre el PIB per cápita, se considera que esta puede ser asumida para el PIB, ya que no se espera que las reformas de transparencia tengan un efecto sobre los niveles de la población. </w:t>
      </w:r>
    </w:p>
    <w:p w14:paraId="61387E47" w14:textId="77777777" w:rsidR="00A2342A" w:rsidRPr="005E44D3" w:rsidRDefault="00A2342A" w:rsidP="00BC0806">
      <w:pPr>
        <w:pStyle w:val="Paragraph"/>
        <w:numPr>
          <w:ilvl w:val="0"/>
          <w:numId w:val="0"/>
        </w:numPr>
        <w:ind w:left="720"/>
        <w:jc w:val="center"/>
        <w:rPr>
          <w:rFonts w:ascii="Arial" w:eastAsiaTheme="minorEastAsia" w:hAnsi="Arial" w:cs="Arial"/>
          <w:sz w:val="22"/>
          <w:lang w:val="es-ES_tradnl"/>
        </w:rPr>
      </w:pPr>
      <w:r w:rsidRPr="005E44D3">
        <w:rPr>
          <w:rFonts w:ascii="Arial" w:eastAsiaTheme="minorEastAsia" w:hAnsi="Arial" w:cs="Arial"/>
          <w:sz w:val="22"/>
          <w:lang w:val="es-ES_tradnl"/>
        </w:rPr>
        <w:t>Tabla 3.A</w:t>
      </w:r>
    </w:p>
    <w:p w14:paraId="61387E48" w14:textId="33B776AC" w:rsidR="00A2342A" w:rsidRPr="00804391" w:rsidRDefault="00804391" w:rsidP="00BC0806">
      <w:pPr>
        <w:pStyle w:val="Paragraph"/>
        <w:numPr>
          <w:ilvl w:val="0"/>
          <w:numId w:val="0"/>
        </w:numPr>
        <w:ind w:left="720"/>
        <w:jc w:val="center"/>
        <w:rPr>
          <w:rFonts w:ascii="Arial" w:hAnsi="Arial" w:cs="Arial"/>
          <w:sz w:val="22"/>
          <w:lang w:val="es-ES_tradnl"/>
        </w:rPr>
      </w:pPr>
      <w:r w:rsidRPr="00804391">
        <w:rPr>
          <w:noProof/>
        </w:rPr>
        <w:drawing>
          <wp:inline distT="0" distB="0" distL="0" distR="0" wp14:anchorId="56CF92CB" wp14:editId="0D23DBE4">
            <wp:extent cx="4140200" cy="17411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40200" cy="1741170"/>
                    </a:xfrm>
                    <a:prstGeom prst="rect">
                      <a:avLst/>
                    </a:prstGeom>
                    <a:noFill/>
                    <a:ln>
                      <a:noFill/>
                    </a:ln>
                  </pic:spPr>
                </pic:pic>
              </a:graphicData>
            </a:graphic>
          </wp:inline>
        </w:drawing>
      </w:r>
    </w:p>
    <w:p w14:paraId="61387E49" w14:textId="718B508F" w:rsidR="00BE1A28" w:rsidRDefault="00FA4263" w:rsidP="008C30DE">
      <w:pPr>
        <w:pStyle w:val="Paragraph"/>
        <w:tabs>
          <w:tab w:val="clear" w:pos="2448"/>
          <w:tab w:val="num" w:pos="720"/>
        </w:tabs>
        <w:ind w:left="720" w:hanging="720"/>
        <w:rPr>
          <w:rFonts w:ascii="Arial" w:hAnsi="Arial" w:cs="Arial"/>
          <w:sz w:val="22"/>
          <w:lang w:val="es-ES_tradnl"/>
        </w:rPr>
      </w:pPr>
      <w:r w:rsidRPr="005E44D3">
        <w:rPr>
          <w:rFonts w:ascii="Arial" w:hAnsi="Arial" w:cs="Arial"/>
          <w:b/>
          <w:sz w:val="22"/>
          <w:lang w:val="es-ES_tradnl"/>
        </w:rPr>
        <w:t xml:space="preserve">Costos. </w:t>
      </w:r>
      <w:r w:rsidR="00BE1A28" w:rsidRPr="005E44D3">
        <w:rPr>
          <w:rFonts w:ascii="Arial" w:hAnsi="Arial" w:cs="Arial"/>
          <w:sz w:val="22"/>
          <w:lang w:val="es-ES_tradnl"/>
        </w:rPr>
        <w:t xml:space="preserve">En cuanto a la estimación de costos, lo que corresponde es imputar los recursos utilizados para </w:t>
      </w:r>
      <w:r w:rsidR="006769CA">
        <w:rPr>
          <w:rFonts w:ascii="Arial" w:hAnsi="Arial" w:cs="Arial"/>
          <w:sz w:val="22"/>
          <w:lang w:val="es-ES_tradnl"/>
        </w:rPr>
        <w:t xml:space="preserve">preparar e </w:t>
      </w:r>
      <w:r w:rsidR="00BE1A28" w:rsidRPr="005E44D3">
        <w:rPr>
          <w:rFonts w:ascii="Arial" w:hAnsi="Arial" w:cs="Arial"/>
          <w:sz w:val="22"/>
          <w:lang w:val="es-ES_tradnl"/>
        </w:rPr>
        <w:t xml:space="preserve">implementar estas reformas ya que estos costos no se encuentran implícitos en la evolución del </w:t>
      </w:r>
      <w:r w:rsidR="00395F30" w:rsidRPr="005E44D3">
        <w:rPr>
          <w:rFonts w:ascii="Arial" w:hAnsi="Arial" w:cs="Arial"/>
          <w:sz w:val="22"/>
          <w:lang w:val="es-ES_tradnl"/>
        </w:rPr>
        <w:t>PIB</w:t>
      </w:r>
      <w:r w:rsidR="00BE1A28" w:rsidRPr="005E44D3">
        <w:rPr>
          <w:rFonts w:ascii="Arial" w:hAnsi="Arial" w:cs="Arial"/>
          <w:sz w:val="22"/>
          <w:lang w:val="es-ES_tradnl"/>
        </w:rPr>
        <w:t xml:space="preserve"> del modelo. La estimación de los costos de </w:t>
      </w:r>
      <w:r w:rsidR="003B701A">
        <w:rPr>
          <w:rFonts w:ascii="Arial" w:hAnsi="Arial" w:cs="Arial"/>
          <w:sz w:val="22"/>
          <w:lang w:val="es-ES_tradnl"/>
        </w:rPr>
        <w:t>preparación de algunas políticas del programa</w:t>
      </w:r>
      <w:r w:rsidR="00BE1A28" w:rsidRPr="005E44D3">
        <w:rPr>
          <w:rFonts w:ascii="Arial" w:hAnsi="Arial" w:cs="Arial"/>
          <w:sz w:val="22"/>
          <w:lang w:val="es-ES_tradnl"/>
        </w:rPr>
        <w:t xml:space="preserve"> </w:t>
      </w:r>
      <w:r w:rsidR="001A0F9A" w:rsidRPr="005E44D3">
        <w:rPr>
          <w:rFonts w:ascii="Arial" w:hAnsi="Arial" w:cs="Arial"/>
          <w:sz w:val="22"/>
          <w:lang w:val="es-ES_tradnl"/>
        </w:rPr>
        <w:t xml:space="preserve">fue </w:t>
      </w:r>
      <w:r w:rsidR="003B701A">
        <w:rPr>
          <w:rFonts w:ascii="Arial" w:hAnsi="Arial" w:cs="Arial"/>
          <w:sz w:val="22"/>
          <w:lang w:val="es-ES_tradnl"/>
        </w:rPr>
        <w:t xml:space="preserve">provista </w:t>
      </w:r>
      <w:r w:rsidR="003B701A" w:rsidRPr="005E44D3">
        <w:rPr>
          <w:rFonts w:ascii="Arial" w:hAnsi="Arial" w:cs="Arial"/>
          <w:sz w:val="22"/>
          <w:lang w:val="es-ES_tradnl"/>
        </w:rPr>
        <w:t>por</w:t>
      </w:r>
      <w:r w:rsidR="00C6217C" w:rsidRPr="005E44D3">
        <w:rPr>
          <w:rFonts w:ascii="Arial" w:hAnsi="Arial" w:cs="Arial"/>
          <w:sz w:val="22"/>
          <w:lang w:val="es-ES_tradnl"/>
        </w:rPr>
        <w:t xml:space="preserve"> las autoridades</w:t>
      </w:r>
      <w:r w:rsidR="003B701A">
        <w:rPr>
          <w:rFonts w:ascii="Arial" w:hAnsi="Arial" w:cs="Arial"/>
          <w:sz w:val="22"/>
          <w:lang w:val="es-ES_tradnl"/>
        </w:rPr>
        <w:t xml:space="preserve"> (ver siguiente recuadro). Estos suman $1.04 millones</w:t>
      </w:r>
      <w:r w:rsidR="00C6217C" w:rsidRPr="005E44D3">
        <w:rPr>
          <w:rFonts w:ascii="Arial" w:hAnsi="Arial" w:cs="Arial"/>
          <w:sz w:val="22"/>
          <w:lang w:val="es-ES_tradnl"/>
        </w:rPr>
        <w:t xml:space="preserve">. </w:t>
      </w:r>
      <w:r w:rsidR="003B701A">
        <w:rPr>
          <w:rFonts w:ascii="Arial" w:hAnsi="Arial" w:cs="Arial"/>
          <w:sz w:val="22"/>
          <w:lang w:val="es-ES_tradnl"/>
        </w:rPr>
        <w:t xml:space="preserve">No obstante, para ser consistentes con el hecho de que la implementación, más allá de la preparación, de estas reformas implicará costos recurrentes durante el período de análisis se estimó, en base a la experiencia y ratio costos/crédito de </w:t>
      </w:r>
      <w:r w:rsidR="00CD7019">
        <w:rPr>
          <w:rFonts w:ascii="Arial" w:hAnsi="Arial" w:cs="Arial"/>
          <w:sz w:val="22"/>
          <w:lang w:val="es-ES_tradnl"/>
        </w:rPr>
        <w:t xml:space="preserve">los </w:t>
      </w:r>
      <w:r w:rsidR="003B701A">
        <w:rPr>
          <w:rFonts w:ascii="Arial" w:hAnsi="Arial" w:cs="Arial"/>
          <w:sz w:val="22"/>
          <w:lang w:val="es-ES_tradnl"/>
        </w:rPr>
        <w:t>PBL anteriores y similares que e</w:t>
      </w:r>
      <w:r w:rsidR="00C6217C" w:rsidRPr="005E44D3">
        <w:rPr>
          <w:rFonts w:ascii="Arial" w:hAnsi="Arial" w:cs="Arial"/>
          <w:sz w:val="22"/>
          <w:lang w:val="es-ES_tradnl"/>
        </w:rPr>
        <w:t>l total de estos costos asciende a US$</w:t>
      </w:r>
      <w:r w:rsidR="001A0F9A" w:rsidRPr="005E44D3">
        <w:rPr>
          <w:rFonts w:ascii="Arial" w:hAnsi="Arial" w:cs="Arial"/>
          <w:sz w:val="22"/>
          <w:lang w:val="es-ES_tradnl"/>
        </w:rPr>
        <w:t>10</w:t>
      </w:r>
      <w:r w:rsidR="00CD7019">
        <w:rPr>
          <w:rFonts w:ascii="Arial" w:hAnsi="Arial" w:cs="Arial"/>
          <w:sz w:val="22"/>
          <w:lang w:val="es-ES_tradnl"/>
        </w:rPr>
        <w:t> </w:t>
      </w:r>
      <w:r w:rsidR="00C6217C" w:rsidRPr="005E44D3">
        <w:rPr>
          <w:rFonts w:ascii="Arial" w:hAnsi="Arial" w:cs="Arial"/>
          <w:sz w:val="22"/>
          <w:lang w:val="es-ES_tradnl"/>
        </w:rPr>
        <w:t>millones</w:t>
      </w:r>
      <w:r w:rsidR="003B701A">
        <w:rPr>
          <w:rFonts w:ascii="Arial" w:hAnsi="Arial" w:cs="Arial"/>
          <w:sz w:val="22"/>
          <w:lang w:val="es-ES_tradnl"/>
        </w:rPr>
        <w:t xml:space="preserve"> para todo el período de evaluación</w:t>
      </w:r>
      <w:r w:rsidR="00C6217C" w:rsidRPr="005E44D3">
        <w:rPr>
          <w:rFonts w:ascii="Arial" w:hAnsi="Arial" w:cs="Arial"/>
          <w:sz w:val="22"/>
          <w:lang w:val="es-ES_tradnl"/>
        </w:rPr>
        <w:t>.</w:t>
      </w:r>
    </w:p>
    <w:p w14:paraId="05EB78FC" w14:textId="77777777" w:rsidR="00410D44" w:rsidRDefault="00410D44" w:rsidP="00410D44">
      <w:pPr>
        <w:pStyle w:val="Paragraph"/>
        <w:numPr>
          <w:ilvl w:val="0"/>
          <w:numId w:val="0"/>
        </w:numPr>
        <w:ind w:left="720"/>
        <w:rPr>
          <w:rFonts w:ascii="Arial" w:hAnsi="Arial" w:cs="Arial"/>
          <w:sz w:val="22"/>
          <w:lang w:val="es-ES_tradnl"/>
        </w:rPr>
      </w:pPr>
    </w:p>
    <w:p w14:paraId="3C0DFE26" w14:textId="07D7F75B" w:rsidR="003B701A" w:rsidRPr="003B701A" w:rsidRDefault="003B701A" w:rsidP="003B701A">
      <w:pPr>
        <w:pStyle w:val="Paragraph"/>
        <w:numPr>
          <w:ilvl w:val="0"/>
          <w:numId w:val="0"/>
        </w:numPr>
        <w:ind w:left="720"/>
        <w:jc w:val="center"/>
        <w:rPr>
          <w:rFonts w:ascii="Arial" w:hAnsi="Arial" w:cs="Arial"/>
          <w:sz w:val="20"/>
          <w:lang w:val="es-ES_tradnl"/>
        </w:rPr>
      </w:pPr>
      <w:r w:rsidRPr="003B701A">
        <w:rPr>
          <w:rFonts w:ascii="Arial" w:hAnsi="Arial" w:cs="Arial"/>
          <w:b/>
          <w:sz w:val="20"/>
          <w:lang w:val="es-ES_tradnl"/>
        </w:rPr>
        <w:lastRenderedPageBreak/>
        <w:t>Costos de preparación de políticas del proyecto</w:t>
      </w:r>
    </w:p>
    <w:tbl>
      <w:tblPr>
        <w:tblW w:w="5340" w:type="dxa"/>
        <w:jc w:val="center"/>
        <w:tblLook w:val="04A0" w:firstRow="1" w:lastRow="0" w:firstColumn="1" w:lastColumn="0" w:noHBand="0" w:noVBand="1"/>
      </w:tblPr>
      <w:tblGrid>
        <w:gridCol w:w="3442"/>
        <w:gridCol w:w="1898"/>
      </w:tblGrid>
      <w:tr w:rsidR="003B701A" w:rsidRPr="003B701A" w14:paraId="7F6F5F87" w14:textId="77777777" w:rsidTr="003B701A">
        <w:trPr>
          <w:trHeight w:val="600"/>
          <w:jc w:val="center"/>
        </w:trPr>
        <w:tc>
          <w:tcPr>
            <w:tcW w:w="3442" w:type="dxa"/>
            <w:tcBorders>
              <w:top w:val="nil"/>
              <w:left w:val="nil"/>
              <w:bottom w:val="nil"/>
              <w:right w:val="nil"/>
            </w:tcBorders>
            <w:shd w:val="clear" w:color="000000" w:fill="FFFFFF"/>
            <w:vAlign w:val="bottom"/>
            <w:hideMark/>
          </w:tcPr>
          <w:p w14:paraId="110D5170" w14:textId="77777777" w:rsidR="003B701A" w:rsidRPr="003B701A" w:rsidRDefault="003B701A" w:rsidP="003B701A">
            <w:pPr>
              <w:spacing w:after="0" w:line="240" w:lineRule="auto"/>
              <w:rPr>
                <w:rFonts w:ascii="Calibri" w:eastAsia="Times New Roman" w:hAnsi="Calibri" w:cs="Times New Roman"/>
                <w:color w:val="000000"/>
                <w:sz w:val="18"/>
                <w:lang w:val="es-ES_tradnl"/>
              </w:rPr>
            </w:pPr>
            <w:r w:rsidRPr="003B701A">
              <w:rPr>
                <w:rFonts w:ascii="Calibri" w:eastAsia="Times New Roman" w:hAnsi="Calibri" w:cs="Times New Roman"/>
                <w:color w:val="000000"/>
                <w:sz w:val="18"/>
                <w:lang w:val="es-ES_tradnl"/>
              </w:rPr>
              <w:t> </w:t>
            </w:r>
          </w:p>
        </w:tc>
        <w:tc>
          <w:tcPr>
            <w:tcW w:w="1898" w:type="dxa"/>
            <w:tcBorders>
              <w:top w:val="nil"/>
              <w:left w:val="nil"/>
              <w:bottom w:val="single" w:sz="4" w:space="0" w:color="auto"/>
              <w:right w:val="nil"/>
            </w:tcBorders>
            <w:shd w:val="clear" w:color="000000" w:fill="FFFFFF"/>
            <w:vAlign w:val="bottom"/>
            <w:hideMark/>
          </w:tcPr>
          <w:p w14:paraId="46F9FD18" w14:textId="77777777" w:rsidR="003B701A" w:rsidRPr="003B701A" w:rsidRDefault="003B701A" w:rsidP="003B701A">
            <w:pPr>
              <w:spacing w:after="0" w:line="240" w:lineRule="auto"/>
              <w:jc w:val="center"/>
              <w:rPr>
                <w:rFonts w:ascii="Calibri" w:eastAsia="Times New Roman" w:hAnsi="Calibri" w:cs="Times New Roman"/>
                <w:b/>
                <w:bCs/>
                <w:color w:val="000000"/>
                <w:sz w:val="18"/>
                <w:lang w:val="es-ES_tradnl"/>
              </w:rPr>
            </w:pPr>
            <w:r w:rsidRPr="003B701A">
              <w:rPr>
                <w:rFonts w:ascii="Calibri" w:eastAsia="Times New Roman" w:hAnsi="Calibri" w:cs="Times New Roman"/>
                <w:b/>
                <w:bCs/>
                <w:color w:val="000000"/>
                <w:sz w:val="18"/>
                <w:lang w:val="es-ES_tradnl"/>
              </w:rPr>
              <w:t>Costo de preparación (US$)</w:t>
            </w:r>
          </w:p>
        </w:tc>
      </w:tr>
      <w:tr w:rsidR="003B701A" w:rsidRPr="003B701A" w14:paraId="2C8E3816" w14:textId="77777777" w:rsidTr="003B701A">
        <w:trPr>
          <w:trHeight w:val="600"/>
          <w:jc w:val="center"/>
        </w:trPr>
        <w:tc>
          <w:tcPr>
            <w:tcW w:w="3442" w:type="dxa"/>
            <w:tcBorders>
              <w:top w:val="nil"/>
              <w:left w:val="nil"/>
              <w:bottom w:val="nil"/>
              <w:right w:val="nil"/>
            </w:tcBorders>
            <w:shd w:val="clear" w:color="000000" w:fill="FFFFFF"/>
            <w:vAlign w:val="bottom"/>
            <w:hideMark/>
          </w:tcPr>
          <w:p w14:paraId="6EB0A7C4" w14:textId="77777777" w:rsidR="003B701A" w:rsidRPr="003B701A" w:rsidRDefault="003B701A" w:rsidP="003B701A">
            <w:pPr>
              <w:spacing w:after="0" w:line="240" w:lineRule="auto"/>
              <w:rPr>
                <w:rFonts w:ascii="Calibri" w:eastAsia="Times New Roman" w:hAnsi="Calibri" w:cs="Times New Roman"/>
                <w:color w:val="000000"/>
                <w:sz w:val="18"/>
                <w:lang w:val="es-ES_tradnl"/>
              </w:rPr>
            </w:pPr>
            <w:r w:rsidRPr="003B701A">
              <w:rPr>
                <w:rFonts w:ascii="Calibri" w:eastAsia="Times New Roman" w:hAnsi="Calibri" w:cs="Times New Roman"/>
                <w:color w:val="000000"/>
                <w:sz w:val="18"/>
                <w:lang w:val="es-ES_tradnl"/>
              </w:rPr>
              <w:t>Ley de gobierno corporativo de empresas públicas</w:t>
            </w:r>
          </w:p>
        </w:tc>
        <w:tc>
          <w:tcPr>
            <w:tcW w:w="1898" w:type="dxa"/>
            <w:tcBorders>
              <w:top w:val="nil"/>
              <w:left w:val="nil"/>
              <w:bottom w:val="nil"/>
              <w:right w:val="nil"/>
            </w:tcBorders>
            <w:shd w:val="clear" w:color="000000" w:fill="FFFFFF"/>
            <w:noWrap/>
            <w:vAlign w:val="bottom"/>
            <w:hideMark/>
          </w:tcPr>
          <w:p w14:paraId="0A20EF6F" w14:textId="77777777" w:rsidR="003B701A" w:rsidRPr="003B701A" w:rsidRDefault="003B701A" w:rsidP="003B701A">
            <w:pPr>
              <w:spacing w:after="0" w:line="240" w:lineRule="auto"/>
              <w:rPr>
                <w:rFonts w:ascii="Calibri" w:eastAsia="Times New Roman" w:hAnsi="Calibri" w:cs="Times New Roman"/>
                <w:color w:val="000000"/>
                <w:sz w:val="18"/>
                <w:lang w:val="es-ES_tradnl"/>
              </w:rPr>
            </w:pPr>
            <w:r w:rsidRPr="003B701A">
              <w:rPr>
                <w:rFonts w:ascii="Calibri" w:eastAsia="Times New Roman" w:hAnsi="Calibri" w:cs="Times New Roman"/>
                <w:color w:val="000000"/>
                <w:sz w:val="18"/>
                <w:lang w:val="es-ES_tradnl"/>
              </w:rPr>
              <w:t xml:space="preserve">                       568,000 </w:t>
            </w:r>
          </w:p>
        </w:tc>
      </w:tr>
      <w:tr w:rsidR="003B701A" w:rsidRPr="003B701A" w14:paraId="229B18F8" w14:textId="77777777" w:rsidTr="003B701A">
        <w:trPr>
          <w:trHeight w:val="300"/>
          <w:jc w:val="center"/>
        </w:trPr>
        <w:tc>
          <w:tcPr>
            <w:tcW w:w="3442" w:type="dxa"/>
            <w:tcBorders>
              <w:top w:val="nil"/>
              <w:left w:val="nil"/>
              <w:bottom w:val="nil"/>
              <w:right w:val="nil"/>
            </w:tcBorders>
            <w:shd w:val="clear" w:color="000000" w:fill="FFFFFF"/>
            <w:vAlign w:val="bottom"/>
            <w:hideMark/>
          </w:tcPr>
          <w:p w14:paraId="670A77C3" w14:textId="77777777" w:rsidR="003B701A" w:rsidRPr="003B701A" w:rsidRDefault="003B701A" w:rsidP="003B701A">
            <w:pPr>
              <w:spacing w:after="0" w:line="240" w:lineRule="auto"/>
              <w:rPr>
                <w:rFonts w:ascii="Calibri" w:eastAsia="Times New Roman" w:hAnsi="Calibri" w:cs="Times New Roman"/>
                <w:color w:val="000000"/>
                <w:sz w:val="18"/>
                <w:lang w:val="es-ES_tradnl"/>
              </w:rPr>
            </w:pPr>
            <w:r w:rsidRPr="003B701A">
              <w:rPr>
                <w:rFonts w:ascii="Calibri" w:eastAsia="Times New Roman" w:hAnsi="Calibri" w:cs="Times New Roman"/>
                <w:color w:val="000000"/>
                <w:sz w:val="18"/>
                <w:lang w:val="es-ES_tradnl"/>
              </w:rPr>
              <w:t>Ley de acciones al portador</w:t>
            </w:r>
          </w:p>
        </w:tc>
        <w:tc>
          <w:tcPr>
            <w:tcW w:w="1898" w:type="dxa"/>
            <w:tcBorders>
              <w:top w:val="nil"/>
              <w:left w:val="nil"/>
              <w:bottom w:val="nil"/>
              <w:right w:val="nil"/>
            </w:tcBorders>
            <w:shd w:val="clear" w:color="000000" w:fill="FFFFFF"/>
            <w:noWrap/>
            <w:vAlign w:val="bottom"/>
            <w:hideMark/>
          </w:tcPr>
          <w:p w14:paraId="17A15087" w14:textId="77777777" w:rsidR="003B701A" w:rsidRPr="003B701A" w:rsidRDefault="003B701A" w:rsidP="003B701A">
            <w:pPr>
              <w:spacing w:after="0" w:line="240" w:lineRule="auto"/>
              <w:rPr>
                <w:rFonts w:ascii="Calibri" w:eastAsia="Times New Roman" w:hAnsi="Calibri" w:cs="Times New Roman"/>
                <w:color w:val="000000"/>
                <w:sz w:val="18"/>
                <w:lang w:val="es-ES_tradnl"/>
              </w:rPr>
            </w:pPr>
            <w:r w:rsidRPr="003B701A">
              <w:rPr>
                <w:rFonts w:ascii="Calibri" w:eastAsia="Times New Roman" w:hAnsi="Calibri" w:cs="Times New Roman"/>
                <w:color w:val="000000"/>
                <w:sz w:val="18"/>
                <w:lang w:val="es-ES_tradnl"/>
              </w:rPr>
              <w:t xml:space="preserve">                         40,000 </w:t>
            </w:r>
          </w:p>
        </w:tc>
      </w:tr>
      <w:tr w:rsidR="003B701A" w:rsidRPr="003B701A" w14:paraId="29E5B3C7" w14:textId="77777777" w:rsidTr="003B701A">
        <w:trPr>
          <w:trHeight w:val="300"/>
          <w:jc w:val="center"/>
        </w:trPr>
        <w:tc>
          <w:tcPr>
            <w:tcW w:w="3442" w:type="dxa"/>
            <w:tcBorders>
              <w:top w:val="nil"/>
              <w:left w:val="nil"/>
              <w:bottom w:val="nil"/>
              <w:right w:val="nil"/>
            </w:tcBorders>
            <w:shd w:val="clear" w:color="000000" w:fill="FFFFFF"/>
            <w:vAlign w:val="bottom"/>
            <w:hideMark/>
          </w:tcPr>
          <w:p w14:paraId="3319B856" w14:textId="77777777" w:rsidR="003B701A" w:rsidRPr="003B701A" w:rsidRDefault="003B701A" w:rsidP="003B701A">
            <w:pPr>
              <w:spacing w:after="0" w:line="240" w:lineRule="auto"/>
              <w:rPr>
                <w:rFonts w:ascii="Calibri" w:eastAsia="Times New Roman" w:hAnsi="Calibri" w:cs="Times New Roman"/>
                <w:color w:val="000000"/>
                <w:sz w:val="18"/>
                <w:lang w:val="es-ES_tradnl"/>
              </w:rPr>
            </w:pPr>
            <w:r w:rsidRPr="003B701A">
              <w:rPr>
                <w:rFonts w:ascii="Calibri" w:eastAsia="Times New Roman" w:hAnsi="Calibri" w:cs="Times New Roman"/>
                <w:color w:val="000000"/>
                <w:sz w:val="18"/>
                <w:lang w:val="es-ES_tradnl"/>
              </w:rPr>
              <w:t>Ley de Bancos</w:t>
            </w:r>
          </w:p>
        </w:tc>
        <w:tc>
          <w:tcPr>
            <w:tcW w:w="1898" w:type="dxa"/>
            <w:tcBorders>
              <w:top w:val="nil"/>
              <w:left w:val="nil"/>
              <w:bottom w:val="nil"/>
              <w:right w:val="nil"/>
            </w:tcBorders>
            <w:shd w:val="clear" w:color="000000" w:fill="FFFFFF"/>
            <w:noWrap/>
            <w:vAlign w:val="bottom"/>
            <w:hideMark/>
          </w:tcPr>
          <w:p w14:paraId="7CC197B3" w14:textId="77777777" w:rsidR="003B701A" w:rsidRPr="003B701A" w:rsidRDefault="003B701A" w:rsidP="003B701A">
            <w:pPr>
              <w:spacing w:after="0" w:line="240" w:lineRule="auto"/>
              <w:rPr>
                <w:rFonts w:ascii="Calibri" w:eastAsia="Times New Roman" w:hAnsi="Calibri" w:cs="Times New Roman"/>
                <w:color w:val="000000"/>
                <w:sz w:val="18"/>
                <w:lang w:val="es-ES_tradnl"/>
              </w:rPr>
            </w:pPr>
            <w:r w:rsidRPr="003B701A">
              <w:rPr>
                <w:rFonts w:ascii="Calibri" w:eastAsia="Times New Roman" w:hAnsi="Calibri" w:cs="Times New Roman"/>
                <w:color w:val="000000"/>
                <w:sz w:val="18"/>
                <w:lang w:val="es-ES_tradnl"/>
              </w:rPr>
              <w:t xml:space="preserve">                         10,000 </w:t>
            </w:r>
          </w:p>
        </w:tc>
      </w:tr>
      <w:tr w:rsidR="003B701A" w:rsidRPr="003B701A" w14:paraId="58BE53A6" w14:textId="77777777" w:rsidTr="003B701A">
        <w:trPr>
          <w:trHeight w:val="285"/>
          <w:jc w:val="center"/>
        </w:trPr>
        <w:tc>
          <w:tcPr>
            <w:tcW w:w="3442" w:type="dxa"/>
            <w:tcBorders>
              <w:top w:val="nil"/>
              <w:left w:val="nil"/>
              <w:bottom w:val="nil"/>
              <w:right w:val="nil"/>
            </w:tcBorders>
            <w:shd w:val="clear" w:color="000000" w:fill="FFFFFF"/>
            <w:vAlign w:val="bottom"/>
            <w:hideMark/>
          </w:tcPr>
          <w:p w14:paraId="6C2E959C" w14:textId="77777777" w:rsidR="003B701A" w:rsidRPr="003B701A" w:rsidRDefault="003B701A" w:rsidP="003B701A">
            <w:pPr>
              <w:spacing w:after="0" w:line="240" w:lineRule="auto"/>
              <w:rPr>
                <w:rFonts w:ascii="Calibri" w:eastAsia="Times New Roman" w:hAnsi="Calibri" w:cs="Times New Roman"/>
                <w:color w:val="000000"/>
                <w:sz w:val="18"/>
                <w:lang w:val="es-ES_tradnl"/>
              </w:rPr>
            </w:pPr>
            <w:r w:rsidRPr="003B701A">
              <w:rPr>
                <w:rFonts w:ascii="Calibri" w:eastAsia="Times New Roman" w:hAnsi="Calibri" w:cs="Times New Roman"/>
                <w:color w:val="000000"/>
                <w:sz w:val="18"/>
                <w:lang w:val="es-ES_tradnl"/>
              </w:rPr>
              <w:t>Ley que regula mercado de capitales</w:t>
            </w:r>
          </w:p>
        </w:tc>
        <w:tc>
          <w:tcPr>
            <w:tcW w:w="1898" w:type="dxa"/>
            <w:tcBorders>
              <w:top w:val="nil"/>
              <w:left w:val="nil"/>
              <w:bottom w:val="nil"/>
              <w:right w:val="nil"/>
            </w:tcBorders>
            <w:shd w:val="clear" w:color="000000" w:fill="FFFFFF"/>
            <w:noWrap/>
            <w:vAlign w:val="bottom"/>
            <w:hideMark/>
          </w:tcPr>
          <w:p w14:paraId="522E63FA" w14:textId="77777777" w:rsidR="003B701A" w:rsidRPr="003B701A" w:rsidRDefault="003B701A" w:rsidP="003B701A">
            <w:pPr>
              <w:spacing w:after="0" w:line="240" w:lineRule="auto"/>
              <w:rPr>
                <w:rFonts w:ascii="Calibri" w:eastAsia="Times New Roman" w:hAnsi="Calibri" w:cs="Times New Roman"/>
                <w:color w:val="000000"/>
                <w:sz w:val="18"/>
                <w:lang w:val="es-ES_tradnl"/>
              </w:rPr>
            </w:pPr>
            <w:r w:rsidRPr="003B701A">
              <w:rPr>
                <w:rFonts w:ascii="Calibri" w:eastAsia="Times New Roman" w:hAnsi="Calibri" w:cs="Times New Roman"/>
                <w:color w:val="000000"/>
                <w:sz w:val="18"/>
                <w:lang w:val="es-ES_tradnl"/>
              </w:rPr>
              <w:t xml:space="preserve">                         20,000 </w:t>
            </w:r>
          </w:p>
        </w:tc>
      </w:tr>
      <w:tr w:rsidR="003B701A" w:rsidRPr="003B701A" w14:paraId="45DDCA58" w14:textId="77777777" w:rsidTr="003B701A">
        <w:trPr>
          <w:trHeight w:val="300"/>
          <w:jc w:val="center"/>
        </w:trPr>
        <w:tc>
          <w:tcPr>
            <w:tcW w:w="3442" w:type="dxa"/>
            <w:tcBorders>
              <w:top w:val="nil"/>
              <w:left w:val="nil"/>
              <w:bottom w:val="nil"/>
              <w:right w:val="nil"/>
            </w:tcBorders>
            <w:shd w:val="clear" w:color="000000" w:fill="FFFFFF"/>
            <w:vAlign w:val="bottom"/>
            <w:hideMark/>
          </w:tcPr>
          <w:p w14:paraId="189BDB61" w14:textId="77777777" w:rsidR="003B701A" w:rsidRPr="003B701A" w:rsidRDefault="003B701A" w:rsidP="003B701A">
            <w:pPr>
              <w:spacing w:after="0" w:line="240" w:lineRule="auto"/>
              <w:rPr>
                <w:rFonts w:ascii="Calibri" w:eastAsia="Times New Roman" w:hAnsi="Calibri" w:cs="Times New Roman"/>
                <w:color w:val="000000"/>
                <w:sz w:val="18"/>
                <w:lang w:val="es-ES_tradnl"/>
              </w:rPr>
            </w:pPr>
            <w:r w:rsidRPr="003B701A">
              <w:rPr>
                <w:rFonts w:ascii="Calibri" w:eastAsia="Times New Roman" w:hAnsi="Calibri" w:cs="Times New Roman"/>
                <w:color w:val="000000"/>
                <w:sz w:val="18"/>
                <w:lang w:val="es-ES_tradnl"/>
              </w:rPr>
              <w:t>Comité de estabilidad financiera</w:t>
            </w:r>
          </w:p>
        </w:tc>
        <w:tc>
          <w:tcPr>
            <w:tcW w:w="1898" w:type="dxa"/>
            <w:tcBorders>
              <w:top w:val="nil"/>
              <w:left w:val="nil"/>
              <w:bottom w:val="nil"/>
              <w:right w:val="nil"/>
            </w:tcBorders>
            <w:shd w:val="clear" w:color="000000" w:fill="FFFFFF"/>
            <w:noWrap/>
            <w:vAlign w:val="bottom"/>
            <w:hideMark/>
          </w:tcPr>
          <w:p w14:paraId="2E3BC413" w14:textId="77777777" w:rsidR="003B701A" w:rsidRPr="003B701A" w:rsidRDefault="003B701A" w:rsidP="003B701A">
            <w:pPr>
              <w:spacing w:after="0" w:line="240" w:lineRule="auto"/>
              <w:rPr>
                <w:rFonts w:ascii="Calibri" w:eastAsia="Times New Roman" w:hAnsi="Calibri" w:cs="Times New Roman"/>
                <w:color w:val="000000"/>
                <w:sz w:val="18"/>
                <w:lang w:val="es-ES_tradnl"/>
              </w:rPr>
            </w:pPr>
            <w:r w:rsidRPr="003B701A">
              <w:rPr>
                <w:rFonts w:ascii="Calibri" w:eastAsia="Times New Roman" w:hAnsi="Calibri" w:cs="Times New Roman"/>
                <w:color w:val="000000"/>
                <w:sz w:val="18"/>
                <w:lang w:val="es-ES_tradnl"/>
              </w:rPr>
              <w:t xml:space="preserve">                         25,000 </w:t>
            </w:r>
          </w:p>
        </w:tc>
      </w:tr>
      <w:tr w:rsidR="003B701A" w:rsidRPr="003B701A" w14:paraId="44667076" w14:textId="77777777" w:rsidTr="003B701A">
        <w:trPr>
          <w:trHeight w:val="300"/>
          <w:jc w:val="center"/>
        </w:trPr>
        <w:tc>
          <w:tcPr>
            <w:tcW w:w="3442" w:type="dxa"/>
            <w:tcBorders>
              <w:top w:val="nil"/>
              <w:left w:val="nil"/>
              <w:bottom w:val="nil"/>
              <w:right w:val="nil"/>
            </w:tcBorders>
            <w:shd w:val="clear" w:color="000000" w:fill="FFFFFF"/>
            <w:vAlign w:val="bottom"/>
            <w:hideMark/>
          </w:tcPr>
          <w:p w14:paraId="68A869B5" w14:textId="4217BB16" w:rsidR="003B701A" w:rsidRPr="003B701A" w:rsidRDefault="003B701A" w:rsidP="003B701A">
            <w:pPr>
              <w:spacing w:after="0" w:line="240" w:lineRule="auto"/>
              <w:rPr>
                <w:rFonts w:ascii="Calibri" w:eastAsia="Times New Roman" w:hAnsi="Calibri" w:cs="Times New Roman"/>
                <w:color w:val="000000"/>
                <w:sz w:val="18"/>
                <w:lang w:val="es-ES_tradnl"/>
              </w:rPr>
            </w:pPr>
            <w:r w:rsidRPr="003B701A">
              <w:rPr>
                <w:rFonts w:ascii="Calibri" w:eastAsia="Times New Roman" w:hAnsi="Calibri" w:cs="Times New Roman"/>
                <w:color w:val="000000"/>
                <w:sz w:val="18"/>
                <w:lang w:val="es-ES_tradnl"/>
              </w:rPr>
              <w:t xml:space="preserve">Ley de </w:t>
            </w:r>
            <w:r w:rsidR="00A42E1A" w:rsidRPr="003B701A">
              <w:rPr>
                <w:rFonts w:ascii="Calibri" w:eastAsia="Times New Roman" w:hAnsi="Calibri" w:cs="Times New Roman"/>
                <w:color w:val="000000"/>
                <w:sz w:val="18"/>
                <w:lang w:val="es-ES_tradnl"/>
              </w:rPr>
              <w:t>garantías</w:t>
            </w:r>
            <w:r w:rsidRPr="003B701A">
              <w:rPr>
                <w:rFonts w:ascii="Calibri" w:eastAsia="Times New Roman" w:hAnsi="Calibri" w:cs="Times New Roman"/>
                <w:color w:val="000000"/>
                <w:sz w:val="18"/>
                <w:lang w:val="es-ES_tradnl"/>
              </w:rPr>
              <w:t xml:space="preserve"> mobiliarias</w:t>
            </w:r>
          </w:p>
        </w:tc>
        <w:tc>
          <w:tcPr>
            <w:tcW w:w="1898" w:type="dxa"/>
            <w:tcBorders>
              <w:top w:val="nil"/>
              <w:left w:val="nil"/>
              <w:bottom w:val="nil"/>
              <w:right w:val="nil"/>
            </w:tcBorders>
            <w:shd w:val="clear" w:color="000000" w:fill="FFFFFF"/>
            <w:noWrap/>
            <w:vAlign w:val="bottom"/>
            <w:hideMark/>
          </w:tcPr>
          <w:p w14:paraId="1FEC397F" w14:textId="77777777" w:rsidR="003B701A" w:rsidRPr="003B701A" w:rsidRDefault="003B701A" w:rsidP="003B701A">
            <w:pPr>
              <w:spacing w:after="0" w:line="240" w:lineRule="auto"/>
              <w:rPr>
                <w:rFonts w:ascii="Calibri" w:eastAsia="Times New Roman" w:hAnsi="Calibri" w:cs="Times New Roman"/>
                <w:color w:val="000000"/>
                <w:sz w:val="18"/>
                <w:lang w:val="es-ES_tradnl"/>
              </w:rPr>
            </w:pPr>
            <w:r w:rsidRPr="003B701A">
              <w:rPr>
                <w:rFonts w:ascii="Calibri" w:eastAsia="Times New Roman" w:hAnsi="Calibri" w:cs="Times New Roman"/>
                <w:color w:val="000000"/>
                <w:sz w:val="18"/>
                <w:lang w:val="es-ES_tradnl"/>
              </w:rPr>
              <w:t xml:space="preserve">                       120,000 </w:t>
            </w:r>
          </w:p>
        </w:tc>
      </w:tr>
      <w:tr w:rsidR="003B701A" w:rsidRPr="003B701A" w14:paraId="5AF67642" w14:textId="77777777" w:rsidTr="003B701A">
        <w:trPr>
          <w:trHeight w:val="300"/>
          <w:jc w:val="center"/>
        </w:trPr>
        <w:tc>
          <w:tcPr>
            <w:tcW w:w="3442" w:type="dxa"/>
            <w:tcBorders>
              <w:top w:val="nil"/>
              <w:left w:val="nil"/>
              <w:bottom w:val="nil"/>
              <w:right w:val="nil"/>
            </w:tcBorders>
            <w:shd w:val="clear" w:color="000000" w:fill="FFFFFF"/>
            <w:vAlign w:val="bottom"/>
            <w:hideMark/>
          </w:tcPr>
          <w:p w14:paraId="28F548F8" w14:textId="77777777" w:rsidR="003B701A" w:rsidRPr="003B701A" w:rsidRDefault="003B701A" w:rsidP="003B701A">
            <w:pPr>
              <w:spacing w:after="0" w:line="240" w:lineRule="auto"/>
              <w:rPr>
                <w:rFonts w:ascii="Calibri" w:eastAsia="Times New Roman" w:hAnsi="Calibri" w:cs="Times New Roman"/>
                <w:color w:val="000000"/>
                <w:sz w:val="18"/>
                <w:lang w:val="es-ES_tradnl"/>
              </w:rPr>
            </w:pPr>
            <w:r w:rsidRPr="003B701A">
              <w:rPr>
                <w:rFonts w:ascii="Calibri" w:eastAsia="Times New Roman" w:hAnsi="Calibri" w:cs="Times New Roman"/>
                <w:color w:val="000000"/>
                <w:sz w:val="18"/>
                <w:lang w:val="es-ES_tradnl"/>
              </w:rPr>
              <w:t>Ley de régimen de insolvencia</w:t>
            </w:r>
          </w:p>
        </w:tc>
        <w:tc>
          <w:tcPr>
            <w:tcW w:w="1898" w:type="dxa"/>
            <w:tcBorders>
              <w:top w:val="nil"/>
              <w:left w:val="nil"/>
              <w:bottom w:val="nil"/>
              <w:right w:val="nil"/>
            </w:tcBorders>
            <w:shd w:val="clear" w:color="000000" w:fill="FFFFFF"/>
            <w:noWrap/>
            <w:vAlign w:val="bottom"/>
            <w:hideMark/>
          </w:tcPr>
          <w:p w14:paraId="64FD0D5C" w14:textId="77777777" w:rsidR="003B701A" w:rsidRPr="003B701A" w:rsidRDefault="003B701A" w:rsidP="003B701A">
            <w:pPr>
              <w:spacing w:after="0" w:line="240" w:lineRule="auto"/>
              <w:rPr>
                <w:rFonts w:ascii="Calibri" w:eastAsia="Times New Roman" w:hAnsi="Calibri" w:cs="Times New Roman"/>
                <w:color w:val="000000"/>
                <w:sz w:val="18"/>
                <w:lang w:val="es-ES_tradnl"/>
              </w:rPr>
            </w:pPr>
            <w:r w:rsidRPr="003B701A">
              <w:rPr>
                <w:rFonts w:ascii="Calibri" w:eastAsia="Times New Roman" w:hAnsi="Calibri" w:cs="Times New Roman"/>
                <w:color w:val="000000"/>
                <w:sz w:val="18"/>
                <w:lang w:val="es-ES_tradnl"/>
              </w:rPr>
              <w:t xml:space="preserve">                         12,000 </w:t>
            </w:r>
          </w:p>
        </w:tc>
      </w:tr>
      <w:tr w:rsidR="003B701A" w:rsidRPr="003B701A" w14:paraId="3CBB1745" w14:textId="77777777" w:rsidTr="003B701A">
        <w:trPr>
          <w:trHeight w:val="300"/>
          <w:jc w:val="center"/>
        </w:trPr>
        <w:tc>
          <w:tcPr>
            <w:tcW w:w="3442" w:type="dxa"/>
            <w:tcBorders>
              <w:top w:val="nil"/>
              <w:left w:val="nil"/>
              <w:bottom w:val="nil"/>
              <w:right w:val="nil"/>
            </w:tcBorders>
            <w:shd w:val="clear" w:color="000000" w:fill="FFFFFF"/>
            <w:vAlign w:val="bottom"/>
            <w:hideMark/>
          </w:tcPr>
          <w:p w14:paraId="3C23BB23" w14:textId="77777777" w:rsidR="003B701A" w:rsidRPr="003B701A" w:rsidRDefault="003B701A" w:rsidP="003B701A">
            <w:pPr>
              <w:spacing w:after="0" w:line="240" w:lineRule="auto"/>
              <w:rPr>
                <w:rFonts w:ascii="Calibri" w:eastAsia="Times New Roman" w:hAnsi="Calibri" w:cs="Times New Roman"/>
                <w:color w:val="000000"/>
                <w:sz w:val="18"/>
                <w:lang w:val="es-ES_tradnl"/>
              </w:rPr>
            </w:pPr>
            <w:r w:rsidRPr="003B701A">
              <w:rPr>
                <w:rFonts w:ascii="Calibri" w:eastAsia="Times New Roman" w:hAnsi="Calibri" w:cs="Times New Roman"/>
                <w:color w:val="000000"/>
                <w:sz w:val="18"/>
                <w:lang w:val="es-ES_tradnl"/>
              </w:rPr>
              <w:t>Plan de reestructuración de AFD</w:t>
            </w:r>
          </w:p>
        </w:tc>
        <w:tc>
          <w:tcPr>
            <w:tcW w:w="1898" w:type="dxa"/>
            <w:tcBorders>
              <w:top w:val="nil"/>
              <w:left w:val="nil"/>
              <w:bottom w:val="nil"/>
              <w:right w:val="nil"/>
            </w:tcBorders>
            <w:shd w:val="clear" w:color="000000" w:fill="FFFFFF"/>
            <w:noWrap/>
            <w:vAlign w:val="bottom"/>
            <w:hideMark/>
          </w:tcPr>
          <w:p w14:paraId="41CEFC8A" w14:textId="77777777" w:rsidR="003B701A" w:rsidRPr="003B701A" w:rsidRDefault="003B701A" w:rsidP="003B701A">
            <w:pPr>
              <w:spacing w:after="0" w:line="240" w:lineRule="auto"/>
              <w:rPr>
                <w:rFonts w:ascii="Calibri" w:eastAsia="Times New Roman" w:hAnsi="Calibri" w:cs="Times New Roman"/>
                <w:color w:val="000000"/>
                <w:sz w:val="18"/>
                <w:lang w:val="es-ES_tradnl"/>
              </w:rPr>
            </w:pPr>
            <w:r w:rsidRPr="003B701A">
              <w:rPr>
                <w:rFonts w:ascii="Calibri" w:eastAsia="Times New Roman" w:hAnsi="Calibri" w:cs="Times New Roman"/>
                <w:color w:val="000000"/>
                <w:sz w:val="18"/>
                <w:lang w:val="es-ES_tradnl"/>
              </w:rPr>
              <w:t xml:space="preserve">                       200,000 </w:t>
            </w:r>
          </w:p>
        </w:tc>
      </w:tr>
      <w:tr w:rsidR="003B701A" w:rsidRPr="003B701A" w14:paraId="60C7F075" w14:textId="77777777" w:rsidTr="003B701A">
        <w:trPr>
          <w:trHeight w:val="300"/>
          <w:jc w:val="center"/>
        </w:trPr>
        <w:tc>
          <w:tcPr>
            <w:tcW w:w="3442" w:type="dxa"/>
            <w:tcBorders>
              <w:top w:val="nil"/>
              <w:left w:val="nil"/>
              <w:bottom w:val="single" w:sz="4" w:space="0" w:color="auto"/>
              <w:right w:val="nil"/>
            </w:tcBorders>
            <w:shd w:val="clear" w:color="000000" w:fill="FFFFFF"/>
            <w:vAlign w:val="bottom"/>
            <w:hideMark/>
          </w:tcPr>
          <w:p w14:paraId="70788370" w14:textId="77777777" w:rsidR="003B701A" w:rsidRPr="003B701A" w:rsidRDefault="003B701A" w:rsidP="003B701A">
            <w:pPr>
              <w:spacing w:after="0" w:line="240" w:lineRule="auto"/>
              <w:rPr>
                <w:rFonts w:ascii="Calibri" w:eastAsia="Times New Roman" w:hAnsi="Calibri" w:cs="Times New Roman"/>
                <w:color w:val="000000"/>
                <w:sz w:val="18"/>
                <w:lang w:val="es-ES_tradnl"/>
              </w:rPr>
            </w:pPr>
            <w:r w:rsidRPr="003B701A">
              <w:rPr>
                <w:rFonts w:ascii="Calibri" w:eastAsia="Times New Roman" w:hAnsi="Calibri" w:cs="Times New Roman"/>
                <w:color w:val="000000"/>
                <w:sz w:val="18"/>
                <w:lang w:val="es-ES_tradnl"/>
              </w:rPr>
              <w:t>Fondo para PYMES</w:t>
            </w:r>
          </w:p>
        </w:tc>
        <w:tc>
          <w:tcPr>
            <w:tcW w:w="1898" w:type="dxa"/>
            <w:tcBorders>
              <w:top w:val="nil"/>
              <w:left w:val="nil"/>
              <w:bottom w:val="single" w:sz="4" w:space="0" w:color="auto"/>
              <w:right w:val="nil"/>
            </w:tcBorders>
            <w:shd w:val="clear" w:color="000000" w:fill="FFFFFF"/>
            <w:noWrap/>
            <w:vAlign w:val="bottom"/>
            <w:hideMark/>
          </w:tcPr>
          <w:p w14:paraId="5A574391" w14:textId="77777777" w:rsidR="003B701A" w:rsidRPr="003B701A" w:rsidRDefault="003B701A" w:rsidP="003B701A">
            <w:pPr>
              <w:spacing w:after="0" w:line="240" w:lineRule="auto"/>
              <w:rPr>
                <w:rFonts w:ascii="Calibri" w:eastAsia="Times New Roman" w:hAnsi="Calibri" w:cs="Times New Roman"/>
                <w:color w:val="000000"/>
                <w:sz w:val="18"/>
                <w:lang w:val="es-ES_tradnl"/>
              </w:rPr>
            </w:pPr>
            <w:r w:rsidRPr="003B701A">
              <w:rPr>
                <w:rFonts w:ascii="Calibri" w:eastAsia="Times New Roman" w:hAnsi="Calibri" w:cs="Times New Roman"/>
                <w:color w:val="000000"/>
                <w:sz w:val="18"/>
                <w:lang w:val="es-ES_tradnl"/>
              </w:rPr>
              <w:t xml:space="preserve">                         50,000 </w:t>
            </w:r>
          </w:p>
        </w:tc>
      </w:tr>
      <w:tr w:rsidR="003B701A" w:rsidRPr="003B701A" w14:paraId="118CA2A4" w14:textId="77777777" w:rsidTr="003B701A">
        <w:trPr>
          <w:trHeight w:val="300"/>
          <w:jc w:val="center"/>
        </w:trPr>
        <w:tc>
          <w:tcPr>
            <w:tcW w:w="3442" w:type="dxa"/>
            <w:tcBorders>
              <w:top w:val="nil"/>
              <w:left w:val="nil"/>
              <w:bottom w:val="nil"/>
              <w:right w:val="nil"/>
            </w:tcBorders>
            <w:shd w:val="clear" w:color="000000" w:fill="FFFFFF"/>
            <w:vAlign w:val="bottom"/>
            <w:hideMark/>
          </w:tcPr>
          <w:p w14:paraId="7160B016" w14:textId="77777777" w:rsidR="003B701A" w:rsidRPr="003B701A" w:rsidRDefault="003B701A" w:rsidP="003B701A">
            <w:pPr>
              <w:spacing w:after="0" w:line="240" w:lineRule="auto"/>
              <w:rPr>
                <w:rFonts w:ascii="Calibri" w:eastAsia="Times New Roman" w:hAnsi="Calibri" w:cs="Times New Roman"/>
                <w:b/>
                <w:bCs/>
                <w:color w:val="000000"/>
                <w:sz w:val="18"/>
                <w:lang w:val="es-ES_tradnl"/>
              </w:rPr>
            </w:pPr>
            <w:r w:rsidRPr="003B701A">
              <w:rPr>
                <w:rFonts w:ascii="Calibri" w:eastAsia="Times New Roman" w:hAnsi="Calibri" w:cs="Times New Roman"/>
                <w:b/>
                <w:bCs/>
                <w:color w:val="000000"/>
                <w:sz w:val="18"/>
                <w:lang w:val="es-ES_tradnl"/>
              </w:rPr>
              <w:t>Total</w:t>
            </w:r>
          </w:p>
        </w:tc>
        <w:tc>
          <w:tcPr>
            <w:tcW w:w="1898" w:type="dxa"/>
            <w:tcBorders>
              <w:top w:val="nil"/>
              <w:left w:val="nil"/>
              <w:bottom w:val="nil"/>
              <w:right w:val="nil"/>
            </w:tcBorders>
            <w:shd w:val="clear" w:color="000000" w:fill="FFFFFF"/>
            <w:noWrap/>
            <w:vAlign w:val="bottom"/>
            <w:hideMark/>
          </w:tcPr>
          <w:p w14:paraId="2550384D" w14:textId="77777777" w:rsidR="003B701A" w:rsidRPr="003B701A" w:rsidRDefault="003B701A" w:rsidP="003B701A">
            <w:pPr>
              <w:spacing w:after="0" w:line="240" w:lineRule="auto"/>
              <w:rPr>
                <w:rFonts w:ascii="Calibri" w:eastAsia="Times New Roman" w:hAnsi="Calibri" w:cs="Times New Roman"/>
                <w:b/>
                <w:bCs/>
                <w:color w:val="000000"/>
                <w:sz w:val="18"/>
                <w:lang w:val="es-ES_tradnl"/>
              </w:rPr>
            </w:pPr>
            <w:r w:rsidRPr="003B701A">
              <w:rPr>
                <w:rFonts w:ascii="Calibri" w:eastAsia="Times New Roman" w:hAnsi="Calibri" w:cs="Times New Roman"/>
                <w:b/>
                <w:bCs/>
                <w:color w:val="000000"/>
                <w:sz w:val="18"/>
                <w:lang w:val="es-ES_tradnl"/>
              </w:rPr>
              <w:t xml:space="preserve">                   1,045,000 </w:t>
            </w:r>
          </w:p>
        </w:tc>
      </w:tr>
      <w:tr w:rsidR="003B701A" w:rsidRPr="003B701A" w14:paraId="58EE2288" w14:textId="77777777" w:rsidTr="003B701A">
        <w:trPr>
          <w:trHeight w:val="405"/>
          <w:jc w:val="center"/>
        </w:trPr>
        <w:tc>
          <w:tcPr>
            <w:tcW w:w="3442" w:type="dxa"/>
            <w:tcBorders>
              <w:top w:val="nil"/>
              <w:left w:val="nil"/>
              <w:bottom w:val="nil"/>
              <w:right w:val="nil"/>
            </w:tcBorders>
            <w:shd w:val="clear" w:color="000000" w:fill="FFFFFF"/>
            <w:vAlign w:val="bottom"/>
            <w:hideMark/>
          </w:tcPr>
          <w:p w14:paraId="5B4817B0" w14:textId="77777777" w:rsidR="003B701A" w:rsidRPr="003B701A" w:rsidRDefault="003B701A" w:rsidP="003B701A">
            <w:pPr>
              <w:spacing w:after="0" w:line="240" w:lineRule="auto"/>
              <w:rPr>
                <w:rFonts w:ascii="Calibri" w:eastAsia="Times New Roman" w:hAnsi="Calibri" w:cs="Times New Roman"/>
                <w:color w:val="000000"/>
                <w:sz w:val="18"/>
                <w:szCs w:val="20"/>
                <w:lang w:val="es-ES_tradnl"/>
              </w:rPr>
            </w:pPr>
            <w:r w:rsidRPr="003B701A">
              <w:rPr>
                <w:rFonts w:ascii="Calibri" w:eastAsia="Times New Roman" w:hAnsi="Calibri" w:cs="Times New Roman"/>
                <w:color w:val="000000"/>
                <w:sz w:val="18"/>
                <w:szCs w:val="20"/>
                <w:lang w:val="es-ES_tradnl"/>
              </w:rPr>
              <w:t>Fuente: Ministerio de Hacienda</w:t>
            </w:r>
          </w:p>
        </w:tc>
        <w:tc>
          <w:tcPr>
            <w:tcW w:w="1898" w:type="dxa"/>
            <w:tcBorders>
              <w:top w:val="nil"/>
              <w:left w:val="nil"/>
              <w:bottom w:val="nil"/>
              <w:right w:val="nil"/>
            </w:tcBorders>
            <w:shd w:val="clear" w:color="000000" w:fill="FFFFFF"/>
            <w:noWrap/>
            <w:vAlign w:val="bottom"/>
            <w:hideMark/>
          </w:tcPr>
          <w:p w14:paraId="77C197EC" w14:textId="77777777" w:rsidR="003B701A" w:rsidRPr="003B701A" w:rsidRDefault="003B701A" w:rsidP="003B701A">
            <w:pPr>
              <w:spacing w:after="0" w:line="240" w:lineRule="auto"/>
              <w:rPr>
                <w:rFonts w:ascii="Calibri" w:eastAsia="Times New Roman" w:hAnsi="Calibri" w:cs="Times New Roman"/>
                <w:color w:val="000000"/>
                <w:sz w:val="18"/>
                <w:lang w:val="es-ES_tradnl"/>
              </w:rPr>
            </w:pPr>
            <w:r w:rsidRPr="003B701A">
              <w:rPr>
                <w:rFonts w:ascii="Calibri" w:eastAsia="Times New Roman" w:hAnsi="Calibri" w:cs="Times New Roman"/>
                <w:color w:val="000000"/>
                <w:sz w:val="18"/>
                <w:lang w:val="es-ES_tradnl"/>
              </w:rPr>
              <w:t> </w:t>
            </w:r>
          </w:p>
        </w:tc>
      </w:tr>
    </w:tbl>
    <w:p w14:paraId="6A0B12AA" w14:textId="77777777" w:rsidR="003B701A" w:rsidRPr="003B701A" w:rsidRDefault="003B701A" w:rsidP="003B701A">
      <w:pPr>
        <w:pStyle w:val="Paragraph"/>
        <w:numPr>
          <w:ilvl w:val="0"/>
          <w:numId w:val="0"/>
        </w:numPr>
        <w:ind w:left="720"/>
        <w:rPr>
          <w:rFonts w:ascii="Arial" w:hAnsi="Arial" w:cs="Arial"/>
          <w:sz w:val="22"/>
          <w:lang w:val="es-ES_tradnl"/>
        </w:rPr>
      </w:pPr>
    </w:p>
    <w:p w14:paraId="61387E4A" w14:textId="7C9324C5" w:rsidR="002F3B8B" w:rsidRPr="00E0077A" w:rsidRDefault="00FA4263" w:rsidP="008C30DE">
      <w:pPr>
        <w:pStyle w:val="Paragraph"/>
        <w:tabs>
          <w:tab w:val="clear" w:pos="2448"/>
          <w:tab w:val="num" w:pos="720"/>
        </w:tabs>
        <w:ind w:left="720" w:hanging="720"/>
        <w:rPr>
          <w:rFonts w:ascii="Arial" w:hAnsi="Arial" w:cs="Arial"/>
          <w:sz w:val="22"/>
          <w:lang w:val="es-ES_tradnl"/>
        </w:rPr>
      </w:pPr>
      <w:r w:rsidRPr="00E0077A">
        <w:rPr>
          <w:rFonts w:ascii="Arial" w:hAnsi="Arial" w:cs="Arial"/>
          <w:b/>
          <w:sz w:val="22"/>
          <w:lang w:val="es-ES_tradnl"/>
        </w:rPr>
        <w:t xml:space="preserve">Flujos diferenciales. </w:t>
      </w:r>
      <w:r w:rsidR="002F3B8B" w:rsidRPr="00E0077A">
        <w:rPr>
          <w:rFonts w:ascii="Arial" w:hAnsi="Arial" w:cs="Arial"/>
          <w:sz w:val="22"/>
          <w:lang w:val="es-ES_tradnl"/>
        </w:rPr>
        <w:t xml:space="preserve">A partir entonces de </w:t>
      </w:r>
      <w:r w:rsidR="002F52AD" w:rsidRPr="00E0077A">
        <w:rPr>
          <w:rFonts w:ascii="Arial" w:hAnsi="Arial" w:cs="Arial"/>
          <w:sz w:val="22"/>
          <w:lang w:val="es-ES_tradnl"/>
        </w:rPr>
        <w:t xml:space="preserve">establecer los flujos de beneficios con y sin políticas, al igual que los flujos de costos con y sin implementación y desarrollo, se procede a calcular el diferencial en términos reales, sobre un período de </w:t>
      </w:r>
      <w:r w:rsidR="00291D1A" w:rsidRPr="00E0077A">
        <w:rPr>
          <w:rFonts w:ascii="Arial" w:hAnsi="Arial" w:cs="Arial"/>
          <w:sz w:val="22"/>
          <w:lang w:val="es-ES_tradnl"/>
        </w:rPr>
        <w:t>10</w:t>
      </w:r>
      <w:r w:rsidR="002F52AD" w:rsidRPr="00E0077A">
        <w:rPr>
          <w:rFonts w:ascii="Arial" w:hAnsi="Arial" w:cs="Arial"/>
          <w:sz w:val="22"/>
          <w:lang w:val="es-ES_tradnl"/>
        </w:rPr>
        <w:t xml:space="preserve"> años, descontando los flujos </w:t>
      </w:r>
      <w:r w:rsidR="00A50302" w:rsidRPr="00E0077A">
        <w:rPr>
          <w:rFonts w:ascii="Arial" w:hAnsi="Arial" w:cs="Arial"/>
          <w:sz w:val="22"/>
          <w:lang w:val="es-ES_tradnl"/>
        </w:rPr>
        <w:t xml:space="preserve">al 12%. Los resultados de la </w:t>
      </w:r>
      <w:r w:rsidR="00A50302" w:rsidRPr="00E0077A">
        <w:rPr>
          <w:rFonts w:ascii="Arial" w:eastAsiaTheme="minorEastAsia" w:hAnsi="Arial" w:cs="Arial"/>
          <w:sz w:val="22"/>
          <w:lang w:val="es-ES_tradnl"/>
        </w:rPr>
        <w:t>estimación</w:t>
      </w:r>
      <w:r w:rsidR="00A50302" w:rsidRPr="00E0077A">
        <w:rPr>
          <w:rFonts w:ascii="Arial" w:hAnsi="Arial" w:cs="Arial"/>
          <w:sz w:val="22"/>
          <w:lang w:val="es-ES_tradnl"/>
        </w:rPr>
        <w:t xml:space="preserve"> cen</w:t>
      </w:r>
      <w:r w:rsidR="00E73805" w:rsidRPr="00E0077A">
        <w:rPr>
          <w:rFonts w:ascii="Arial" w:hAnsi="Arial" w:cs="Arial"/>
          <w:sz w:val="22"/>
          <w:lang w:val="es-ES_tradnl"/>
        </w:rPr>
        <w:t xml:space="preserve">tral se presentan en la tabla </w:t>
      </w:r>
      <w:r w:rsidR="001B53D2">
        <w:rPr>
          <w:rFonts w:ascii="Arial" w:hAnsi="Arial" w:cs="Arial"/>
          <w:sz w:val="22"/>
          <w:lang w:val="es-ES_tradnl"/>
        </w:rPr>
        <w:t>3.B</w:t>
      </w:r>
      <w:r w:rsidR="00A50302" w:rsidRPr="00E0077A">
        <w:rPr>
          <w:rFonts w:ascii="Arial" w:hAnsi="Arial" w:cs="Arial"/>
          <w:sz w:val="22"/>
          <w:lang w:val="es-ES_tradnl"/>
        </w:rPr>
        <w:t>.</w:t>
      </w:r>
      <w:r w:rsidR="00291D1A" w:rsidRPr="00E0077A">
        <w:rPr>
          <w:rFonts w:ascii="Arial" w:hAnsi="Arial" w:cs="Arial"/>
          <w:sz w:val="22"/>
          <w:lang w:val="es-ES_tradnl"/>
        </w:rPr>
        <w:t xml:space="preserve"> En este escenario central se considera que las políticas llevaran a una mejora de los parámetros que capturan costos de participación, eficiencia del sistema de garantías, y eficiencia de intermediación de </w:t>
      </w:r>
      <w:r w:rsidR="001B53D2" w:rsidRPr="001B53D2">
        <w:rPr>
          <w:rFonts w:ascii="Arial" w:hAnsi="Arial" w:cs="Arial"/>
          <w:sz w:val="22"/>
          <w:lang w:val="es-ES_tradnl"/>
        </w:rPr>
        <w:t>11</w:t>
      </w:r>
      <w:r w:rsidR="00291D1A" w:rsidRPr="001B53D2">
        <w:rPr>
          <w:rFonts w:ascii="Arial" w:hAnsi="Arial" w:cs="Arial"/>
          <w:sz w:val="22"/>
          <w:lang w:val="es-ES_tradnl"/>
        </w:rPr>
        <w:t xml:space="preserve">%, </w:t>
      </w:r>
      <w:r w:rsidR="001B53D2" w:rsidRPr="001B53D2">
        <w:rPr>
          <w:rFonts w:ascii="Arial" w:hAnsi="Arial" w:cs="Arial"/>
          <w:sz w:val="22"/>
          <w:lang w:val="es-ES_tradnl"/>
        </w:rPr>
        <w:t>14</w:t>
      </w:r>
      <w:r w:rsidR="00291D1A" w:rsidRPr="001B53D2">
        <w:rPr>
          <w:rFonts w:ascii="Arial" w:hAnsi="Arial" w:cs="Arial"/>
          <w:sz w:val="22"/>
          <w:lang w:val="es-ES_tradnl"/>
        </w:rPr>
        <w:t xml:space="preserve">%, y </w:t>
      </w:r>
      <w:r w:rsidR="00612232" w:rsidRPr="001B53D2">
        <w:rPr>
          <w:rFonts w:ascii="Arial" w:hAnsi="Arial" w:cs="Arial"/>
          <w:sz w:val="22"/>
          <w:lang w:val="es-ES_tradnl"/>
        </w:rPr>
        <w:t>5</w:t>
      </w:r>
      <w:r w:rsidR="00291D1A" w:rsidRPr="001B53D2">
        <w:rPr>
          <w:rFonts w:ascii="Arial" w:hAnsi="Arial" w:cs="Arial"/>
          <w:sz w:val="22"/>
          <w:lang w:val="es-ES_tradnl"/>
        </w:rPr>
        <w:t>% respectivamente</w:t>
      </w:r>
      <w:r w:rsidR="00E73805" w:rsidRPr="00E0077A">
        <w:rPr>
          <w:rFonts w:ascii="Arial" w:hAnsi="Arial" w:cs="Arial"/>
          <w:sz w:val="22"/>
          <w:lang w:val="es-ES_tradnl"/>
        </w:rPr>
        <w:t>.</w:t>
      </w:r>
      <w:r w:rsidR="00291D1A" w:rsidRPr="00E0077A">
        <w:rPr>
          <w:rFonts w:ascii="Arial" w:hAnsi="Arial" w:cs="Arial"/>
          <w:sz w:val="22"/>
          <w:lang w:val="es-ES_tradnl"/>
        </w:rPr>
        <w:t xml:space="preserve"> </w:t>
      </w:r>
    </w:p>
    <w:p w14:paraId="61387E4B" w14:textId="77777777" w:rsidR="00FA4263" w:rsidRPr="00D276AC" w:rsidRDefault="00FA4263">
      <w:pPr>
        <w:rPr>
          <w:rFonts w:ascii="Arial" w:hAnsi="Arial" w:cs="Arial"/>
          <w:highlight w:val="yellow"/>
          <w:lang w:val="es-ES_tradnl"/>
        </w:rPr>
      </w:pPr>
      <w:r w:rsidRPr="00D276AC">
        <w:rPr>
          <w:rFonts w:ascii="Arial" w:hAnsi="Arial" w:cs="Arial"/>
          <w:highlight w:val="yellow"/>
          <w:lang w:val="es-ES_tradnl"/>
        </w:rPr>
        <w:br w:type="page"/>
      </w:r>
    </w:p>
    <w:p w14:paraId="61387E4C" w14:textId="77777777" w:rsidR="00291D1A" w:rsidRPr="00483264" w:rsidRDefault="00291D1A" w:rsidP="00C6217C">
      <w:pPr>
        <w:pStyle w:val="Paragraph"/>
        <w:numPr>
          <w:ilvl w:val="0"/>
          <w:numId w:val="0"/>
        </w:numPr>
        <w:spacing w:before="0" w:after="0"/>
        <w:ind w:left="720"/>
        <w:jc w:val="center"/>
        <w:rPr>
          <w:rFonts w:ascii="Arial" w:hAnsi="Arial" w:cs="Arial"/>
          <w:sz w:val="22"/>
          <w:lang w:val="es-ES_tradnl"/>
        </w:rPr>
      </w:pPr>
      <w:r w:rsidRPr="001B53D2">
        <w:rPr>
          <w:rFonts w:ascii="Arial" w:hAnsi="Arial" w:cs="Arial"/>
          <w:sz w:val="22"/>
          <w:lang w:val="es-ES_tradnl"/>
        </w:rPr>
        <w:lastRenderedPageBreak/>
        <w:t>Tabla 3.B</w:t>
      </w:r>
    </w:p>
    <w:p w14:paraId="61387E4D" w14:textId="77777777" w:rsidR="00291D1A" w:rsidRPr="00483264" w:rsidRDefault="00291D1A" w:rsidP="00C6217C">
      <w:pPr>
        <w:pStyle w:val="Paragraph"/>
        <w:numPr>
          <w:ilvl w:val="0"/>
          <w:numId w:val="0"/>
        </w:numPr>
        <w:spacing w:before="0" w:after="0"/>
        <w:ind w:left="720"/>
        <w:jc w:val="center"/>
        <w:rPr>
          <w:rFonts w:ascii="Arial" w:hAnsi="Arial" w:cs="Arial"/>
          <w:sz w:val="22"/>
          <w:lang w:val="es-ES_tradnl"/>
        </w:rPr>
      </w:pPr>
      <w:r w:rsidRPr="00483264">
        <w:rPr>
          <w:rFonts w:ascii="Arial" w:hAnsi="Arial" w:cs="Arial"/>
          <w:sz w:val="22"/>
          <w:lang w:val="es-ES_tradnl"/>
        </w:rPr>
        <w:t>Valores escenario central</w:t>
      </w:r>
    </w:p>
    <w:p w14:paraId="61387E4E" w14:textId="389DBC22" w:rsidR="00FA4263" w:rsidRPr="00483264" w:rsidRDefault="001E3F18" w:rsidP="001E3F18">
      <w:pPr>
        <w:pStyle w:val="Paragraph"/>
        <w:numPr>
          <w:ilvl w:val="0"/>
          <w:numId w:val="0"/>
        </w:numPr>
        <w:ind w:left="-90"/>
        <w:jc w:val="center"/>
        <w:rPr>
          <w:rFonts w:ascii="Arial" w:hAnsi="Arial" w:cs="Arial"/>
          <w:sz w:val="22"/>
          <w:lang w:val="es-ES_tradnl"/>
        </w:rPr>
      </w:pPr>
      <w:r w:rsidRPr="001E3F18">
        <w:rPr>
          <w:noProof/>
        </w:rPr>
        <w:drawing>
          <wp:inline distT="0" distB="0" distL="0" distR="0" wp14:anchorId="2F4D9121" wp14:editId="123B1536">
            <wp:extent cx="6354019" cy="972921"/>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68780" cy="975181"/>
                    </a:xfrm>
                    <a:prstGeom prst="rect">
                      <a:avLst/>
                    </a:prstGeom>
                    <a:noFill/>
                    <a:ln>
                      <a:noFill/>
                    </a:ln>
                  </pic:spPr>
                </pic:pic>
              </a:graphicData>
            </a:graphic>
          </wp:inline>
        </w:drawing>
      </w:r>
      <w:r w:rsidR="00612232" w:rsidRPr="00483264">
        <w:rPr>
          <w:rFonts w:ascii="Arial" w:hAnsi="Arial" w:cs="Arial"/>
          <w:sz w:val="22"/>
          <w:lang w:val="es-ES_tradnl"/>
        </w:rPr>
        <w:t xml:space="preserve"> </w:t>
      </w:r>
    </w:p>
    <w:p w14:paraId="61387E4F" w14:textId="2F0E6D5C" w:rsidR="00291D1A" w:rsidRPr="00E0077A" w:rsidRDefault="00632A74" w:rsidP="008C30DE">
      <w:pPr>
        <w:pStyle w:val="Paragraph"/>
        <w:tabs>
          <w:tab w:val="clear" w:pos="2448"/>
          <w:tab w:val="num" w:pos="720"/>
        </w:tabs>
        <w:ind w:left="720" w:hanging="720"/>
        <w:rPr>
          <w:rFonts w:ascii="Arial" w:hAnsi="Arial" w:cs="Arial"/>
          <w:sz w:val="22"/>
          <w:lang w:val="es-ES_tradnl"/>
        </w:rPr>
      </w:pPr>
      <w:r w:rsidRPr="00E0077A">
        <w:rPr>
          <w:rFonts w:ascii="Arial" w:hAnsi="Arial" w:cs="Arial"/>
          <w:b/>
          <w:sz w:val="22"/>
          <w:lang w:val="es-ES_tradnl"/>
        </w:rPr>
        <w:t xml:space="preserve">Contribución por componente. </w:t>
      </w:r>
      <w:r w:rsidR="00E96150" w:rsidRPr="00E0077A">
        <w:rPr>
          <w:rFonts w:ascii="Arial" w:hAnsi="Arial" w:cs="Arial"/>
          <w:sz w:val="22"/>
          <w:lang w:val="es-ES_tradnl"/>
        </w:rPr>
        <w:t xml:space="preserve">A los efectos de proveer mayor información sobre la dinámica que lleva a estos resultados agregados, las </w:t>
      </w:r>
      <w:r w:rsidR="00E96150" w:rsidRPr="001B53D2">
        <w:rPr>
          <w:rFonts w:ascii="Arial" w:hAnsi="Arial" w:cs="Arial"/>
          <w:sz w:val="22"/>
          <w:lang w:val="es-ES_tradnl"/>
        </w:rPr>
        <w:t>tablas 3.C, 3.D, y 3.E descomponen la ganancia en VPN en las contribuciones de cada</w:t>
      </w:r>
      <w:r w:rsidR="00E96150" w:rsidRPr="00E0077A">
        <w:rPr>
          <w:rFonts w:ascii="Arial" w:hAnsi="Arial" w:cs="Arial"/>
          <w:sz w:val="22"/>
          <w:lang w:val="es-ES_tradnl"/>
        </w:rPr>
        <w:t xml:space="preserve"> componente. Para ello, se supone sucesivamente que solo una de las dimensiones de las políticas apoyadas muestra el cambio del escenario central manteni</w:t>
      </w:r>
      <w:r w:rsidR="00C6217C" w:rsidRPr="00E0077A">
        <w:rPr>
          <w:rFonts w:ascii="Arial" w:hAnsi="Arial" w:cs="Arial"/>
          <w:sz w:val="22"/>
          <w:lang w:val="es-ES_tradnl"/>
        </w:rPr>
        <w:t>en</w:t>
      </w:r>
      <w:r w:rsidR="00E96150" w:rsidRPr="00E0077A">
        <w:rPr>
          <w:rFonts w:ascii="Arial" w:hAnsi="Arial" w:cs="Arial"/>
          <w:sz w:val="22"/>
          <w:lang w:val="es-ES_tradnl"/>
        </w:rPr>
        <w:t xml:space="preserve">do las restantes en los niveles pre-política. </w:t>
      </w:r>
      <w:r w:rsidR="008F6D80" w:rsidRPr="00E0077A">
        <w:rPr>
          <w:rFonts w:ascii="Arial" w:hAnsi="Arial" w:cs="Arial"/>
          <w:sz w:val="22"/>
          <w:lang w:val="es-ES_tradnl"/>
        </w:rPr>
        <w:t>Como se observa, la mayor contribución al resultado tot</w:t>
      </w:r>
      <w:r w:rsidR="001B53D2">
        <w:rPr>
          <w:rFonts w:ascii="Arial" w:hAnsi="Arial" w:cs="Arial"/>
          <w:sz w:val="22"/>
          <w:lang w:val="es-ES_tradnl"/>
        </w:rPr>
        <w:t>al lo realizan las ganancias derivadas de las mejoras en las condiciones de garantías, seguido de las mejoras en participación y finalmente las mejoras en eficiencia.</w:t>
      </w:r>
    </w:p>
    <w:p w14:paraId="61387E50" w14:textId="77777777" w:rsidR="00002EBB" w:rsidRPr="00804391" w:rsidRDefault="00002EBB" w:rsidP="00A8436C">
      <w:pPr>
        <w:pStyle w:val="Paragraph"/>
        <w:numPr>
          <w:ilvl w:val="0"/>
          <w:numId w:val="0"/>
        </w:numPr>
        <w:spacing w:before="0" w:after="0"/>
        <w:ind w:left="720"/>
        <w:jc w:val="center"/>
        <w:rPr>
          <w:rFonts w:ascii="Arial" w:hAnsi="Arial" w:cs="Arial"/>
          <w:sz w:val="22"/>
          <w:lang w:val="es-ES_tradnl"/>
        </w:rPr>
      </w:pPr>
      <w:r w:rsidRPr="002343D2">
        <w:rPr>
          <w:rFonts w:ascii="Arial" w:hAnsi="Arial" w:cs="Arial"/>
          <w:sz w:val="22"/>
          <w:lang w:val="es-ES_tradnl"/>
        </w:rPr>
        <w:t>Tabla 3.C</w:t>
      </w:r>
    </w:p>
    <w:p w14:paraId="61387E51" w14:textId="64E637F2" w:rsidR="00002EBB" w:rsidRPr="00804391" w:rsidRDefault="00002EBB" w:rsidP="00A8436C">
      <w:pPr>
        <w:pStyle w:val="Paragraph"/>
        <w:numPr>
          <w:ilvl w:val="0"/>
          <w:numId w:val="0"/>
        </w:numPr>
        <w:spacing w:before="0" w:after="0"/>
        <w:ind w:left="720"/>
        <w:jc w:val="center"/>
        <w:rPr>
          <w:rFonts w:ascii="Arial" w:hAnsi="Arial" w:cs="Arial"/>
          <w:sz w:val="22"/>
          <w:lang w:val="es-ES_tradnl"/>
        </w:rPr>
      </w:pPr>
      <w:r w:rsidRPr="00804391">
        <w:rPr>
          <w:rFonts w:ascii="Arial" w:hAnsi="Arial" w:cs="Arial"/>
          <w:sz w:val="22"/>
          <w:lang w:val="es-ES_tradnl"/>
        </w:rPr>
        <w:t>Contribución reducción costos de participación</w:t>
      </w:r>
    </w:p>
    <w:p w14:paraId="6EFD3260" w14:textId="77777777" w:rsidR="00804391" w:rsidRPr="00804391" w:rsidRDefault="00804391" w:rsidP="00A8436C">
      <w:pPr>
        <w:pStyle w:val="Paragraph"/>
        <w:numPr>
          <w:ilvl w:val="0"/>
          <w:numId w:val="0"/>
        </w:numPr>
        <w:spacing w:before="0" w:after="0"/>
        <w:ind w:left="720"/>
        <w:jc w:val="center"/>
        <w:rPr>
          <w:rFonts w:ascii="Arial" w:hAnsi="Arial" w:cs="Arial"/>
          <w:sz w:val="22"/>
          <w:lang w:val="es-ES_tradnl"/>
        </w:rPr>
      </w:pPr>
    </w:p>
    <w:p w14:paraId="61387E52" w14:textId="53723C5B" w:rsidR="00DE31B3" w:rsidRPr="00804391" w:rsidRDefault="00804391" w:rsidP="00804391">
      <w:pPr>
        <w:pStyle w:val="Paragraph"/>
        <w:numPr>
          <w:ilvl w:val="0"/>
          <w:numId w:val="0"/>
        </w:numPr>
        <w:spacing w:before="0" w:after="0"/>
        <w:jc w:val="center"/>
        <w:rPr>
          <w:rFonts w:ascii="Arial" w:hAnsi="Arial" w:cs="Arial"/>
          <w:sz w:val="22"/>
          <w:lang w:val="es-ES_tradnl"/>
        </w:rPr>
      </w:pPr>
      <w:r w:rsidRPr="00804391">
        <w:rPr>
          <w:noProof/>
        </w:rPr>
        <w:drawing>
          <wp:inline distT="0" distB="0" distL="0" distR="0" wp14:anchorId="69134E54" wp14:editId="4EBBFC37">
            <wp:extent cx="6188982" cy="1133856"/>
            <wp:effectExtent l="0" t="0" r="254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04112" cy="1136628"/>
                    </a:xfrm>
                    <a:prstGeom prst="rect">
                      <a:avLst/>
                    </a:prstGeom>
                    <a:noFill/>
                    <a:ln>
                      <a:noFill/>
                    </a:ln>
                  </pic:spPr>
                </pic:pic>
              </a:graphicData>
            </a:graphic>
          </wp:inline>
        </w:drawing>
      </w:r>
      <w:r w:rsidR="00612232" w:rsidRPr="00804391">
        <w:rPr>
          <w:rFonts w:ascii="Arial" w:hAnsi="Arial" w:cs="Arial"/>
          <w:sz w:val="22"/>
          <w:lang w:val="es-ES_tradnl"/>
        </w:rPr>
        <w:t xml:space="preserve"> </w:t>
      </w:r>
    </w:p>
    <w:p w14:paraId="61387E53" w14:textId="77777777" w:rsidR="008C30DE" w:rsidRPr="00804391" w:rsidRDefault="008C30DE" w:rsidP="00A8436C">
      <w:pPr>
        <w:pStyle w:val="Paragraph"/>
        <w:numPr>
          <w:ilvl w:val="0"/>
          <w:numId w:val="0"/>
        </w:numPr>
        <w:spacing w:before="0" w:after="0"/>
        <w:ind w:left="720"/>
        <w:rPr>
          <w:rFonts w:ascii="Arial" w:hAnsi="Arial" w:cs="Arial"/>
          <w:sz w:val="22"/>
          <w:lang w:val="es-ES_tradnl"/>
        </w:rPr>
      </w:pPr>
    </w:p>
    <w:p w14:paraId="61387E54" w14:textId="77777777" w:rsidR="008820C2" w:rsidRPr="00D276AC" w:rsidRDefault="008820C2" w:rsidP="00A8436C">
      <w:pPr>
        <w:pStyle w:val="Paragraph"/>
        <w:numPr>
          <w:ilvl w:val="0"/>
          <w:numId w:val="0"/>
        </w:numPr>
        <w:spacing w:before="0" w:after="0"/>
        <w:ind w:left="720"/>
        <w:jc w:val="center"/>
        <w:rPr>
          <w:rFonts w:ascii="Arial" w:hAnsi="Arial" w:cs="Arial"/>
          <w:sz w:val="22"/>
          <w:highlight w:val="yellow"/>
          <w:lang w:val="es-ES_tradnl"/>
        </w:rPr>
      </w:pPr>
    </w:p>
    <w:p w14:paraId="61387E55" w14:textId="77777777" w:rsidR="008820C2" w:rsidRPr="00D276AC" w:rsidRDefault="008820C2" w:rsidP="00A8436C">
      <w:pPr>
        <w:pStyle w:val="Paragraph"/>
        <w:numPr>
          <w:ilvl w:val="0"/>
          <w:numId w:val="0"/>
        </w:numPr>
        <w:spacing w:before="0" w:after="0"/>
        <w:ind w:left="720"/>
        <w:jc w:val="center"/>
        <w:rPr>
          <w:rFonts w:ascii="Arial" w:hAnsi="Arial" w:cs="Arial"/>
          <w:sz w:val="22"/>
          <w:highlight w:val="yellow"/>
          <w:lang w:val="es-ES_tradnl"/>
        </w:rPr>
      </w:pPr>
    </w:p>
    <w:p w14:paraId="61387E56" w14:textId="77777777" w:rsidR="008820C2" w:rsidRPr="00D276AC" w:rsidRDefault="008820C2" w:rsidP="00A8436C">
      <w:pPr>
        <w:pStyle w:val="Paragraph"/>
        <w:numPr>
          <w:ilvl w:val="0"/>
          <w:numId w:val="0"/>
        </w:numPr>
        <w:spacing w:before="0" w:after="0"/>
        <w:ind w:left="720"/>
        <w:jc w:val="center"/>
        <w:rPr>
          <w:rFonts w:ascii="Arial" w:hAnsi="Arial" w:cs="Arial"/>
          <w:sz w:val="22"/>
          <w:highlight w:val="yellow"/>
          <w:lang w:val="es-ES_tradnl"/>
        </w:rPr>
      </w:pPr>
    </w:p>
    <w:p w14:paraId="61387E57" w14:textId="77777777" w:rsidR="00002EBB" w:rsidRPr="002343D2" w:rsidRDefault="00002EBB" w:rsidP="00A8436C">
      <w:pPr>
        <w:pStyle w:val="Paragraph"/>
        <w:numPr>
          <w:ilvl w:val="0"/>
          <w:numId w:val="0"/>
        </w:numPr>
        <w:spacing w:before="0" w:after="0"/>
        <w:ind w:left="720"/>
        <w:jc w:val="center"/>
        <w:rPr>
          <w:rFonts w:ascii="Arial" w:hAnsi="Arial" w:cs="Arial"/>
          <w:sz w:val="22"/>
          <w:lang w:val="es-ES_tradnl"/>
        </w:rPr>
      </w:pPr>
      <w:r w:rsidRPr="002343D2">
        <w:rPr>
          <w:rFonts w:ascii="Arial" w:hAnsi="Arial" w:cs="Arial"/>
          <w:sz w:val="22"/>
          <w:lang w:val="es-ES_tradnl"/>
        </w:rPr>
        <w:t>Tabla 3.D</w:t>
      </w:r>
    </w:p>
    <w:p w14:paraId="61387E58" w14:textId="01A4EC1C" w:rsidR="00002EBB" w:rsidRPr="00804391" w:rsidRDefault="00002EBB" w:rsidP="00A8436C">
      <w:pPr>
        <w:pStyle w:val="Paragraph"/>
        <w:numPr>
          <w:ilvl w:val="0"/>
          <w:numId w:val="0"/>
        </w:numPr>
        <w:spacing w:before="0" w:after="0"/>
        <w:ind w:left="720"/>
        <w:jc w:val="center"/>
        <w:rPr>
          <w:rFonts w:ascii="Arial" w:hAnsi="Arial" w:cs="Arial"/>
          <w:sz w:val="22"/>
          <w:lang w:val="es-ES_tradnl"/>
        </w:rPr>
      </w:pPr>
      <w:r w:rsidRPr="00804391">
        <w:rPr>
          <w:rFonts w:ascii="Arial" w:hAnsi="Arial" w:cs="Arial"/>
          <w:sz w:val="22"/>
          <w:lang w:val="es-ES_tradnl"/>
        </w:rPr>
        <w:t xml:space="preserve">Contribución </w:t>
      </w:r>
      <w:r w:rsidR="008F6D80" w:rsidRPr="00804391">
        <w:rPr>
          <w:rFonts w:ascii="Arial" w:hAnsi="Arial" w:cs="Arial"/>
          <w:sz w:val="22"/>
          <w:lang w:val="es-ES_tradnl"/>
        </w:rPr>
        <w:t>mejoras sistema de garantías</w:t>
      </w:r>
    </w:p>
    <w:p w14:paraId="61387E59" w14:textId="77777777" w:rsidR="008C30DE" w:rsidRPr="00804391" w:rsidRDefault="00612232" w:rsidP="008820C2">
      <w:pPr>
        <w:pStyle w:val="Paragraph"/>
        <w:numPr>
          <w:ilvl w:val="0"/>
          <w:numId w:val="0"/>
        </w:numPr>
        <w:spacing w:before="0" w:after="0"/>
        <w:ind w:left="720"/>
        <w:rPr>
          <w:rFonts w:ascii="Arial" w:hAnsi="Arial" w:cs="Arial"/>
          <w:sz w:val="22"/>
          <w:lang w:val="es-ES_tradnl"/>
        </w:rPr>
      </w:pPr>
      <w:r w:rsidRPr="00804391">
        <w:rPr>
          <w:rFonts w:ascii="Arial" w:hAnsi="Arial" w:cs="Arial"/>
          <w:sz w:val="22"/>
          <w:lang w:val="es-ES_tradnl"/>
        </w:rPr>
        <w:t xml:space="preserve"> </w:t>
      </w:r>
    </w:p>
    <w:p w14:paraId="61387E5A" w14:textId="3A5B8E38" w:rsidR="00E32C1D" w:rsidRPr="00D276AC" w:rsidRDefault="00804391" w:rsidP="00804391">
      <w:pPr>
        <w:jc w:val="center"/>
        <w:rPr>
          <w:rFonts w:ascii="Arial" w:hAnsi="Arial" w:cs="Arial"/>
          <w:highlight w:val="yellow"/>
          <w:lang w:val="es-ES_tradnl"/>
        </w:rPr>
      </w:pPr>
      <w:r w:rsidRPr="00804391">
        <w:rPr>
          <w:noProof/>
        </w:rPr>
        <w:drawing>
          <wp:inline distT="0" distB="0" distL="0" distR="0" wp14:anchorId="348160B6" wp14:editId="704CC824">
            <wp:extent cx="5925312" cy="1085550"/>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16658" cy="1102285"/>
                    </a:xfrm>
                    <a:prstGeom prst="rect">
                      <a:avLst/>
                    </a:prstGeom>
                    <a:noFill/>
                    <a:ln>
                      <a:noFill/>
                    </a:ln>
                  </pic:spPr>
                </pic:pic>
              </a:graphicData>
            </a:graphic>
          </wp:inline>
        </w:drawing>
      </w:r>
      <w:r w:rsidR="00E32C1D" w:rsidRPr="00D276AC">
        <w:rPr>
          <w:rFonts w:ascii="Arial" w:hAnsi="Arial" w:cs="Arial"/>
          <w:highlight w:val="yellow"/>
          <w:lang w:val="es-ES_tradnl"/>
        </w:rPr>
        <w:br w:type="page"/>
      </w:r>
    </w:p>
    <w:p w14:paraId="61387E5B" w14:textId="77777777" w:rsidR="008F6D80" w:rsidRPr="002343D2" w:rsidRDefault="008F6D80" w:rsidP="008C30DE">
      <w:pPr>
        <w:pStyle w:val="Paragraph"/>
        <w:numPr>
          <w:ilvl w:val="0"/>
          <w:numId w:val="0"/>
        </w:numPr>
        <w:spacing w:before="0" w:after="0"/>
        <w:ind w:left="720"/>
        <w:jc w:val="center"/>
        <w:rPr>
          <w:rFonts w:ascii="Arial" w:hAnsi="Arial" w:cs="Arial"/>
          <w:sz w:val="22"/>
          <w:lang w:val="es-ES_tradnl"/>
        </w:rPr>
      </w:pPr>
      <w:r w:rsidRPr="002343D2">
        <w:rPr>
          <w:rFonts w:ascii="Arial" w:hAnsi="Arial" w:cs="Arial"/>
          <w:sz w:val="22"/>
          <w:lang w:val="es-ES_tradnl"/>
        </w:rPr>
        <w:lastRenderedPageBreak/>
        <w:t>Tabla 3.E</w:t>
      </w:r>
    </w:p>
    <w:p w14:paraId="61387E5C" w14:textId="77777777" w:rsidR="008F6D80" w:rsidRPr="00804391" w:rsidRDefault="008F6D80" w:rsidP="008C30DE">
      <w:pPr>
        <w:pStyle w:val="Paragraph"/>
        <w:numPr>
          <w:ilvl w:val="0"/>
          <w:numId w:val="0"/>
        </w:numPr>
        <w:spacing w:before="0" w:after="0"/>
        <w:ind w:left="720"/>
        <w:jc w:val="center"/>
        <w:rPr>
          <w:rFonts w:ascii="Arial" w:hAnsi="Arial" w:cs="Arial"/>
          <w:sz w:val="22"/>
          <w:lang w:val="es-ES_tradnl"/>
        </w:rPr>
      </w:pPr>
      <w:r w:rsidRPr="00804391">
        <w:rPr>
          <w:rFonts w:ascii="Arial" w:hAnsi="Arial" w:cs="Arial"/>
          <w:sz w:val="22"/>
          <w:lang w:val="es-ES_tradnl"/>
        </w:rPr>
        <w:t>Contribución mejora eficiencia.</w:t>
      </w:r>
    </w:p>
    <w:p w14:paraId="61387E5D" w14:textId="6982028B" w:rsidR="003C7F7E" w:rsidRPr="00804391" w:rsidRDefault="00804391" w:rsidP="00A8436C">
      <w:pPr>
        <w:pStyle w:val="Paragraph"/>
        <w:numPr>
          <w:ilvl w:val="0"/>
          <w:numId w:val="0"/>
        </w:numPr>
        <w:ind w:left="540"/>
        <w:rPr>
          <w:rFonts w:ascii="Arial" w:hAnsi="Arial" w:cs="Arial"/>
          <w:sz w:val="22"/>
          <w:lang w:val="es-ES_tradnl"/>
        </w:rPr>
      </w:pPr>
      <w:r w:rsidRPr="00804391">
        <w:rPr>
          <w:noProof/>
        </w:rPr>
        <w:drawing>
          <wp:inline distT="0" distB="0" distL="0" distR="0" wp14:anchorId="7BF482FD" wp14:editId="43914F41">
            <wp:extent cx="5486400" cy="1005139"/>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1005139"/>
                    </a:xfrm>
                    <a:prstGeom prst="rect">
                      <a:avLst/>
                    </a:prstGeom>
                    <a:noFill/>
                    <a:ln>
                      <a:noFill/>
                    </a:ln>
                  </pic:spPr>
                </pic:pic>
              </a:graphicData>
            </a:graphic>
          </wp:inline>
        </w:drawing>
      </w:r>
      <w:r w:rsidR="00612232" w:rsidRPr="00804391">
        <w:rPr>
          <w:rFonts w:ascii="Arial" w:hAnsi="Arial" w:cs="Arial"/>
          <w:sz w:val="22"/>
          <w:lang w:val="es-ES_tradnl"/>
        </w:rPr>
        <w:t xml:space="preserve"> </w:t>
      </w:r>
    </w:p>
    <w:p w14:paraId="61387E5E" w14:textId="23A2E3A2" w:rsidR="005F6574" w:rsidRPr="00E0077A" w:rsidRDefault="008471FD" w:rsidP="008C30DE">
      <w:pPr>
        <w:pStyle w:val="Paragraph"/>
        <w:tabs>
          <w:tab w:val="clear" w:pos="2448"/>
          <w:tab w:val="num" w:pos="720"/>
        </w:tabs>
        <w:ind w:left="720" w:hanging="720"/>
        <w:rPr>
          <w:rFonts w:ascii="Arial" w:hAnsi="Arial" w:cs="Arial"/>
          <w:sz w:val="22"/>
          <w:lang w:val="es-ES_tradnl"/>
        </w:rPr>
      </w:pPr>
      <w:r w:rsidRPr="00E0077A">
        <w:rPr>
          <w:rFonts w:ascii="Arial" w:hAnsi="Arial" w:cs="Arial"/>
          <w:sz w:val="22"/>
          <w:lang w:val="es-ES_tradnl"/>
        </w:rPr>
        <w:t xml:space="preserve">Las tablas indicadas dan cuentan de la contribución al resultado central. En la siguiente sección se presenta como varía </w:t>
      </w:r>
      <w:r w:rsidR="00A07E98" w:rsidRPr="00E0077A">
        <w:rPr>
          <w:rFonts w:ascii="Arial" w:hAnsi="Arial" w:cs="Arial"/>
          <w:sz w:val="22"/>
          <w:lang w:val="es-ES_tradnl"/>
        </w:rPr>
        <w:t>el</w:t>
      </w:r>
      <w:r w:rsidRPr="00E0077A">
        <w:rPr>
          <w:rFonts w:ascii="Arial" w:hAnsi="Arial" w:cs="Arial"/>
          <w:sz w:val="22"/>
          <w:lang w:val="es-ES_tradnl"/>
        </w:rPr>
        <w:t xml:space="preserve"> resulta</w:t>
      </w:r>
      <w:r w:rsidR="00A07E98" w:rsidRPr="00E0077A">
        <w:rPr>
          <w:rFonts w:ascii="Arial" w:hAnsi="Arial" w:cs="Arial"/>
          <w:sz w:val="22"/>
          <w:lang w:val="es-ES_tradnl"/>
        </w:rPr>
        <w:t>d</w:t>
      </w:r>
      <w:r w:rsidR="00E0077A" w:rsidRPr="00E0077A">
        <w:rPr>
          <w:rFonts w:ascii="Arial" w:hAnsi="Arial" w:cs="Arial"/>
          <w:sz w:val="22"/>
          <w:lang w:val="es-ES_tradnl"/>
        </w:rPr>
        <w:t>o</w:t>
      </w:r>
      <w:r w:rsidRPr="00E0077A">
        <w:rPr>
          <w:rFonts w:ascii="Arial" w:hAnsi="Arial" w:cs="Arial"/>
          <w:sz w:val="22"/>
          <w:lang w:val="es-ES_tradnl"/>
        </w:rPr>
        <w:t xml:space="preserve"> ante variaciones progresivas de los cambios esperados.</w:t>
      </w:r>
      <w:r w:rsidR="001A69E9" w:rsidRPr="00E0077A">
        <w:rPr>
          <w:rFonts w:ascii="Arial" w:hAnsi="Arial" w:cs="Arial"/>
          <w:sz w:val="22"/>
          <w:lang w:val="es-ES_tradnl"/>
        </w:rPr>
        <w:t xml:space="preserve"> </w:t>
      </w:r>
    </w:p>
    <w:p w14:paraId="61387E5F" w14:textId="77777777" w:rsidR="005F6574" w:rsidRPr="00B51E47" w:rsidRDefault="005F6574" w:rsidP="005F6574">
      <w:pPr>
        <w:pStyle w:val="Chapter"/>
        <w:rPr>
          <w:rFonts w:ascii="Arial" w:hAnsi="Arial" w:cs="Arial"/>
          <w:lang w:val="es-ES_tradnl"/>
        </w:rPr>
      </w:pPr>
      <w:bookmarkStart w:id="8" w:name="_Toc489439262"/>
      <w:r w:rsidRPr="00B51E47">
        <w:rPr>
          <w:rFonts w:ascii="Arial" w:hAnsi="Arial" w:cs="Arial"/>
          <w:lang w:val="es-ES_tradnl"/>
        </w:rPr>
        <w:t>A</w:t>
      </w:r>
      <w:r w:rsidR="00BA21B9" w:rsidRPr="00B51E47">
        <w:rPr>
          <w:rFonts w:ascii="Arial" w:hAnsi="Arial" w:cs="Arial"/>
          <w:lang w:val="es-ES_tradnl"/>
        </w:rPr>
        <w:t>nálisis de S</w:t>
      </w:r>
      <w:r w:rsidR="00A50302" w:rsidRPr="00B51E47">
        <w:rPr>
          <w:rFonts w:ascii="Arial" w:hAnsi="Arial" w:cs="Arial"/>
          <w:lang w:val="es-ES_tradnl"/>
        </w:rPr>
        <w:t>ensibilidad</w:t>
      </w:r>
      <w:bookmarkEnd w:id="8"/>
    </w:p>
    <w:p w14:paraId="61387E60" w14:textId="50BEA2DD" w:rsidR="005F6574" w:rsidRPr="002343D2" w:rsidRDefault="00A50302" w:rsidP="003672F3">
      <w:pPr>
        <w:pStyle w:val="Paragraph"/>
        <w:tabs>
          <w:tab w:val="clear" w:pos="2448"/>
          <w:tab w:val="num" w:pos="720"/>
        </w:tabs>
        <w:ind w:left="720" w:hanging="720"/>
        <w:rPr>
          <w:rFonts w:ascii="Arial" w:hAnsi="Arial" w:cs="Arial"/>
          <w:sz w:val="22"/>
          <w:lang w:val="es-ES_tradnl"/>
        </w:rPr>
      </w:pPr>
      <w:r w:rsidRPr="00B51E47">
        <w:rPr>
          <w:rFonts w:ascii="Arial" w:hAnsi="Arial" w:cs="Arial"/>
          <w:sz w:val="22"/>
          <w:lang w:val="es-ES_tradnl"/>
        </w:rPr>
        <w:t xml:space="preserve">En esta sección se presentan cálculos que describen escenarios alternativos. En particular, se consideran escenarios en los cuales las reformas no impulsan los parámetros de </w:t>
      </w:r>
      <w:r w:rsidR="00B51E47" w:rsidRPr="00B51E47">
        <w:rPr>
          <w:rFonts w:ascii="Arial" w:hAnsi="Arial" w:cs="Arial"/>
          <w:sz w:val="22"/>
          <w:lang w:val="es-ES_tradnl"/>
        </w:rPr>
        <w:t>referencia hasta</w:t>
      </w:r>
      <w:r w:rsidRPr="00B51E47">
        <w:rPr>
          <w:rFonts w:ascii="Arial" w:hAnsi="Arial" w:cs="Arial"/>
          <w:sz w:val="22"/>
          <w:lang w:val="es-ES_tradnl"/>
        </w:rPr>
        <w:t xml:space="preserve"> los valores considerados en el escenario base. C</w:t>
      </w:r>
      <w:r w:rsidR="007E0D0F" w:rsidRPr="00B51E47">
        <w:rPr>
          <w:rFonts w:ascii="Arial" w:hAnsi="Arial" w:cs="Arial"/>
          <w:sz w:val="22"/>
          <w:lang w:val="es-ES_tradnl"/>
        </w:rPr>
        <w:t xml:space="preserve">abe notar aquí, sin embargo, que el escenario base considerado en la sección anterior no es un escenario o hipótesis de máxima, sino que refleja, los valores más probables esperados </w:t>
      </w:r>
      <w:r w:rsidR="00257F0E" w:rsidRPr="00B51E47">
        <w:rPr>
          <w:rFonts w:ascii="Arial" w:hAnsi="Arial" w:cs="Arial"/>
          <w:sz w:val="22"/>
          <w:lang w:val="es-ES_tradnl"/>
        </w:rPr>
        <w:t>de acuerdo con</w:t>
      </w:r>
      <w:r w:rsidR="007E0D0F" w:rsidRPr="00B51E47">
        <w:rPr>
          <w:rFonts w:ascii="Arial" w:hAnsi="Arial" w:cs="Arial"/>
          <w:sz w:val="22"/>
          <w:lang w:val="es-ES_tradnl"/>
        </w:rPr>
        <w:t xml:space="preserve"> la información recogida en el dialogo con los distintos </w:t>
      </w:r>
      <w:r w:rsidR="00B51E47" w:rsidRPr="00B51E47">
        <w:rPr>
          <w:rFonts w:ascii="Arial" w:hAnsi="Arial" w:cs="Arial"/>
          <w:sz w:val="22"/>
          <w:lang w:val="es-ES_tradnl"/>
        </w:rPr>
        <w:t>actores involucrados</w:t>
      </w:r>
      <w:r w:rsidR="007E0D0F" w:rsidRPr="00B51E47">
        <w:rPr>
          <w:rFonts w:ascii="Arial" w:hAnsi="Arial" w:cs="Arial"/>
          <w:sz w:val="22"/>
          <w:lang w:val="es-ES_tradnl"/>
        </w:rPr>
        <w:t xml:space="preserve"> en las reformas. </w:t>
      </w:r>
      <w:r w:rsidR="00E5693C" w:rsidRPr="00B51E47">
        <w:rPr>
          <w:rFonts w:ascii="Arial" w:hAnsi="Arial" w:cs="Arial"/>
          <w:sz w:val="22"/>
          <w:lang w:val="es-ES_tradnl"/>
        </w:rPr>
        <w:t xml:space="preserve">Dicho esto, se consideran secuencialmente situaciones en las que los cambios </w:t>
      </w:r>
      <w:r w:rsidR="002343D2">
        <w:rPr>
          <w:rFonts w:ascii="Arial" w:hAnsi="Arial" w:cs="Arial"/>
          <w:sz w:val="22"/>
          <w:lang w:val="es-ES_tradnl"/>
        </w:rPr>
        <w:t xml:space="preserve">variaciones progresivas </w:t>
      </w:r>
      <w:r w:rsidR="002343D2" w:rsidRPr="002343D2">
        <w:rPr>
          <w:rFonts w:ascii="Arial" w:hAnsi="Arial" w:cs="Arial"/>
          <w:sz w:val="22"/>
          <w:lang w:val="es-ES_tradnl"/>
        </w:rPr>
        <w:t>respecto al escenario base.</w:t>
      </w:r>
      <w:r w:rsidR="00C07C94" w:rsidRPr="002343D2">
        <w:rPr>
          <w:rFonts w:ascii="Arial" w:hAnsi="Arial" w:cs="Arial"/>
          <w:sz w:val="22"/>
          <w:lang w:val="es-ES_tradnl"/>
        </w:rPr>
        <w:t xml:space="preserve"> (ver tablas 4.A.1 a 4.C3)</w:t>
      </w:r>
      <w:r w:rsidR="00E5693C" w:rsidRPr="002343D2">
        <w:rPr>
          <w:rFonts w:ascii="Arial" w:hAnsi="Arial" w:cs="Arial"/>
          <w:sz w:val="22"/>
          <w:lang w:val="es-ES_tradnl"/>
        </w:rPr>
        <w:t xml:space="preserve">. </w:t>
      </w:r>
    </w:p>
    <w:p w14:paraId="61387E62" w14:textId="77777777" w:rsidR="007C400A" w:rsidRPr="00D276AC" w:rsidRDefault="007C400A">
      <w:pPr>
        <w:rPr>
          <w:rFonts w:ascii="Arial" w:hAnsi="Arial" w:cs="Arial"/>
          <w:highlight w:val="yellow"/>
          <w:lang w:val="es-ES_tradnl"/>
        </w:rPr>
      </w:pPr>
      <w:r w:rsidRPr="00D276AC">
        <w:rPr>
          <w:rFonts w:ascii="Arial" w:hAnsi="Arial" w:cs="Arial"/>
          <w:highlight w:val="yellow"/>
          <w:lang w:val="es-ES_tradnl"/>
        </w:rPr>
        <w:br w:type="page"/>
      </w:r>
    </w:p>
    <w:p w14:paraId="61387E63" w14:textId="784A47C1" w:rsidR="008C125F" w:rsidRPr="002343D2" w:rsidRDefault="008C125F" w:rsidP="00E27F20">
      <w:pPr>
        <w:pStyle w:val="Paragraph"/>
        <w:numPr>
          <w:ilvl w:val="0"/>
          <w:numId w:val="0"/>
        </w:numPr>
        <w:spacing w:before="0" w:after="0"/>
        <w:ind w:left="720"/>
        <w:jc w:val="center"/>
        <w:rPr>
          <w:rFonts w:ascii="Arial" w:hAnsi="Arial" w:cs="Arial"/>
          <w:sz w:val="22"/>
          <w:lang w:val="es-ES_tradnl"/>
        </w:rPr>
      </w:pPr>
      <w:r w:rsidRPr="002343D2">
        <w:rPr>
          <w:rFonts w:ascii="Arial" w:hAnsi="Arial" w:cs="Arial"/>
          <w:sz w:val="22"/>
          <w:lang w:val="es-ES_tradnl"/>
        </w:rPr>
        <w:lastRenderedPageBreak/>
        <w:t>Tabla 4.A.1 – Menores reducciones costos de participación</w:t>
      </w:r>
      <w:r w:rsidR="005B0DE7" w:rsidRPr="002343D2">
        <w:rPr>
          <w:rFonts w:ascii="Arial" w:hAnsi="Arial" w:cs="Arial"/>
          <w:sz w:val="22"/>
          <w:lang w:val="es-ES_tradnl"/>
        </w:rPr>
        <w:t xml:space="preserve"> </w:t>
      </w:r>
      <w:r w:rsidR="00766E51" w:rsidRPr="002343D2">
        <w:rPr>
          <w:rFonts w:ascii="Arial" w:hAnsi="Arial" w:cs="Arial"/>
          <w:sz w:val="22"/>
          <w:lang w:val="es-ES_tradnl"/>
        </w:rPr>
        <w:t>-8</w:t>
      </w:r>
      <w:r w:rsidR="005B0DE7" w:rsidRPr="002343D2">
        <w:rPr>
          <w:rFonts w:ascii="Arial" w:hAnsi="Arial" w:cs="Arial"/>
          <w:sz w:val="22"/>
          <w:lang w:val="es-ES_tradnl"/>
        </w:rPr>
        <w:t>%</w:t>
      </w:r>
    </w:p>
    <w:p w14:paraId="61387E64" w14:textId="77777777" w:rsidR="007C400A" w:rsidRPr="00D276AC" w:rsidRDefault="007C400A" w:rsidP="00E27F20">
      <w:pPr>
        <w:pStyle w:val="Paragraph"/>
        <w:numPr>
          <w:ilvl w:val="0"/>
          <w:numId w:val="0"/>
        </w:numPr>
        <w:spacing w:before="0" w:after="0"/>
        <w:ind w:left="720"/>
        <w:jc w:val="center"/>
        <w:rPr>
          <w:rFonts w:ascii="Arial" w:hAnsi="Arial" w:cs="Arial"/>
          <w:sz w:val="22"/>
          <w:highlight w:val="yellow"/>
          <w:lang w:val="es-ES_tradnl"/>
        </w:rPr>
      </w:pPr>
    </w:p>
    <w:p w14:paraId="61387E65" w14:textId="58E0F086" w:rsidR="007C400A" w:rsidRPr="001329E5" w:rsidRDefault="00766E51" w:rsidP="00394651">
      <w:pPr>
        <w:pStyle w:val="Paragraph"/>
        <w:numPr>
          <w:ilvl w:val="0"/>
          <w:numId w:val="0"/>
        </w:numPr>
        <w:spacing w:before="0" w:after="0"/>
        <w:ind w:left="90"/>
        <w:jc w:val="center"/>
        <w:rPr>
          <w:rFonts w:ascii="Arial" w:hAnsi="Arial" w:cs="Arial"/>
          <w:sz w:val="22"/>
          <w:lang w:val="es-ES_tradnl"/>
        </w:rPr>
      </w:pPr>
      <w:r w:rsidRPr="00766E51">
        <w:rPr>
          <w:noProof/>
        </w:rPr>
        <w:drawing>
          <wp:inline distT="0" distB="0" distL="0" distR="0" wp14:anchorId="431DF7CD" wp14:editId="11070D3C">
            <wp:extent cx="5486400" cy="74898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86400" cy="748983"/>
                    </a:xfrm>
                    <a:prstGeom prst="rect">
                      <a:avLst/>
                    </a:prstGeom>
                    <a:noFill/>
                    <a:ln>
                      <a:noFill/>
                    </a:ln>
                  </pic:spPr>
                </pic:pic>
              </a:graphicData>
            </a:graphic>
          </wp:inline>
        </w:drawing>
      </w:r>
    </w:p>
    <w:p w14:paraId="61387E66" w14:textId="77777777" w:rsidR="00E27F20" w:rsidRPr="00D276AC" w:rsidRDefault="00612232" w:rsidP="00A8436C">
      <w:pPr>
        <w:pStyle w:val="Paragraph"/>
        <w:numPr>
          <w:ilvl w:val="0"/>
          <w:numId w:val="0"/>
        </w:numPr>
        <w:spacing w:before="0" w:after="0"/>
        <w:ind w:left="450"/>
        <w:jc w:val="center"/>
        <w:rPr>
          <w:rFonts w:ascii="Arial" w:hAnsi="Arial" w:cs="Arial"/>
          <w:sz w:val="22"/>
          <w:highlight w:val="yellow"/>
          <w:lang w:val="es-ES_tradnl"/>
        </w:rPr>
      </w:pPr>
      <w:r w:rsidRPr="00D276AC">
        <w:rPr>
          <w:rFonts w:ascii="Arial" w:hAnsi="Arial" w:cs="Arial"/>
          <w:sz w:val="22"/>
          <w:highlight w:val="yellow"/>
          <w:lang w:val="es-ES_tradnl"/>
        </w:rPr>
        <w:t xml:space="preserve"> </w:t>
      </w:r>
    </w:p>
    <w:p w14:paraId="61387E67" w14:textId="77777777" w:rsidR="00E27F20" w:rsidRPr="00D276AC" w:rsidRDefault="00E27F20" w:rsidP="00E27F20">
      <w:pPr>
        <w:pStyle w:val="Paragraph"/>
        <w:numPr>
          <w:ilvl w:val="0"/>
          <w:numId w:val="0"/>
        </w:numPr>
        <w:spacing w:before="0" w:after="0"/>
        <w:ind w:left="720"/>
        <w:jc w:val="center"/>
        <w:rPr>
          <w:rFonts w:ascii="Arial" w:hAnsi="Arial" w:cs="Arial"/>
          <w:sz w:val="22"/>
          <w:highlight w:val="yellow"/>
          <w:lang w:val="es-ES_tradnl"/>
        </w:rPr>
      </w:pPr>
    </w:p>
    <w:p w14:paraId="61387E68" w14:textId="48A28949" w:rsidR="008C125F" w:rsidRPr="002343D2" w:rsidRDefault="008C125F" w:rsidP="00E27F20">
      <w:pPr>
        <w:pStyle w:val="Paragraph"/>
        <w:numPr>
          <w:ilvl w:val="0"/>
          <w:numId w:val="0"/>
        </w:numPr>
        <w:spacing w:before="0" w:after="0"/>
        <w:ind w:left="720"/>
        <w:jc w:val="center"/>
        <w:rPr>
          <w:rFonts w:ascii="Arial" w:hAnsi="Arial" w:cs="Arial"/>
          <w:sz w:val="22"/>
          <w:lang w:val="es-ES_tradnl"/>
        </w:rPr>
      </w:pPr>
      <w:r w:rsidRPr="002343D2">
        <w:rPr>
          <w:rFonts w:ascii="Arial" w:hAnsi="Arial" w:cs="Arial"/>
          <w:sz w:val="22"/>
          <w:lang w:val="es-ES_tradnl"/>
        </w:rPr>
        <w:t>Tabla 4.A.2 – Menores reducciones costos de participación</w:t>
      </w:r>
      <w:r w:rsidR="00394651" w:rsidRPr="002343D2">
        <w:rPr>
          <w:rFonts w:ascii="Arial" w:hAnsi="Arial" w:cs="Arial"/>
          <w:sz w:val="22"/>
          <w:lang w:val="es-ES_tradnl"/>
        </w:rPr>
        <w:t xml:space="preserve"> </w:t>
      </w:r>
      <w:r w:rsidR="00766E51" w:rsidRPr="002343D2">
        <w:rPr>
          <w:rFonts w:ascii="Arial" w:hAnsi="Arial" w:cs="Arial"/>
          <w:sz w:val="22"/>
          <w:lang w:val="es-ES_tradnl"/>
        </w:rPr>
        <w:t>-5</w:t>
      </w:r>
      <w:r w:rsidR="00394651" w:rsidRPr="002343D2">
        <w:rPr>
          <w:rFonts w:ascii="Arial" w:hAnsi="Arial" w:cs="Arial"/>
          <w:sz w:val="22"/>
          <w:lang w:val="es-ES_tradnl"/>
        </w:rPr>
        <w:t>%</w:t>
      </w:r>
    </w:p>
    <w:p w14:paraId="5A4B972E" w14:textId="77777777" w:rsidR="00394651" w:rsidRPr="00D276AC" w:rsidRDefault="00394651" w:rsidP="00E27F20">
      <w:pPr>
        <w:pStyle w:val="Paragraph"/>
        <w:numPr>
          <w:ilvl w:val="0"/>
          <w:numId w:val="0"/>
        </w:numPr>
        <w:spacing w:before="0" w:after="0"/>
        <w:ind w:left="720"/>
        <w:jc w:val="center"/>
        <w:rPr>
          <w:rFonts w:ascii="Arial" w:hAnsi="Arial" w:cs="Arial"/>
          <w:sz w:val="22"/>
          <w:highlight w:val="yellow"/>
          <w:lang w:val="es-ES_tradnl"/>
        </w:rPr>
      </w:pPr>
    </w:p>
    <w:p w14:paraId="61387E69" w14:textId="55D257DA" w:rsidR="0030116B" w:rsidRPr="001329E5" w:rsidRDefault="00BF397F" w:rsidP="00394651">
      <w:pPr>
        <w:pStyle w:val="Paragraph"/>
        <w:numPr>
          <w:ilvl w:val="0"/>
          <w:numId w:val="0"/>
        </w:numPr>
        <w:spacing w:before="0" w:after="0"/>
        <w:ind w:left="90"/>
        <w:rPr>
          <w:rFonts w:ascii="Arial" w:hAnsi="Arial" w:cs="Arial"/>
          <w:sz w:val="22"/>
          <w:lang w:val="es-ES_tradnl"/>
        </w:rPr>
      </w:pPr>
      <w:r w:rsidRPr="001329E5">
        <w:rPr>
          <w:rFonts w:ascii="Arial" w:hAnsi="Arial" w:cs="Arial"/>
          <w:sz w:val="22"/>
          <w:lang w:val="es-ES_tradnl"/>
        </w:rPr>
        <w:t xml:space="preserve"> </w:t>
      </w:r>
      <w:r w:rsidR="00766E51" w:rsidRPr="00766E51">
        <w:rPr>
          <w:noProof/>
        </w:rPr>
        <w:drawing>
          <wp:inline distT="0" distB="0" distL="0" distR="0" wp14:anchorId="0F6E19A5" wp14:editId="46E9F27C">
            <wp:extent cx="5486400" cy="74898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86400" cy="748983"/>
                    </a:xfrm>
                    <a:prstGeom prst="rect">
                      <a:avLst/>
                    </a:prstGeom>
                    <a:noFill/>
                    <a:ln>
                      <a:noFill/>
                    </a:ln>
                  </pic:spPr>
                </pic:pic>
              </a:graphicData>
            </a:graphic>
          </wp:inline>
        </w:drawing>
      </w:r>
    </w:p>
    <w:p w14:paraId="61387E6A" w14:textId="77777777" w:rsidR="00E27F20" w:rsidRPr="00D276AC" w:rsidRDefault="00E27F20" w:rsidP="00A8436C">
      <w:pPr>
        <w:pStyle w:val="Paragraph"/>
        <w:numPr>
          <w:ilvl w:val="0"/>
          <w:numId w:val="0"/>
        </w:numPr>
        <w:spacing w:before="0" w:after="0"/>
        <w:ind w:left="450"/>
        <w:jc w:val="center"/>
        <w:rPr>
          <w:rFonts w:ascii="Arial" w:hAnsi="Arial" w:cs="Arial"/>
          <w:sz w:val="22"/>
          <w:highlight w:val="yellow"/>
          <w:lang w:val="es-ES_tradnl"/>
        </w:rPr>
      </w:pPr>
    </w:p>
    <w:p w14:paraId="61387E6B" w14:textId="67D46F02" w:rsidR="008C125F" w:rsidRPr="002343D2" w:rsidRDefault="008C125F" w:rsidP="00E27F20">
      <w:pPr>
        <w:pStyle w:val="Paragraph"/>
        <w:numPr>
          <w:ilvl w:val="0"/>
          <w:numId w:val="0"/>
        </w:numPr>
        <w:spacing w:before="0" w:after="0"/>
        <w:ind w:left="720"/>
        <w:jc w:val="center"/>
        <w:rPr>
          <w:rFonts w:ascii="Arial" w:hAnsi="Arial" w:cs="Arial"/>
          <w:sz w:val="22"/>
          <w:lang w:val="es-ES_tradnl"/>
        </w:rPr>
      </w:pPr>
      <w:r w:rsidRPr="002343D2">
        <w:rPr>
          <w:rFonts w:ascii="Arial" w:hAnsi="Arial" w:cs="Arial"/>
          <w:sz w:val="22"/>
          <w:lang w:val="es-ES_tradnl"/>
        </w:rPr>
        <w:t>Tabla 4.A.3 – Menores reducciones costos de participación</w:t>
      </w:r>
      <w:r w:rsidR="00394651" w:rsidRPr="002343D2">
        <w:rPr>
          <w:rFonts w:ascii="Arial" w:hAnsi="Arial" w:cs="Arial"/>
          <w:sz w:val="22"/>
          <w:lang w:val="es-ES_tradnl"/>
        </w:rPr>
        <w:t xml:space="preserve"> </w:t>
      </w:r>
      <w:r w:rsidR="00766E51" w:rsidRPr="002343D2">
        <w:rPr>
          <w:rFonts w:ascii="Arial" w:hAnsi="Arial" w:cs="Arial"/>
          <w:sz w:val="22"/>
          <w:lang w:val="es-ES_tradnl"/>
        </w:rPr>
        <w:t>-3</w:t>
      </w:r>
      <w:r w:rsidR="00394651" w:rsidRPr="002343D2">
        <w:rPr>
          <w:rFonts w:ascii="Arial" w:hAnsi="Arial" w:cs="Arial"/>
          <w:sz w:val="22"/>
          <w:lang w:val="es-ES_tradnl"/>
        </w:rPr>
        <w:t>%</w:t>
      </w:r>
    </w:p>
    <w:p w14:paraId="02B6EAFE" w14:textId="77777777" w:rsidR="00394651" w:rsidRPr="00D276AC" w:rsidRDefault="00394651" w:rsidP="00E27F20">
      <w:pPr>
        <w:pStyle w:val="Paragraph"/>
        <w:numPr>
          <w:ilvl w:val="0"/>
          <w:numId w:val="0"/>
        </w:numPr>
        <w:spacing w:before="0" w:after="0"/>
        <w:ind w:left="720"/>
        <w:jc w:val="center"/>
        <w:rPr>
          <w:rFonts w:ascii="Arial" w:hAnsi="Arial" w:cs="Arial"/>
          <w:sz w:val="22"/>
          <w:highlight w:val="yellow"/>
          <w:lang w:val="es-ES_tradnl"/>
        </w:rPr>
      </w:pPr>
    </w:p>
    <w:p w14:paraId="61387E6C" w14:textId="4B5F3802" w:rsidR="00E27F20" w:rsidRPr="001329E5" w:rsidRDefault="00766E51" w:rsidP="002137E1">
      <w:pPr>
        <w:pStyle w:val="Paragraph"/>
        <w:numPr>
          <w:ilvl w:val="0"/>
          <w:numId w:val="0"/>
        </w:numPr>
        <w:spacing w:before="0" w:after="0"/>
        <w:ind w:left="90"/>
        <w:jc w:val="center"/>
        <w:rPr>
          <w:rFonts w:ascii="Arial" w:hAnsi="Arial" w:cs="Arial"/>
          <w:sz w:val="22"/>
          <w:lang w:val="es-ES_tradnl"/>
        </w:rPr>
      </w:pPr>
      <w:r w:rsidRPr="00766E51">
        <w:rPr>
          <w:noProof/>
        </w:rPr>
        <w:drawing>
          <wp:inline distT="0" distB="0" distL="0" distR="0" wp14:anchorId="793096A4" wp14:editId="0C9F2398">
            <wp:extent cx="5486400" cy="74898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86400" cy="748983"/>
                    </a:xfrm>
                    <a:prstGeom prst="rect">
                      <a:avLst/>
                    </a:prstGeom>
                    <a:noFill/>
                    <a:ln>
                      <a:noFill/>
                    </a:ln>
                  </pic:spPr>
                </pic:pic>
              </a:graphicData>
            </a:graphic>
          </wp:inline>
        </w:drawing>
      </w:r>
    </w:p>
    <w:p w14:paraId="61387E6D" w14:textId="77777777" w:rsidR="0030116B" w:rsidRPr="00D276AC" w:rsidRDefault="0030116B" w:rsidP="00E27F20">
      <w:pPr>
        <w:pStyle w:val="Paragraph"/>
        <w:numPr>
          <w:ilvl w:val="0"/>
          <w:numId w:val="0"/>
        </w:numPr>
        <w:spacing w:before="0" w:after="0"/>
        <w:ind w:left="720"/>
        <w:jc w:val="center"/>
        <w:rPr>
          <w:rFonts w:ascii="Arial" w:hAnsi="Arial" w:cs="Arial"/>
          <w:sz w:val="22"/>
          <w:highlight w:val="yellow"/>
          <w:lang w:val="es-ES_tradnl"/>
        </w:rPr>
      </w:pPr>
    </w:p>
    <w:p w14:paraId="61387E6E" w14:textId="6824BDC9" w:rsidR="008C125F" w:rsidRPr="002343D2" w:rsidRDefault="008C125F" w:rsidP="00E27F20">
      <w:pPr>
        <w:pStyle w:val="Paragraph"/>
        <w:numPr>
          <w:ilvl w:val="0"/>
          <w:numId w:val="0"/>
        </w:numPr>
        <w:spacing w:before="0" w:after="0"/>
        <w:ind w:left="720"/>
        <w:jc w:val="center"/>
        <w:rPr>
          <w:rFonts w:ascii="Arial" w:hAnsi="Arial" w:cs="Arial"/>
          <w:sz w:val="22"/>
          <w:lang w:val="es-ES_tradnl"/>
        </w:rPr>
      </w:pPr>
      <w:r w:rsidRPr="002343D2">
        <w:rPr>
          <w:rFonts w:ascii="Arial" w:hAnsi="Arial" w:cs="Arial"/>
          <w:sz w:val="22"/>
          <w:lang w:val="es-ES_tradnl"/>
        </w:rPr>
        <w:t>Tabla 4.B.1 – Menores mejoras en sistema de garantías</w:t>
      </w:r>
      <w:r w:rsidR="00766E51" w:rsidRPr="002343D2">
        <w:rPr>
          <w:rFonts w:ascii="Arial" w:hAnsi="Arial" w:cs="Arial"/>
          <w:sz w:val="22"/>
          <w:lang w:val="es-ES_tradnl"/>
        </w:rPr>
        <w:t xml:space="preserve"> 4%</w:t>
      </w:r>
    </w:p>
    <w:p w14:paraId="6491B796" w14:textId="77777777" w:rsidR="00766E51" w:rsidRPr="002343D2" w:rsidRDefault="00766E51" w:rsidP="00E27F20">
      <w:pPr>
        <w:pStyle w:val="Paragraph"/>
        <w:numPr>
          <w:ilvl w:val="0"/>
          <w:numId w:val="0"/>
        </w:numPr>
        <w:spacing w:before="0" w:after="0"/>
        <w:ind w:left="720"/>
        <w:jc w:val="center"/>
        <w:rPr>
          <w:rFonts w:ascii="Arial" w:hAnsi="Arial" w:cs="Arial"/>
          <w:sz w:val="22"/>
          <w:lang w:val="es-ES_tradnl"/>
        </w:rPr>
      </w:pPr>
    </w:p>
    <w:p w14:paraId="61387E6F" w14:textId="3953EED3" w:rsidR="00E27F20" w:rsidRPr="00D276AC" w:rsidRDefault="00766E51" w:rsidP="00A8436C">
      <w:pPr>
        <w:pStyle w:val="Paragraph"/>
        <w:numPr>
          <w:ilvl w:val="0"/>
          <w:numId w:val="0"/>
        </w:numPr>
        <w:spacing w:before="0" w:after="0"/>
        <w:ind w:left="540"/>
        <w:jc w:val="center"/>
        <w:rPr>
          <w:rFonts w:ascii="Arial" w:hAnsi="Arial" w:cs="Arial"/>
          <w:sz w:val="22"/>
          <w:highlight w:val="yellow"/>
          <w:lang w:val="es-ES_tradnl"/>
        </w:rPr>
      </w:pPr>
      <w:r w:rsidRPr="001329E5">
        <w:rPr>
          <w:noProof/>
        </w:rPr>
        <w:drawing>
          <wp:inline distT="0" distB="0" distL="0" distR="0" wp14:anchorId="63FDEB0B" wp14:editId="1B720298">
            <wp:extent cx="5486400" cy="7486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86400" cy="748665"/>
                    </a:xfrm>
                    <a:prstGeom prst="rect">
                      <a:avLst/>
                    </a:prstGeom>
                    <a:noFill/>
                    <a:ln>
                      <a:noFill/>
                    </a:ln>
                  </pic:spPr>
                </pic:pic>
              </a:graphicData>
            </a:graphic>
          </wp:inline>
        </w:drawing>
      </w:r>
      <w:r w:rsidR="0022779A" w:rsidRPr="00D276AC">
        <w:rPr>
          <w:rFonts w:ascii="Arial" w:hAnsi="Arial" w:cs="Arial"/>
          <w:sz w:val="22"/>
          <w:highlight w:val="yellow"/>
          <w:lang w:val="es-ES_tradnl"/>
        </w:rPr>
        <w:t xml:space="preserve"> </w:t>
      </w:r>
    </w:p>
    <w:p w14:paraId="61387E70" w14:textId="77777777" w:rsidR="00E27F20" w:rsidRPr="00D276AC" w:rsidRDefault="00E27F20" w:rsidP="00E27F20">
      <w:pPr>
        <w:pStyle w:val="Paragraph"/>
        <w:numPr>
          <w:ilvl w:val="0"/>
          <w:numId w:val="0"/>
        </w:numPr>
        <w:spacing w:before="0" w:after="0"/>
        <w:ind w:left="720"/>
        <w:jc w:val="center"/>
        <w:rPr>
          <w:rFonts w:ascii="Arial" w:hAnsi="Arial" w:cs="Arial"/>
          <w:sz w:val="22"/>
          <w:highlight w:val="yellow"/>
          <w:lang w:val="es-ES_tradnl"/>
        </w:rPr>
      </w:pPr>
    </w:p>
    <w:p w14:paraId="61387E71" w14:textId="77DD0C58" w:rsidR="008C125F" w:rsidRPr="002343D2" w:rsidRDefault="008C125F" w:rsidP="00E27F20">
      <w:pPr>
        <w:pStyle w:val="Paragraph"/>
        <w:numPr>
          <w:ilvl w:val="0"/>
          <w:numId w:val="0"/>
        </w:numPr>
        <w:spacing w:before="0" w:after="0"/>
        <w:ind w:left="720"/>
        <w:jc w:val="center"/>
        <w:rPr>
          <w:rFonts w:ascii="Arial" w:hAnsi="Arial" w:cs="Arial"/>
          <w:sz w:val="22"/>
          <w:lang w:val="es-ES_tradnl"/>
        </w:rPr>
      </w:pPr>
      <w:r w:rsidRPr="002343D2">
        <w:rPr>
          <w:rFonts w:ascii="Arial" w:hAnsi="Arial" w:cs="Arial"/>
          <w:sz w:val="22"/>
          <w:lang w:val="es-ES_tradnl"/>
        </w:rPr>
        <w:t>Tabla 4.B.2 – Menores mejoras en sistema de garantías</w:t>
      </w:r>
      <w:r w:rsidR="00766E51" w:rsidRPr="002343D2">
        <w:rPr>
          <w:rFonts w:ascii="Arial" w:hAnsi="Arial" w:cs="Arial"/>
          <w:sz w:val="22"/>
          <w:lang w:val="es-ES_tradnl"/>
        </w:rPr>
        <w:t xml:space="preserve"> 3%</w:t>
      </w:r>
    </w:p>
    <w:p w14:paraId="61387E72" w14:textId="734684D9" w:rsidR="00E27F20" w:rsidRPr="00D276AC" w:rsidRDefault="00766E51" w:rsidP="00A8436C">
      <w:pPr>
        <w:pStyle w:val="Paragraph"/>
        <w:numPr>
          <w:ilvl w:val="0"/>
          <w:numId w:val="0"/>
        </w:numPr>
        <w:spacing w:before="0" w:after="0"/>
        <w:ind w:left="540"/>
        <w:jc w:val="center"/>
        <w:rPr>
          <w:rFonts w:ascii="Arial" w:hAnsi="Arial" w:cs="Arial"/>
          <w:sz w:val="22"/>
          <w:highlight w:val="yellow"/>
          <w:lang w:val="es-ES_tradnl"/>
        </w:rPr>
      </w:pPr>
      <w:r w:rsidRPr="001329E5">
        <w:rPr>
          <w:noProof/>
        </w:rPr>
        <w:drawing>
          <wp:inline distT="0" distB="0" distL="0" distR="0" wp14:anchorId="73637D9A" wp14:editId="5A767972">
            <wp:extent cx="5486400" cy="7486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86400" cy="748665"/>
                    </a:xfrm>
                    <a:prstGeom prst="rect">
                      <a:avLst/>
                    </a:prstGeom>
                    <a:noFill/>
                    <a:ln>
                      <a:noFill/>
                    </a:ln>
                  </pic:spPr>
                </pic:pic>
              </a:graphicData>
            </a:graphic>
          </wp:inline>
        </w:drawing>
      </w:r>
      <w:r w:rsidR="0022779A" w:rsidRPr="00D276AC">
        <w:rPr>
          <w:rFonts w:ascii="Arial" w:hAnsi="Arial" w:cs="Arial"/>
          <w:sz w:val="22"/>
          <w:highlight w:val="yellow"/>
          <w:lang w:val="es-ES_tradnl"/>
        </w:rPr>
        <w:t xml:space="preserve"> </w:t>
      </w:r>
    </w:p>
    <w:p w14:paraId="61387E73" w14:textId="77777777" w:rsidR="00E27F20" w:rsidRPr="00D276AC" w:rsidRDefault="00E27F20" w:rsidP="00E27F20">
      <w:pPr>
        <w:pStyle w:val="Paragraph"/>
        <w:numPr>
          <w:ilvl w:val="0"/>
          <w:numId w:val="0"/>
        </w:numPr>
        <w:spacing w:before="0" w:after="0"/>
        <w:ind w:left="720"/>
        <w:jc w:val="center"/>
        <w:rPr>
          <w:rFonts w:ascii="Arial" w:hAnsi="Arial" w:cs="Arial"/>
          <w:sz w:val="22"/>
          <w:highlight w:val="yellow"/>
          <w:lang w:val="es-ES_tradnl"/>
        </w:rPr>
      </w:pPr>
    </w:p>
    <w:p w14:paraId="61387E74" w14:textId="77777777" w:rsidR="00F27834" w:rsidRPr="00D276AC" w:rsidRDefault="00F27834">
      <w:pPr>
        <w:rPr>
          <w:rFonts w:ascii="Arial" w:hAnsi="Arial" w:cs="Arial"/>
          <w:highlight w:val="yellow"/>
          <w:lang w:val="es-ES_tradnl"/>
        </w:rPr>
      </w:pPr>
      <w:r w:rsidRPr="00D276AC">
        <w:rPr>
          <w:rFonts w:ascii="Arial" w:hAnsi="Arial" w:cs="Arial"/>
          <w:highlight w:val="yellow"/>
          <w:lang w:val="es-ES_tradnl"/>
        </w:rPr>
        <w:br w:type="page"/>
      </w:r>
    </w:p>
    <w:p w14:paraId="61387E75" w14:textId="74FEDD2C" w:rsidR="008C125F" w:rsidRPr="002343D2" w:rsidRDefault="008C125F" w:rsidP="00E27F20">
      <w:pPr>
        <w:pStyle w:val="Paragraph"/>
        <w:numPr>
          <w:ilvl w:val="0"/>
          <w:numId w:val="0"/>
        </w:numPr>
        <w:spacing w:before="0" w:after="0"/>
        <w:ind w:left="720"/>
        <w:jc w:val="center"/>
        <w:rPr>
          <w:rFonts w:ascii="Arial" w:hAnsi="Arial" w:cs="Arial"/>
          <w:sz w:val="22"/>
          <w:lang w:val="es-ES_tradnl"/>
        </w:rPr>
      </w:pPr>
      <w:r w:rsidRPr="002343D2">
        <w:rPr>
          <w:rFonts w:ascii="Arial" w:hAnsi="Arial" w:cs="Arial"/>
          <w:sz w:val="22"/>
          <w:lang w:val="es-ES_tradnl"/>
        </w:rPr>
        <w:lastRenderedPageBreak/>
        <w:t>Tabla 4.B.3 – Menores mejoras en sistema de garantías</w:t>
      </w:r>
      <w:r w:rsidR="00766E51" w:rsidRPr="002343D2">
        <w:rPr>
          <w:rFonts w:ascii="Arial" w:hAnsi="Arial" w:cs="Arial"/>
          <w:sz w:val="22"/>
          <w:lang w:val="es-ES_tradnl"/>
        </w:rPr>
        <w:t xml:space="preserve"> 1%</w:t>
      </w:r>
    </w:p>
    <w:p w14:paraId="61387E76" w14:textId="77777777" w:rsidR="00E27F20" w:rsidRPr="00D276AC" w:rsidRDefault="0022779A" w:rsidP="00A8436C">
      <w:pPr>
        <w:pStyle w:val="Paragraph"/>
        <w:numPr>
          <w:ilvl w:val="0"/>
          <w:numId w:val="0"/>
        </w:numPr>
        <w:spacing w:before="0" w:after="0"/>
        <w:ind w:left="540"/>
        <w:jc w:val="center"/>
        <w:rPr>
          <w:rFonts w:ascii="Arial" w:hAnsi="Arial" w:cs="Arial"/>
          <w:sz w:val="22"/>
          <w:highlight w:val="yellow"/>
          <w:lang w:val="es-ES_tradnl"/>
        </w:rPr>
      </w:pPr>
      <w:r w:rsidRPr="00D276AC">
        <w:rPr>
          <w:rFonts w:ascii="Arial" w:hAnsi="Arial" w:cs="Arial"/>
          <w:sz w:val="22"/>
          <w:highlight w:val="yellow"/>
          <w:lang w:val="es-ES_tradnl"/>
        </w:rPr>
        <w:t xml:space="preserve"> </w:t>
      </w:r>
    </w:p>
    <w:p w14:paraId="61387E77" w14:textId="7A7B70DC" w:rsidR="00E27F20" w:rsidRPr="00D276AC" w:rsidRDefault="00766E51" w:rsidP="00E27F20">
      <w:pPr>
        <w:pStyle w:val="Paragraph"/>
        <w:numPr>
          <w:ilvl w:val="0"/>
          <w:numId w:val="0"/>
        </w:numPr>
        <w:spacing w:before="0" w:after="0"/>
        <w:ind w:left="720"/>
        <w:jc w:val="center"/>
        <w:rPr>
          <w:rFonts w:ascii="Arial" w:hAnsi="Arial" w:cs="Arial"/>
          <w:sz w:val="22"/>
          <w:highlight w:val="yellow"/>
          <w:lang w:val="es-ES_tradnl"/>
        </w:rPr>
      </w:pPr>
      <w:r w:rsidRPr="001329E5">
        <w:rPr>
          <w:noProof/>
        </w:rPr>
        <w:drawing>
          <wp:inline distT="0" distB="0" distL="0" distR="0" wp14:anchorId="6CA593AB" wp14:editId="7190CF61">
            <wp:extent cx="5486400" cy="7486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86400" cy="748665"/>
                    </a:xfrm>
                    <a:prstGeom prst="rect">
                      <a:avLst/>
                    </a:prstGeom>
                    <a:noFill/>
                    <a:ln>
                      <a:noFill/>
                    </a:ln>
                  </pic:spPr>
                </pic:pic>
              </a:graphicData>
            </a:graphic>
          </wp:inline>
        </w:drawing>
      </w:r>
    </w:p>
    <w:p w14:paraId="5AA845A6" w14:textId="77777777" w:rsidR="00EE29F6" w:rsidRDefault="00EE29F6" w:rsidP="00E27F20">
      <w:pPr>
        <w:pStyle w:val="Paragraph"/>
        <w:numPr>
          <w:ilvl w:val="0"/>
          <w:numId w:val="0"/>
        </w:numPr>
        <w:spacing w:before="0" w:after="0"/>
        <w:ind w:left="720"/>
        <w:jc w:val="center"/>
        <w:rPr>
          <w:rFonts w:ascii="Arial" w:hAnsi="Arial" w:cs="Arial"/>
          <w:sz w:val="22"/>
          <w:highlight w:val="yellow"/>
          <w:lang w:val="es-ES_tradnl"/>
        </w:rPr>
      </w:pPr>
    </w:p>
    <w:p w14:paraId="61387E78" w14:textId="516CEC0B" w:rsidR="008C125F" w:rsidRPr="002343D2" w:rsidRDefault="008C125F" w:rsidP="00E27F20">
      <w:pPr>
        <w:pStyle w:val="Paragraph"/>
        <w:numPr>
          <w:ilvl w:val="0"/>
          <w:numId w:val="0"/>
        </w:numPr>
        <w:spacing w:before="0" w:after="0"/>
        <w:ind w:left="720"/>
        <w:jc w:val="center"/>
        <w:rPr>
          <w:rFonts w:ascii="Arial" w:hAnsi="Arial" w:cs="Arial"/>
          <w:sz w:val="22"/>
          <w:lang w:val="es-ES_tradnl"/>
        </w:rPr>
      </w:pPr>
      <w:r w:rsidRPr="002343D2">
        <w:rPr>
          <w:rFonts w:ascii="Arial" w:hAnsi="Arial" w:cs="Arial"/>
          <w:sz w:val="22"/>
          <w:lang w:val="es-ES_tradnl"/>
        </w:rPr>
        <w:t>Tabla 4.C.1 – Menores ganancias de eficiencia</w:t>
      </w:r>
      <w:r w:rsidR="00EE29F6" w:rsidRPr="002343D2">
        <w:rPr>
          <w:rFonts w:ascii="Arial" w:hAnsi="Arial" w:cs="Arial"/>
          <w:sz w:val="22"/>
          <w:lang w:val="es-ES_tradnl"/>
        </w:rPr>
        <w:t xml:space="preserve"> -10%</w:t>
      </w:r>
    </w:p>
    <w:p w14:paraId="61387E79" w14:textId="77777777" w:rsidR="00E27F20" w:rsidRPr="002343D2" w:rsidRDefault="0022779A" w:rsidP="0030116B">
      <w:pPr>
        <w:pStyle w:val="Paragraph"/>
        <w:numPr>
          <w:ilvl w:val="0"/>
          <w:numId w:val="0"/>
        </w:numPr>
        <w:spacing w:before="0" w:after="0"/>
        <w:ind w:left="540"/>
        <w:jc w:val="center"/>
        <w:rPr>
          <w:rFonts w:ascii="Arial" w:hAnsi="Arial" w:cs="Arial"/>
          <w:sz w:val="22"/>
          <w:lang w:val="es-ES_tradnl"/>
        </w:rPr>
      </w:pPr>
      <w:r w:rsidRPr="002343D2">
        <w:rPr>
          <w:rFonts w:ascii="Arial" w:hAnsi="Arial" w:cs="Arial"/>
          <w:sz w:val="22"/>
          <w:lang w:val="es-ES_tradnl"/>
        </w:rPr>
        <w:t xml:space="preserve"> </w:t>
      </w:r>
    </w:p>
    <w:p w14:paraId="61387E7A" w14:textId="311EF62E" w:rsidR="00E27F20" w:rsidRPr="00EE29F6" w:rsidRDefault="00EE29F6" w:rsidP="00E27F20">
      <w:pPr>
        <w:pStyle w:val="Paragraph"/>
        <w:numPr>
          <w:ilvl w:val="0"/>
          <w:numId w:val="0"/>
        </w:numPr>
        <w:spacing w:before="0" w:after="0"/>
        <w:ind w:left="720"/>
        <w:jc w:val="center"/>
        <w:rPr>
          <w:rFonts w:ascii="Arial" w:hAnsi="Arial" w:cs="Arial"/>
          <w:sz w:val="22"/>
          <w:lang w:val="es-ES_tradnl"/>
        </w:rPr>
      </w:pPr>
      <w:r w:rsidRPr="00EE29F6">
        <w:rPr>
          <w:noProof/>
        </w:rPr>
        <w:drawing>
          <wp:inline distT="0" distB="0" distL="0" distR="0" wp14:anchorId="4FE87BEA" wp14:editId="05DC366A">
            <wp:extent cx="5486400" cy="74898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86400" cy="748983"/>
                    </a:xfrm>
                    <a:prstGeom prst="rect">
                      <a:avLst/>
                    </a:prstGeom>
                    <a:noFill/>
                    <a:ln>
                      <a:noFill/>
                    </a:ln>
                  </pic:spPr>
                </pic:pic>
              </a:graphicData>
            </a:graphic>
          </wp:inline>
        </w:drawing>
      </w:r>
    </w:p>
    <w:p w14:paraId="5F6D63CF" w14:textId="77777777" w:rsidR="00EE29F6" w:rsidRDefault="00EE29F6" w:rsidP="00E27F20">
      <w:pPr>
        <w:pStyle w:val="Paragraph"/>
        <w:numPr>
          <w:ilvl w:val="0"/>
          <w:numId w:val="0"/>
        </w:numPr>
        <w:spacing w:before="0" w:after="0"/>
        <w:ind w:left="720"/>
        <w:jc w:val="center"/>
        <w:rPr>
          <w:rFonts w:ascii="Arial" w:hAnsi="Arial" w:cs="Arial"/>
          <w:sz w:val="22"/>
          <w:highlight w:val="yellow"/>
          <w:lang w:val="es-ES_tradnl"/>
        </w:rPr>
      </w:pPr>
    </w:p>
    <w:p w14:paraId="61387E7B" w14:textId="6160F394" w:rsidR="008C125F" w:rsidRPr="002343D2" w:rsidRDefault="008C125F" w:rsidP="00E27F20">
      <w:pPr>
        <w:pStyle w:val="Paragraph"/>
        <w:numPr>
          <w:ilvl w:val="0"/>
          <w:numId w:val="0"/>
        </w:numPr>
        <w:spacing w:before="0" w:after="0"/>
        <w:ind w:left="720"/>
        <w:jc w:val="center"/>
        <w:rPr>
          <w:rFonts w:ascii="Arial" w:hAnsi="Arial" w:cs="Arial"/>
          <w:sz w:val="22"/>
          <w:lang w:val="es-ES_tradnl"/>
        </w:rPr>
      </w:pPr>
      <w:r w:rsidRPr="002343D2">
        <w:rPr>
          <w:rFonts w:ascii="Arial" w:hAnsi="Arial" w:cs="Arial"/>
          <w:sz w:val="22"/>
          <w:lang w:val="es-ES_tradnl"/>
        </w:rPr>
        <w:t>Tabla 4.C.1 – Menores ganancias de eficiencia</w:t>
      </w:r>
      <w:r w:rsidR="00EE29F6" w:rsidRPr="002343D2">
        <w:rPr>
          <w:rFonts w:ascii="Arial" w:hAnsi="Arial" w:cs="Arial"/>
          <w:sz w:val="22"/>
          <w:lang w:val="es-ES_tradnl"/>
        </w:rPr>
        <w:t xml:space="preserve"> -7%</w:t>
      </w:r>
    </w:p>
    <w:p w14:paraId="61387E7C" w14:textId="77777777" w:rsidR="00E27F20" w:rsidRPr="00D276AC" w:rsidRDefault="0022779A" w:rsidP="00A8436C">
      <w:pPr>
        <w:pStyle w:val="Paragraph"/>
        <w:numPr>
          <w:ilvl w:val="0"/>
          <w:numId w:val="0"/>
        </w:numPr>
        <w:tabs>
          <w:tab w:val="left" w:pos="540"/>
        </w:tabs>
        <w:spacing w:before="0" w:after="0"/>
        <w:ind w:left="540"/>
        <w:jc w:val="center"/>
        <w:rPr>
          <w:rFonts w:ascii="Arial" w:hAnsi="Arial" w:cs="Arial"/>
          <w:sz w:val="22"/>
          <w:highlight w:val="yellow"/>
          <w:lang w:val="es-ES_tradnl"/>
        </w:rPr>
      </w:pPr>
      <w:r w:rsidRPr="00D276AC">
        <w:rPr>
          <w:rFonts w:ascii="Arial" w:hAnsi="Arial" w:cs="Arial"/>
          <w:sz w:val="22"/>
          <w:highlight w:val="yellow"/>
          <w:lang w:val="es-ES_tradnl"/>
        </w:rPr>
        <w:t xml:space="preserve"> </w:t>
      </w:r>
    </w:p>
    <w:p w14:paraId="61387E7D" w14:textId="7813B2D7" w:rsidR="008C125F" w:rsidRPr="00D276AC" w:rsidRDefault="00EE29F6" w:rsidP="00E27F20">
      <w:pPr>
        <w:pStyle w:val="Paragraph"/>
        <w:numPr>
          <w:ilvl w:val="0"/>
          <w:numId w:val="0"/>
        </w:numPr>
        <w:spacing w:before="0" w:after="0"/>
        <w:ind w:left="720"/>
        <w:jc w:val="center"/>
        <w:rPr>
          <w:rFonts w:ascii="Arial" w:hAnsi="Arial" w:cs="Arial"/>
          <w:sz w:val="22"/>
          <w:highlight w:val="yellow"/>
          <w:lang w:val="es-ES_tradnl"/>
        </w:rPr>
      </w:pPr>
      <w:r w:rsidRPr="00EE29F6">
        <w:rPr>
          <w:noProof/>
        </w:rPr>
        <w:drawing>
          <wp:inline distT="0" distB="0" distL="0" distR="0" wp14:anchorId="609F103E" wp14:editId="613038C6">
            <wp:extent cx="5486400" cy="74898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86400" cy="748983"/>
                    </a:xfrm>
                    <a:prstGeom prst="rect">
                      <a:avLst/>
                    </a:prstGeom>
                    <a:noFill/>
                    <a:ln>
                      <a:noFill/>
                    </a:ln>
                  </pic:spPr>
                </pic:pic>
              </a:graphicData>
            </a:graphic>
          </wp:inline>
        </w:drawing>
      </w:r>
    </w:p>
    <w:p w14:paraId="33FF2185" w14:textId="77777777" w:rsidR="00EE29F6" w:rsidRDefault="00EE29F6" w:rsidP="00E27F20">
      <w:pPr>
        <w:pStyle w:val="Paragraph"/>
        <w:numPr>
          <w:ilvl w:val="0"/>
          <w:numId w:val="0"/>
        </w:numPr>
        <w:spacing w:before="0" w:after="0"/>
        <w:ind w:left="720"/>
        <w:jc w:val="center"/>
        <w:rPr>
          <w:rFonts w:ascii="Arial" w:hAnsi="Arial" w:cs="Arial"/>
          <w:sz w:val="22"/>
          <w:highlight w:val="yellow"/>
          <w:lang w:val="es-ES_tradnl"/>
        </w:rPr>
      </w:pPr>
    </w:p>
    <w:p w14:paraId="61387E7E" w14:textId="203B5EDB" w:rsidR="008C125F" w:rsidRPr="002343D2" w:rsidRDefault="008C125F" w:rsidP="00E27F20">
      <w:pPr>
        <w:pStyle w:val="Paragraph"/>
        <w:numPr>
          <w:ilvl w:val="0"/>
          <w:numId w:val="0"/>
        </w:numPr>
        <w:spacing w:before="0" w:after="0"/>
        <w:ind w:left="720"/>
        <w:jc w:val="center"/>
        <w:rPr>
          <w:rFonts w:ascii="Arial" w:hAnsi="Arial" w:cs="Arial"/>
          <w:sz w:val="22"/>
          <w:lang w:val="es-ES_tradnl"/>
        </w:rPr>
      </w:pPr>
      <w:r w:rsidRPr="002343D2">
        <w:rPr>
          <w:rFonts w:ascii="Arial" w:hAnsi="Arial" w:cs="Arial"/>
          <w:sz w:val="22"/>
          <w:lang w:val="es-ES_tradnl"/>
        </w:rPr>
        <w:t>Tabla 4.C.1 – Menores ganancias de eficiencia</w:t>
      </w:r>
      <w:r w:rsidR="00EE29F6" w:rsidRPr="002343D2">
        <w:rPr>
          <w:rFonts w:ascii="Arial" w:hAnsi="Arial" w:cs="Arial"/>
          <w:sz w:val="22"/>
          <w:lang w:val="es-ES_tradnl"/>
        </w:rPr>
        <w:t xml:space="preserve"> -3%</w:t>
      </w:r>
    </w:p>
    <w:p w14:paraId="5FCD6EFD" w14:textId="270C609A" w:rsidR="00EE29F6" w:rsidRDefault="00EE29F6" w:rsidP="00E27F20">
      <w:pPr>
        <w:pStyle w:val="Paragraph"/>
        <w:numPr>
          <w:ilvl w:val="0"/>
          <w:numId w:val="0"/>
        </w:numPr>
        <w:spacing w:before="0" w:after="0"/>
        <w:ind w:left="720"/>
        <w:jc w:val="center"/>
        <w:rPr>
          <w:rFonts w:ascii="Arial" w:hAnsi="Arial" w:cs="Arial"/>
          <w:sz w:val="22"/>
          <w:highlight w:val="yellow"/>
          <w:lang w:val="es-ES_tradnl"/>
        </w:rPr>
      </w:pPr>
    </w:p>
    <w:p w14:paraId="20E2AD0B" w14:textId="193DED24" w:rsidR="00EE29F6" w:rsidRDefault="00EE29F6" w:rsidP="00E27F20">
      <w:pPr>
        <w:pStyle w:val="Paragraph"/>
        <w:numPr>
          <w:ilvl w:val="0"/>
          <w:numId w:val="0"/>
        </w:numPr>
        <w:spacing w:before="0" w:after="0"/>
        <w:ind w:left="720"/>
        <w:jc w:val="center"/>
        <w:rPr>
          <w:rFonts w:ascii="Arial" w:hAnsi="Arial" w:cs="Arial"/>
          <w:sz w:val="22"/>
          <w:highlight w:val="yellow"/>
          <w:lang w:val="es-ES_tradnl"/>
        </w:rPr>
      </w:pPr>
      <w:r w:rsidRPr="00EE29F6">
        <w:rPr>
          <w:noProof/>
        </w:rPr>
        <w:drawing>
          <wp:inline distT="0" distB="0" distL="0" distR="0" wp14:anchorId="1DB5D875" wp14:editId="1DE2E331">
            <wp:extent cx="5486400" cy="74898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86400" cy="748983"/>
                    </a:xfrm>
                    <a:prstGeom prst="rect">
                      <a:avLst/>
                    </a:prstGeom>
                    <a:noFill/>
                    <a:ln>
                      <a:noFill/>
                    </a:ln>
                  </pic:spPr>
                </pic:pic>
              </a:graphicData>
            </a:graphic>
          </wp:inline>
        </w:drawing>
      </w:r>
    </w:p>
    <w:p w14:paraId="496BAB40" w14:textId="77777777" w:rsidR="00EE29F6" w:rsidRPr="00D276AC" w:rsidRDefault="00EE29F6" w:rsidP="00E27F20">
      <w:pPr>
        <w:pStyle w:val="Paragraph"/>
        <w:numPr>
          <w:ilvl w:val="0"/>
          <w:numId w:val="0"/>
        </w:numPr>
        <w:spacing w:before="0" w:after="0"/>
        <w:ind w:left="720"/>
        <w:jc w:val="center"/>
        <w:rPr>
          <w:rFonts w:ascii="Arial" w:hAnsi="Arial" w:cs="Arial"/>
          <w:sz w:val="22"/>
          <w:highlight w:val="yellow"/>
          <w:lang w:val="es-ES_tradnl"/>
        </w:rPr>
      </w:pPr>
    </w:p>
    <w:p w14:paraId="61387E8E" w14:textId="77777777" w:rsidR="008C125F" w:rsidRPr="00D276AC" w:rsidRDefault="008C125F" w:rsidP="008C125F">
      <w:pPr>
        <w:pStyle w:val="Paragraph"/>
        <w:numPr>
          <w:ilvl w:val="0"/>
          <w:numId w:val="0"/>
        </w:numPr>
        <w:spacing w:before="0" w:after="0"/>
        <w:ind w:left="720"/>
        <w:rPr>
          <w:rFonts w:ascii="Arial" w:hAnsi="Arial" w:cs="Arial"/>
          <w:sz w:val="22"/>
          <w:highlight w:val="yellow"/>
          <w:lang w:val="es-ES_tradnl"/>
        </w:rPr>
      </w:pPr>
    </w:p>
    <w:p w14:paraId="07324E49" w14:textId="38DECBFE" w:rsidR="001E1DA6" w:rsidRDefault="001E1DA6" w:rsidP="001E1DA6">
      <w:pPr>
        <w:pStyle w:val="Paragraph"/>
        <w:numPr>
          <w:ilvl w:val="0"/>
          <w:numId w:val="0"/>
        </w:numPr>
        <w:ind w:left="720"/>
        <w:jc w:val="center"/>
        <w:rPr>
          <w:rFonts w:ascii="Arial" w:hAnsi="Arial" w:cs="Arial"/>
          <w:sz w:val="22"/>
          <w:lang w:val="es-ES_tradnl"/>
        </w:rPr>
      </w:pPr>
      <w:r>
        <w:rPr>
          <w:rFonts w:ascii="Arial" w:hAnsi="Arial" w:cs="Arial"/>
          <w:sz w:val="22"/>
          <w:lang w:val="es-ES_tradnl"/>
        </w:rPr>
        <w:t>Tabla 4.D.1 – Menores ganancias por reducción de la corrupción 0.1%</w:t>
      </w:r>
    </w:p>
    <w:p w14:paraId="72365F48" w14:textId="01E55E70" w:rsidR="001E1DA6" w:rsidRDefault="001E1DA6" w:rsidP="001E1DA6">
      <w:pPr>
        <w:pStyle w:val="Paragraph"/>
        <w:numPr>
          <w:ilvl w:val="0"/>
          <w:numId w:val="0"/>
        </w:numPr>
        <w:ind w:left="720"/>
        <w:rPr>
          <w:rFonts w:ascii="Arial" w:hAnsi="Arial" w:cs="Arial"/>
          <w:sz w:val="22"/>
          <w:lang w:val="es-ES_tradnl"/>
        </w:rPr>
      </w:pPr>
      <w:r w:rsidRPr="001E1DA6">
        <w:rPr>
          <w:noProof/>
        </w:rPr>
        <w:drawing>
          <wp:inline distT="0" distB="0" distL="0" distR="0" wp14:anchorId="101F0BAE" wp14:editId="111C6297">
            <wp:extent cx="5486400" cy="111112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86400" cy="1111129"/>
                    </a:xfrm>
                    <a:prstGeom prst="rect">
                      <a:avLst/>
                    </a:prstGeom>
                    <a:noFill/>
                    <a:ln>
                      <a:noFill/>
                    </a:ln>
                  </pic:spPr>
                </pic:pic>
              </a:graphicData>
            </a:graphic>
          </wp:inline>
        </w:drawing>
      </w:r>
    </w:p>
    <w:p w14:paraId="61387E8F" w14:textId="3D2673B9" w:rsidR="00780DA9" w:rsidRPr="00184E19" w:rsidRDefault="007917B1" w:rsidP="003672F3">
      <w:pPr>
        <w:pStyle w:val="Paragraph"/>
        <w:tabs>
          <w:tab w:val="clear" w:pos="2448"/>
          <w:tab w:val="num" w:pos="720"/>
        </w:tabs>
        <w:ind w:left="720" w:hanging="720"/>
        <w:rPr>
          <w:rFonts w:ascii="Arial" w:hAnsi="Arial" w:cs="Arial"/>
          <w:sz w:val="22"/>
          <w:lang w:val="es-ES_tradnl"/>
        </w:rPr>
      </w:pPr>
      <w:r w:rsidRPr="00184E19">
        <w:rPr>
          <w:rFonts w:ascii="Arial" w:hAnsi="Arial" w:cs="Arial"/>
          <w:sz w:val="22"/>
          <w:lang w:val="es-ES_tradnl"/>
        </w:rPr>
        <w:t xml:space="preserve">La </w:t>
      </w:r>
      <w:r w:rsidRPr="002343D2">
        <w:rPr>
          <w:rFonts w:ascii="Arial" w:hAnsi="Arial" w:cs="Arial"/>
          <w:sz w:val="22"/>
          <w:lang w:val="es-ES_tradnl"/>
        </w:rPr>
        <w:t>tabla 4.E.1 presenta</w:t>
      </w:r>
      <w:r w:rsidRPr="00184E19">
        <w:rPr>
          <w:rFonts w:ascii="Arial" w:hAnsi="Arial" w:cs="Arial"/>
          <w:sz w:val="22"/>
          <w:lang w:val="es-ES_tradnl"/>
        </w:rPr>
        <w:t xml:space="preserve"> en forma sintética la información contenida en esta sección. Como puede verse, el VPN permanece positivo para una amplia gama de configuraciones de parámetros.</w:t>
      </w:r>
    </w:p>
    <w:p w14:paraId="61387E90" w14:textId="2F123126" w:rsidR="008820C2" w:rsidRDefault="008820C2" w:rsidP="008820C2">
      <w:pPr>
        <w:pStyle w:val="Paragraph"/>
        <w:numPr>
          <w:ilvl w:val="0"/>
          <w:numId w:val="0"/>
        </w:numPr>
        <w:ind w:left="720"/>
        <w:rPr>
          <w:rFonts w:ascii="Arial" w:hAnsi="Arial" w:cs="Arial"/>
          <w:sz w:val="22"/>
          <w:highlight w:val="yellow"/>
          <w:lang w:val="es-ES_tradnl"/>
        </w:rPr>
      </w:pPr>
    </w:p>
    <w:p w14:paraId="67F444C9" w14:textId="419DD219" w:rsidR="00410D44" w:rsidRDefault="00410D44" w:rsidP="008820C2">
      <w:pPr>
        <w:pStyle w:val="Paragraph"/>
        <w:numPr>
          <w:ilvl w:val="0"/>
          <w:numId w:val="0"/>
        </w:numPr>
        <w:ind w:left="720"/>
        <w:rPr>
          <w:rFonts w:ascii="Arial" w:hAnsi="Arial" w:cs="Arial"/>
          <w:sz w:val="22"/>
          <w:highlight w:val="yellow"/>
          <w:lang w:val="es-ES_tradnl"/>
        </w:rPr>
      </w:pPr>
    </w:p>
    <w:p w14:paraId="5E91E9BD" w14:textId="77777777" w:rsidR="00410D44" w:rsidRPr="00D276AC" w:rsidRDefault="00410D44" w:rsidP="008820C2">
      <w:pPr>
        <w:pStyle w:val="Paragraph"/>
        <w:numPr>
          <w:ilvl w:val="0"/>
          <w:numId w:val="0"/>
        </w:numPr>
        <w:ind w:left="720"/>
        <w:rPr>
          <w:rFonts w:ascii="Arial" w:hAnsi="Arial" w:cs="Arial"/>
          <w:sz w:val="22"/>
          <w:highlight w:val="yellow"/>
          <w:lang w:val="es-ES_tradnl"/>
        </w:rPr>
      </w:pPr>
    </w:p>
    <w:p w14:paraId="61387E91" w14:textId="77777777" w:rsidR="00F8780A" w:rsidRPr="002343D2" w:rsidRDefault="00F8780A" w:rsidP="008820C2">
      <w:pPr>
        <w:spacing w:after="0" w:line="240" w:lineRule="auto"/>
        <w:jc w:val="center"/>
        <w:rPr>
          <w:rFonts w:ascii="Arial" w:hAnsi="Arial" w:cs="Arial"/>
          <w:lang w:val="es-ES_tradnl"/>
        </w:rPr>
      </w:pPr>
      <w:r w:rsidRPr="002343D2">
        <w:rPr>
          <w:rFonts w:ascii="Arial" w:hAnsi="Arial" w:cs="Arial"/>
          <w:lang w:val="es-ES_tradnl"/>
        </w:rPr>
        <w:lastRenderedPageBreak/>
        <w:t>Tabla 4.E.1 Resumen</w:t>
      </w:r>
    </w:p>
    <w:p w14:paraId="61387E92" w14:textId="59FB126B" w:rsidR="00B82A24" w:rsidRPr="00A85F45" w:rsidRDefault="00B82A24" w:rsidP="008820C2">
      <w:pPr>
        <w:pStyle w:val="Paragraph"/>
        <w:numPr>
          <w:ilvl w:val="0"/>
          <w:numId w:val="0"/>
        </w:numPr>
        <w:spacing w:before="0" w:after="0"/>
        <w:ind w:left="720"/>
        <w:jc w:val="center"/>
        <w:rPr>
          <w:rFonts w:ascii="Arial" w:hAnsi="Arial" w:cs="Arial"/>
          <w:sz w:val="22"/>
          <w:lang w:val="es-ES_tradnl"/>
        </w:rPr>
      </w:pPr>
      <w:r w:rsidRPr="00A85F45">
        <w:rPr>
          <w:rFonts w:ascii="Arial" w:hAnsi="Arial" w:cs="Arial"/>
          <w:sz w:val="22"/>
          <w:lang w:val="es-ES_tradnl"/>
        </w:rPr>
        <w:t>Variaciones en parámetros y VPN (millones US$)</w:t>
      </w:r>
    </w:p>
    <w:p w14:paraId="61387E93" w14:textId="20AA639D" w:rsidR="00F8780A" w:rsidRPr="00D276AC" w:rsidRDefault="00443F25" w:rsidP="00443F25">
      <w:pPr>
        <w:pStyle w:val="Paragraph"/>
        <w:numPr>
          <w:ilvl w:val="0"/>
          <w:numId w:val="0"/>
        </w:numPr>
        <w:tabs>
          <w:tab w:val="left" w:pos="270"/>
        </w:tabs>
        <w:ind w:left="360"/>
        <w:rPr>
          <w:rFonts w:ascii="Arial" w:hAnsi="Arial" w:cs="Arial"/>
          <w:sz w:val="22"/>
          <w:highlight w:val="yellow"/>
          <w:lang w:val="es-ES_tradnl"/>
        </w:rPr>
      </w:pPr>
      <w:r w:rsidRPr="00443F25">
        <w:rPr>
          <w:noProof/>
        </w:rPr>
        <w:drawing>
          <wp:inline distT="0" distB="0" distL="0" distR="0" wp14:anchorId="5BCF695B" wp14:editId="3EFF3192">
            <wp:extent cx="6073741" cy="7461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52720" cy="755852"/>
                    </a:xfrm>
                    <a:prstGeom prst="rect">
                      <a:avLst/>
                    </a:prstGeom>
                    <a:noFill/>
                    <a:ln>
                      <a:noFill/>
                    </a:ln>
                  </pic:spPr>
                </pic:pic>
              </a:graphicData>
            </a:graphic>
          </wp:inline>
        </w:drawing>
      </w:r>
    </w:p>
    <w:p w14:paraId="61387E94" w14:textId="77777777" w:rsidR="008820C2" w:rsidRPr="00D276AC" w:rsidRDefault="008820C2" w:rsidP="00F8780A">
      <w:pPr>
        <w:pStyle w:val="Paragraph"/>
        <w:numPr>
          <w:ilvl w:val="0"/>
          <w:numId w:val="0"/>
        </w:numPr>
        <w:ind w:left="720"/>
        <w:rPr>
          <w:rFonts w:ascii="Arial" w:hAnsi="Arial" w:cs="Arial"/>
          <w:sz w:val="22"/>
          <w:highlight w:val="yellow"/>
          <w:lang w:val="es-ES_tradnl"/>
        </w:rPr>
      </w:pPr>
    </w:p>
    <w:p w14:paraId="61387E95" w14:textId="77777777" w:rsidR="005F6574" w:rsidRPr="00184E19" w:rsidRDefault="00B82A24" w:rsidP="005F6574">
      <w:pPr>
        <w:pStyle w:val="Chapter"/>
        <w:rPr>
          <w:rFonts w:ascii="Arial" w:hAnsi="Arial" w:cs="Arial"/>
          <w:sz w:val="22"/>
          <w:lang w:val="es-ES_tradnl"/>
        </w:rPr>
      </w:pPr>
      <w:bookmarkStart w:id="9" w:name="_Toc489439263"/>
      <w:r w:rsidRPr="00184E19">
        <w:rPr>
          <w:rFonts w:ascii="Arial" w:hAnsi="Arial" w:cs="Arial"/>
          <w:sz w:val="22"/>
          <w:lang w:val="es-ES_tradnl"/>
        </w:rPr>
        <w:t>Conclusión y recomendación</w:t>
      </w:r>
      <w:bookmarkEnd w:id="9"/>
    </w:p>
    <w:p w14:paraId="61387E97" w14:textId="42917222" w:rsidR="00084F1E" w:rsidRPr="00184E19" w:rsidRDefault="001B4BCD">
      <w:pPr>
        <w:pStyle w:val="Paragraph"/>
        <w:tabs>
          <w:tab w:val="clear" w:pos="2448"/>
          <w:tab w:val="num" w:pos="720"/>
        </w:tabs>
        <w:ind w:left="720" w:hanging="720"/>
        <w:rPr>
          <w:rFonts w:ascii="Arial" w:hAnsi="Arial" w:cs="Arial"/>
          <w:sz w:val="22"/>
          <w:lang w:val="es-ES_tradnl"/>
        </w:rPr>
      </w:pPr>
      <w:r w:rsidRPr="00184E19">
        <w:rPr>
          <w:rFonts w:ascii="Arial" w:hAnsi="Arial" w:cs="Arial"/>
          <w:sz w:val="22"/>
          <w:lang w:val="es-ES_tradnl"/>
        </w:rPr>
        <w:t xml:space="preserve">Para aproximar </w:t>
      </w:r>
      <w:r w:rsidR="00184E19" w:rsidRPr="00184E19">
        <w:rPr>
          <w:rFonts w:ascii="Arial" w:hAnsi="Arial" w:cs="Arial"/>
          <w:sz w:val="22"/>
          <w:lang w:val="es-ES_tradnl"/>
        </w:rPr>
        <w:t xml:space="preserve">la contribución económica de la operación </w:t>
      </w:r>
      <w:r w:rsidRPr="00184E19">
        <w:rPr>
          <w:rFonts w:ascii="Arial" w:hAnsi="Arial" w:cs="Arial"/>
          <w:sz w:val="22"/>
          <w:lang w:val="es-ES_tradnl"/>
        </w:rPr>
        <w:t xml:space="preserve">se ha optado por la utilización de un modelo de equilibrio general de desarrollo financiero que ha sido utilizado ya en otras operaciones similares dada su flexibilidad para acomodar los lineamientos conceptuales de la reforma. </w:t>
      </w:r>
      <w:r w:rsidR="00096EE8" w:rsidRPr="00184E19">
        <w:rPr>
          <w:rFonts w:ascii="Arial" w:hAnsi="Arial" w:cs="Arial"/>
          <w:sz w:val="22"/>
          <w:lang w:val="es-ES_tradnl"/>
        </w:rPr>
        <w:t>Dicho modelo es, por construcción, una reducción en el sentido que no mapea una a una las medidas con parámetros específicos.</w:t>
      </w:r>
      <w:r w:rsidR="00184E19" w:rsidRPr="00184E19">
        <w:rPr>
          <w:rFonts w:ascii="Arial" w:hAnsi="Arial" w:cs="Arial"/>
          <w:sz w:val="22"/>
          <w:lang w:val="es-ES_tradnl"/>
        </w:rPr>
        <w:t xml:space="preserve"> En adición a esto, de manera complementaria, se ha estimado el impacto esperado de un conjunto de medidas de transparencia utilizando elasticidades PIB-corrupción.</w:t>
      </w:r>
      <w:r w:rsidR="000950F9" w:rsidRPr="00184E19">
        <w:rPr>
          <w:rFonts w:ascii="Arial" w:hAnsi="Arial" w:cs="Arial"/>
          <w:sz w:val="22"/>
          <w:lang w:val="es-ES_tradnl"/>
        </w:rPr>
        <w:t xml:space="preserve"> </w:t>
      </w:r>
    </w:p>
    <w:p w14:paraId="61387E98" w14:textId="6F3F3BFA" w:rsidR="00FA739A" w:rsidRPr="00184E19" w:rsidRDefault="003A5118" w:rsidP="004D2164">
      <w:pPr>
        <w:pStyle w:val="Paragraph"/>
        <w:tabs>
          <w:tab w:val="clear" w:pos="2448"/>
          <w:tab w:val="num" w:pos="720"/>
        </w:tabs>
        <w:ind w:left="720" w:hanging="720"/>
        <w:rPr>
          <w:rFonts w:ascii="Arial" w:hAnsi="Arial" w:cs="Arial"/>
          <w:sz w:val="22"/>
          <w:lang w:val="es-ES_tradnl"/>
        </w:rPr>
      </w:pPr>
      <w:r w:rsidRPr="00184E19">
        <w:rPr>
          <w:rFonts w:ascii="Arial" w:hAnsi="Arial" w:cs="Arial"/>
          <w:sz w:val="22"/>
          <w:lang w:val="es-ES_tradnl"/>
        </w:rPr>
        <w:t>En base a las consideraciones anteriores, e</w:t>
      </w:r>
      <w:r w:rsidR="00795F2D" w:rsidRPr="00184E19">
        <w:rPr>
          <w:rFonts w:ascii="Arial" w:hAnsi="Arial" w:cs="Arial"/>
          <w:sz w:val="22"/>
          <w:lang w:val="es-ES_tradnl"/>
        </w:rPr>
        <w:t xml:space="preserve">l presente análisis costo beneficio muestra que los beneficios actualizados superan los costos actualizados bajo un escenario de supuestos razonables. El VPN de los incrementos en valor agregado del país proyectado por </w:t>
      </w:r>
      <w:r w:rsidR="00CD7019">
        <w:rPr>
          <w:rFonts w:ascii="Arial" w:hAnsi="Arial" w:cs="Arial"/>
          <w:sz w:val="22"/>
          <w:lang w:val="es-ES_tradnl"/>
        </w:rPr>
        <w:t>un periodo de 10 años es de US$</w:t>
      </w:r>
      <w:r w:rsidR="002343D2">
        <w:rPr>
          <w:rFonts w:ascii="Arial" w:hAnsi="Arial" w:cs="Arial"/>
          <w:sz w:val="22"/>
          <w:lang w:val="es-ES_tradnl"/>
        </w:rPr>
        <w:t>1.4</w:t>
      </w:r>
      <w:r w:rsidR="00612232" w:rsidRPr="00184E19">
        <w:rPr>
          <w:rFonts w:ascii="Arial" w:hAnsi="Arial" w:cs="Arial"/>
          <w:sz w:val="22"/>
          <w:lang w:val="es-ES_tradnl"/>
        </w:rPr>
        <w:t xml:space="preserve"> </w:t>
      </w:r>
      <w:r w:rsidR="00F643F4" w:rsidRPr="00184E19">
        <w:rPr>
          <w:rFonts w:ascii="Arial" w:hAnsi="Arial" w:cs="Arial"/>
          <w:sz w:val="22"/>
          <w:lang w:val="es-ES_tradnl"/>
        </w:rPr>
        <w:t xml:space="preserve">mil </w:t>
      </w:r>
      <w:r w:rsidR="00795F2D" w:rsidRPr="00184E19">
        <w:rPr>
          <w:rFonts w:ascii="Arial" w:hAnsi="Arial" w:cs="Arial"/>
          <w:sz w:val="22"/>
          <w:lang w:val="es-ES_tradnl"/>
        </w:rPr>
        <w:t>millones en el escenario central. Adicionalmente, el programa posee un alto grado de tolerancia</w:t>
      </w:r>
      <w:r w:rsidR="001610DD">
        <w:rPr>
          <w:rFonts w:ascii="Arial" w:hAnsi="Arial" w:cs="Arial"/>
          <w:sz w:val="22"/>
          <w:lang w:val="es-ES_tradnl"/>
        </w:rPr>
        <w:t xml:space="preserve"> al impacto efectivos sobre los parámetros </w:t>
      </w:r>
      <w:r w:rsidR="00795F2D" w:rsidRPr="00184E19">
        <w:rPr>
          <w:rFonts w:ascii="Arial" w:hAnsi="Arial" w:cs="Arial"/>
          <w:sz w:val="22"/>
          <w:lang w:val="es-ES_tradnl"/>
        </w:rPr>
        <w:t>de interés. Es por ello que el equipo de proyecto recomienda que el BID apruebe el financiamiento del presente programa.</w:t>
      </w:r>
    </w:p>
    <w:p w14:paraId="61387E99" w14:textId="77777777" w:rsidR="00943E0A" w:rsidRPr="00EB0219" w:rsidRDefault="00943E0A">
      <w:pPr>
        <w:rPr>
          <w:rFonts w:ascii="Arial" w:hAnsi="Arial" w:cs="Arial"/>
          <w:lang w:val="es-ES_tradnl"/>
        </w:rPr>
      </w:pPr>
    </w:p>
    <w:p w14:paraId="61387E9A" w14:textId="77777777" w:rsidR="00484B4D" w:rsidRPr="00EB0219" w:rsidRDefault="00484B4D">
      <w:pPr>
        <w:rPr>
          <w:rFonts w:ascii="Arial" w:hAnsi="Arial" w:cs="Arial"/>
          <w:lang w:val="es-ES_tradnl"/>
        </w:rPr>
      </w:pPr>
    </w:p>
    <w:sectPr w:rsidR="00484B4D" w:rsidRPr="00EB0219" w:rsidSect="00E31E6F">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7F569" w14:textId="77777777" w:rsidR="00B61D3E" w:rsidRDefault="00B61D3E" w:rsidP="00B7120A">
      <w:pPr>
        <w:spacing w:after="0" w:line="240" w:lineRule="auto"/>
      </w:pPr>
      <w:r>
        <w:separator/>
      </w:r>
    </w:p>
  </w:endnote>
  <w:endnote w:type="continuationSeparator" w:id="0">
    <w:p w14:paraId="627A20D6" w14:textId="77777777" w:rsidR="00B61D3E" w:rsidRDefault="00B61D3E" w:rsidP="00B7120A">
      <w:pPr>
        <w:spacing w:after="0" w:line="240" w:lineRule="auto"/>
      </w:pPr>
      <w:r>
        <w:continuationSeparator/>
      </w:r>
    </w:p>
  </w:endnote>
  <w:endnote w:type="continuationNotice" w:id="1">
    <w:p w14:paraId="04129FB0" w14:textId="77777777" w:rsidR="00B61D3E" w:rsidRDefault="00B61D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DFD8B" w14:textId="77777777" w:rsidR="00B61D3E" w:rsidRDefault="00B61D3E" w:rsidP="00B7120A">
      <w:pPr>
        <w:spacing w:after="0" w:line="240" w:lineRule="auto"/>
      </w:pPr>
      <w:r>
        <w:separator/>
      </w:r>
    </w:p>
  </w:footnote>
  <w:footnote w:type="continuationSeparator" w:id="0">
    <w:p w14:paraId="5B64D22F" w14:textId="77777777" w:rsidR="00B61D3E" w:rsidRDefault="00B61D3E" w:rsidP="00B7120A">
      <w:pPr>
        <w:spacing w:after="0" w:line="240" w:lineRule="auto"/>
      </w:pPr>
      <w:r>
        <w:continuationSeparator/>
      </w:r>
    </w:p>
  </w:footnote>
  <w:footnote w:type="continuationNotice" w:id="1">
    <w:p w14:paraId="47125A8C" w14:textId="77777777" w:rsidR="00B61D3E" w:rsidRDefault="00B61D3E">
      <w:pPr>
        <w:spacing w:after="0" w:line="240" w:lineRule="auto"/>
      </w:pPr>
    </w:p>
  </w:footnote>
  <w:footnote w:id="2">
    <w:p w14:paraId="6D184878" w14:textId="77777777" w:rsidR="006C5339" w:rsidRPr="00410D44" w:rsidRDefault="006C5339" w:rsidP="00570875">
      <w:pPr>
        <w:pStyle w:val="FootnoteText"/>
        <w:spacing w:after="0"/>
        <w:rPr>
          <w:rFonts w:ascii="Arial" w:hAnsi="Arial" w:cs="Arial"/>
          <w:sz w:val="18"/>
          <w:szCs w:val="18"/>
          <w:lang w:val="es-ES_tradnl"/>
        </w:rPr>
      </w:pPr>
      <w:r w:rsidRPr="006D4B46">
        <w:rPr>
          <w:rStyle w:val="FootnoteReference"/>
          <w:rFonts w:ascii="Arial" w:hAnsi="Arial" w:cs="Arial"/>
          <w:sz w:val="18"/>
          <w:szCs w:val="18"/>
        </w:rPr>
        <w:footnoteRef/>
      </w:r>
      <w:r w:rsidRPr="00B36857">
        <w:rPr>
          <w:rFonts w:ascii="Arial" w:hAnsi="Arial" w:cs="Arial"/>
          <w:sz w:val="18"/>
          <w:szCs w:val="18"/>
          <w:lang w:val="es-ES_tradnl"/>
        </w:rPr>
        <w:t xml:space="preserve"> </w:t>
      </w:r>
      <w:r w:rsidRPr="00B36857">
        <w:rPr>
          <w:rFonts w:ascii="Arial" w:hAnsi="Arial" w:cs="Arial"/>
          <w:sz w:val="18"/>
          <w:szCs w:val="18"/>
          <w:lang w:val="es-ES_tradnl"/>
        </w:rPr>
        <w:tab/>
      </w:r>
      <w:r w:rsidRPr="00410D44">
        <w:rPr>
          <w:rFonts w:ascii="Arial" w:hAnsi="Arial" w:cs="Arial"/>
          <w:sz w:val="18"/>
          <w:szCs w:val="18"/>
          <w:lang w:val="es-ES_tradnl"/>
        </w:rPr>
        <w:t>Banco Central de Paraguay (2017).</w:t>
      </w:r>
    </w:p>
  </w:footnote>
  <w:footnote w:id="3">
    <w:p w14:paraId="57A102D4" w14:textId="77777777" w:rsidR="006C5339" w:rsidRPr="00410D44" w:rsidRDefault="006C5339" w:rsidP="00570875">
      <w:pPr>
        <w:pStyle w:val="FootnoteText"/>
        <w:spacing w:after="0"/>
        <w:rPr>
          <w:rFonts w:ascii="Arial" w:hAnsi="Arial" w:cs="Arial"/>
          <w:sz w:val="18"/>
          <w:szCs w:val="18"/>
          <w:lang w:val="es-ES_tradnl"/>
        </w:rPr>
      </w:pPr>
      <w:r w:rsidRPr="00410D44">
        <w:rPr>
          <w:rStyle w:val="FootnoteReference"/>
          <w:rFonts w:ascii="Arial" w:hAnsi="Arial" w:cs="Arial"/>
          <w:sz w:val="18"/>
          <w:szCs w:val="18"/>
        </w:rPr>
        <w:footnoteRef/>
      </w:r>
      <w:r w:rsidRPr="00410D44">
        <w:rPr>
          <w:rFonts w:ascii="Arial" w:hAnsi="Arial" w:cs="Arial"/>
          <w:sz w:val="18"/>
          <w:szCs w:val="18"/>
          <w:lang w:val="es-ES_tradnl"/>
        </w:rPr>
        <w:t xml:space="preserve"> </w:t>
      </w:r>
      <w:r w:rsidRPr="00410D44">
        <w:rPr>
          <w:rFonts w:ascii="Arial" w:hAnsi="Arial" w:cs="Arial"/>
          <w:sz w:val="18"/>
          <w:szCs w:val="18"/>
          <w:lang w:val="es-ES_tradnl"/>
        </w:rPr>
        <w:tab/>
        <w:t xml:space="preserve">Fondo Monetario Internacional – FMI (2016), </w:t>
      </w:r>
      <w:r w:rsidRPr="00410D44">
        <w:rPr>
          <w:rFonts w:ascii="Arial" w:hAnsi="Arial" w:cs="Arial"/>
          <w:i/>
          <w:sz w:val="18"/>
          <w:szCs w:val="18"/>
          <w:lang w:val="es-ES_tradnl"/>
        </w:rPr>
        <w:t>Artículo IV</w:t>
      </w:r>
      <w:r w:rsidRPr="00410D44">
        <w:rPr>
          <w:rFonts w:ascii="Arial" w:hAnsi="Arial" w:cs="Arial"/>
          <w:sz w:val="18"/>
          <w:szCs w:val="18"/>
          <w:lang w:val="es-ES_tradnl"/>
        </w:rPr>
        <w:t xml:space="preserve">. </w:t>
      </w:r>
    </w:p>
  </w:footnote>
  <w:footnote w:id="4">
    <w:p w14:paraId="0BF85B77" w14:textId="77777777" w:rsidR="006C5339" w:rsidRPr="00410D44" w:rsidRDefault="006C5339" w:rsidP="00570875">
      <w:pPr>
        <w:pStyle w:val="FootnoteText"/>
        <w:spacing w:after="0"/>
        <w:rPr>
          <w:rFonts w:ascii="Arial" w:hAnsi="Arial" w:cs="Arial"/>
          <w:sz w:val="18"/>
          <w:szCs w:val="18"/>
          <w:lang w:val="es-ES_tradnl"/>
        </w:rPr>
      </w:pPr>
      <w:r w:rsidRPr="00410D44">
        <w:rPr>
          <w:rStyle w:val="FootnoteReference"/>
          <w:rFonts w:ascii="Arial" w:hAnsi="Arial" w:cs="Arial"/>
          <w:sz w:val="18"/>
          <w:szCs w:val="18"/>
        </w:rPr>
        <w:footnoteRef/>
      </w:r>
      <w:r w:rsidRPr="00410D44">
        <w:rPr>
          <w:rFonts w:ascii="Arial" w:hAnsi="Arial" w:cs="Arial"/>
          <w:sz w:val="18"/>
          <w:szCs w:val="18"/>
          <w:lang w:val="es-ES_tradnl"/>
        </w:rPr>
        <w:t xml:space="preserve"> </w:t>
      </w:r>
      <w:r w:rsidRPr="00410D44">
        <w:rPr>
          <w:rFonts w:ascii="Arial" w:hAnsi="Arial" w:cs="Arial"/>
          <w:sz w:val="18"/>
          <w:szCs w:val="18"/>
          <w:lang w:val="es-ES_tradnl"/>
        </w:rPr>
        <w:tab/>
        <w:t xml:space="preserve">Banco Mundial (2017), </w:t>
      </w:r>
      <w:proofErr w:type="spellStart"/>
      <w:r w:rsidRPr="00410D44">
        <w:rPr>
          <w:rFonts w:ascii="Arial" w:hAnsi="Arial" w:cs="Arial"/>
          <w:i/>
          <w:sz w:val="18"/>
          <w:szCs w:val="18"/>
          <w:lang w:val="es-ES_tradnl"/>
        </w:rPr>
        <w:t>World</w:t>
      </w:r>
      <w:proofErr w:type="spellEnd"/>
      <w:r w:rsidRPr="00410D44">
        <w:rPr>
          <w:rFonts w:ascii="Arial" w:hAnsi="Arial" w:cs="Arial"/>
          <w:i/>
          <w:sz w:val="18"/>
          <w:szCs w:val="18"/>
          <w:lang w:val="es-ES_tradnl"/>
        </w:rPr>
        <w:t xml:space="preserve"> </w:t>
      </w:r>
      <w:proofErr w:type="spellStart"/>
      <w:r w:rsidRPr="00410D44">
        <w:rPr>
          <w:rFonts w:ascii="Arial" w:hAnsi="Arial" w:cs="Arial"/>
          <w:i/>
          <w:sz w:val="18"/>
          <w:szCs w:val="18"/>
          <w:lang w:val="es-ES_tradnl"/>
        </w:rPr>
        <w:t>Development</w:t>
      </w:r>
      <w:proofErr w:type="spellEnd"/>
      <w:r w:rsidRPr="00410D44">
        <w:rPr>
          <w:rFonts w:ascii="Arial" w:hAnsi="Arial" w:cs="Arial"/>
          <w:i/>
          <w:sz w:val="18"/>
          <w:szCs w:val="18"/>
          <w:lang w:val="es-ES_tradnl"/>
        </w:rPr>
        <w:t xml:space="preserve"> </w:t>
      </w:r>
      <w:proofErr w:type="spellStart"/>
      <w:r w:rsidRPr="00410D44">
        <w:rPr>
          <w:rFonts w:ascii="Arial" w:hAnsi="Arial" w:cs="Arial"/>
          <w:i/>
          <w:sz w:val="18"/>
          <w:szCs w:val="18"/>
          <w:lang w:val="es-ES_tradnl"/>
        </w:rPr>
        <w:t>Indicators</w:t>
      </w:r>
      <w:proofErr w:type="spellEnd"/>
      <w:r w:rsidRPr="00410D44">
        <w:rPr>
          <w:rFonts w:ascii="Arial" w:hAnsi="Arial" w:cs="Arial"/>
          <w:i/>
          <w:sz w:val="18"/>
          <w:szCs w:val="18"/>
          <w:lang w:val="es-ES_tradnl"/>
        </w:rPr>
        <w:t>.</w:t>
      </w:r>
    </w:p>
  </w:footnote>
  <w:footnote w:id="5">
    <w:p w14:paraId="51D9983B" w14:textId="77777777" w:rsidR="006C5339" w:rsidRPr="00DD27D1" w:rsidRDefault="006C5339" w:rsidP="00570875">
      <w:pPr>
        <w:autoSpaceDE w:val="0"/>
        <w:autoSpaceDN w:val="0"/>
        <w:adjustRightInd w:val="0"/>
        <w:spacing w:after="0" w:line="240" w:lineRule="auto"/>
        <w:ind w:left="288" w:hanging="288"/>
        <w:jc w:val="both"/>
        <w:rPr>
          <w:rFonts w:ascii="Arial" w:hAnsi="Arial" w:cs="Arial"/>
          <w:sz w:val="18"/>
          <w:szCs w:val="18"/>
          <w:lang w:val="es-ES_tradnl"/>
        </w:rPr>
      </w:pPr>
      <w:r w:rsidRPr="00410D44">
        <w:rPr>
          <w:rStyle w:val="FootnoteReference"/>
          <w:rFonts w:ascii="Arial" w:hAnsi="Arial" w:cs="Arial"/>
          <w:sz w:val="18"/>
          <w:szCs w:val="18"/>
        </w:rPr>
        <w:footnoteRef/>
      </w:r>
      <w:r w:rsidRPr="00410D44">
        <w:rPr>
          <w:rFonts w:ascii="Arial" w:hAnsi="Arial" w:cs="Arial"/>
          <w:sz w:val="18"/>
          <w:szCs w:val="18"/>
          <w:lang w:val="es-ES_tradnl"/>
        </w:rPr>
        <w:t xml:space="preserve"> </w:t>
      </w:r>
      <w:r w:rsidRPr="00410D44">
        <w:rPr>
          <w:rFonts w:ascii="Arial" w:hAnsi="Arial" w:cs="Arial"/>
          <w:sz w:val="18"/>
          <w:szCs w:val="18"/>
          <w:lang w:val="es-ES_tradnl"/>
        </w:rPr>
        <w:tab/>
        <w:t xml:space="preserve">Sobre la relación entre productividad y crecimiento económico, véase BID (2014), </w:t>
      </w:r>
      <w:r w:rsidRPr="00DD27D1">
        <w:rPr>
          <w:rFonts w:ascii="Arial" w:hAnsi="Arial" w:cs="Arial"/>
          <w:sz w:val="18"/>
          <w:szCs w:val="18"/>
          <w:lang w:val="es-ES_tradnl"/>
        </w:rPr>
        <w:t xml:space="preserve">Marco Sectorial de Apoyo para </w:t>
      </w:r>
      <w:proofErr w:type="spellStart"/>
      <w:r w:rsidRPr="00DD27D1">
        <w:rPr>
          <w:rFonts w:ascii="Arial" w:hAnsi="Arial" w:cs="Arial"/>
          <w:sz w:val="18"/>
          <w:szCs w:val="18"/>
          <w:lang w:val="es-ES_tradnl"/>
        </w:rPr>
        <w:t>PyME</w:t>
      </w:r>
      <w:proofErr w:type="spellEnd"/>
      <w:r w:rsidRPr="00DD27D1">
        <w:rPr>
          <w:rFonts w:ascii="Arial" w:hAnsi="Arial" w:cs="Arial"/>
          <w:sz w:val="18"/>
          <w:szCs w:val="18"/>
          <w:lang w:val="es-ES_tradnl"/>
        </w:rPr>
        <w:t>, Acceso y Supervisión Financieros.</w:t>
      </w:r>
    </w:p>
  </w:footnote>
  <w:footnote w:id="6">
    <w:p w14:paraId="23B1EB86" w14:textId="77777777" w:rsidR="006C5339" w:rsidRPr="00410D44" w:rsidRDefault="006C5339" w:rsidP="00570875">
      <w:pPr>
        <w:pStyle w:val="FootnoteText"/>
        <w:spacing w:after="0"/>
        <w:rPr>
          <w:rFonts w:ascii="Arial" w:hAnsi="Arial" w:cs="Arial"/>
          <w:sz w:val="18"/>
          <w:szCs w:val="18"/>
        </w:rPr>
      </w:pPr>
      <w:r w:rsidRPr="00410D44">
        <w:rPr>
          <w:rStyle w:val="FootnoteReference"/>
          <w:rFonts w:ascii="Arial" w:hAnsi="Arial" w:cs="Arial"/>
          <w:sz w:val="18"/>
          <w:szCs w:val="18"/>
        </w:rPr>
        <w:footnoteRef/>
      </w:r>
      <w:r w:rsidRPr="00410D44">
        <w:rPr>
          <w:rFonts w:ascii="Arial" w:hAnsi="Arial" w:cs="Arial"/>
          <w:sz w:val="18"/>
          <w:szCs w:val="18"/>
        </w:rPr>
        <w:t xml:space="preserve"> </w:t>
      </w:r>
      <w:r w:rsidRPr="00410D44">
        <w:rPr>
          <w:rFonts w:ascii="Arial" w:hAnsi="Arial" w:cs="Arial"/>
          <w:sz w:val="18"/>
          <w:szCs w:val="18"/>
        </w:rPr>
        <w:tab/>
      </w:r>
      <w:proofErr w:type="spellStart"/>
      <w:r w:rsidRPr="00410D44">
        <w:rPr>
          <w:rFonts w:ascii="Arial" w:hAnsi="Arial" w:cs="Arial"/>
          <w:sz w:val="18"/>
          <w:szCs w:val="18"/>
        </w:rPr>
        <w:t>Feenstra</w:t>
      </w:r>
      <w:proofErr w:type="spellEnd"/>
      <w:r w:rsidRPr="00410D44">
        <w:rPr>
          <w:rFonts w:ascii="Arial" w:hAnsi="Arial" w:cs="Arial"/>
          <w:sz w:val="18"/>
          <w:szCs w:val="18"/>
        </w:rPr>
        <w:t xml:space="preserve">, R. y </w:t>
      </w:r>
      <w:proofErr w:type="spellStart"/>
      <w:r w:rsidRPr="00410D44">
        <w:rPr>
          <w:rFonts w:ascii="Arial" w:hAnsi="Arial" w:cs="Arial"/>
          <w:sz w:val="18"/>
          <w:szCs w:val="18"/>
        </w:rPr>
        <w:t>otros</w:t>
      </w:r>
      <w:proofErr w:type="spellEnd"/>
      <w:r w:rsidRPr="00410D44">
        <w:rPr>
          <w:rFonts w:ascii="Arial" w:hAnsi="Arial" w:cs="Arial"/>
          <w:sz w:val="18"/>
          <w:szCs w:val="18"/>
        </w:rPr>
        <w:t>. (2015), "</w:t>
      </w:r>
      <w:r w:rsidRPr="00DD27D1">
        <w:rPr>
          <w:rFonts w:ascii="Arial" w:hAnsi="Arial" w:cs="Arial"/>
          <w:i/>
          <w:sz w:val="18"/>
          <w:szCs w:val="18"/>
        </w:rPr>
        <w:t>The Next Generation of the Penn World Table</w:t>
      </w:r>
      <w:r w:rsidRPr="00410D44">
        <w:rPr>
          <w:rFonts w:ascii="Arial" w:hAnsi="Arial" w:cs="Arial"/>
          <w:sz w:val="18"/>
          <w:szCs w:val="18"/>
        </w:rPr>
        <w:t xml:space="preserve">", </w:t>
      </w:r>
      <w:r w:rsidRPr="00410D44">
        <w:rPr>
          <w:rFonts w:ascii="Arial" w:hAnsi="Arial" w:cs="Arial"/>
          <w:i/>
          <w:iCs/>
          <w:sz w:val="18"/>
          <w:szCs w:val="18"/>
        </w:rPr>
        <w:t>American Economic Review</w:t>
      </w:r>
      <w:r w:rsidRPr="00410D44">
        <w:rPr>
          <w:rFonts w:ascii="Arial" w:hAnsi="Arial" w:cs="Arial"/>
          <w:sz w:val="18"/>
          <w:szCs w:val="18"/>
        </w:rPr>
        <w:t xml:space="preserve"> 105(10): 3150-3182.</w:t>
      </w:r>
    </w:p>
  </w:footnote>
  <w:footnote w:id="7">
    <w:p w14:paraId="7BA53038" w14:textId="77777777" w:rsidR="006C5339" w:rsidRPr="00410D44" w:rsidRDefault="006C5339" w:rsidP="00570875">
      <w:pPr>
        <w:pStyle w:val="FootnoteText"/>
        <w:spacing w:after="0"/>
        <w:rPr>
          <w:rFonts w:ascii="Arial" w:hAnsi="Arial" w:cs="Arial"/>
          <w:sz w:val="18"/>
          <w:szCs w:val="18"/>
          <w:lang w:val="es-ES_tradnl"/>
        </w:rPr>
      </w:pPr>
      <w:r w:rsidRPr="00410D44">
        <w:rPr>
          <w:rStyle w:val="FootnoteReference"/>
          <w:rFonts w:ascii="Arial" w:hAnsi="Arial" w:cs="Arial"/>
          <w:sz w:val="18"/>
          <w:szCs w:val="18"/>
        </w:rPr>
        <w:footnoteRef/>
      </w:r>
      <w:r w:rsidRPr="00410D44">
        <w:rPr>
          <w:rFonts w:ascii="Arial" w:hAnsi="Arial" w:cs="Arial"/>
          <w:sz w:val="18"/>
          <w:szCs w:val="18"/>
          <w:lang w:val="es-ES_tradnl"/>
        </w:rPr>
        <w:t xml:space="preserve"> </w:t>
      </w:r>
      <w:r w:rsidRPr="00410D44">
        <w:rPr>
          <w:rFonts w:ascii="Arial" w:hAnsi="Arial" w:cs="Arial"/>
          <w:sz w:val="18"/>
          <w:szCs w:val="18"/>
          <w:lang w:val="es-ES_tradnl"/>
        </w:rPr>
        <w:tab/>
        <w:t xml:space="preserve">Dirección General de Estadística, Encuestas y Censos (2011), </w:t>
      </w:r>
      <w:r w:rsidRPr="00B10DC0">
        <w:rPr>
          <w:rFonts w:ascii="Arial" w:hAnsi="Arial" w:cs="Arial"/>
          <w:sz w:val="18"/>
          <w:szCs w:val="18"/>
          <w:lang w:val="es-ES_tradnl"/>
        </w:rPr>
        <w:t>Censo Económico Nacional</w:t>
      </w:r>
      <w:r w:rsidRPr="00410D44">
        <w:rPr>
          <w:rFonts w:ascii="Arial" w:hAnsi="Arial" w:cs="Arial"/>
          <w:sz w:val="18"/>
          <w:szCs w:val="18"/>
          <w:lang w:val="es-ES_tradnl"/>
        </w:rPr>
        <w:t>.</w:t>
      </w:r>
    </w:p>
  </w:footnote>
  <w:footnote w:id="8">
    <w:p w14:paraId="0B37CB8F" w14:textId="77777777" w:rsidR="006C5339" w:rsidRPr="00410D44" w:rsidRDefault="006C5339" w:rsidP="00570875">
      <w:pPr>
        <w:pStyle w:val="FootnoteText"/>
        <w:spacing w:after="0"/>
        <w:rPr>
          <w:rFonts w:ascii="Arial" w:hAnsi="Arial" w:cs="Arial"/>
          <w:sz w:val="18"/>
          <w:szCs w:val="18"/>
          <w:lang w:val="es-ES_tradnl"/>
        </w:rPr>
      </w:pPr>
      <w:r w:rsidRPr="00410D44">
        <w:rPr>
          <w:rStyle w:val="FootnoteReference"/>
          <w:rFonts w:ascii="Arial" w:hAnsi="Arial" w:cs="Arial"/>
          <w:sz w:val="18"/>
          <w:szCs w:val="18"/>
        </w:rPr>
        <w:footnoteRef/>
      </w:r>
      <w:r w:rsidRPr="00410D44">
        <w:rPr>
          <w:rFonts w:ascii="Arial" w:hAnsi="Arial" w:cs="Arial"/>
          <w:sz w:val="18"/>
          <w:szCs w:val="18"/>
          <w:lang w:val="es-ES_tradnl"/>
        </w:rPr>
        <w:t xml:space="preserve"> </w:t>
      </w:r>
      <w:r w:rsidRPr="00410D44">
        <w:rPr>
          <w:rFonts w:ascii="Arial" w:hAnsi="Arial" w:cs="Arial"/>
          <w:sz w:val="18"/>
          <w:szCs w:val="18"/>
          <w:lang w:val="es-ES_tradnl"/>
        </w:rPr>
        <w:tab/>
        <w:t xml:space="preserve">Ver </w:t>
      </w:r>
      <w:r w:rsidRPr="00B10DC0">
        <w:rPr>
          <w:rFonts w:ascii="Arial" w:hAnsi="Arial" w:cs="Arial"/>
          <w:sz w:val="18"/>
          <w:szCs w:val="18"/>
          <w:lang w:val="es-ES_tradnl"/>
        </w:rPr>
        <w:t>Plan Nacional de Desarrollo Paraguay 2030</w:t>
      </w:r>
      <w:r w:rsidRPr="00410D44">
        <w:rPr>
          <w:rFonts w:ascii="Arial" w:hAnsi="Arial" w:cs="Arial"/>
          <w:sz w:val="18"/>
          <w:szCs w:val="18"/>
          <w:lang w:val="es-ES_tradnl"/>
        </w:rPr>
        <w:t xml:space="preserve">. </w:t>
      </w:r>
    </w:p>
  </w:footnote>
  <w:footnote w:id="9">
    <w:p w14:paraId="7688E01F" w14:textId="77777777" w:rsidR="006C5339" w:rsidRPr="00410D44" w:rsidRDefault="006C5339" w:rsidP="00570875">
      <w:pPr>
        <w:pStyle w:val="FootnoteText"/>
        <w:spacing w:after="0"/>
        <w:rPr>
          <w:rFonts w:ascii="Arial" w:hAnsi="Arial" w:cs="Arial"/>
          <w:sz w:val="18"/>
          <w:szCs w:val="18"/>
          <w:lang w:val="es-ES_tradnl"/>
        </w:rPr>
      </w:pPr>
      <w:r w:rsidRPr="00410D44">
        <w:rPr>
          <w:rStyle w:val="FootnoteReference"/>
          <w:rFonts w:ascii="Arial" w:hAnsi="Arial" w:cs="Arial"/>
          <w:sz w:val="18"/>
          <w:szCs w:val="18"/>
        </w:rPr>
        <w:footnoteRef/>
      </w:r>
      <w:r w:rsidRPr="00410D44">
        <w:rPr>
          <w:rFonts w:ascii="Arial" w:hAnsi="Arial" w:cs="Arial"/>
          <w:sz w:val="18"/>
          <w:szCs w:val="18"/>
          <w:lang w:val="es-ES_tradnl"/>
        </w:rPr>
        <w:t xml:space="preserve"> </w:t>
      </w:r>
      <w:r w:rsidRPr="00410D44">
        <w:rPr>
          <w:rFonts w:ascii="Arial" w:hAnsi="Arial" w:cs="Arial"/>
          <w:sz w:val="18"/>
          <w:szCs w:val="18"/>
          <w:lang w:val="es-ES_tradnl"/>
        </w:rPr>
        <w:tab/>
        <w:t xml:space="preserve">FMI (2016), </w:t>
      </w:r>
      <w:proofErr w:type="spellStart"/>
      <w:r w:rsidRPr="00410D44">
        <w:rPr>
          <w:rFonts w:ascii="Arial" w:hAnsi="Arial" w:cs="Arial"/>
          <w:i/>
          <w:sz w:val="18"/>
          <w:szCs w:val="18"/>
          <w:lang w:val="es-ES_tradnl"/>
        </w:rPr>
        <w:t>Op</w:t>
      </w:r>
      <w:proofErr w:type="spellEnd"/>
      <w:r w:rsidRPr="00410D44">
        <w:rPr>
          <w:rFonts w:ascii="Arial" w:hAnsi="Arial" w:cs="Arial"/>
          <w:i/>
          <w:sz w:val="18"/>
          <w:szCs w:val="18"/>
          <w:lang w:val="es-ES_tradnl"/>
        </w:rPr>
        <w:t>. cit</w:t>
      </w:r>
      <w:r w:rsidRPr="00410D44">
        <w:rPr>
          <w:rFonts w:ascii="Arial" w:hAnsi="Arial" w:cs="Arial"/>
          <w:sz w:val="18"/>
          <w:szCs w:val="18"/>
          <w:lang w:val="es-ES_tradnl"/>
        </w:rPr>
        <w:t xml:space="preserve">.; Foro Económico Mundial – FEM (2017), Informe de Competitividad Global 2016-2017. </w:t>
      </w:r>
    </w:p>
  </w:footnote>
  <w:footnote w:id="10">
    <w:p w14:paraId="7E71A2DA" w14:textId="77777777" w:rsidR="006C5339" w:rsidRPr="00410D44" w:rsidRDefault="006C5339" w:rsidP="00570875">
      <w:pPr>
        <w:pStyle w:val="FootnoteText"/>
        <w:spacing w:after="0"/>
        <w:rPr>
          <w:rFonts w:ascii="Arial" w:hAnsi="Arial" w:cs="Arial"/>
          <w:sz w:val="18"/>
          <w:szCs w:val="18"/>
          <w:lang w:val="es-ES_tradnl"/>
        </w:rPr>
      </w:pPr>
      <w:r w:rsidRPr="00410D44">
        <w:rPr>
          <w:rStyle w:val="FootnoteReference"/>
          <w:rFonts w:ascii="Arial" w:hAnsi="Arial" w:cs="Arial"/>
          <w:sz w:val="18"/>
          <w:szCs w:val="18"/>
        </w:rPr>
        <w:footnoteRef/>
      </w:r>
      <w:r w:rsidRPr="00410D44">
        <w:rPr>
          <w:rFonts w:ascii="Arial" w:hAnsi="Arial" w:cs="Arial"/>
          <w:sz w:val="18"/>
          <w:szCs w:val="18"/>
          <w:lang w:val="es-ES_tradnl"/>
        </w:rPr>
        <w:t xml:space="preserve"> </w:t>
      </w:r>
      <w:r w:rsidRPr="00410D44">
        <w:rPr>
          <w:rFonts w:ascii="Arial" w:hAnsi="Arial" w:cs="Arial"/>
          <w:sz w:val="18"/>
          <w:szCs w:val="18"/>
          <w:lang w:val="es-ES_tradnl"/>
        </w:rPr>
        <w:tab/>
        <w:t>Organización para la Cooperación y el Desarrollo Económicos – OCDE (2013), “</w:t>
      </w:r>
      <w:r w:rsidRPr="00410D44">
        <w:rPr>
          <w:rFonts w:ascii="Arial" w:hAnsi="Arial" w:cs="Arial"/>
          <w:i/>
          <w:sz w:val="18"/>
          <w:szCs w:val="18"/>
          <w:lang w:val="es-ES_tradnl"/>
        </w:rPr>
        <w:t xml:space="preserve">The </w:t>
      </w:r>
      <w:proofErr w:type="spellStart"/>
      <w:r w:rsidRPr="00410D44">
        <w:rPr>
          <w:rFonts w:ascii="Arial" w:hAnsi="Arial" w:cs="Arial"/>
          <w:i/>
          <w:sz w:val="18"/>
          <w:szCs w:val="18"/>
          <w:lang w:val="es-ES_tradnl"/>
        </w:rPr>
        <w:t>rationale</w:t>
      </w:r>
      <w:proofErr w:type="spellEnd"/>
      <w:r w:rsidRPr="00410D44">
        <w:rPr>
          <w:rFonts w:ascii="Arial" w:hAnsi="Arial" w:cs="Arial"/>
          <w:i/>
          <w:sz w:val="18"/>
          <w:szCs w:val="18"/>
          <w:lang w:val="es-ES_tradnl"/>
        </w:rPr>
        <w:t xml:space="preserve"> for </w:t>
      </w:r>
      <w:proofErr w:type="spellStart"/>
      <w:r w:rsidRPr="00410D44">
        <w:rPr>
          <w:rFonts w:ascii="Arial" w:hAnsi="Arial" w:cs="Arial"/>
          <w:i/>
          <w:sz w:val="18"/>
          <w:szCs w:val="18"/>
          <w:lang w:val="es-ES_tradnl"/>
        </w:rPr>
        <w:t>fighting</w:t>
      </w:r>
      <w:proofErr w:type="spellEnd"/>
      <w:r w:rsidRPr="00410D44">
        <w:rPr>
          <w:rFonts w:ascii="Arial" w:hAnsi="Arial" w:cs="Arial"/>
          <w:i/>
          <w:sz w:val="18"/>
          <w:szCs w:val="18"/>
          <w:lang w:val="es-ES_tradnl"/>
        </w:rPr>
        <w:t xml:space="preserve"> </w:t>
      </w:r>
      <w:proofErr w:type="spellStart"/>
      <w:r w:rsidRPr="00410D44">
        <w:rPr>
          <w:rFonts w:ascii="Arial" w:hAnsi="Arial" w:cs="Arial"/>
          <w:i/>
          <w:sz w:val="18"/>
          <w:szCs w:val="18"/>
          <w:lang w:val="es-ES_tradnl"/>
        </w:rPr>
        <w:t>corruption</w:t>
      </w:r>
      <w:proofErr w:type="spellEnd"/>
      <w:r w:rsidRPr="00410D44">
        <w:rPr>
          <w:rFonts w:ascii="Arial" w:hAnsi="Arial" w:cs="Arial"/>
          <w:i/>
          <w:sz w:val="18"/>
          <w:szCs w:val="18"/>
          <w:lang w:val="es-ES_tradnl"/>
        </w:rPr>
        <w:t xml:space="preserve">”, </w:t>
      </w:r>
      <w:proofErr w:type="spellStart"/>
      <w:r w:rsidRPr="00410D44">
        <w:rPr>
          <w:rFonts w:ascii="Arial" w:hAnsi="Arial" w:cs="Arial"/>
          <w:i/>
          <w:sz w:val="18"/>
          <w:szCs w:val="18"/>
          <w:lang w:val="es-ES_tradnl"/>
        </w:rPr>
        <w:t>Background</w:t>
      </w:r>
      <w:proofErr w:type="spellEnd"/>
      <w:r w:rsidRPr="00410D44">
        <w:rPr>
          <w:rFonts w:ascii="Arial" w:hAnsi="Arial" w:cs="Arial"/>
          <w:i/>
          <w:sz w:val="18"/>
          <w:szCs w:val="18"/>
          <w:lang w:val="es-ES_tradnl"/>
        </w:rPr>
        <w:t xml:space="preserve"> </w:t>
      </w:r>
      <w:proofErr w:type="spellStart"/>
      <w:r w:rsidRPr="00410D44">
        <w:rPr>
          <w:rFonts w:ascii="Arial" w:hAnsi="Arial" w:cs="Arial"/>
          <w:i/>
          <w:sz w:val="18"/>
          <w:szCs w:val="18"/>
          <w:lang w:val="es-ES_tradnl"/>
        </w:rPr>
        <w:t>brief</w:t>
      </w:r>
      <w:proofErr w:type="spellEnd"/>
      <w:r w:rsidRPr="00410D44">
        <w:rPr>
          <w:rFonts w:ascii="Arial" w:hAnsi="Arial" w:cs="Arial"/>
          <w:sz w:val="18"/>
          <w:szCs w:val="18"/>
          <w:lang w:val="es-ES_tradnl"/>
        </w:rPr>
        <w:t xml:space="preserve">, París: OCDE; </w:t>
      </w:r>
      <w:proofErr w:type="spellStart"/>
      <w:r w:rsidRPr="00410D44">
        <w:rPr>
          <w:rFonts w:ascii="Arial" w:hAnsi="Arial" w:cs="Arial"/>
          <w:sz w:val="18"/>
          <w:szCs w:val="18"/>
          <w:lang w:val="es-ES_tradnl"/>
        </w:rPr>
        <w:t>Sumanjeet</w:t>
      </w:r>
      <w:proofErr w:type="spellEnd"/>
      <w:r w:rsidRPr="00410D44">
        <w:rPr>
          <w:rFonts w:ascii="Arial" w:hAnsi="Arial" w:cs="Arial"/>
          <w:sz w:val="18"/>
          <w:szCs w:val="18"/>
          <w:lang w:val="es-ES_tradnl"/>
        </w:rPr>
        <w:t>, R. (2015), “</w:t>
      </w:r>
      <w:proofErr w:type="spellStart"/>
      <w:r w:rsidRPr="00410D44">
        <w:rPr>
          <w:rFonts w:ascii="Arial" w:hAnsi="Arial" w:cs="Arial"/>
          <w:i/>
          <w:sz w:val="18"/>
          <w:szCs w:val="18"/>
          <w:lang w:val="es-ES_tradnl"/>
        </w:rPr>
        <w:t>Institutions</w:t>
      </w:r>
      <w:proofErr w:type="spellEnd"/>
      <w:r w:rsidRPr="00410D44">
        <w:rPr>
          <w:rFonts w:ascii="Arial" w:hAnsi="Arial" w:cs="Arial"/>
          <w:i/>
          <w:sz w:val="18"/>
          <w:szCs w:val="18"/>
          <w:lang w:val="es-ES_tradnl"/>
        </w:rPr>
        <w:t xml:space="preserve">, </w:t>
      </w:r>
      <w:proofErr w:type="spellStart"/>
      <w:r w:rsidRPr="00410D44">
        <w:rPr>
          <w:rFonts w:ascii="Arial" w:hAnsi="Arial" w:cs="Arial"/>
          <w:i/>
          <w:sz w:val="18"/>
          <w:szCs w:val="18"/>
          <w:lang w:val="es-ES_tradnl"/>
        </w:rPr>
        <w:t>Transparency</w:t>
      </w:r>
      <w:proofErr w:type="spellEnd"/>
      <w:r w:rsidRPr="00410D44">
        <w:rPr>
          <w:rFonts w:ascii="Arial" w:hAnsi="Arial" w:cs="Arial"/>
          <w:i/>
          <w:sz w:val="18"/>
          <w:szCs w:val="18"/>
          <w:lang w:val="es-ES_tradnl"/>
        </w:rPr>
        <w:t xml:space="preserve">, and </w:t>
      </w:r>
      <w:proofErr w:type="spellStart"/>
      <w:r w:rsidRPr="00410D44">
        <w:rPr>
          <w:rFonts w:ascii="Arial" w:hAnsi="Arial" w:cs="Arial"/>
          <w:i/>
          <w:sz w:val="18"/>
          <w:szCs w:val="18"/>
          <w:lang w:val="es-ES_tradnl"/>
        </w:rPr>
        <w:t>Economic</w:t>
      </w:r>
      <w:proofErr w:type="spellEnd"/>
      <w:r w:rsidRPr="00410D44">
        <w:rPr>
          <w:rFonts w:ascii="Arial" w:hAnsi="Arial" w:cs="Arial"/>
          <w:i/>
          <w:sz w:val="18"/>
          <w:szCs w:val="18"/>
          <w:lang w:val="es-ES_tradnl"/>
        </w:rPr>
        <w:t xml:space="preserve"> </w:t>
      </w:r>
      <w:proofErr w:type="spellStart"/>
      <w:r w:rsidRPr="00410D44">
        <w:rPr>
          <w:rFonts w:ascii="Arial" w:hAnsi="Arial" w:cs="Arial"/>
          <w:i/>
          <w:sz w:val="18"/>
          <w:szCs w:val="18"/>
          <w:lang w:val="es-ES_tradnl"/>
        </w:rPr>
        <w:t>Growth</w:t>
      </w:r>
      <w:proofErr w:type="spellEnd"/>
      <w:r w:rsidRPr="00410D44">
        <w:rPr>
          <w:rFonts w:ascii="Arial" w:hAnsi="Arial" w:cs="Arial"/>
          <w:sz w:val="18"/>
          <w:szCs w:val="18"/>
          <w:lang w:val="es-ES_tradnl"/>
        </w:rPr>
        <w:t xml:space="preserve">”, </w:t>
      </w:r>
      <w:proofErr w:type="spellStart"/>
      <w:r w:rsidRPr="00410D44">
        <w:rPr>
          <w:rFonts w:ascii="Arial" w:hAnsi="Arial" w:cs="Arial"/>
          <w:i/>
          <w:sz w:val="18"/>
          <w:szCs w:val="18"/>
          <w:lang w:val="es-ES_tradnl"/>
        </w:rPr>
        <w:t>Emerging</w:t>
      </w:r>
      <w:proofErr w:type="spellEnd"/>
      <w:r w:rsidRPr="00410D44">
        <w:rPr>
          <w:rFonts w:ascii="Arial" w:hAnsi="Arial" w:cs="Arial"/>
          <w:i/>
          <w:sz w:val="18"/>
          <w:szCs w:val="18"/>
          <w:lang w:val="es-ES_tradnl"/>
        </w:rPr>
        <w:t xml:space="preserve"> </w:t>
      </w:r>
      <w:proofErr w:type="spellStart"/>
      <w:r w:rsidRPr="00410D44">
        <w:rPr>
          <w:rFonts w:ascii="Arial" w:hAnsi="Arial" w:cs="Arial"/>
          <w:i/>
          <w:sz w:val="18"/>
          <w:szCs w:val="18"/>
          <w:lang w:val="es-ES_tradnl"/>
        </w:rPr>
        <w:t>Economy</w:t>
      </w:r>
      <w:proofErr w:type="spellEnd"/>
      <w:r w:rsidRPr="00410D44">
        <w:rPr>
          <w:rFonts w:ascii="Arial" w:hAnsi="Arial" w:cs="Arial"/>
          <w:i/>
          <w:sz w:val="18"/>
          <w:szCs w:val="18"/>
          <w:lang w:val="es-ES_tradnl"/>
        </w:rPr>
        <w:t xml:space="preserve"> </w:t>
      </w:r>
      <w:proofErr w:type="spellStart"/>
      <w:r w:rsidRPr="00410D44">
        <w:rPr>
          <w:rFonts w:ascii="Arial" w:hAnsi="Arial" w:cs="Arial"/>
          <w:i/>
          <w:sz w:val="18"/>
          <w:szCs w:val="18"/>
          <w:lang w:val="es-ES_tradnl"/>
        </w:rPr>
        <w:t>Studies</w:t>
      </w:r>
      <w:proofErr w:type="spellEnd"/>
      <w:r w:rsidRPr="00410D44">
        <w:rPr>
          <w:rFonts w:ascii="Arial" w:hAnsi="Arial" w:cs="Arial"/>
          <w:sz w:val="18"/>
          <w:szCs w:val="18"/>
          <w:lang w:val="es-ES_tradnl"/>
        </w:rPr>
        <w:t xml:space="preserve"> 1(2): 188-210.</w:t>
      </w:r>
    </w:p>
  </w:footnote>
  <w:footnote w:id="11">
    <w:p w14:paraId="68818133" w14:textId="77777777" w:rsidR="006C5339" w:rsidRPr="00410D44" w:rsidRDefault="006C5339" w:rsidP="00570875">
      <w:pPr>
        <w:pStyle w:val="FootnoteText"/>
        <w:spacing w:after="0"/>
        <w:rPr>
          <w:rFonts w:ascii="Arial" w:hAnsi="Arial" w:cs="Arial"/>
          <w:sz w:val="18"/>
          <w:szCs w:val="18"/>
          <w:lang w:val="es-ES_tradnl"/>
        </w:rPr>
      </w:pPr>
      <w:r w:rsidRPr="00410D44">
        <w:rPr>
          <w:rStyle w:val="FootnoteReference"/>
          <w:rFonts w:ascii="Arial" w:hAnsi="Arial" w:cs="Arial"/>
          <w:sz w:val="18"/>
          <w:szCs w:val="18"/>
          <w:lang w:val="es-AR"/>
        </w:rPr>
        <w:footnoteRef/>
      </w:r>
      <w:r w:rsidRPr="00410D44">
        <w:rPr>
          <w:rFonts w:ascii="Arial" w:hAnsi="Arial" w:cs="Arial"/>
          <w:sz w:val="18"/>
          <w:szCs w:val="18"/>
        </w:rPr>
        <w:t xml:space="preserve"> </w:t>
      </w:r>
      <w:r w:rsidRPr="00410D44">
        <w:rPr>
          <w:rFonts w:ascii="Arial" w:hAnsi="Arial" w:cs="Arial"/>
          <w:sz w:val="18"/>
          <w:szCs w:val="18"/>
        </w:rPr>
        <w:tab/>
        <w:t xml:space="preserve">Ver Mauro, Paolo (1995), </w:t>
      </w:r>
      <w:r w:rsidRPr="00410D44">
        <w:rPr>
          <w:rFonts w:ascii="Arial" w:hAnsi="Arial" w:cs="Arial"/>
          <w:i/>
          <w:sz w:val="18"/>
          <w:szCs w:val="18"/>
        </w:rPr>
        <w:t>“</w:t>
      </w:r>
      <w:r w:rsidRPr="00B10DC0">
        <w:rPr>
          <w:rFonts w:ascii="Arial" w:hAnsi="Arial" w:cs="Arial"/>
          <w:i/>
          <w:sz w:val="18"/>
          <w:szCs w:val="18"/>
        </w:rPr>
        <w:t>Corruption and Growth</w:t>
      </w:r>
      <w:r w:rsidRPr="00410D44">
        <w:rPr>
          <w:rFonts w:ascii="Arial" w:hAnsi="Arial" w:cs="Arial"/>
          <w:i/>
          <w:sz w:val="18"/>
          <w:szCs w:val="18"/>
        </w:rPr>
        <w:t>.”</w:t>
      </w:r>
      <w:r w:rsidRPr="00410D44">
        <w:rPr>
          <w:rFonts w:ascii="Arial" w:hAnsi="Arial" w:cs="Arial"/>
          <w:sz w:val="18"/>
          <w:szCs w:val="18"/>
        </w:rPr>
        <w:t xml:space="preserve"> </w:t>
      </w:r>
      <w:proofErr w:type="spellStart"/>
      <w:r w:rsidRPr="00410D44">
        <w:rPr>
          <w:rFonts w:ascii="Arial" w:hAnsi="Arial" w:cs="Arial"/>
          <w:i/>
          <w:sz w:val="18"/>
          <w:szCs w:val="18"/>
          <w:lang w:val="es-ES_tradnl"/>
        </w:rPr>
        <w:t>Quarterly</w:t>
      </w:r>
      <w:proofErr w:type="spellEnd"/>
      <w:r w:rsidRPr="00410D44">
        <w:rPr>
          <w:rFonts w:ascii="Arial" w:hAnsi="Arial" w:cs="Arial"/>
          <w:i/>
          <w:sz w:val="18"/>
          <w:szCs w:val="18"/>
          <w:lang w:val="es-ES_tradnl"/>
        </w:rPr>
        <w:t xml:space="preserve"> </w:t>
      </w:r>
      <w:proofErr w:type="spellStart"/>
      <w:r w:rsidRPr="00410D44">
        <w:rPr>
          <w:rFonts w:ascii="Arial" w:hAnsi="Arial" w:cs="Arial"/>
          <w:i/>
          <w:sz w:val="18"/>
          <w:szCs w:val="18"/>
          <w:lang w:val="es-ES_tradnl"/>
        </w:rPr>
        <w:t>Journal</w:t>
      </w:r>
      <w:proofErr w:type="spellEnd"/>
      <w:r w:rsidRPr="00410D44">
        <w:rPr>
          <w:rFonts w:ascii="Arial" w:hAnsi="Arial" w:cs="Arial"/>
          <w:i/>
          <w:sz w:val="18"/>
          <w:szCs w:val="18"/>
          <w:lang w:val="es-ES_tradnl"/>
        </w:rPr>
        <w:t xml:space="preserve"> of </w:t>
      </w:r>
      <w:proofErr w:type="spellStart"/>
      <w:r w:rsidRPr="00410D44">
        <w:rPr>
          <w:rFonts w:ascii="Arial" w:hAnsi="Arial" w:cs="Arial"/>
          <w:i/>
          <w:sz w:val="18"/>
          <w:szCs w:val="18"/>
          <w:lang w:val="es-ES_tradnl"/>
        </w:rPr>
        <w:t>Economics</w:t>
      </w:r>
      <w:proofErr w:type="spellEnd"/>
      <w:r w:rsidRPr="00410D44">
        <w:rPr>
          <w:rFonts w:ascii="Arial" w:hAnsi="Arial" w:cs="Arial"/>
          <w:sz w:val="18"/>
          <w:szCs w:val="18"/>
          <w:lang w:val="es-ES_tradnl"/>
        </w:rPr>
        <w:t xml:space="preserve"> 110 (3): 681–712. Este artículo advierte sobre la relación entre indicadores de honestidad y eficiencia burocrática con crecimiento económico y eventuales consecuencias macroeconómicas negativas de la corrupción. </w:t>
      </w:r>
    </w:p>
  </w:footnote>
  <w:footnote w:id="12">
    <w:p w14:paraId="4B46730B" w14:textId="77777777" w:rsidR="006C5339" w:rsidRPr="00410D44" w:rsidRDefault="006C5339" w:rsidP="00570875">
      <w:pPr>
        <w:pStyle w:val="FootnoteText"/>
        <w:spacing w:after="0"/>
        <w:rPr>
          <w:rFonts w:ascii="Arial" w:hAnsi="Arial" w:cs="Arial"/>
          <w:sz w:val="18"/>
          <w:szCs w:val="18"/>
        </w:rPr>
      </w:pPr>
      <w:r w:rsidRPr="00410D44">
        <w:rPr>
          <w:rStyle w:val="FootnoteReference"/>
          <w:rFonts w:ascii="Arial" w:hAnsi="Arial" w:cs="Arial"/>
          <w:sz w:val="18"/>
          <w:szCs w:val="18"/>
        </w:rPr>
        <w:footnoteRef/>
      </w:r>
      <w:r w:rsidRPr="00410D44">
        <w:rPr>
          <w:rFonts w:ascii="Arial" w:hAnsi="Arial" w:cs="Arial"/>
          <w:sz w:val="18"/>
          <w:szCs w:val="18"/>
        </w:rPr>
        <w:t xml:space="preserve"> </w:t>
      </w:r>
      <w:r w:rsidRPr="00410D44">
        <w:rPr>
          <w:rFonts w:ascii="Arial" w:hAnsi="Arial" w:cs="Arial"/>
          <w:sz w:val="18"/>
          <w:szCs w:val="18"/>
        </w:rPr>
        <w:tab/>
        <w:t xml:space="preserve">Ver, </w:t>
      </w:r>
      <w:proofErr w:type="spellStart"/>
      <w:r w:rsidRPr="00410D44">
        <w:rPr>
          <w:rFonts w:ascii="Arial" w:hAnsi="Arial" w:cs="Arial"/>
          <w:sz w:val="18"/>
          <w:szCs w:val="18"/>
        </w:rPr>
        <w:t>por</w:t>
      </w:r>
      <w:proofErr w:type="spellEnd"/>
      <w:r w:rsidRPr="00410D44">
        <w:rPr>
          <w:rFonts w:ascii="Arial" w:hAnsi="Arial" w:cs="Arial"/>
          <w:sz w:val="18"/>
          <w:szCs w:val="18"/>
        </w:rPr>
        <w:t xml:space="preserve"> </w:t>
      </w:r>
      <w:proofErr w:type="spellStart"/>
      <w:r w:rsidRPr="00410D44">
        <w:rPr>
          <w:rFonts w:ascii="Arial" w:hAnsi="Arial" w:cs="Arial"/>
          <w:sz w:val="18"/>
          <w:szCs w:val="18"/>
        </w:rPr>
        <w:t>ejemplo</w:t>
      </w:r>
      <w:proofErr w:type="spellEnd"/>
      <w:r w:rsidRPr="00410D44">
        <w:rPr>
          <w:rFonts w:ascii="Arial" w:hAnsi="Arial" w:cs="Arial"/>
          <w:sz w:val="18"/>
          <w:szCs w:val="18"/>
        </w:rPr>
        <w:t xml:space="preserve">, </w:t>
      </w:r>
      <w:proofErr w:type="spellStart"/>
      <w:r w:rsidRPr="00410D44">
        <w:rPr>
          <w:rFonts w:ascii="Arial" w:hAnsi="Arial" w:cs="Arial"/>
          <w:sz w:val="18"/>
          <w:szCs w:val="18"/>
        </w:rPr>
        <w:t>Lambsdorff</w:t>
      </w:r>
      <w:proofErr w:type="spellEnd"/>
      <w:r w:rsidRPr="00410D44">
        <w:rPr>
          <w:rFonts w:ascii="Arial" w:hAnsi="Arial" w:cs="Arial"/>
          <w:sz w:val="18"/>
          <w:szCs w:val="18"/>
        </w:rPr>
        <w:t xml:space="preserve">, J. (2003), “How Corruption Affects Productivity”, </w:t>
      </w:r>
      <w:proofErr w:type="spellStart"/>
      <w:r w:rsidRPr="00410D44">
        <w:rPr>
          <w:rFonts w:ascii="Arial" w:hAnsi="Arial" w:cs="Arial"/>
          <w:i/>
          <w:sz w:val="18"/>
          <w:szCs w:val="18"/>
        </w:rPr>
        <w:t>Kyklos</w:t>
      </w:r>
      <w:proofErr w:type="spellEnd"/>
      <w:r w:rsidRPr="00410D44">
        <w:rPr>
          <w:rFonts w:ascii="Arial" w:hAnsi="Arial" w:cs="Arial"/>
          <w:sz w:val="18"/>
          <w:szCs w:val="18"/>
        </w:rPr>
        <w:t xml:space="preserve"> 56(4): 457-474; De Rosa, D., </w:t>
      </w:r>
      <w:proofErr w:type="spellStart"/>
      <w:r w:rsidRPr="00410D44">
        <w:rPr>
          <w:rFonts w:ascii="Arial" w:hAnsi="Arial" w:cs="Arial"/>
          <w:sz w:val="18"/>
          <w:szCs w:val="18"/>
        </w:rPr>
        <w:t>Gooroochurn</w:t>
      </w:r>
      <w:proofErr w:type="spellEnd"/>
      <w:r w:rsidRPr="00410D44">
        <w:rPr>
          <w:rFonts w:ascii="Arial" w:hAnsi="Arial" w:cs="Arial"/>
          <w:sz w:val="18"/>
          <w:szCs w:val="18"/>
        </w:rPr>
        <w:t xml:space="preserve">, N. y </w:t>
      </w:r>
      <w:proofErr w:type="spellStart"/>
      <w:r w:rsidRPr="00410D44">
        <w:rPr>
          <w:rFonts w:ascii="Arial" w:hAnsi="Arial" w:cs="Arial"/>
          <w:sz w:val="18"/>
          <w:szCs w:val="18"/>
        </w:rPr>
        <w:t>Gorg</w:t>
      </w:r>
      <w:proofErr w:type="spellEnd"/>
      <w:r w:rsidRPr="00410D44">
        <w:rPr>
          <w:rFonts w:ascii="Arial" w:hAnsi="Arial" w:cs="Arial"/>
          <w:sz w:val="18"/>
          <w:szCs w:val="18"/>
        </w:rPr>
        <w:t>, H. (2010), “</w:t>
      </w:r>
      <w:r w:rsidRPr="00B10DC0">
        <w:rPr>
          <w:rFonts w:ascii="Arial" w:hAnsi="Arial" w:cs="Arial"/>
          <w:i/>
          <w:sz w:val="18"/>
          <w:szCs w:val="18"/>
        </w:rPr>
        <w:t>Corruption and Productivity</w:t>
      </w:r>
      <w:r w:rsidRPr="00410D44">
        <w:rPr>
          <w:rFonts w:ascii="Arial" w:hAnsi="Arial" w:cs="Arial"/>
          <w:sz w:val="18"/>
          <w:szCs w:val="18"/>
        </w:rPr>
        <w:t xml:space="preserve">”, </w:t>
      </w:r>
      <w:r w:rsidRPr="00410D44">
        <w:rPr>
          <w:rFonts w:ascii="Arial" w:hAnsi="Arial" w:cs="Arial"/>
          <w:i/>
          <w:sz w:val="18"/>
          <w:szCs w:val="18"/>
        </w:rPr>
        <w:t>Working Paper</w:t>
      </w:r>
      <w:r w:rsidRPr="00410D44">
        <w:rPr>
          <w:rFonts w:ascii="Arial" w:hAnsi="Arial" w:cs="Arial"/>
          <w:sz w:val="18"/>
          <w:szCs w:val="18"/>
        </w:rPr>
        <w:t xml:space="preserve"> 5348, Washington D.C: Banco Mundial. </w:t>
      </w:r>
    </w:p>
  </w:footnote>
  <w:footnote w:id="13">
    <w:p w14:paraId="29B82265" w14:textId="77777777" w:rsidR="006C5339" w:rsidRPr="00410D44" w:rsidRDefault="006C5339" w:rsidP="00570875">
      <w:pPr>
        <w:pStyle w:val="FootnoteText"/>
        <w:spacing w:after="0"/>
        <w:rPr>
          <w:rFonts w:ascii="Arial" w:hAnsi="Arial" w:cs="Arial"/>
          <w:sz w:val="18"/>
          <w:szCs w:val="18"/>
          <w:lang w:val="es-ES_tradnl"/>
        </w:rPr>
      </w:pPr>
      <w:r w:rsidRPr="00410D44">
        <w:rPr>
          <w:rStyle w:val="FootnoteReference"/>
          <w:rFonts w:ascii="Arial" w:hAnsi="Arial" w:cs="Arial"/>
          <w:sz w:val="18"/>
          <w:szCs w:val="18"/>
        </w:rPr>
        <w:footnoteRef/>
      </w:r>
      <w:r w:rsidRPr="00410D44">
        <w:rPr>
          <w:rFonts w:ascii="Arial" w:hAnsi="Arial" w:cs="Arial"/>
          <w:sz w:val="18"/>
          <w:szCs w:val="18"/>
          <w:lang w:val="es-ES_tradnl"/>
        </w:rPr>
        <w:t xml:space="preserve"> </w:t>
      </w:r>
      <w:r w:rsidRPr="00410D44">
        <w:rPr>
          <w:rFonts w:ascii="Arial" w:hAnsi="Arial" w:cs="Arial"/>
          <w:sz w:val="18"/>
          <w:szCs w:val="18"/>
          <w:lang w:val="es-ES_tradnl"/>
        </w:rPr>
        <w:tab/>
        <w:t xml:space="preserve">FEM (2017), </w:t>
      </w:r>
      <w:proofErr w:type="spellStart"/>
      <w:r w:rsidRPr="00410D44">
        <w:rPr>
          <w:rFonts w:ascii="Arial" w:hAnsi="Arial" w:cs="Arial"/>
          <w:i/>
          <w:sz w:val="18"/>
          <w:szCs w:val="18"/>
          <w:lang w:val="es-ES_tradnl"/>
        </w:rPr>
        <w:t>Op</w:t>
      </w:r>
      <w:proofErr w:type="spellEnd"/>
      <w:r w:rsidRPr="00410D44">
        <w:rPr>
          <w:rFonts w:ascii="Arial" w:hAnsi="Arial" w:cs="Arial"/>
          <w:i/>
          <w:sz w:val="18"/>
          <w:szCs w:val="18"/>
          <w:lang w:val="es-ES_tradnl"/>
        </w:rPr>
        <w:t>. cit.</w:t>
      </w:r>
      <w:r w:rsidRPr="00410D44">
        <w:rPr>
          <w:rFonts w:ascii="Arial" w:hAnsi="Arial" w:cs="Arial"/>
          <w:sz w:val="18"/>
          <w:szCs w:val="18"/>
          <w:lang w:val="es-ES_tradnl"/>
        </w:rPr>
        <w:t xml:space="preserve"> </w:t>
      </w:r>
    </w:p>
  </w:footnote>
  <w:footnote w:id="14">
    <w:p w14:paraId="180C417A" w14:textId="77777777" w:rsidR="006C5339" w:rsidRPr="00410D44" w:rsidRDefault="006C5339" w:rsidP="00570875">
      <w:pPr>
        <w:pStyle w:val="FootnoteText"/>
        <w:spacing w:after="0"/>
        <w:rPr>
          <w:rFonts w:ascii="Arial" w:hAnsi="Arial" w:cs="Arial"/>
          <w:sz w:val="18"/>
          <w:szCs w:val="18"/>
          <w:lang w:val="es-ES_tradnl"/>
        </w:rPr>
      </w:pPr>
      <w:r w:rsidRPr="00410D44">
        <w:rPr>
          <w:rStyle w:val="FootnoteReference"/>
          <w:rFonts w:ascii="Arial" w:hAnsi="Arial" w:cs="Arial"/>
          <w:sz w:val="18"/>
          <w:szCs w:val="18"/>
        </w:rPr>
        <w:footnoteRef/>
      </w:r>
      <w:r w:rsidRPr="00410D44">
        <w:rPr>
          <w:rFonts w:ascii="Arial" w:hAnsi="Arial" w:cs="Arial"/>
          <w:sz w:val="18"/>
          <w:szCs w:val="18"/>
          <w:lang w:val="es-ES_tradnl"/>
        </w:rPr>
        <w:t xml:space="preserve"> </w:t>
      </w:r>
      <w:r w:rsidRPr="00410D44">
        <w:rPr>
          <w:rFonts w:ascii="Arial" w:hAnsi="Arial" w:cs="Arial"/>
          <w:sz w:val="18"/>
          <w:szCs w:val="18"/>
          <w:lang w:val="es-ES_tradnl"/>
        </w:rPr>
        <w:tab/>
        <w:t>Ibídem.</w:t>
      </w:r>
    </w:p>
  </w:footnote>
  <w:footnote w:id="15">
    <w:p w14:paraId="2938B56C" w14:textId="77777777" w:rsidR="006C5339" w:rsidRPr="00410D44" w:rsidRDefault="006C5339" w:rsidP="00570875">
      <w:pPr>
        <w:pStyle w:val="FootnoteText"/>
        <w:spacing w:after="0"/>
        <w:rPr>
          <w:rFonts w:ascii="Arial" w:hAnsi="Arial" w:cs="Arial"/>
          <w:sz w:val="18"/>
          <w:szCs w:val="18"/>
          <w:lang w:val="es-ES_tradnl"/>
        </w:rPr>
      </w:pPr>
      <w:r w:rsidRPr="00410D44">
        <w:rPr>
          <w:rStyle w:val="FootnoteReference"/>
          <w:rFonts w:ascii="Arial" w:hAnsi="Arial" w:cs="Arial"/>
          <w:sz w:val="18"/>
          <w:szCs w:val="18"/>
        </w:rPr>
        <w:footnoteRef/>
      </w:r>
      <w:r w:rsidRPr="00410D44">
        <w:rPr>
          <w:rFonts w:ascii="Arial" w:hAnsi="Arial" w:cs="Arial"/>
          <w:sz w:val="18"/>
          <w:szCs w:val="18"/>
          <w:lang w:val="es-ES_tradnl"/>
        </w:rPr>
        <w:t xml:space="preserve"> </w:t>
      </w:r>
      <w:r w:rsidRPr="00410D44">
        <w:rPr>
          <w:rFonts w:ascii="Arial" w:hAnsi="Arial" w:cs="Arial"/>
          <w:sz w:val="18"/>
          <w:szCs w:val="18"/>
          <w:lang w:val="es-ES_tradnl"/>
        </w:rPr>
        <w:tab/>
        <w:t>Barómetro Global de la Corrupción (2013).</w:t>
      </w:r>
    </w:p>
  </w:footnote>
  <w:footnote w:id="16">
    <w:p w14:paraId="7F94AA60" w14:textId="77777777" w:rsidR="006C5339" w:rsidRPr="00410D44" w:rsidRDefault="006C5339" w:rsidP="00570875">
      <w:pPr>
        <w:pStyle w:val="FootnoteText"/>
        <w:spacing w:after="0"/>
        <w:rPr>
          <w:rFonts w:ascii="Arial" w:hAnsi="Arial" w:cs="Arial"/>
          <w:sz w:val="18"/>
          <w:szCs w:val="18"/>
          <w:lang w:val="es-ES_tradnl"/>
        </w:rPr>
      </w:pPr>
      <w:r w:rsidRPr="00410D44">
        <w:rPr>
          <w:rStyle w:val="FootnoteReference"/>
          <w:rFonts w:ascii="Arial" w:hAnsi="Arial" w:cs="Arial"/>
          <w:sz w:val="18"/>
          <w:szCs w:val="18"/>
        </w:rPr>
        <w:footnoteRef/>
      </w:r>
      <w:r w:rsidRPr="00410D44">
        <w:rPr>
          <w:rFonts w:ascii="Arial" w:hAnsi="Arial" w:cs="Arial"/>
          <w:sz w:val="18"/>
          <w:szCs w:val="18"/>
          <w:lang w:val="es-ES_tradnl"/>
        </w:rPr>
        <w:t xml:space="preserve"> </w:t>
      </w:r>
      <w:r w:rsidRPr="00410D44">
        <w:rPr>
          <w:rFonts w:ascii="Arial" w:hAnsi="Arial" w:cs="Arial"/>
          <w:sz w:val="18"/>
          <w:szCs w:val="18"/>
          <w:lang w:val="es-ES_tradnl"/>
        </w:rPr>
        <w:tab/>
        <w:t xml:space="preserve">Véase, por ejemplo, </w:t>
      </w:r>
      <w:proofErr w:type="spellStart"/>
      <w:r w:rsidRPr="00410D44">
        <w:rPr>
          <w:rFonts w:ascii="Arial" w:hAnsi="Arial" w:cs="Arial"/>
          <w:sz w:val="18"/>
          <w:szCs w:val="18"/>
          <w:lang w:val="es-ES_tradnl"/>
        </w:rPr>
        <w:t>Basel</w:t>
      </w:r>
      <w:proofErr w:type="spellEnd"/>
      <w:r w:rsidRPr="00410D44">
        <w:rPr>
          <w:rFonts w:ascii="Arial" w:hAnsi="Arial" w:cs="Arial"/>
          <w:sz w:val="18"/>
          <w:szCs w:val="18"/>
          <w:lang w:val="es-ES_tradnl"/>
        </w:rPr>
        <w:t xml:space="preserve"> AML y última evaluación del PEFA. </w:t>
      </w:r>
    </w:p>
  </w:footnote>
  <w:footnote w:id="17">
    <w:p w14:paraId="58EF5AF7" w14:textId="77777777" w:rsidR="006C5339" w:rsidRPr="00410D44" w:rsidRDefault="006C5339" w:rsidP="00570875">
      <w:pPr>
        <w:pStyle w:val="FootnoteText"/>
        <w:spacing w:after="0"/>
        <w:rPr>
          <w:rFonts w:ascii="Arial" w:hAnsi="Arial" w:cs="Arial"/>
          <w:sz w:val="18"/>
          <w:szCs w:val="18"/>
          <w:lang w:val="es-ES_tradnl"/>
        </w:rPr>
      </w:pPr>
      <w:r w:rsidRPr="00410D44">
        <w:rPr>
          <w:rStyle w:val="FootnoteReference"/>
          <w:rFonts w:ascii="Arial" w:hAnsi="Arial" w:cs="Arial"/>
          <w:sz w:val="18"/>
          <w:szCs w:val="18"/>
        </w:rPr>
        <w:footnoteRef/>
      </w:r>
      <w:r w:rsidRPr="00410D44">
        <w:rPr>
          <w:rFonts w:ascii="Arial" w:hAnsi="Arial" w:cs="Arial"/>
          <w:sz w:val="18"/>
          <w:szCs w:val="18"/>
          <w:lang w:val="es-ES_tradnl"/>
        </w:rPr>
        <w:t xml:space="preserve"> </w:t>
      </w:r>
      <w:r w:rsidRPr="00410D44">
        <w:rPr>
          <w:rFonts w:ascii="Arial" w:hAnsi="Arial" w:cs="Arial"/>
          <w:sz w:val="18"/>
          <w:szCs w:val="18"/>
          <w:lang w:val="es-ES_tradnl"/>
        </w:rPr>
        <w:tab/>
        <w:t xml:space="preserve">Sobre la relación entre productividad y funcionamiento del sistema financiero, véase BID (2014), </w:t>
      </w:r>
      <w:proofErr w:type="spellStart"/>
      <w:r w:rsidRPr="00383AB5">
        <w:rPr>
          <w:rFonts w:ascii="Arial" w:hAnsi="Arial" w:cs="Arial"/>
          <w:sz w:val="18"/>
          <w:szCs w:val="18"/>
          <w:lang w:val="es-ES_tradnl"/>
        </w:rPr>
        <w:t>Op</w:t>
      </w:r>
      <w:proofErr w:type="spellEnd"/>
      <w:r w:rsidRPr="00383AB5">
        <w:rPr>
          <w:rFonts w:ascii="Arial" w:hAnsi="Arial" w:cs="Arial"/>
          <w:sz w:val="18"/>
          <w:szCs w:val="18"/>
          <w:lang w:val="es-ES_tradnl"/>
        </w:rPr>
        <w:t>. cit.</w:t>
      </w:r>
      <w:r w:rsidRPr="00410D44">
        <w:rPr>
          <w:rFonts w:ascii="Arial" w:hAnsi="Arial" w:cs="Arial"/>
          <w:sz w:val="18"/>
          <w:szCs w:val="18"/>
          <w:lang w:val="es-ES_tradnl"/>
        </w:rPr>
        <w:t xml:space="preserve"> </w:t>
      </w:r>
    </w:p>
  </w:footnote>
  <w:footnote w:id="18">
    <w:p w14:paraId="7181A0BA" w14:textId="77777777" w:rsidR="006C5339" w:rsidRPr="00410D44" w:rsidRDefault="006C5339" w:rsidP="00570875">
      <w:pPr>
        <w:pStyle w:val="FootnoteText"/>
        <w:spacing w:after="0"/>
        <w:rPr>
          <w:rFonts w:ascii="Arial" w:hAnsi="Arial" w:cs="Arial"/>
          <w:sz w:val="18"/>
          <w:szCs w:val="18"/>
          <w:lang w:val="es-ES_tradnl"/>
        </w:rPr>
      </w:pPr>
      <w:r w:rsidRPr="00410D44">
        <w:rPr>
          <w:rStyle w:val="FootnoteReference"/>
          <w:rFonts w:ascii="Arial" w:hAnsi="Arial" w:cs="Arial"/>
          <w:sz w:val="18"/>
          <w:szCs w:val="18"/>
        </w:rPr>
        <w:footnoteRef/>
      </w:r>
      <w:r w:rsidRPr="00410D44">
        <w:rPr>
          <w:rFonts w:ascii="Arial" w:hAnsi="Arial" w:cs="Arial"/>
          <w:sz w:val="18"/>
          <w:szCs w:val="18"/>
          <w:lang w:val="es-ES_tradnl"/>
        </w:rPr>
        <w:t xml:space="preserve"> </w:t>
      </w:r>
      <w:r w:rsidRPr="00410D44">
        <w:rPr>
          <w:rFonts w:ascii="Arial" w:hAnsi="Arial" w:cs="Arial"/>
          <w:sz w:val="18"/>
          <w:szCs w:val="18"/>
          <w:lang w:val="es-ES_tradnl"/>
        </w:rPr>
        <w:tab/>
        <w:t xml:space="preserve">La inestabilidad y las crisis financieras pueden explicar cerca del 50% del diferencial en cuanto a profundidad financiera de la región respecto a otras regiones del mundo. Véase De la Torre, A. y otros (2014), </w:t>
      </w:r>
      <w:proofErr w:type="spellStart"/>
      <w:r w:rsidRPr="00410D44">
        <w:rPr>
          <w:rFonts w:ascii="Arial" w:hAnsi="Arial" w:cs="Arial"/>
          <w:i/>
          <w:sz w:val="18"/>
          <w:szCs w:val="18"/>
          <w:lang w:val="es-ES_tradnl"/>
        </w:rPr>
        <w:t>Emerging</w:t>
      </w:r>
      <w:proofErr w:type="spellEnd"/>
      <w:r w:rsidRPr="00410D44">
        <w:rPr>
          <w:rFonts w:ascii="Arial" w:hAnsi="Arial" w:cs="Arial"/>
          <w:i/>
          <w:sz w:val="18"/>
          <w:szCs w:val="18"/>
          <w:lang w:val="es-ES_tradnl"/>
        </w:rPr>
        <w:t xml:space="preserve"> </w:t>
      </w:r>
      <w:proofErr w:type="spellStart"/>
      <w:r w:rsidRPr="00410D44">
        <w:rPr>
          <w:rFonts w:ascii="Arial" w:hAnsi="Arial" w:cs="Arial"/>
          <w:i/>
          <w:sz w:val="18"/>
          <w:szCs w:val="18"/>
          <w:lang w:val="es-ES_tradnl"/>
        </w:rPr>
        <w:t>Issues</w:t>
      </w:r>
      <w:proofErr w:type="spellEnd"/>
      <w:r w:rsidRPr="00410D44">
        <w:rPr>
          <w:rFonts w:ascii="Arial" w:hAnsi="Arial" w:cs="Arial"/>
          <w:i/>
          <w:sz w:val="18"/>
          <w:szCs w:val="18"/>
          <w:lang w:val="es-ES_tradnl"/>
        </w:rPr>
        <w:t xml:space="preserve"> in Financial </w:t>
      </w:r>
      <w:proofErr w:type="spellStart"/>
      <w:r w:rsidRPr="00410D44">
        <w:rPr>
          <w:rFonts w:ascii="Arial" w:hAnsi="Arial" w:cs="Arial"/>
          <w:i/>
          <w:sz w:val="18"/>
          <w:szCs w:val="18"/>
          <w:lang w:val="es-ES_tradnl"/>
        </w:rPr>
        <w:t>Development</w:t>
      </w:r>
      <w:proofErr w:type="spellEnd"/>
      <w:r w:rsidRPr="00410D44">
        <w:rPr>
          <w:rFonts w:ascii="Arial" w:hAnsi="Arial" w:cs="Arial"/>
          <w:i/>
          <w:sz w:val="18"/>
          <w:szCs w:val="18"/>
          <w:lang w:val="es-ES_tradnl"/>
        </w:rPr>
        <w:t xml:space="preserve">. </w:t>
      </w:r>
      <w:proofErr w:type="spellStart"/>
      <w:r w:rsidRPr="00410D44">
        <w:rPr>
          <w:rFonts w:ascii="Arial" w:hAnsi="Arial" w:cs="Arial"/>
          <w:i/>
          <w:sz w:val="18"/>
          <w:szCs w:val="18"/>
          <w:lang w:val="es-ES_tradnl"/>
        </w:rPr>
        <w:t>Lessons</w:t>
      </w:r>
      <w:proofErr w:type="spellEnd"/>
      <w:r w:rsidRPr="00410D44">
        <w:rPr>
          <w:rFonts w:ascii="Arial" w:hAnsi="Arial" w:cs="Arial"/>
          <w:i/>
          <w:sz w:val="18"/>
          <w:szCs w:val="18"/>
          <w:lang w:val="es-ES_tradnl"/>
        </w:rPr>
        <w:t xml:space="preserve"> </w:t>
      </w:r>
      <w:proofErr w:type="spellStart"/>
      <w:r w:rsidRPr="00410D44">
        <w:rPr>
          <w:rFonts w:ascii="Arial" w:hAnsi="Arial" w:cs="Arial"/>
          <w:i/>
          <w:sz w:val="18"/>
          <w:szCs w:val="18"/>
          <w:lang w:val="es-ES_tradnl"/>
        </w:rPr>
        <w:t>from</w:t>
      </w:r>
      <w:proofErr w:type="spellEnd"/>
      <w:r w:rsidRPr="00410D44">
        <w:rPr>
          <w:rFonts w:ascii="Arial" w:hAnsi="Arial" w:cs="Arial"/>
          <w:i/>
          <w:sz w:val="18"/>
          <w:szCs w:val="18"/>
          <w:lang w:val="es-ES_tradnl"/>
        </w:rPr>
        <w:t xml:space="preserve"> </w:t>
      </w:r>
      <w:proofErr w:type="spellStart"/>
      <w:r w:rsidRPr="00410D44">
        <w:rPr>
          <w:rFonts w:ascii="Arial" w:hAnsi="Arial" w:cs="Arial"/>
          <w:i/>
          <w:sz w:val="18"/>
          <w:szCs w:val="18"/>
          <w:lang w:val="es-ES_tradnl"/>
        </w:rPr>
        <w:t>Latin</w:t>
      </w:r>
      <w:proofErr w:type="spellEnd"/>
      <w:r w:rsidRPr="00410D44">
        <w:rPr>
          <w:rFonts w:ascii="Arial" w:hAnsi="Arial" w:cs="Arial"/>
          <w:i/>
          <w:sz w:val="18"/>
          <w:szCs w:val="18"/>
          <w:lang w:val="es-ES_tradnl"/>
        </w:rPr>
        <w:t xml:space="preserve"> </w:t>
      </w:r>
      <w:proofErr w:type="spellStart"/>
      <w:r w:rsidRPr="00410D44">
        <w:rPr>
          <w:rFonts w:ascii="Arial" w:hAnsi="Arial" w:cs="Arial"/>
          <w:i/>
          <w:sz w:val="18"/>
          <w:szCs w:val="18"/>
          <w:lang w:val="es-ES_tradnl"/>
        </w:rPr>
        <w:t>America</w:t>
      </w:r>
      <w:proofErr w:type="spellEnd"/>
      <w:r w:rsidRPr="00410D44">
        <w:rPr>
          <w:rFonts w:ascii="Arial" w:hAnsi="Arial" w:cs="Arial"/>
          <w:sz w:val="18"/>
          <w:szCs w:val="18"/>
          <w:lang w:val="es-ES_tradnl"/>
        </w:rPr>
        <w:t xml:space="preserve">, Washington D.C.: Banco Mundial. En relación a estudios que vinculan las reformas financieras con mejoras en la asignación de factores en la economía, véase </w:t>
      </w:r>
      <w:proofErr w:type="spellStart"/>
      <w:r w:rsidRPr="00410D44">
        <w:rPr>
          <w:rFonts w:ascii="Arial" w:hAnsi="Arial" w:cs="Arial"/>
          <w:sz w:val="18"/>
          <w:szCs w:val="18"/>
          <w:lang w:val="es-ES_tradnl"/>
        </w:rPr>
        <w:t>Larrain</w:t>
      </w:r>
      <w:proofErr w:type="spellEnd"/>
      <w:r w:rsidRPr="00410D44">
        <w:rPr>
          <w:rFonts w:ascii="Arial" w:hAnsi="Arial" w:cs="Arial"/>
          <w:sz w:val="18"/>
          <w:szCs w:val="18"/>
          <w:lang w:val="es-ES_tradnl"/>
        </w:rPr>
        <w:t xml:space="preserve">, M. y </w:t>
      </w:r>
      <w:proofErr w:type="spellStart"/>
      <w:r w:rsidRPr="00410D44">
        <w:rPr>
          <w:rFonts w:ascii="Arial" w:hAnsi="Arial" w:cs="Arial"/>
          <w:sz w:val="18"/>
          <w:szCs w:val="18"/>
          <w:lang w:val="es-ES_tradnl"/>
        </w:rPr>
        <w:t>Stumpner</w:t>
      </w:r>
      <w:proofErr w:type="spellEnd"/>
      <w:r w:rsidRPr="00410D44">
        <w:rPr>
          <w:rFonts w:ascii="Arial" w:hAnsi="Arial" w:cs="Arial"/>
          <w:sz w:val="18"/>
          <w:szCs w:val="18"/>
          <w:lang w:val="es-ES_tradnl"/>
        </w:rPr>
        <w:t xml:space="preserve">, S. (2013), </w:t>
      </w:r>
      <w:r w:rsidRPr="00410D44">
        <w:rPr>
          <w:rFonts w:ascii="Arial" w:hAnsi="Arial" w:cs="Arial"/>
          <w:i/>
          <w:iCs/>
          <w:sz w:val="18"/>
          <w:szCs w:val="18"/>
          <w:lang w:val="es-ES_tradnl"/>
        </w:rPr>
        <w:t xml:space="preserve">Financial </w:t>
      </w:r>
      <w:proofErr w:type="spellStart"/>
      <w:r w:rsidRPr="00410D44">
        <w:rPr>
          <w:rFonts w:ascii="Arial" w:hAnsi="Arial" w:cs="Arial"/>
          <w:i/>
          <w:iCs/>
          <w:sz w:val="18"/>
          <w:szCs w:val="18"/>
          <w:lang w:val="es-ES_tradnl"/>
        </w:rPr>
        <w:t>Reforms</w:t>
      </w:r>
      <w:proofErr w:type="spellEnd"/>
      <w:r w:rsidRPr="00410D44">
        <w:rPr>
          <w:rFonts w:ascii="Arial" w:hAnsi="Arial" w:cs="Arial"/>
          <w:i/>
          <w:iCs/>
          <w:sz w:val="18"/>
          <w:szCs w:val="18"/>
          <w:lang w:val="es-ES_tradnl"/>
        </w:rPr>
        <w:t xml:space="preserve"> and </w:t>
      </w:r>
      <w:proofErr w:type="spellStart"/>
      <w:r w:rsidRPr="00410D44">
        <w:rPr>
          <w:rFonts w:ascii="Arial" w:hAnsi="Arial" w:cs="Arial"/>
          <w:i/>
          <w:iCs/>
          <w:sz w:val="18"/>
          <w:szCs w:val="18"/>
          <w:lang w:val="es-ES_tradnl"/>
        </w:rPr>
        <w:t>Aggregate</w:t>
      </w:r>
      <w:proofErr w:type="spellEnd"/>
      <w:r w:rsidRPr="00410D44">
        <w:rPr>
          <w:rFonts w:ascii="Arial" w:hAnsi="Arial" w:cs="Arial"/>
          <w:i/>
          <w:iCs/>
          <w:sz w:val="18"/>
          <w:szCs w:val="18"/>
          <w:lang w:val="es-ES_tradnl"/>
        </w:rPr>
        <w:t xml:space="preserve"> </w:t>
      </w:r>
      <w:proofErr w:type="spellStart"/>
      <w:r w:rsidRPr="00410D44">
        <w:rPr>
          <w:rFonts w:ascii="Arial" w:hAnsi="Arial" w:cs="Arial"/>
          <w:i/>
          <w:iCs/>
          <w:sz w:val="18"/>
          <w:szCs w:val="18"/>
          <w:lang w:val="es-ES_tradnl"/>
        </w:rPr>
        <w:t>Productivity</w:t>
      </w:r>
      <w:proofErr w:type="spellEnd"/>
      <w:r w:rsidRPr="00410D44">
        <w:rPr>
          <w:rFonts w:ascii="Arial" w:hAnsi="Arial" w:cs="Arial"/>
          <w:i/>
          <w:iCs/>
          <w:sz w:val="18"/>
          <w:szCs w:val="18"/>
          <w:lang w:val="es-ES_tradnl"/>
        </w:rPr>
        <w:t xml:space="preserve">: The </w:t>
      </w:r>
      <w:proofErr w:type="spellStart"/>
      <w:r w:rsidRPr="00410D44">
        <w:rPr>
          <w:rFonts w:ascii="Arial" w:hAnsi="Arial" w:cs="Arial"/>
          <w:i/>
          <w:iCs/>
          <w:sz w:val="18"/>
          <w:szCs w:val="18"/>
          <w:lang w:val="es-ES_tradnl"/>
        </w:rPr>
        <w:t>Microeconomic</w:t>
      </w:r>
      <w:proofErr w:type="spellEnd"/>
      <w:r w:rsidRPr="00410D44">
        <w:rPr>
          <w:rFonts w:ascii="Arial" w:hAnsi="Arial" w:cs="Arial"/>
          <w:i/>
          <w:iCs/>
          <w:sz w:val="18"/>
          <w:szCs w:val="18"/>
          <w:lang w:val="es-ES_tradnl"/>
        </w:rPr>
        <w:t xml:space="preserve"> </w:t>
      </w:r>
      <w:proofErr w:type="spellStart"/>
      <w:r w:rsidRPr="00410D44">
        <w:rPr>
          <w:rFonts w:ascii="Arial" w:hAnsi="Arial" w:cs="Arial"/>
          <w:i/>
          <w:iCs/>
          <w:sz w:val="18"/>
          <w:szCs w:val="18"/>
          <w:lang w:val="es-ES_tradnl"/>
        </w:rPr>
        <w:t>Channels</w:t>
      </w:r>
      <w:proofErr w:type="spellEnd"/>
      <w:r w:rsidRPr="00410D44">
        <w:rPr>
          <w:rFonts w:ascii="Arial" w:hAnsi="Arial" w:cs="Arial"/>
          <w:i/>
          <w:iCs/>
          <w:sz w:val="18"/>
          <w:szCs w:val="18"/>
          <w:lang w:val="es-ES_tradnl"/>
        </w:rPr>
        <w:t xml:space="preserve">, </w:t>
      </w:r>
      <w:r w:rsidRPr="00410D44">
        <w:rPr>
          <w:rFonts w:ascii="Arial" w:hAnsi="Arial" w:cs="Arial"/>
          <w:iCs/>
          <w:sz w:val="18"/>
          <w:szCs w:val="18"/>
          <w:lang w:val="es-ES_tradnl"/>
        </w:rPr>
        <w:t xml:space="preserve">New York, New York: Columbia </w:t>
      </w:r>
      <w:proofErr w:type="spellStart"/>
      <w:r w:rsidRPr="00410D44">
        <w:rPr>
          <w:rFonts w:ascii="Arial" w:hAnsi="Arial" w:cs="Arial"/>
          <w:iCs/>
          <w:sz w:val="18"/>
          <w:szCs w:val="18"/>
          <w:lang w:val="es-ES_tradnl"/>
        </w:rPr>
        <w:t>University</w:t>
      </w:r>
      <w:proofErr w:type="spellEnd"/>
      <w:r w:rsidRPr="00410D44">
        <w:rPr>
          <w:rFonts w:ascii="Arial" w:hAnsi="Arial" w:cs="Arial"/>
          <w:iCs/>
          <w:sz w:val="18"/>
          <w:szCs w:val="18"/>
          <w:lang w:val="es-ES_tradnl"/>
        </w:rPr>
        <w:t>.</w:t>
      </w:r>
      <w:r w:rsidRPr="00410D44">
        <w:rPr>
          <w:rFonts w:ascii="Arial" w:hAnsi="Arial" w:cs="Arial"/>
          <w:sz w:val="18"/>
          <w:szCs w:val="18"/>
          <w:lang w:val="es-ES_tradnl"/>
        </w:rPr>
        <w:t xml:space="preserve">  </w:t>
      </w:r>
    </w:p>
  </w:footnote>
  <w:footnote w:id="19">
    <w:p w14:paraId="28B1EED2" w14:textId="77777777" w:rsidR="006C5339" w:rsidRPr="00410D44" w:rsidRDefault="006C5339" w:rsidP="00570875">
      <w:pPr>
        <w:pStyle w:val="FootnoteText"/>
        <w:spacing w:after="0"/>
        <w:rPr>
          <w:rFonts w:ascii="Arial" w:hAnsi="Arial" w:cs="Arial"/>
          <w:sz w:val="18"/>
          <w:szCs w:val="18"/>
          <w:lang w:val="es-ES_tradnl"/>
        </w:rPr>
      </w:pPr>
      <w:r w:rsidRPr="00410D44">
        <w:rPr>
          <w:rStyle w:val="FootnoteReference"/>
          <w:rFonts w:ascii="Arial" w:hAnsi="Arial" w:cs="Arial"/>
          <w:sz w:val="18"/>
          <w:szCs w:val="18"/>
        </w:rPr>
        <w:footnoteRef/>
      </w:r>
      <w:r w:rsidRPr="00410D44">
        <w:rPr>
          <w:rFonts w:ascii="Arial" w:hAnsi="Arial" w:cs="Arial"/>
          <w:sz w:val="18"/>
          <w:szCs w:val="18"/>
          <w:lang w:val="es-ES_tradnl"/>
        </w:rPr>
        <w:t xml:space="preserve"> </w:t>
      </w:r>
      <w:r w:rsidRPr="00410D44">
        <w:rPr>
          <w:rFonts w:ascii="Arial" w:hAnsi="Arial" w:cs="Arial"/>
          <w:sz w:val="18"/>
          <w:szCs w:val="18"/>
          <w:lang w:val="es-ES_tradnl"/>
        </w:rPr>
        <w:tab/>
        <w:t xml:space="preserve">Para un modelo cuantitativo de la importancia de la intermediación para la productividad véase </w:t>
      </w:r>
      <w:proofErr w:type="spellStart"/>
      <w:r w:rsidRPr="00410D44">
        <w:rPr>
          <w:rFonts w:ascii="Arial" w:hAnsi="Arial" w:cs="Arial"/>
          <w:sz w:val="18"/>
          <w:szCs w:val="18"/>
          <w:lang w:val="es-ES_tradnl"/>
        </w:rPr>
        <w:t>Greenwood</w:t>
      </w:r>
      <w:proofErr w:type="spellEnd"/>
      <w:r w:rsidRPr="00410D44">
        <w:rPr>
          <w:rFonts w:ascii="Arial" w:hAnsi="Arial" w:cs="Arial"/>
          <w:sz w:val="18"/>
          <w:szCs w:val="18"/>
          <w:lang w:val="es-ES_tradnl"/>
        </w:rPr>
        <w:t xml:space="preserve"> y otros (2013), “</w:t>
      </w:r>
      <w:proofErr w:type="spellStart"/>
      <w:r w:rsidRPr="00B10DC0">
        <w:rPr>
          <w:rFonts w:ascii="Arial" w:hAnsi="Arial" w:cs="Arial"/>
          <w:i/>
          <w:sz w:val="18"/>
          <w:szCs w:val="18"/>
          <w:lang w:val="es-ES_tradnl"/>
        </w:rPr>
        <w:t>Quantifying</w:t>
      </w:r>
      <w:proofErr w:type="spellEnd"/>
      <w:r w:rsidRPr="00B10DC0">
        <w:rPr>
          <w:rFonts w:ascii="Arial" w:hAnsi="Arial" w:cs="Arial"/>
          <w:i/>
          <w:sz w:val="18"/>
          <w:szCs w:val="18"/>
          <w:lang w:val="es-ES_tradnl"/>
        </w:rPr>
        <w:t xml:space="preserve"> the </w:t>
      </w:r>
      <w:proofErr w:type="spellStart"/>
      <w:r w:rsidRPr="00B10DC0">
        <w:rPr>
          <w:rFonts w:ascii="Arial" w:hAnsi="Arial" w:cs="Arial"/>
          <w:i/>
          <w:sz w:val="18"/>
          <w:szCs w:val="18"/>
          <w:lang w:val="es-ES_tradnl"/>
        </w:rPr>
        <w:t>Impact</w:t>
      </w:r>
      <w:proofErr w:type="spellEnd"/>
      <w:r w:rsidRPr="00B10DC0">
        <w:rPr>
          <w:rFonts w:ascii="Arial" w:hAnsi="Arial" w:cs="Arial"/>
          <w:i/>
          <w:sz w:val="18"/>
          <w:szCs w:val="18"/>
          <w:lang w:val="es-ES_tradnl"/>
        </w:rPr>
        <w:t xml:space="preserve"> of Financial </w:t>
      </w:r>
      <w:proofErr w:type="spellStart"/>
      <w:r w:rsidRPr="00B10DC0">
        <w:rPr>
          <w:rFonts w:ascii="Arial" w:hAnsi="Arial" w:cs="Arial"/>
          <w:i/>
          <w:sz w:val="18"/>
          <w:szCs w:val="18"/>
          <w:lang w:val="es-ES_tradnl"/>
        </w:rPr>
        <w:t>Development</w:t>
      </w:r>
      <w:proofErr w:type="spellEnd"/>
      <w:r w:rsidRPr="00B10DC0">
        <w:rPr>
          <w:rFonts w:ascii="Arial" w:hAnsi="Arial" w:cs="Arial"/>
          <w:i/>
          <w:sz w:val="18"/>
          <w:szCs w:val="18"/>
          <w:lang w:val="es-ES_tradnl"/>
        </w:rPr>
        <w:t xml:space="preserve"> </w:t>
      </w:r>
      <w:proofErr w:type="spellStart"/>
      <w:r w:rsidRPr="00B10DC0">
        <w:rPr>
          <w:rFonts w:ascii="Arial" w:hAnsi="Arial" w:cs="Arial"/>
          <w:i/>
          <w:sz w:val="18"/>
          <w:szCs w:val="18"/>
          <w:lang w:val="es-ES_tradnl"/>
        </w:rPr>
        <w:t>on</w:t>
      </w:r>
      <w:proofErr w:type="spellEnd"/>
      <w:r w:rsidRPr="00B10DC0">
        <w:rPr>
          <w:rFonts w:ascii="Arial" w:hAnsi="Arial" w:cs="Arial"/>
          <w:i/>
          <w:sz w:val="18"/>
          <w:szCs w:val="18"/>
          <w:lang w:val="es-ES_tradnl"/>
        </w:rPr>
        <w:t xml:space="preserve"> </w:t>
      </w:r>
      <w:proofErr w:type="spellStart"/>
      <w:r w:rsidRPr="00B10DC0">
        <w:rPr>
          <w:rFonts w:ascii="Arial" w:hAnsi="Arial" w:cs="Arial"/>
          <w:i/>
          <w:sz w:val="18"/>
          <w:szCs w:val="18"/>
          <w:lang w:val="es-ES_tradnl"/>
        </w:rPr>
        <w:t>Economic</w:t>
      </w:r>
      <w:proofErr w:type="spellEnd"/>
      <w:r w:rsidRPr="00B10DC0">
        <w:rPr>
          <w:rFonts w:ascii="Arial" w:hAnsi="Arial" w:cs="Arial"/>
          <w:i/>
          <w:sz w:val="18"/>
          <w:szCs w:val="18"/>
          <w:lang w:val="es-ES_tradnl"/>
        </w:rPr>
        <w:t xml:space="preserve"> </w:t>
      </w:r>
      <w:proofErr w:type="spellStart"/>
      <w:r w:rsidRPr="00B10DC0">
        <w:rPr>
          <w:rFonts w:ascii="Arial" w:hAnsi="Arial" w:cs="Arial"/>
          <w:i/>
          <w:sz w:val="18"/>
          <w:szCs w:val="18"/>
          <w:lang w:val="es-ES_tradnl"/>
        </w:rPr>
        <w:t>Development</w:t>
      </w:r>
      <w:proofErr w:type="spellEnd"/>
      <w:r w:rsidRPr="00B10DC0">
        <w:rPr>
          <w:rFonts w:ascii="Arial" w:hAnsi="Arial" w:cs="Arial"/>
          <w:i/>
          <w:sz w:val="18"/>
          <w:szCs w:val="18"/>
          <w:lang w:val="es-ES_tradnl"/>
        </w:rPr>
        <w:t xml:space="preserve">”, </w:t>
      </w:r>
      <w:proofErr w:type="spellStart"/>
      <w:r w:rsidRPr="00B10DC0">
        <w:rPr>
          <w:rFonts w:ascii="Arial" w:hAnsi="Arial" w:cs="Arial"/>
          <w:i/>
          <w:sz w:val="18"/>
          <w:szCs w:val="18"/>
          <w:lang w:val="es-ES_tradnl"/>
        </w:rPr>
        <w:t>Review</w:t>
      </w:r>
      <w:proofErr w:type="spellEnd"/>
      <w:r w:rsidRPr="00B10DC0">
        <w:rPr>
          <w:rFonts w:ascii="Arial" w:hAnsi="Arial" w:cs="Arial"/>
          <w:i/>
          <w:sz w:val="18"/>
          <w:szCs w:val="18"/>
          <w:lang w:val="es-ES_tradnl"/>
        </w:rPr>
        <w:t xml:space="preserve"> of </w:t>
      </w:r>
      <w:proofErr w:type="spellStart"/>
      <w:r w:rsidRPr="00B10DC0">
        <w:rPr>
          <w:rFonts w:ascii="Arial" w:hAnsi="Arial" w:cs="Arial"/>
          <w:i/>
          <w:sz w:val="18"/>
          <w:szCs w:val="18"/>
          <w:lang w:val="es-ES_tradnl"/>
        </w:rPr>
        <w:t>Economic</w:t>
      </w:r>
      <w:proofErr w:type="spellEnd"/>
      <w:r w:rsidRPr="00B10DC0">
        <w:rPr>
          <w:rFonts w:ascii="Arial" w:hAnsi="Arial" w:cs="Arial"/>
          <w:i/>
          <w:sz w:val="18"/>
          <w:szCs w:val="18"/>
          <w:lang w:val="es-ES_tradnl"/>
        </w:rPr>
        <w:t xml:space="preserve"> Dynamics.</w:t>
      </w:r>
    </w:p>
  </w:footnote>
  <w:footnote w:id="20">
    <w:p w14:paraId="4D23BB64" w14:textId="77777777" w:rsidR="006C5339" w:rsidRPr="00410D44" w:rsidRDefault="006C5339" w:rsidP="00570875">
      <w:pPr>
        <w:pStyle w:val="FootnoteText"/>
        <w:spacing w:after="0"/>
        <w:rPr>
          <w:rFonts w:ascii="Arial" w:hAnsi="Arial" w:cs="Arial"/>
          <w:sz w:val="18"/>
          <w:szCs w:val="18"/>
        </w:rPr>
      </w:pPr>
      <w:r w:rsidRPr="00410D44">
        <w:rPr>
          <w:rStyle w:val="FootnoteReference"/>
          <w:rFonts w:ascii="Arial" w:hAnsi="Arial" w:cs="Arial"/>
          <w:sz w:val="18"/>
          <w:szCs w:val="18"/>
        </w:rPr>
        <w:footnoteRef/>
      </w:r>
      <w:r w:rsidRPr="00410D44">
        <w:rPr>
          <w:rFonts w:ascii="Arial" w:hAnsi="Arial" w:cs="Arial"/>
          <w:sz w:val="18"/>
          <w:szCs w:val="18"/>
        </w:rPr>
        <w:t xml:space="preserve"> </w:t>
      </w:r>
      <w:r w:rsidRPr="00410D44">
        <w:rPr>
          <w:rFonts w:ascii="Arial" w:hAnsi="Arial" w:cs="Arial"/>
          <w:sz w:val="18"/>
          <w:szCs w:val="18"/>
        </w:rPr>
        <w:tab/>
      </w:r>
      <w:proofErr w:type="spellStart"/>
      <w:r w:rsidRPr="00410D44">
        <w:rPr>
          <w:rFonts w:ascii="Arial" w:hAnsi="Arial" w:cs="Arial"/>
          <w:sz w:val="18"/>
          <w:szCs w:val="18"/>
        </w:rPr>
        <w:t>Véase</w:t>
      </w:r>
      <w:proofErr w:type="spellEnd"/>
      <w:r w:rsidRPr="00410D44">
        <w:rPr>
          <w:rFonts w:ascii="Arial" w:hAnsi="Arial" w:cs="Arial"/>
          <w:sz w:val="18"/>
          <w:szCs w:val="18"/>
        </w:rPr>
        <w:t xml:space="preserve">, </w:t>
      </w:r>
      <w:proofErr w:type="spellStart"/>
      <w:r w:rsidRPr="00410D44">
        <w:rPr>
          <w:rFonts w:ascii="Arial" w:hAnsi="Arial" w:cs="Arial"/>
          <w:sz w:val="18"/>
          <w:szCs w:val="18"/>
        </w:rPr>
        <w:t>por</w:t>
      </w:r>
      <w:proofErr w:type="spellEnd"/>
      <w:r w:rsidRPr="00410D44">
        <w:rPr>
          <w:rFonts w:ascii="Arial" w:hAnsi="Arial" w:cs="Arial"/>
          <w:sz w:val="18"/>
          <w:szCs w:val="18"/>
        </w:rPr>
        <w:t xml:space="preserve"> </w:t>
      </w:r>
      <w:proofErr w:type="spellStart"/>
      <w:r w:rsidRPr="00410D44">
        <w:rPr>
          <w:rFonts w:ascii="Arial" w:hAnsi="Arial" w:cs="Arial"/>
          <w:sz w:val="18"/>
          <w:szCs w:val="18"/>
        </w:rPr>
        <w:t>ejemplo</w:t>
      </w:r>
      <w:proofErr w:type="spellEnd"/>
      <w:r w:rsidRPr="00410D44">
        <w:rPr>
          <w:rFonts w:ascii="Arial" w:hAnsi="Arial" w:cs="Arial"/>
          <w:sz w:val="18"/>
          <w:szCs w:val="18"/>
        </w:rPr>
        <w:t xml:space="preserve">, </w:t>
      </w:r>
      <w:r w:rsidRPr="00410D44">
        <w:rPr>
          <w:rFonts w:ascii="Arial" w:hAnsi="Arial" w:cs="Arial"/>
          <w:spacing w:val="0"/>
          <w:sz w:val="18"/>
          <w:szCs w:val="18"/>
        </w:rPr>
        <w:t xml:space="preserve">Qian y Strahan (2007), </w:t>
      </w:r>
      <w:r w:rsidRPr="00410D44">
        <w:rPr>
          <w:rFonts w:ascii="Arial" w:hAnsi="Arial" w:cs="Arial"/>
          <w:sz w:val="18"/>
          <w:szCs w:val="18"/>
        </w:rPr>
        <w:t>“</w:t>
      </w:r>
      <w:r w:rsidRPr="00B10DC0">
        <w:rPr>
          <w:rFonts w:ascii="Arial" w:hAnsi="Arial" w:cs="Arial"/>
          <w:i/>
          <w:sz w:val="18"/>
          <w:szCs w:val="18"/>
        </w:rPr>
        <w:t>How Laws and Institutions Shape Financial Contracts: The Case of Bank Loans</w:t>
      </w:r>
      <w:r w:rsidRPr="00410D44">
        <w:rPr>
          <w:rFonts w:ascii="Arial" w:hAnsi="Arial" w:cs="Arial"/>
          <w:sz w:val="18"/>
          <w:szCs w:val="18"/>
        </w:rPr>
        <w:t xml:space="preserve">”, </w:t>
      </w:r>
      <w:r w:rsidRPr="00410D44">
        <w:rPr>
          <w:rFonts w:ascii="Arial" w:hAnsi="Arial" w:cs="Arial"/>
          <w:i/>
          <w:sz w:val="18"/>
          <w:szCs w:val="18"/>
        </w:rPr>
        <w:t>The Journal of Finance,</w:t>
      </w:r>
      <w:r w:rsidRPr="00410D44">
        <w:rPr>
          <w:rFonts w:ascii="Arial" w:hAnsi="Arial" w:cs="Arial"/>
          <w:sz w:val="18"/>
          <w:szCs w:val="18"/>
        </w:rPr>
        <w:t xml:space="preserve"> 62: 2803–2834</w:t>
      </w:r>
      <w:r w:rsidRPr="00410D44">
        <w:rPr>
          <w:rFonts w:ascii="Arial" w:hAnsi="Arial" w:cs="Arial"/>
          <w:spacing w:val="0"/>
          <w:sz w:val="18"/>
          <w:szCs w:val="18"/>
        </w:rPr>
        <w:t>; Bae y Goyal (2009),</w:t>
      </w:r>
      <w:r w:rsidRPr="00410D44">
        <w:rPr>
          <w:rFonts w:ascii="Arial" w:hAnsi="Arial" w:cs="Arial"/>
          <w:sz w:val="18"/>
          <w:szCs w:val="18"/>
        </w:rPr>
        <w:t xml:space="preserve"> “</w:t>
      </w:r>
      <w:r w:rsidRPr="00B10DC0">
        <w:rPr>
          <w:rFonts w:ascii="Arial" w:hAnsi="Arial" w:cs="Arial"/>
          <w:i/>
          <w:sz w:val="18"/>
          <w:szCs w:val="18"/>
        </w:rPr>
        <w:t>Creditor Rights, Enforcement, and Bank Loans</w:t>
      </w:r>
      <w:r w:rsidRPr="00410D44">
        <w:rPr>
          <w:rFonts w:ascii="Arial" w:hAnsi="Arial" w:cs="Arial"/>
          <w:sz w:val="18"/>
          <w:szCs w:val="18"/>
        </w:rPr>
        <w:t xml:space="preserve">”, </w:t>
      </w:r>
      <w:r w:rsidRPr="00410D44">
        <w:rPr>
          <w:rFonts w:ascii="Arial" w:hAnsi="Arial" w:cs="Arial"/>
          <w:i/>
          <w:sz w:val="18"/>
          <w:szCs w:val="18"/>
        </w:rPr>
        <w:t>The Journal of Finance</w:t>
      </w:r>
      <w:r w:rsidRPr="00410D44">
        <w:rPr>
          <w:rFonts w:ascii="Arial" w:hAnsi="Arial" w:cs="Arial"/>
          <w:sz w:val="18"/>
          <w:szCs w:val="18"/>
        </w:rPr>
        <w:t xml:space="preserve">, 64: 823–860; </w:t>
      </w:r>
      <w:proofErr w:type="spellStart"/>
      <w:r w:rsidRPr="00410D44">
        <w:rPr>
          <w:rFonts w:ascii="Arial" w:hAnsi="Arial" w:cs="Arial"/>
          <w:spacing w:val="0"/>
          <w:sz w:val="18"/>
          <w:szCs w:val="18"/>
        </w:rPr>
        <w:t>Ponticelli</w:t>
      </w:r>
      <w:proofErr w:type="spellEnd"/>
      <w:r w:rsidRPr="00410D44">
        <w:rPr>
          <w:rFonts w:ascii="Arial" w:hAnsi="Arial" w:cs="Arial"/>
          <w:spacing w:val="0"/>
          <w:sz w:val="18"/>
          <w:szCs w:val="18"/>
        </w:rPr>
        <w:t xml:space="preserve"> y </w:t>
      </w:r>
      <w:proofErr w:type="spellStart"/>
      <w:r w:rsidRPr="00410D44">
        <w:rPr>
          <w:rFonts w:ascii="Arial" w:hAnsi="Arial" w:cs="Arial"/>
          <w:spacing w:val="0"/>
          <w:sz w:val="18"/>
          <w:szCs w:val="18"/>
        </w:rPr>
        <w:t>Alencar</w:t>
      </w:r>
      <w:proofErr w:type="spellEnd"/>
      <w:r w:rsidRPr="00410D44">
        <w:rPr>
          <w:rFonts w:ascii="Arial" w:hAnsi="Arial" w:cs="Arial"/>
          <w:spacing w:val="0"/>
          <w:sz w:val="18"/>
          <w:szCs w:val="18"/>
        </w:rPr>
        <w:t xml:space="preserve"> (2016) “</w:t>
      </w:r>
      <w:r w:rsidRPr="00B10DC0">
        <w:rPr>
          <w:rFonts w:ascii="Arial" w:hAnsi="Arial" w:cs="Arial"/>
          <w:i/>
          <w:spacing w:val="0"/>
          <w:sz w:val="18"/>
          <w:szCs w:val="18"/>
        </w:rPr>
        <w:t>Court enforcement and firm productivity: evidence from a bankruptcy reform in Brazil”, Booth School of Business, University of Chicago</w:t>
      </w:r>
      <w:r w:rsidRPr="00410D44">
        <w:rPr>
          <w:rFonts w:ascii="Arial" w:hAnsi="Arial" w:cs="Arial"/>
          <w:spacing w:val="0"/>
          <w:sz w:val="18"/>
          <w:szCs w:val="18"/>
        </w:rPr>
        <w:t>.</w:t>
      </w:r>
    </w:p>
  </w:footnote>
  <w:footnote w:id="21">
    <w:p w14:paraId="66E5309B" w14:textId="77777777" w:rsidR="006C5339" w:rsidRPr="00410D44" w:rsidRDefault="006C5339" w:rsidP="00570875">
      <w:pPr>
        <w:pStyle w:val="FootnoteText"/>
        <w:spacing w:after="0"/>
        <w:rPr>
          <w:rFonts w:ascii="Arial" w:hAnsi="Arial" w:cs="Arial"/>
          <w:sz w:val="18"/>
          <w:szCs w:val="18"/>
        </w:rPr>
      </w:pPr>
      <w:r w:rsidRPr="00410D44">
        <w:rPr>
          <w:rStyle w:val="FootnoteReference"/>
          <w:rFonts w:ascii="Arial" w:hAnsi="Arial" w:cs="Arial"/>
          <w:sz w:val="18"/>
          <w:szCs w:val="18"/>
        </w:rPr>
        <w:footnoteRef/>
      </w:r>
      <w:r w:rsidRPr="00410D44">
        <w:rPr>
          <w:rFonts w:ascii="Arial" w:hAnsi="Arial" w:cs="Arial"/>
          <w:sz w:val="18"/>
          <w:szCs w:val="18"/>
        </w:rPr>
        <w:t xml:space="preserve"> </w:t>
      </w:r>
      <w:r w:rsidRPr="00410D44">
        <w:rPr>
          <w:rFonts w:ascii="Arial" w:hAnsi="Arial" w:cs="Arial"/>
          <w:sz w:val="18"/>
          <w:szCs w:val="18"/>
        </w:rPr>
        <w:tab/>
        <w:t xml:space="preserve">Banco Mundial (2017), </w:t>
      </w:r>
      <w:r w:rsidRPr="00410D44">
        <w:rPr>
          <w:rFonts w:ascii="Arial" w:hAnsi="Arial" w:cs="Arial"/>
          <w:i/>
          <w:sz w:val="18"/>
          <w:szCs w:val="18"/>
        </w:rPr>
        <w:t>World Development Indicators</w:t>
      </w:r>
      <w:r w:rsidRPr="00410D44">
        <w:rPr>
          <w:rFonts w:ascii="Arial" w:hAnsi="Arial" w:cs="Arial"/>
          <w:sz w:val="18"/>
          <w:szCs w:val="18"/>
        </w:rPr>
        <w:t>.</w:t>
      </w:r>
    </w:p>
  </w:footnote>
  <w:footnote w:id="22">
    <w:p w14:paraId="01869995" w14:textId="77777777" w:rsidR="006C5339" w:rsidRPr="00410D44" w:rsidRDefault="006C5339" w:rsidP="00570875">
      <w:pPr>
        <w:pStyle w:val="FootnoteText"/>
        <w:spacing w:after="0"/>
        <w:rPr>
          <w:rFonts w:ascii="Arial" w:hAnsi="Arial" w:cs="Arial"/>
          <w:sz w:val="18"/>
          <w:szCs w:val="18"/>
          <w:lang w:val="es-ES_tradnl"/>
        </w:rPr>
      </w:pPr>
      <w:r w:rsidRPr="00410D44">
        <w:rPr>
          <w:rStyle w:val="FootnoteReference"/>
          <w:rFonts w:ascii="Arial" w:hAnsi="Arial" w:cs="Arial"/>
          <w:sz w:val="18"/>
          <w:szCs w:val="18"/>
        </w:rPr>
        <w:footnoteRef/>
      </w:r>
      <w:r w:rsidRPr="00410D44">
        <w:rPr>
          <w:rFonts w:ascii="Arial" w:hAnsi="Arial" w:cs="Arial"/>
          <w:sz w:val="18"/>
          <w:szCs w:val="18"/>
          <w:lang w:val="es-ES_tradnl"/>
        </w:rPr>
        <w:t xml:space="preserve"> </w:t>
      </w:r>
      <w:r w:rsidRPr="00410D44">
        <w:rPr>
          <w:rFonts w:ascii="Arial" w:hAnsi="Arial" w:cs="Arial"/>
          <w:sz w:val="18"/>
          <w:szCs w:val="18"/>
          <w:lang w:val="es-ES_tradnl"/>
        </w:rPr>
        <w:tab/>
        <w:t xml:space="preserve">Las restricciones de financiamiento para las </w:t>
      </w:r>
      <w:proofErr w:type="spellStart"/>
      <w:r w:rsidRPr="00410D44">
        <w:rPr>
          <w:rFonts w:ascii="Arial" w:hAnsi="Arial" w:cs="Arial"/>
          <w:sz w:val="18"/>
          <w:szCs w:val="18"/>
          <w:lang w:val="es-ES_tradnl"/>
        </w:rPr>
        <w:t>PyME</w:t>
      </w:r>
      <w:proofErr w:type="spellEnd"/>
      <w:r w:rsidRPr="00410D44">
        <w:rPr>
          <w:rFonts w:ascii="Arial" w:hAnsi="Arial" w:cs="Arial"/>
          <w:sz w:val="18"/>
          <w:szCs w:val="18"/>
          <w:lang w:val="es-ES_tradnl"/>
        </w:rPr>
        <w:t xml:space="preserve">, empresas nuevas y empresas de base tecnológica, se debe al mayor riesgo percibido por el sector bancario, asociado con las características particulares de estos segmentos. Las asimetrías de información, la ausencia de historiales de comportamiento crediticio, los mayores costos fijos de intermediación, menores niveles de capitalización y capacidad de ofrecer colateral, y bajo nivel de formalización en aspectos contables y operativos, entre otros, hacen que los bancos tengan especial cuidado al ofrecer financiamiento a estas empresas. Ver: BID (2014), </w:t>
      </w:r>
      <w:proofErr w:type="spellStart"/>
      <w:r w:rsidRPr="00410D44">
        <w:rPr>
          <w:rFonts w:ascii="Arial" w:hAnsi="Arial" w:cs="Arial"/>
          <w:i/>
          <w:sz w:val="18"/>
          <w:szCs w:val="18"/>
          <w:lang w:val="es-ES_tradnl"/>
        </w:rPr>
        <w:t>Op</w:t>
      </w:r>
      <w:proofErr w:type="spellEnd"/>
      <w:r w:rsidRPr="00410D44">
        <w:rPr>
          <w:rFonts w:ascii="Arial" w:hAnsi="Arial" w:cs="Arial"/>
          <w:i/>
          <w:sz w:val="18"/>
          <w:szCs w:val="18"/>
          <w:lang w:val="es-ES_tradnl"/>
        </w:rPr>
        <w:t>. cit</w:t>
      </w:r>
      <w:r w:rsidRPr="00410D44">
        <w:rPr>
          <w:rFonts w:ascii="Arial" w:hAnsi="Arial" w:cs="Arial"/>
          <w:sz w:val="18"/>
          <w:szCs w:val="18"/>
          <w:lang w:val="es-ES_tradnl"/>
        </w:rPr>
        <w:t>. sobre el acceso a financiamiento para estos segmentos de empresas.</w:t>
      </w:r>
    </w:p>
  </w:footnote>
  <w:footnote w:id="23">
    <w:p w14:paraId="23BE927E" w14:textId="35E4DE7E" w:rsidR="006C5339" w:rsidRPr="00410D44" w:rsidRDefault="006C5339" w:rsidP="00570875">
      <w:pPr>
        <w:pStyle w:val="FootnoteText"/>
        <w:spacing w:after="0"/>
        <w:rPr>
          <w:rStyle w:val="FootnoteReference"/>
          <w:rFonts w:ascii="Arial" w:hAnsi="Arial" w:cs="Arial"/>
          <w:sz w:val="18"/>
          <w:szCs w:val="18"/>
          <w:lang w:val="es-ES_tradnl"/>
        </w:rPr>
      </w:pPr>
      <w:r w:rsidRPr="00410D44">
        <w:rPr>
          <w:rStyle w:val="FootnoteReference"/>
          <w:rFonts w:ascii="Arial" w:hAnsi="Arial" w:cs="Arial"/>
          <w:sz w:val="18"/>
          <w:szCs w:val="18"/>
        </w:rPr>
        <w:footnoteRef/>
      </w:r>
      <w:r w:rsidRPr="00410D44">
        <w:rPr>
          <w:rStyle w:val="FootnoteReference"/>
          <w:rFonts w:ascii="Arial" w:hAnsi="Arial" w:cs="Arial"/>
          <w:sz w:val="18"/>
          <w:szCs w:val="18"/>
          <w:lang w:val="es-ES_tradnl"/>
        </w:rPr>
        <w:t xml:space="preserve"> </w:t>
      </w:r>
      <w:r w:rsidRPr="00410D44">
        <w:rPr>
          <w:rStyle w:val="FootnoteReference"/>
          <w:rFonts w:ascii="Arial" w:hAnsi="Arial" w:cs="Arial"/>
          <w:sz w:val="18"/>
          <w:szCs w:val="18"/>
          <w:lang w:val="es-ES_tradnl"/>
        </w:rPr>
        <w:tab/>
      </w:r>
      <w:r w:rsidRPr="00410D44">
        <w:rPr>
          <w:rFonts w:ascii="Arial" w:hAnsi="Arial" w:cs="Arial"/>
          <w:sz w:val="18"/>
          <w:szCs w:val="18"/>
          <w:lang w:val="es-ES_tradnl"/>
        </w:rPr>
        <w:t xml:space="preserve">Dirección General de Estadística, Encuestas y Censos (2011), </w:t>
      </w:r>
      <w:r w:rsidRPr="00570875">
        <w:rPr>
          <w:rFonts w:ascii="Arial" w:hAnsi="Arial" w:cs="Arial"/>
          <w:sz w:val="18"/>
          <w:szCs w:val="18"/>
          <w:lang w:val="es-ES_tradnl"/>
        </w:rPr>
        <w:t>Censo Económico Nacional.</w:t>
      </w:r>
    </w:p>
  </w:footnote>
  <w:footnote w:id="24">
    <w:p w14:paraId="61387ECE" w14:textId="0C36428F" w:rsidR="006C5339" w:rsidRPr="00410D44" w:rsidRDefault="006C5339" w:rsidP="00570875">
      <w:pPr>
        <w:pStyle w:val="FootnoteText"/>
        <w:spacing w:after="0"/>
        <w:rPr>
          <w:rFonts w:ascii="Arial" w:hAnsi="Arial" w:cs="Arial"/>
          <w:sz w:val="18"/>
          <w:szCs w:val="18"/>
          <w:lang w:val="es-ES_tradnl"/>
        </w:rPr>
      </w:pPr>
      <w:r w:rsidRPr="00410D44">
        <w:rPr>
          <w:rStyle w:val="FootnoteReference"/>
          <w:rFonts w:ascii="Arial" w:hAnsi="Arial" w:cs="Arial"/>
          <w:sz w:val="18"/>
          <w:szCs w:val="18"/>
        </w:rPr>
        <w:footnoteRef/>
      </w:r>
      <w:r w:rsidRPr="00410D44">
        <w:rPr>
          <w:rFonts w:ascii="Arial" w:hAnsi="Arial" w:cs="Arial"/>
          <w:sz w:val="18"/>
          <w:szCs w:val="18"/>
        </w:rPr>
        <w:t xml:space="preserve"> “</w:t>
      </w:r>
      <w:r w:rsidRPr="00570875">
        <w:rPr>
          <w:rFonts w:ascii="Arial" w:hAnsi="Arial" w:cs="Arial"/>
          <w:i/>
          <w:sz w:val="18"/>
          <w:szCs w:val="18"/>
        </w:rPr>
        <w:t>Credit expansi</w:t>
      </w:r>
      <w:r w:rsidR="00570875" w:rsidRPr="00570875">
        <w:rPr>
          <w:rFonts w:ascii="Arial" w:hAnsi="Arial" w:cs="Arial"/>
          <w:i/>
          <w:sz w:val="18"/>
          <w:szCs w:val="18"/>
        </w:rPr>
        <w:t>o</w:t>
      </w:r>
      <w:r w:rsidRPr="00570875">
        <w:rPr>
          <w:rFonts w:ascii="Arial" w:hAnsi="Arial" w:cs="Arial"/>
          <w:i/>
          <w:sz w:val="18"/>
          <w:szCs w:val="18"/>
        </w:rPr>
        <w:t>n in Emerging Markets: Propeller of Growth?</w:t>
      </w:r>
      <w:r w:rsidRPr="00410D44">
        <w:rPr>
          <w:rFonts w:ascii="Arial" w:hAnsi="Arial" w:cs="Arial"/>
          <w:sz w:val="18"/>
          <w:szCs w:val="18"/>
        </w:rPr>
        <w:t xml:space="preserve">” </w:t>
      </w:r>
      <w:r w:rsidRPr="00410D44">
        <w:rPr>
          <w:rFonts w:ascii="Arial" w:hAnsi="Arial" w:cs="Arial"/>
          <w:sz w:val="18"/>
          <w:szCs w:val="18"/>
          <w:lang w:val="es-ES_tradnl"/>
        </w:rPr>
        <w:t xml:space="preserve">Garcia-Escribano, M. and </w:t>
      </w:r>
      <w:proofErr w:type="spellStart"/>
      <w:r w:rsidRPr="00410D44">
        <w:rPr>
          <w:rFonts w:ascii="Arial" w:hAnsi="Arial" w:cs="Arial"/>
          <w:sz w:val="18"/>
          <w:szCs w:val="18"/>
          <w:lang w:val="es-ES_tradnl"/>
        </w:rPr>
        <w:t>Fei</w:t>
      </w:r>
      <w:proofErr w:type="spellEnd"/>
      <w:r w:rsidRPr="00410D44">
        <w:rPr>
          <w:rFonts w:ascii="Arial" w:hAnsi="Arial" w:cs="Arial"/>
          <w:sz w:val="18"/>
          <w:szCs w:val="18"/>
          <w:lang w:val="es-ES_tradnl"/>
        </w:rPr>
        <w:t xml:space="preserve"> Han (2015) </w:t>
      </w:r>
      <w:hyperlink r:id="rId1" w:history="1">
        <w:r w:rsidRPr="00410D44">
          <w:rPr>
            <w:rStyle w:val="Hyperlink"/>
            <w:rFonts w:ascii="Arial" w:hAnsi="Arial" w:cs="Arial"/>
            <w:sz w:val="18"/>
            <w:szCs w:val="18"/>
            <w:lang w:val="es-ES_tradnl"/>
          </w:rPr>
          <w:t>https://www.imf.org/external/pubs/ft/wp/2015/wp15212.pdf</w:t>
        </w:r>
      </w:hyperlink>
      <w:r w:rsidR="00570875">
        <w:rPr>
          <w:rFonts w:ascii="Arial" w:hAnsi="Arial" w:cs="Arial"/>
          <w:sz w:val="18"/>
          <w:szCs w:val="18"/>
          <w:lang w:val="es-ES_tradnl"/>
        </w:rPr>
        <w:t>.</w:t>
      </w:r>
    </w:p>
  </w:footnote>
  <w:footnote w:id="25">
    <w:p w14:paraId="697B07BE" w14:textId="044DDF1C" w:rsidR="006C5339" w:rsidRPr="00410D44" w:rsidRDefault="006C5339" w:rsidP="00570875">
      <w:pPr>
        <w:pStyle w:val="FootnoteText"/>
        <w:spacing w:after="0"/>
        <w:rPr>
          <w:rFonts w:ascii="Arial" w:hAnsi="Arial" w:cs="Arial"/>
          <w:sz w:val="18"/>
          <w:szCs w:val="18"/>
          <w:lang w:val="es-ES_tradnl"/>
        </w:rPr>
      </w:pPr>
      <w:r w:rsidRPr="00410D44">
        <w:rPr>
          <w:rStyle w:val="FootnoteReference"/>
          <w:rFonts w:ascii="Arial" w:hAnsi="Arial" w:cs="Arial"/>
          <w:sz w:val="18"/>
          <w:szCs w:val="18"/>
        </w:rPr>
        <w:footnoteRef/>
      </w:r>
      <w:r w:rsidRPr="00410D44">
        <w:rPr>
          <w:rFonts w:ascii="Arial" w:hAnsi="Arial" w:cs="Arial"/>
          <w:sz w:val="18"/>
          <w:szCs w:val="18"/>
          <w:lang w:val="es-ES_tradnl"/>
        </w:rPr>
        <w:t xml:space="preserve"> </w:t>
      </w:r>
      <w:r w:rsidRPr="00410D44">
        <w:rPr>
          <w:rFonts w:ascii="Arial" w:hAnsi="Arial" w:cs="Arial"/>
          <w:sz w:val="18"/>
          <w:szCs w:val="18"/>
          <w:lang w:val="es-ES_tradnl"/>
        </w:rPr>
        <w:tab/>
        <w:t xml:space="preserve">Organización para la Cooperación y el Desarrollo Económicos – OCDE (2013), </w:t>
      </w:r>
      <w:proofErr w:type="spellStart"/>
      <w:r w:rsidRPr="00410D44">
        <w:rPr>
          <w:rFonts w:ascii="Arial" w:hAnsi="Arial" w:cs="Arial"/>
          <w:sz w:val="18"/>
          <w:szCs w:val="18"/>
          <w:lang w:val="es-ES_tradnl"/>
        </w:rPr>
        <w:t>Op</w:t>
      </w:r>
      <w:proofErr w:type="spellEnd"/>
      <w:r w:rsidRPr="00410D44">
        <w:rPr>
          <w:rFonts w:ascii="Arial" w:hAnsi="Arial" w:cs="Arial"/>
          <w:sz w:val="18"/>
          <w:szCs w:val="18"/>
          <w:lang w:val="es-ES_tradnl"/>
        </w:rPr>
        <w:t xml:space="preserve">. Cit.; </w:t>
      </w:r>
      <w:proofErr w:type="spellStart"/>
      <w:r w:rsidRPr="00410D44">
        <w:rPr>
          <w:rFonts w:ascii="Arial" w:hAnsi="Arial" w:cs="Arial"/>
          <w:sz w:val="18"/>
          <w:szCs w:val="18"/>
          <w:lang w:val="es-ES_tradnl"/>
        </w:rPr>
        <w:t>Sumanjeet</w:t>
      </w:r>
      <w:proofErr w:type="spellEnd"/>
      <w:r w:rsidRPr="00410D44">
        <w:rPr>
          <w:rFonts w:ascii="Arial" w:hAnsi="Arial" w:cs="Arial"/>
          <w:sz w:val="18"/>
          <w:szCs w:val="18"/>
          <w:lang w:val="es-ES_tradnl"/>
        </w:rPr>
        <w:t xml:space="preserve">, R. (2015), </w:t>
      </w:r>
      <w:proofErr w:type="spellStart"/>
      <w:r w:rsidRPr="00410D44">
        <w:rPr>
          <w:rFonts w:ascii="Arial" w:hAnsi="Arial" w:cs="Arial"/>
          <w:sz w:val="18"/>
          <w:szCs w:val="18"/>
          <w:lang w:val="es-ES_tradnl"/>
        </w:rPr>
        <w:t>Op</w:t>
      </w:r>
      <w:proofErr w:type="spellEnd"/>
      <w:r w:rsidRPr="00410D44">
        <w:rPr>
          <w:rFonts w:ascii="Arial" w:hAnsi="Arial" w:cs="Arial"/>
          <w:sz w:val="18"/>
          <w:szCs w:val="18"/>
          <w:lang w:val="es-ES_tradnl"/>
        </w:rPr>
        <w:t xml:space="preserve">. Cit. También, Mauro, Paolo (1995), </w:t>
      </w:r>
      <w:proofErr w:type="spellStart"/>
      <w:r w:rsidRPr="00410D44">
        <w:rPr>
          <w:rFonts w:ascii="Arial" w:hAnsi="Arial" w:cs="Arial"/>
          <w:sz w:val="18"/>
          <w:szCs w:val="18"/>
          <w:lang w:val="es-ES_tradnl"/>
        </w:rPr>
        <w:t>Op.Cit</w:t>
      </w:r>
      <w:proofErr w:type="spellEnd"/>
      <w:r w:rsidRPr="00410D44">
        <w:rPr>
          <w:rFonts w:ascii="Arial" w:hAnsi="Arial" w:cs="Arial"/>
          <w:sz w:val="18"/>
          <w:szCs w:val="18"/>
          <w:lang w:val="es-ES_tradnl"/>
        </w:rPr>
        <w:t>.</w:t>
      </w:r>
    </w:p>
  </w:footnote>
  <w:footnote w:id="26">
    <w:p w14:paraId="7D9E30BC" w14:textId="03F7F2FD" w:rsidR="006C5339" w:rsidRPr="00410D44" w:rsidRDefault="006C5339" w:rsidP="00570875">
      <w:pPr>
        <w:pStyle w:val="FootnoteText"/>
        <w:spacing w:after="0"/>
        <w:rPr>
          <w:rFonts w:ascii="Arial" w:hAnsi="Arial" w:cs="Arial"/>
          <w:sz w:val="18"/>
          <w:szCs w:val="18"/>
          <w:lang w:val="es-ES_tradnl"/>
        </w:rPr>
      </w:pPr>
      <w:r w:rsidRPr="00410D44">
        <w:rPr>
          <w:rStyle w:val="FootnoteReference"/>
          <w:rFonts w:ascii="Arial" w:hAnsi="Arial" w:cs="Arial"/>
          <w:sz w:val="18"/>
          <w:szCs w:val="18"/>
        </w:rPr>
        <w:footnoteRef/>
      </w:r>
      <w:r w:rsidRPr="00410D44">
        <w:rPr>
          <w:rFonts w:ascii="Arial" w:hAnsi="Arial" w:cs="Arial"/>
          <w:sz w:val="18"/>
          <w:szCs w:val="18"/>
          <w:lang w:val="es-ES_tradnl"/>
        </w:rPr>
        <w:t xml:space="preserve"> </w:t>
      </w:r>
      <w:r w:rsidRPr="00410D44">
        <w:rPr>
          <w:rFonts w:ascii="Arial" w:hAnsi="Arial" w:cs="Arial"/>
          <w:sz w:val="18"/>
          <w:szCs w:val="18"/>
          <w:lang w:val="es-ES_tradnl"/>
        </w:rPr>
        <w:tab/>
      </w:r>
      <w:proofErr w:type="spellStart"/>
      <w:r w:rsidRPr="00410D44">
        <w:rPr>
          <w:rFonts w:ascii="Arial" w:hAnsi="Arial" w:cs="Arial"/>
          <w:sz w:val="18"/>
          <w:szCs w:val="18"/>
          <w:lang w:val="es-ES_tradnl"/>
        </w:rPr>
        <w:t>Lambsdorff</w:t>
      </w:r>
      <w:proofErr w:type="spellEnd"/>
      <w:r w:rsidRPr="00410D44">
        <w:rPr>
          <w:rFonts w:ascii="Arial" w:hAnsi="Arial" w:cs="Arial"/>
          <w:sz w:val="18"/>
          <w:szCs w:val="18"/>
          <w:lang w:val="es-ES_tradnl"/>
        </w:rPr>
        <w:t xml:space="preserve">, J. (2003), </w:t>
      </w:r>
      <w:proofErr w:type="spellStart"/>
      <w:r w:rsidRPr="00410D44">
        <w:rPr>
          <w:rFonts w:ascii="Arial" w:hAnsi="Arial" w:cs="Arial"/>
          <w:sz w:val="18"/>
          <w:szCs w:val="18"/>
          <w:lang w:val="es-ES_tradnl"/>
        </w:rPr>
        <w:t>Op.Cit</w:t>
      </w:r>
      <w:proofErr w:type="spellEnd"/>
      <w:r w:rsidRPr="00410D44">
        <w:rPr>
          <w:rFonts w:ascii="Arial" w:hAnsi="Arial" w:cs="Arial"/>
          <w:sz w:val="18"/>
          <w:szCs w:val="18"/>
          <w:lang w:val="es-ES_tradnl"/>
        </w:rPr>
        <w:t xml:space="preserve">.; De Rosa, D., </w:t>
      </w:r>
      <w:proofErr w:type="spellStart"/>
      <w:r w:rsidRPr="00410D44">
        <w:rPr>
          <w:rFonts w:ascii="Arial" w:hAnsi="Arial" w:cs="Arial"/>
          <w:sz w:val="18"/>
          <w:szCs w:val="18"/>
          <w:lang w:val="es-ES_tradnl"/>
        </w:rPr>
        <w:t>Gooroochurn</w:t>
      </w:r>
      <w:proofErr w:type="spellEnd"/>
      <w:r w:rsidRPr="00410D44">
        <w:rPr>
          <w:rFonts w:ascii="Arial" w:hAnsi="Arial" w:cs="Arial"/>
          <w:sz w:val="18"/>
          <w:szCs w:val="18"/>
          <w:lang w:val="es-ES_tradnl"/>
        </w:rPr>
        <w:t xml:space="preserve">, N. y </w:t>
      </w:r>
      <w:proofErr w:type="spellStart"/>
      <w:r w:rsidRPr="00410D44">
        <w:rPr>
          <w:rFonts w:ascii="Arial" w:hAnsi="Arial" w:cs="Arial"/>
          <w:sz w:val="18"/>
          <w:szCs w:val="18"/>
          <w:lang w:val="es-ES_tradnl"/>
        </w:rPr>
        <w:t>Gorg</w:t>
      </w:r>
      <w:proofErr w:type="spellEnd"/>
      <w:r w:rsidRPr="00410D44">
        <w:rPr>
          <w:rFonts w:ascii="Arial" w:hAnsi="Arial" w:cs="Arial"/>
          <w:sz w:val="18"/>
          <w:szCs w:val="18"/>
          <w:lang w:val="es-ES_tradnl"/>
        </w:rPr>
        <w:t xml:space="preserve">, H. (2010), </w:t>
      </w:r>
      <w:proofErr w:type="spellStart"/>
      <w:r w:rsidRPr="00410D44">
        <w:rPr>
          <w:rFonts w:ascii="Arial" w:hAnsi="Arial" w:cs="Arial"/>
          <w:sz w:val="18"/>
          <w:szCs w:val="18"/>
          <w:lang w:val="es-ES_tradnl"/>
        </w:rPr>
        <w:t>Op.Cit</w:t>
      </w:r>
      <w:proofErr w:type="spellEnd"/>
      <w:r w:rsidRPr="00410D44">
        <w:rPr>
          <w:rFonts w:ascii="Arial" w:hAnsi="Arial" w:cs="Arial"/>
          <w:sz w:val="18"/>
          <w:szCs w:val="18"/>
          <w:lang w:val="es-ES_tradnl"/>
        </w:rPr>
        <w:t xml:space="preserve">. </w:t>
      </w:r>
    </w:p>
  </w:footnote>
  <w:footnote w:id="27">
    <w:p w14:paraId="22DB9D91" w14:textId="3D8E17CC" w:rsidR="006C5339" w:rsidRPr="00410D44" w:rsidRDefault="006C5339" w:rsidP="00570875">
      <w:pPr>
        <w:pStyle w:val="FootnoteText"/>
        <w:spacing w:after="0"/>
        <w:rPr>
          <w:rFonts w:ascii="Arial" w:hAnsi="Arial" w:cs="Arial"/>
          <w:sz w:val="18"/>
          <w:szCs w:val="18"/>
        </w:rPr>
      </w:pPr>
      <w:r w:rsidRPr="00410D44">
        <w:rPr>
          <w:rStyle w:val="FootnoteReference"/>
          <w:rFonts w:ascii="Arial" w:hAnsi="Arial" w:cs="Arial"/>
          <w:sz w:val="18"/>
          <w:szCs w:val="18"/>
        </w:rPr>
        <w:footnoteRef/>
      </w:r>
      <w:r w:rsidRPr="00410D44">
        <w:rPr>
          <w:rFonts w:ascii="Arial" w:hAnsi="Arial" w:cs="Arial"/>
          <w:sz w:val="18"/>
          <w:szCs w:val="18"/>
        </w:rPr>
        <w:t xml:space="preserve"> </w:t>
      </w:r>
      <w:r w:rsidR="00570875">
        <w:rPr>
          <w:rFonts w:ascii="Arial" w:hAnsi="Arial" w:cs="Arial"/>
          <w:sz w:val="18"/>
          <w:szCs w:val="18"/>
        </w:rPr>
        <w:tab/>
      </w:r>
      <w:r w:rsidRPr="00410D44">
        <w:rPr>
          <w:rFonts w:ascii="Arial" w:hAnsi="Arial" w:cs="Arial"/>
          <w:sz w:val="18"/>
          <w:szCs w:val="18"/>
        </w:rPr>
        <w:t xml:space="preserve">Galli, E., D. V. </w:t>
      </w:r>
      <w:proofErr w:type="spellStart"/>
      <w:r w:rsidRPr="00410D44">
        <w:rPr>
          <w:rFonts w:ascii="Arial" w:hAnsi="Arial" w:cs="Arial"/>
          <w:sz w:val="18"/>
          <w:szCs w:val="18"/>
        </w:rPr>
        <w:t>Mascia</w:t>
      </w:r>
      <w:proofErr w:type="spellEnd"/>
      <w:r w:rsidRPr="00410D44">
        <w:rPr>
          <w:rFonts w:ascii="Arial" w:hAnsi="Arial" w:cs="Arial"/>
          <w:sz w:val="18"/>
          <w:szCs w:val="18"/>
        </w:rPr>
        <w:t xml:space="preserve">, and S. P. S. Rossi. (2017). </w:t>
      </w:r>
      <w:r w:rsidRPr="00570875">
        <w:rPr>
          <w:rFonts w:ascii="Arial" w:hAnsi="Arial" w:cs="Arial"/>
          <w:i/>
          <w:sz w:val="18"/>
          <w:szCs w:val="18"/>
        </w:rPr>
        <w:t>Does Corruption Affect Access to Bank Credit for Micro and Small Businesses? Evidence from European MSMEs. ADBI Working Paper 756. Tokyo: Asian Development Bank Institute</w:t>
      </w:r>
      <w:r w:rsidRPr="00410D44">
        <w:rPr>
          <w:rFonts w:ascii="Arial" w:hAnsi="Arial" w:cs="Arial"/>
          <w:sz w:val="18"/>
          <w:szCs w:val="18"/>
        </w:rPr>
        <w:t>.</w:t>
      </w:r>
    </w:p>
  </w:footnote>
  <w:footnote w:id="28">
    <w:p w14:paraId="4BE5BC16" w14:textId="04766985" w:rsidR="006C5339" w:rsidRPr="00410D44" w:rsidRDefault="006C5339" w:rsidP="00570875">
      <w:pPr>
        <w:pStyle w:val="FootnoteText"/>
        <w:spacing w:after="0"/>
        <w:rPr>
          <w:rFonts w:ascii="Arial" w:hAnsi="Arial" w:cs="Arial"/>
          <w:sz w:val="18"/>
          <w:szCs w:val="18"/>
        </w:rPr>
      </w:pPr>
      <w:r w:rsidRPr="00410D44">
        <w:rPr>
          <w:rStyle w:val="FootnoteReference"/>
          <w:rFonts w:ascii="Arial" w:hAnsi="Arial" w:cs="Arial"/>
          <w:sz w:val="18"/>
          <w:szCs w:val="18"/>
        </w:rPr>
        <w:footnoteRef/>
      </w:r>
      <w:r w:rsidRPr="00410D44">
        <w:rPr>
          <w:rFonts w:ascii="Arial" w:hAnsi="Arial" w:cs="Arial"/>
          <w:sz w:val="18"/>
          <w:szCs w:val="18"/>
        </w:rPr>
        <w:t xml:space="preserve"> </w:t>
      </w:r>
      <w:r w:rsidR="00570875">
        <w:rPr>
          <w:rFonts w:ascii="Arial" w:hAnsi="Arial" w:cs="Arial"/>
          <w:sz w:val="18"/>
          <w:szCs w:val="18"/>
        </w:rPr>
        <w:tab/>
      </w:r>
      <w:r w:rsidRPr="00410D44">
        <w:rPr>
          <w:rFonts w:ascii="Arial" w:hAnsi="Arial" w:cs="Arial"/>
          <w:sz w:val="18"/>
          <w:szCs w:val="18"/>
        </w:rPr>
        <w:t>Ibid.</w:t>
      </w:r>
    </w:p>
  </w:footnote>
  <w:footnote w:id="29">
    <w:p w14:paraId="5E388623" w14:textId="71AF1B4E" w:rsidR="006C5339" w:rsidRPr="00383AB5" w:rsidRDefault="006C5339" w:rsidP="00570875">
      <w:pPr>
        <w:pStyle w:val="FootnoteText"/>
        <w:spacing w:after="0"/>
        <w:rPr>
          <w:rFonts w:ascii="Arial" w:hAnsi="Arial" w:cs="Arial"/>
          <w:i/>
          <w:sz w:val="18"/>
          <w:szCs w:val="18"/>
        </w:rPr>
      </w:pPr>
      <w:r w:rsidRPr="00410D44">
        <w:rPr>
          <w:rStyle w:val="FootnoteReference"/>
          <w:rFonts w:ascii="Arial" w:hAnsi="Arial" w:cs="Arial"/>
          <w:sz w:val="18"/>
          <w:szCs w:val="18"/>
        </w:rPr>
        <w:footnoteRef/>
      </w:r>
      <w:r w:rsidRPr="00410D44">
        <w:rPr>
          <w:rFonts w:ascii="Arial" w:hAnsi="Arial" w:cs="Arial"/>
          <w:sz w:val="18"/>
          <w:szCs w:val="18"/>
        </w:rPr>
        <w:t xml:space="preserve"> </w:t>
      </w:r>
      <w:r w:rsidR="00570875">
        <w:rPr>
          <w:rFonts w:ascii="Arial" w:hAnsi="Arial" w:cs="Arial"/>
          <w:sz w:val="18"/>
          <w:szCs w:val="18"/>
        </w:rPr>
        <w:tab/>
      </w:r>
      <w:proofErr w:type="spellStart"/>
      <w:r w:rsidRPr="00410D44">
        <w:rPr>
          <w:rFonts w:ascii="Arial" w:hAnsi="Arial" w:cs="Arial"/>
          <w:sz w:val="18"/>
          <w:szCs w:val="18"/>
        </w:rPr>
        <w:t>Detragiache</w:t>
      </w:r>
      <w:proofErr w:type="spellEnd"/>
      <w:r w:rsidRPr="00410D44">
        <w:rPr>
          <w:rFonts w:ascii="Arial" w:hAnsi="Arial" w:cs="Arial"/>
          <w:sz w:val="18"/>
          <w:szCs w:val="18"/>
        </w:rPr>
        <w:t xml:space="preserve">, </w:t>
      </w:r>
      <w:proofErr w:type="spellStart"/>
      <w:r w:rsidRPr="00410D44">
        <w:rPr>
          <w:rFonts w:ascii="Arial" w:hAnsi="Arial" w:cs="Arial"/>
          <w:sz w:val="18"/>
          <w:szCs w:val="18"/>
        </w:rPr>
        <w:t>Enrica</w:t>
      </w:r>
      <w:proofErr w:type="spellEnd"/>
      <w:r w:rsidRPr="00410D44">
        <w:rPr>
          <w:rFonts w:ascii="Arial" w:hAnsi="Arial" w:cs="Arial"/>
          <w:sz w:val="18"/>
          <w:szCs w:val="18"/>
        </w:rPr>
        <w:t xml:space="preserve">, Poonam Gupta, and </w:t>
      </w:r>
      <w:proofErr w:type="spellStart"/>
      <w:r w:rsidRPr="00410D44">
        <w:rPr>
          <w:rFonts w:ascii="Arial" w:hAnsi="Arial" w:cs="Arial"/>
          <w:sz w:val="18"/>
          <w:szCs w:val="18"/>
        </w:rPr>
        <w:t>Thiery</w:t>
      </w:r>
      <w:proofErr w:type="spellEnd"/>
      <w:r w:rsidRPr="00410D44">
        <w:rPr>
          <w:rFonts w:ascii="Arial" w:hAnsi="Arial" w:cs="Arial"/>
          <w:sz w:val="18"/>
          <w:szCs w:val="18"/>
        </w:rPr>
        <w:t xml:space="preserve"> </w:t>
      </w:r>
      <w:proofErr w:type="spellStart"/>
      <w:r w:rsidRPr="00410D44">
        <w:rPr>
          <w:rFonts w:ascii="Arial" w:hAnsi="Arial" w:cs="Arial"/>
          <w:sz w:val="18"/>
          <w:szCs w:val="18"/>
        </w:rPr>
        <w:t>Tressel</w:t>
      </w:r>
      <w:proofErr w:type="spellEnd"/>
      <w:r w:rsidRPr="00410D44">
        <w:rPr>
          <w:rFonts w:ascii="Arial" w:hAnsi="Arial" w:cs="Arial"/>
          <w:sz w:val="18"/>
          <w:szCs w:val="18"/>
        </w:rPr>
        <w:t>. 2005. “</w:t>
      </w:r>
      <w:r w:rsidRPr="00410D44">
        <w:rPr>
          <w:rFonts w:ascii="Arial" w:hAnsi="Arial" w:cs="Arial"/>
          <w:i/>
          <w:sz w:val="18"/>
          <w:szCs w:val="18"/>
        </w:rPr>
        <w:t xml:space="preserve">Finance in Lower-Income Countries: </w:t>
      </w:r>
      <w:proofErr w:type="spellStart"/>
      <w:r w:rsidRPr="00410D44">
        <w:rPr>
          <w:rFonts w:ascii="Arial" w:hAnsi="Arial" w:cs="Arial"/>
          <w:i/>
          <w:sz w:val="18"/>
          <w:szCs w:val="18"/>
        </w:rPr>
        <w:t>AnEmpirical</w:t>
      </w:r>
      <w:proofErr w:type="spellEnd"/>
      <w:r w:rsidRPr="00410D44">
        <w:rPr>
          <w:rFonts w:ascii="Arial" w:hAnsi="Arial" w:cs="Arial"/>
          <w:i/>
          <w:sz w:val="18"/>
          <w:szCs w:val="18"/>
        </w:rPr>
        <w:t xml:space="preserve"> Exploration.</w:t>
      </w:r>
      <w:r w:rsidRPr="00410D44">
        <w:rPr>
          <w:rFonts w:ascii="Arial" w:hAnsi="Arial" w:cs="Arial"/>
          <w:sz w:val="18"/>
          <w:szCs w:val="18"/>
        </w:rPr>
        <w:t xml:space="preserve">” </w:t>
      </w:r>
      <w:r w:rsidRPr="00383AB5">
        <w:rPr>
          <w:rFonts w:ascii="Arial" w:hAnsi="Arial" w:cs="Arial"/>
          <w:i/>
          <w:sz w:val="18"/>
          <w:szCs w:val="18"/>
        </w:rPr>
        <w:t>IMF Working Paper 05/167, International Monetary Fund, Washington.</w:t>
      </w:r>
    </w:p>
  </w:footnote>
  <w:footnote w:id="30">
    <w:p w14:paraId="397ECAFA" w14:textId="2B33674D" w:rsidR="006C5339" w:rsidRPr="00410D44" w:rsidRDefault="006C5339" w:rsidP="00570875">
      <w:pPr>
        <w:pStyle w:val="FootnoteText"/>
        <w:spacing w:after="0"/>
        <w:rPr>
          <w:rFonts w:ascii="Arial" w:hAnsi="Arial" w:cs="Arial"/>
          <w:sz w:val="18"/>
          <w:szCs w:val="18"/>
        </w:rPr>
      </w:pPr>
      <w:r w:rsidRPr="00410D44">
        <w:rPr>
          <w:rStyle w:val="FootnoteReference"/>
          <w:rFonts w:ascii="Arial" w:hAnsi="Arial" w:cs="Arial"/>
          <w:sz w:val="18"/>
          <w:szCs w:val="18"/>
        </w:rPr>
        <w:footnoteRef/>
      </w:r>
      <w:r w:rsidRPr="00410D44">
        <w:rPr>
          <w:rFonts w:ascii="Arial" w:hAnsi="Arial" w:cs="Arial"/>
          <w:sz w:val="18"/>
          <w:szCs w:val="18"/>
        </w:rPr>
        <w:t xml:space="preserve"> </w:t>
      </w:r>
      <w:r w:rsidR="00570875">
        <w:rPr>
          <w:rFonts w:ascii="Arial" w:hAnsi="Arial" w:cs="Arial"/>
          <w:sz w:val="18"/>
          <w:szCs w:val="18"/>
        </w:rPr>
        <w:tab/>
      </w:r>
      <w:r w:rsidRPr="00410D44">
        <w:rPr>
          <w:rFonts w:ascii="Arial" w:hAnsi="Arial" w:cs="Arial"/>
          <w:sz w:val="18"/>
          <w:szCs w:val="18"/>
        </w:rPr>
        <w:t>Kane, Edward J., and Tara Rice. 2000. “</w:t>
      </w:r>
      <w:r w:rsidRPr="00410D44">
        <w:rPr>
          <w:rFonts w:ascii="Arial" w:hAnsi="Arial" w:cs="Arial"/>
          <w:i/>
          <w:sz w:val="18"/>
          <w:szCs w:val="18"/>
        </w:rPr>
        <w:t>Bank Runs and Banking Policies: Lessons for African Policymakers</w:t>
      </w:r>
      <w:r w:rsidRPr="00410D44">
        <w:rPr>
          <w:rFonts w:ascii="Arial" w:hAnsi="Arial" w:cs="Arial"/>
          <w:sz w:val="18"/>
          <w:szCs w:val="18"/>
        </w:rPr>
        <w:t>.” NBER Working Paper 8003, National Bureau of Economic Research, Cambridge, Massachusetts.</w:t>
      </w:r>
    </w:p>
  </w:footnote>
  <w:footnote w:id="31">
    <w:p w14:paraId="61387ECF" w14:textId="77777777" w:rsidR="006C5339" w:rsidRPr="00410D44" w:rsidRDefault="006C5339" w:rsidP="00570875">
      <w:pPr>
        <w:pStyle w:val="FootnoteText"/>
        <w:spacing w:after="0"/>
        <w:rPr>
          <w:rFonts w:ascii="Arial" w:hAnsi="Arial" w:cs="Arial"/>
          <w:sz w:val="18"/>
          <w:szCs w:val="18"/>
        </w:rPr>
      </w:pPr>
      <w:r w:rsidRPr="00410D44">
        <w:rPr>
          <w:rStyle w:val="FootnoteReference"/>
          <w:rFonts w:ascii="Arial" w:hAnsi="Arial" w:cs="Arial"/>
          <w:sz w:val="18"/>
          <w:szCs w:val="18"/>
        </w:rPr>
        <w:footnoteRef/>
      </w:r>
      <w:r w:rsidRPr="00410D44">
        <w:rPr>
          <w:rFonts w:ascii="Arial" w:hAnsi="Arial" w:cs="Arial"/>
          <w:sz w:val="18"/>
          <w:szCs w:val="18"/>
        </w:rPr>
        <w:t xml:space="preserve"> </w:t>
      </w:r>
      <w:r w:rsidRPr="00410D44">
        <w:rPr>
          <w:rFonts w:ascii="Arial" w:hAnsi="Arial" w:cs="Arial"/>
          <w:sz w:val="18"/>
          <w:szCs w:val="18"/>
        </w:rPr>
        <w:tab/>
      </w:r>
      <w:proofErr w:type="spellStart"/>
      <w:r w:rsidRPr="00410D44">
        <w:rPr>
          <w:rFonts w:ascii="Arial" w:hAnsi="Arial" w:cs="Arial"/>
          <w:sz w:val="18"/>
          <w:szCs w:val="18"/>
        </w:rPr>
        <w:t>Karpowicz</w:t>
      </w:r>
      <w:proofErr w:type="spellEnd"/>
      <w:r w:rsidRPr="00410D44">
        <w:rPr>
          <w:rFonts w:ascii="Arial" w:hAnsi="Arial" w:cs="Arial"/>
          <w:sz w:val="18"/>
          <w:szCs w:val="18"/>
        </w:rPr>
        <w:t xml:space="preserve">, </w:t>
      </w:r>
      <w:proofErr w:type="spellStart"/>
      <w:r w:rsidRPr="00410D44">
        <w:rPr>
          <w:rFonts w:ascii="Arial" w:hAnsi="Arial" w:cs="Arial"/>
          <w:sz w:val="18"/>
          <w:szCs w:val="18"/>
        </w:rPr>
        <w:t>Ms</w:t>
      </w:r>
      <w:proofErr w:type="spellEnd"/>
      <w:r w:rsidRPr="00410D44">
        <w:rPr>
          <w:rFonts w:ascii="Arial" w:hAnsi="Arial" w:cs="Arial"/>
          <w:sz w:val="18"/>
          <w:szCs w:val="18"/>
        </w:rPr>
        <w:t xml:space="preserve"> Izabela. </w:t>
      </w:r>
      <w:r w:rsidRPr="00383AB5">
        <w:rPr>
          <w:rFonts w:ascii="Arial" w:hAnsi="Arial" w:cs="Arial"/>
          <w:i/>
          <w:sz w:val="18"/>
          <w:szCs w:val="18"/>
        </w:rPr>
        <w:t>Financial Inclusion, Growth and Inequality: A Model Application to Colombia. No. 14-166. International Monetary Fund, 2014.</w:t>
      </w:r>
    </w:p>
  </w:footnote>
  <w:footnote w:id="32">
    <w:p w14:paraId="61387ED0" w14:textId="77777777" w:rsidR="006C5339" w:rsidRPr="00410D44" w:rsidRDefault="006C5339" w:rsidP="00570875">
      <w:pPr>
        <w:pStyle w:val="FootnoteText"/>
        <w:spacing w:after="0"/>
        <w:rPr>
          <w:rFonts w:ascii="Arial" w:hAnsi="Arial" w:cs="Arial"/>
          <w:sz w:val="18"/>
          <w:szCs w:val="18"/>
        </w:rPr>
      </w:pPr>
      <w:r w:rsidRPr="00410D44">
        <w:rPr>
          <w:rStyle w:val="FootnoteReference"/>
          <w:rFonts w:ascii="Arial" w:hAnsi="Arial" w:cs="Arial"/>
          <w:sz w:val="18"/>
          <w:szCs w:val="18"/>
        </w:rPr>
        <w:footnoteRef/>
      </w:r>
      <w:r w:rsidRPr="00410D44">
        <w:rPr>
          <w:rFonts w:ascii="Arial" w:hAnsi="Arial" w:cs="Arial"/>
          <w:sz w:val="18"/>
          <w:szCs w:val="18"/>
        </w:rPr>
        <w:t xml:space="preserve"> </w:t>
      </w:r>
      <w:r w:rsidRPr="00410D44">
        <w:rPr>
          <w:rFonts w:ascii="Arial" w:hAnsi="Arial" w:cs="Arial"/>
          <w:sz w:val="18"/>
          <w:szCs w:val="18"/>
        </w:rPr>
        <w:tab/>
      </w:r>
      <w:proofErr w:type="spellStart"/>
      <w:r w:rsidRPr="00410D44">
        <w:rPr>
          <w:rFonts w:ascii="Arial" w:hAnsi="Arial" w:cs="Arial"/>
          <w:sz w:val="18"/>
          <w:szCs w:val="18"/>
        </w:rPr>
        <w:t>Dabla</w:t>
      </w:r>
      <w:proofErr w:type="spellEnd"/>
      <w:r w:rsidRPr="00410D44">
        <w:rPr>
          <w:rFonts w:ascii="Arial" w:hAnsi="Arial" w:cs="Arial"/>
          <w:sz w:val="18"/>
          <w:szCs w:val="18"/>
        </w:rPr>
        <w:t xml:space="preserve">-Norris, Era, Ji, Yan, Townsend, Robert and </w:t>
      </w:r>
      <w:proofErr w:type="spellStart"/>
      <w:r w:rsidRPr="00410D44">
        <w:rPr>
          <w:rFonts w:ascii="Arial" w:hAnsi="Arial" w:cs="Arial"/>
          <w:sz w:val="18"/>
          <w:szCs w:val="18"/>
        </w:rPr>
        <w:t>Filiz</w:t>
      </w:r>
      <w:proofErr w:type="spellEnd"/>
      <w:r w:rsidRPr="00410D44">
        <w:rPr>
          <w:rFonts w:ascii="Arial" w:hAnsi="Arial" w:cs="Arial"/>
          <w:sz w:val="18"/>
          <w:szCs w:val="18"/>
        </w:rPr>
        <w:t xml:space="preserve"> </w:t>
      </w:r>
      <w:proofErr w:type="spellStart"/>
      <w:r w:rsidRPr="00410D44">
        <w:rPr>
          <w:rFonts w:ascii="Arial" w:hAnsi="Arial" w:cs="Arial"/>
          <w:sz w:val="18"/>
          <w:szCs w:val="18"/>
        </w:rPr>
        <w:t>Unsal</w:t>
      </w:r>
      <w:proofErr w:type="spellEnd"/>
      <w:r w:rsidRPr="00410D44">
        <w:rPr>
          <w:rFonts w:ascii="Arial" w:hAnsi="Arial" w:cs="Arial"/>
          <w:sz w:val="18"/>
          <w:szCs w:val="18"/>
        </w:rPr>
        <w:t>, 2014, “</w:t>
      </w:r>
      <w:r w:rsidRPr="00383AB5">
        <w:rPr>
          <w:rFonts w:ascii="Arial" w:hAnsi="Arial" w:cs="Arial"/>
          <w:i/>
          <w:sz w:val="18"/>
          <w:szCs w:val="18"/>
        </w:rPr>
        <w:t>Financial Deepening, Growth, and Inequality: A Structural Framework for Developing Countries</w:t>
      </w:r>
      <w:r w:rsidRPr="00410D44">
        <w:rPr>
          <w:rFonts w:ascii="Arial" w:hAnsi="Arial" w:cs="Arial"/>
          <w:sz w:val="18"/>
          <w:szCs w:val="18"/>
        </w:rPr>
        <w:t>”</w:t>
      </w:r>
    </w:p>
  </w:footnote>
  <w:footnote w:id="33">
    <w:p w14:paraId="61387ED1" w14:textId="77777777" w:rsidR="006C5339" w:rsidRPr="00410D44" w:rsidRDefault="006C5339" w:rsidP="00570875">
      <w:pPr>
        <w:pStyle w:val="FootnoteText"/>
        <w:spacing w:after="0"/>
        <w:rPr>
          <w:rFonts w:ascii="Arial" w:hAnsi="Arial" w:cs="Arial"/>
          <w:sz w:val="18"/>
          <w:szCs w:val="18"/>
        </w:rPr>
      </w:pPr>
      <w:r w:rsidRPr="00410D44">
        <w:rPr>
          <w:rStyle w:val="FootnoteReference"/>
          <w:rFonts w:ascii="Arial" w:hAnsi="Arial" w:cs="Arial"/>
          <w:sz w:val="18"/>
          <w:szCs w:val="18"/>
        </w:rPr>
        <w:footnoteRef/>
      </w:r>
      <w:r w:rsidRPr="00410D44">
        <w:rPr>
          <w:rFonts w:ascii="Arial" w:hAnsi="Arial" w:cs="Arial"/>
          <w:sz w:val="18"/>
          <w:szCs w:val="18"/>
        </w:rPr>
        <w:t xml:space="preserve"> </w:t>
      </w:r>
      <w:r w:rsidRPr="00410D44">
        <w:rPr>
          <w:rFonts w:ascii="Arial" w:hAnsi="Arial" w:cs="Arial"/>
          <w:sz w:val="18"/>
          <w:szCs w:val="18"/>
        </w:rPr>
        <w:tab/>
        <w:t xml:space="preserve">a-Norris, E.; Ji, Y.; Townsend, R. &amp; </w:t>
      </w:r>
      <w:proofErr w:type="spellStart"/>
      <w:r w:rsidRPr="00410D44">
        <w:rPr>
          <w:rFonts w:ascii="Arial" w:hAnsi="Arial" w:cs="Arial"/>
          <w:sz w:val="18"/>
          <w:szCs w:val="18"/>
        </w:rPr>
        <w:t>Unsal</w:t>
      </w:r>
      <w:proofErr w:type="spellEnd"/>
      <w:r w:rsidRPr="00410D44">
        <w:rPr>
          <w:rFonts w:ascii="Arial" w:hAnsi="Arial" w:cs="Arial"/>
          <w:sz w:val="18"/>
          <w:szCs w:val="18"/>
        </w:rPr>
        <w:t xml:space="preserve">, D. F. </w:t>
      </w:r>
      <w:r w:rsidRPr="00383AB5">
        <w:rPr>
          <w:rFonts w:ascii="Arial" w:hAnsi="Arial" w:cs="Arial"/>
          <w:i/>
          <w:sz w:val="18"/>
          <w:szCs w:val="18"/>
        </w:rPr>
        <w:t>Identifying Constraints to Financial Inclusion and Their Impact on GDP and Inequality: A Structural Framework for Policy International Monetary Fund</w:t>
      </w:r>
      <w:r w:rsidRPr="00410D44">
        <w:rPr>
          <w:rFonts w:ascii="Arial" w:hAnsi="Arial" w:cs="Arial"/>
          <w:sz w:val="18"/>
          <w:szCs w:val="18"/>
        </w:rPr>
        <w:t>, 2015</w:t>
      </w:r>
    </w:p>
  </w:footnote>
  <w:footnote w:id="34">
    <w:p w14:paraId="61387ED2" w14:textId="77777777" w:rsidR="006C5339" w:rsidRPr="00410D44" w:rsidRDefault="006C5339" w:rsidP="00570875">
      <w:pPr>
        <w:pStyle w:val="FootnoteText"/>
        <w:spacing w:after="0"/>
        <w:rPr>
          <w:rFonts w:ascii="Arial" w:hAnsi="Arial" w:cs="Arial"/>
          <w:sz w:val="18"/>
          <w:szCs w:val="18"/>
          <w:lang w:val="es-ES_tradnl"/>
        </w:rPr>
      </w:pPr>
      <w:r w:rsidRPr="00410D44">
        <w:rPr>
          <w:rStyle w:val="FootnoteReference"/>
          <w:rFonts w:ascii="Arial" w:hAnsi="Arial" w:cs="Arial"/>
          <w:sz w:val="18"/>
          <w:szCs w:val="18"/>
        </w:rPr>
        <w:footnoteRef/>
      </w:r>
      <w:r w:rsidRPr="00410D44">
        <w:rPr>
          <w:rFonts w:ascii="Arial" w:hAnsi="Arial" w:cs="Arial"/>
          <w:sz w:val="18"/>
          <w:szCs w:val="18"/>
          <w:lang w:val="es-ES_tradnl"/>
        </w:rPr>
        <w:t xml:space="preserve"> </w:t>
      </w:r>
      <w:r w:rsidRPr="00410D44">
        <w:rPr>
          <w:rFonts w:ascii="Arial" w:hAnsi="Arial" w:cs="Arial"/>
          <w:sz w:val="18"/>
          <w:szCs w:val="18"/>
          <w:lang w:val="es-ES_tradnl"/>
        </w:rPr>
        <w:tab/>
        <w:t xml:space="preserve">Para un mayor detalle sobre el modelo de referencia, ver anexo Monitoreo y Evaluación. </w:t>
      </w:r>
    </w:p>
  </w:footnote>
  <w:footnote w:id="35">
    <w:p w14:paraId="61387ED3" w14:textId="77777777" w:rsidR="006C5339" w:rsidRPr="00410D44" w:rsidRDefault="006C5339" w:rsidP="00570875">
      <w:pPr>
        <w:pStyle w:val="FootnoteText"/>
        <w:spacing w:after="0"/>
        <w:rPr>
          <w:rFonts w:ascii="Arial" w:hAnsi="Arial" w:cs="Arial"/>
          <w:sz w:val="18"/>
          <w:szCs w:val="18"/>
          <w:lang w:val="es-ES_tradnl"/>
        </w:rPr>
      </w:pPr>
      <w:r w:rsidRPr="00410D44">
        <w:rPr>
          <w:rStyle w:val="FootnoteReference"/>
          <w:rFonts w:ascii="Arial" w:hAnsi="Arial" w:cs="Arial"/>
          <w:sz w:val="18"/>
          <w:szCs w:val="18"/>
        </w:rPr>
        <w:footnoteRef/>
      </w:r>
      <w:r w:rsidRPr="00410D44">
        <w:rPr>
          <w:rFonts w:ascii="Arial" w:hAnsi="Arial" w:cs="Arial"/>
          <w:sz w:val="18"/>
          <w:szCs w:val="18"/>
          <w:lang w:val="es-ES_tradnl"/>
        </w:rPr>
        <w:t xml:space="preserve"> </w:t>
      </w:r>
      <w:r w:rsidRPr="00410D44">
        <w:rPr>
          <w:rFonts w:ascii="Arial" w:hAnsi="Arial" w:cs="Arial"/>
          <w:sz w:val="18"/>
          <w:szCs w:val="18"/>
          <w:lang w:val="es-ES_tradnl"/>
        </w:rPr>
        <w:tab/>
        <w:t>“</w:t>
      </w:r>
      <w:proofErr w:type="spellStart"/>
      <w:r w:rsidRPr="00570875">
        <w:rPr>
          <w:rFonts w:ascii="Arial" w:hAnsi="Arial" w:cs="Arial"/>
          <w:i/>
          <w:sz w:val="18"/>
          <w:szCs w:val="18"/>
          <w:lang w:val="es-ES_tradnl"/>
        </w:rPr>
        <w:t>Reach</w:t>
      </w:r>
      <w:proofErr w:type="spellEnd"/>
      <w:r w:rsidRPr="00410D44">
        <w:rPr>
          <w:rFonts w:ascii="Arial" w:hAnsi="Arial" w:cs="Arial"/>
          <w:sz w:val="18"/>
          <w:szCs w:val="18"/>
          <w:lang w:val="es-ES_tradnl"/>
        </w:rPr>
        <w:t>”, “</w:t>
      </w:r>
      <w:proofErr w:type="spellStart"/>
      <w:r w:rsidRPr="00570875">
        <w:rPr>
          <w:rFonts w:ascii="Arial" w:hAnsi="Arial" w:cs="Arial"/>
          <w:i/>
          <w:sz w:val="18"/>
          <w:szCs w:val="18"/>
          <w:lang w:val="es-ES_tradnl"/>
        </w:rPr>
        <w:t>depth</w:t>
      </w:r>
      <w:proofErr w:type="spellEnd"/>
      <w:r w:rsidRPr="00410D44">
        <w:rPr>
          <w:rFonts w:ascii="Arial" w:hAnsi="Arial" w:cs="Arial"/>
          <w:sz w:val="18"/>
          <w:szCs w:val="18"/>
          <w:lang w:val="es-ES_tradnl"/>
        </w:rPr>
        <w:t>”, y “</w:t>
      </w:r>
      <w:proofErr w:type="spellStart"/>
      <w:r w:rsidRPr="00570875">
        <w:rPr>
          <w:rFonts w:ascii="Arial" w:hAnsi="Arial" w:cs="Arial"/>
          <w:i/>
          <w:sz w:val="18"/>
          <w:szCs w:val="18"/>
          <w:lang w:val="es-ES_tradnl"/>
        </w:rPr>
        <w:t>efficiency</w:t>
      </w:r>
      <w:proofErr w:type="spellEnd"/>
      <w:r w:rsidRPr="00410D44">
        <w:rPr>
          <w:rFonts w:ascii="Arial" w:hAnsi="Arial" w:cs="Arial"/>
          <w:sz w:val="18"/>
          <w:szCs w:val="18"/>
          <w:lang w:val="es-ES_tradnl"/>
        </w:rPr>
        <w:t xml:space="preserve">” usando la terminología original. </w:t>
      </w:r>
    </w:p>
  </w:footnote>
  <w:footnote w:id="36">
    <w:p w14:paraId="61387ED4" w14:textId="77777777" w:rsidR="006C5339" w:rsidRPr="00410D44" w:rsidRDefault="006C5339" w:rsidP="00570875">
      <w:pPr>
        <w:pStyle w:val="FootnoteText"/>
        <w:spacing w:after="0"/>
        <w:rPr>
          <w:rFonts w:ascii="Arial" w:hAnsi="Arial" w:cs="Arial"/>
          <w:sz w:val="18"/>
          <w:szCs w:val="18"/>
          <w:lang w:val="es-ES_tradnl"/>
        </w:rPr>
      </w:pPr>
      <w:r w:rsidRPr="00410D44">
        <w:rPr>
          <w:rStyle w:val="FootnoteReference"/>
          <w:rFonts w:ascii="Arial" w:hAnsi="Arial" w:cs="Arial"/>
          <w:sz w:val="18"/>
          <w:szCs w:val="18"/>
        </w:rPr>
        <w:footnoteRef/>
      </w:r>
      <w:r w:rsidRPr="00410D44">
        <w:rPr>
          <w:rFonts w:ascii="Arial" w:hAnsi="Arial" w:cs="Arial"/>
          <w:sz w:val="18"/>
          <w:szCs w:val="18"/>
          <w:lang w:val="es-ES_tradnl"/>
        </w:rPr>
        <w:t xml:space="preserve"> </w:t>
      </w:r>
      <w:r w:rsidRPr="00410D44">
        <w:rPr>
          <w:rFonts w:ascii="Arial" w:hAnsi="Arial" w:cs="Arial"/>
          <w:sz w:val="18"/>
          <w:szCs w:val="18"/>
          <w:lang w:val="es-ES_tradnl"/>
        </w:rPr>
        <w:tab/>
        <w:t>La conexión entre políticas y parámetros se realiza considerando el impacto más relevante/probable. Es posible argumentar que ciertas políticas afectarán más de una dimensión, pero el mapeo de políticas a parámetros se realiza en los elementos más directos.</w:t>
      </w:r>
    </w:p>
  </w:footnote>
  <w:footnote w:id="37">
    <w:p w14:paraId="2716ED9A" w14:textId="30AF917E" w:rsidR="006C5339" w:rsidRPr="00410D44" w:rsidRDefault="006C5339" w:rsidP="00570875">
      <w:pPr>
        <w:pStyle w:val="FootnoteText"/>
        <w:spacing w:after="0"/>
        <w:rPr>
          <w:rFonts w:ascii="Arial" w:hAnsi="Arial" w:cs="Arial"/>
          <w:sz w:val="18"/>
          <w:szCs w:val="18"/>
          <w:lang w:val="fr-FR"/>
        </w:rPr>
      </w:pPr>
      <w:r w:rsidRPr="00410D44">
        <w:rPr>
          <w:rStyle w:val="FootnoteReference"/>
          <w:rFonts w:ascii="Arial" w:hAnsi="Arial" w:cs="Arial"/>
          <w:sz w:val="18"/>
          <w:szCs w:val="18"/>
        </w:rPr>
        <w:footnoteRef/>
      </w:r>
      <w:r w:rsidRPr="00410D44">
        <w:rPr>
          <w:rFonts w:ascii="Arial" w:hAnsi="Arial" w:cs="Arial"/>
          <w:sz w:val="18"/>
          <w:szCs w:val="18"/>
          <w:lang w:val="fr-FR"/>
        </w:rPr>
        <w:t xml:space="preserve"> </w:t>
      </w:r>
      <w:r w:rsidR="00570875">
        <w:rPr>
          <w:rFonts w:ascii="Arial" w:hAnsi="Arial" w:cs="Arial"/>
          <w:sz w:val="18"/>
          <w:szCs w:val="18"/>
          <w:lang w:val="fr-FR"/>
        </w:rPr>
        <w:tab/>
      </w:r>
      <w:r w:rsidRPr="00410D44">
        <w:rPr>
          <w:rFonts w:ascii="Arial" w:hAnsi="Arial" w:cs="Arial"/>
          <w:sz w:val="18"/>
          <w:szCs w:val="18"/>
          <w:lang w:val="fr-FR"/>
        </w:rPr>
        <w:t>Galli et al (2017). Op.cit.</w:t>
      </w:r>
    </w:p>
  </w:footnote>
  <w:footnote w:id="38">
    <w:p w14:paraId="04D523B7" w14:textId="04F455CE" w:rsidR="006C5339" w:rsidRPr="00410D44" w:rsidRDefault="006C5339" w:rsidP="00570875">
      <w:pPr>
        <w:pStyle w:val="FootnoteText"/>
        <w:spacing w:after="0"/>
        <w:rPr>
          <w:rFonts w:ascii="Arial" w:hAnsi="Arial" w:cs="Arial"/>
          <w:sz w:val="18"/>
          <w:szCs w:val="18"/>
        </w:rPr>
      </w:pPr>
      <w:r w:rsidRPr="00410D44">
        <w:rPr>
          <w:rStyle w:val="FootnoteReference"/>
          <w:rFonts w:ascii="Arial" w:hAnsi="Arial" w:cs="Arial"/>
          <w:sz w:val="18"/>
          <w:szCs w:val="18"/>
        </w:rPr>
        <w:footnoteRef/>
      </w:r>
      <w:r w:rsidRPr="00410D44">
        <w:rPr>
          <w:rFonts w:ascii="Arial" w:hAnsi="Arial" w:cs="Arial"/>
          <w:sz w:val="18"/>
          <w:szCs w:val="18"/>
        </w:rPr>
        <w:t xml:space="preserve"> </w:t>
      </w:r>
      <w:r w:rsidR="00570875">
        <w:rPr>
          <w:rFonts w:ascii="Arial" w:hAnsi="Arial" w:cs="Arial"/>
          <w:sz w:val="18"/>
          <w:szCs w:val="18"/>
        </w:rPr>
        <w:tab/>
      </w:r>
      <w:proofErr w:type="spellStart"/>
      <w:r w:rsidRPr="00410D44">
        <w:rPr>
          <w:rFonts w:ascii="Arial" w:hAnsi="Arial" w:cs="Arial"/>
          <w:sz w:val="18"/>
          <w:szCs w:val="18"/>
        </w:rPr>
        <w:t>Detragiache</w:t>
      </w:r>
      <w:proofErr w:type="spellEnd"/>
      <w:r w:rsidRPr="00410D44">
        <w:rPr>
          <w:rFonts w:ascii="Arial" w:hAnsi="Arial" w:cs="Arial"/>
          <w:sz w:val="18"/>
          <w:szCs w:val="18"/>
        </w:rPr>
        <w:t xml:space="preserve">, </w:t>
      </w:r>
      <w:proofErr w:type="spellStart"/>
      <w:r w:rsidRPr="00410D44">
        <w:rPr>
          <w:rFonts w:ascii="Arial" w:hAnsi="Arial" w:cs="Arial"/>
          <w:sz w:val="18"/>
          <w:szCs w:val="18"/>
        </w:rPr>
        <w:t>Enrica</w:t>
      </w:r>
      <w:proofErr w:type="spellEnd"/>
      <w:r w:rsidRPr="00410D44">
        <w:rPr>
          <w:rFonts w:ascii="Arial" w:hAnsi="Arial" w:cs="Arial"/>
          <w:sz w:val="18"/>
          <w:szCs w:val="18"/>
        </w:rPr>
        <w:t xml:space="preserve">, Poonam Gupta, and </w:t>
      </w:r>
      <w:proofErr w:type="spellStart"/>
      <w:r w:rsidRPr="00410D44">
        <w:rPr>
          <w:rFonts w:ascii="Arial" w:hAnsi="Arial" w:cs="Arial"/>
          <w:sz w:val="18"/>
          <w:szCs w:val="18"/>
        </w:rPr>
        <w:t>Thiery</w:t>
      </w:r>
      <w:proofErr w:type="spellEnd"/>
      <w:r w:rsidRPr="00410D44">
        <w:rPr>
          <w:rFonts w:ascii="Arial" w:hAnsi="Arial" w:cs="Arial"/>
          <w:sz w:val="18"/>
          <w:szCs w:val="18"/>
        </w:rPr>
        <w:t xml:space="preserve"> </w:t>
      </w:r>
      <w:proofErr w:type="spellStart"/>
      <w:r w:rsidRPr="00410D44">
        <w:rPr>
          <w:rFonts w:ascii="Arial" w:hAnsi="Arial" w:cs="Arial"/>
          <w:sz w:val="18"/>
          <w:szCs w:val="18"/>
        </w:rPr>
        <w:t>Tressel</w:t>
      </w:r>
      <w:proofErr w:type="spellEnd"/>
      <w:r w:rsidRPr="00410D44">
        <w:rPr>
          <w:rFonts w:ascii="Arial" w:hAnsi="Arial" w:cs="Arial"/>
          <w:sz w:val="18"/>
          <w:szCs w:val="18"/>
        </w:rPr>
        <w:t>. 2005. “</w:t>
      </w:r>
      <w:r w:rsidRPr="00410D44">
        <w:rPr>
          <w:rFonts w:ascii="Arial" w:hAnsi="Arial" w:cs="Arial"/>
          <w:i/>
          <w:sz w:val="18"/>
          <w:szCs w:val="18"/>
        </w:rPr>
        <w:t xml:space="preserve">Finance in Lower-Income Countries: </w:t>
      </w:r>
      <w:proofErr w:type="spellStart"/>
      <w:r w:rsidRPr="00410D44">
        <w:rPr>
          <w:rFonts w:ascii="Arial" w:hAnsi="Arial" w:cs="Arial"/>
          <w:i/>
          <w:sz w:val="18"/>
          <w:szCs w:val="18"/>
        </w:rPr>
        <w:t>AnEmpirical</w:t>
      </w:r>
      <w:proofErr w:type="spellEnd"/>
      <w:r w:rsidRPr="00410D44">
        <w:rPr>
          <w:rFonts w:ascii="Arial" w:hAnsi="Arial" w:cs="Arial"/>
          <w:i/>
          <w:sz w:val="18"/>
          <w:szCs w:val="18"/>
        </w:rPr>
        <w:t xml:space="preserve"> Exploration.</w:t>
      </w:r>
      <w:r w:rsidRPr="00410D44">
        <w:rPr>
          <w:rFonts w:ascii="Arial" w:hAnsi="Arial" w:cs="Arial"/>
          <w:sz w:val="18"/>
          <w:szCs w:val="18"/>
        </w:rPr>
        <w:t>” IMF Working Paper 05/167, International Monetary Fund, Washington.</w:t>
      </w:r>
    </w:p>
  </w:footnote>
  <w:footnote w:id="39">
    <w:p w14:paraId="7FC7DD2C" w14:textId="1AA48554" w:rsidR="006C5339" w:rsidRPr="00410D44" w:rsidRDefault="006C5339" w:rsidP="00570875">
      <w:pPr>
        <w:pStyle w:val="FootnoteText"/>
        <w:spacing w:after="0"/>
        <w:rPr>
          <w:rFonts w:ascii="Arial" w:hAnsi="Arial" w:cs="Arial"/>
          <w:sz w:val="18"/>
          <w:szCs w:val="18"/>
        </w:rPr>
      </w:pPr>
      <w:r w:rsidRPr="00410D44">
        <w:rPr>
          <w:rStyle w:val="FootnoteReference"/>
          <w:rFonts w:ascii="Arial" w:hAnsi="Arial" w:cs="Arial"/>
          <w:sz w:val="18"/>
          <w:szCs w:val="18"/>
        </w:rPr>
        <w:footnoteRef/>
      </w:r>
      <w:r w:rsidRPr="00410D44">
        <w:rPr>
          <w:rFonts w:ascii="Arial" w:hAnsi="Arial" w:cs="Arial"/>
          <w:sz w:val="18"/>
          <w:szCs w:val="18"/>
        </w:rPr>
        <w:t xml:space="preserve"> </w:t>
      </w:r>
      <w:r w:rsidR="00570875">
        <w:rPr>
          <w:rFonts w:ascii="Arial" w:hAnsi="Arial" w:cs="Arial"/>
          <w:sz w:val="18"/>
          <w:szCs w:val="18"/>
        </w:rPr>
        <w:tab/>
      </w:r>
      <w:r w:rsidRPr="00410D44">
        <w:rPr>
          <w:rFonts w:ascii="Arial" w:hAnsi="Arial" w:cs="Arial"/>
          <w:sz w:val="18"/>
          <w:szCs w:val="18"/>
        </w:rPr>
        <w:t>Kane, Edward J., and Tara Rice. 2000. “</w:t>
      </w:r>
      <w:r w:rsidRPr="00410D44">
        <w:rPr>
          <w:rFonts w:ascii="Arial" w:hAnsi="Arial" w:cs="Arial"/>
          <w:i/>
          <w:sz w:val="18"/>
          <w:szCs w:val="18"/>
        </w:rPr>
        <w:t>Bank Runs and Banking Policies: Lessons for African Policymakers</w:t>
      </w:r>
      <w:r w:rsidRPr="00410D44">
        <w:rPr>
          <w:rFonts w:ascii="Arial" w:hAnsi="Arial" w:cs="Arial"/>
          <w:sz w:val="18"/>
          <w:szCs w:val="18"/>
        </w:rPr>
        <w:t>.” NBER Working Paper 8003, National Bureau of Economic Research, Cambridge, Massachusetts.</w:t>
      </w:r>
    </w:p>
  </w:footnote>
  <w:footnote w:id="40">
    <w:p w14:paraId="501BF792" w14:textId="165D5B24" w:rsidR="006C5339" w:rsidRPr="00410D44" w:rsidRDefault="006C5339" w:rsidP="00570875">
      <w:pPr>
        <w:pStyle w:val="FootnoteText"/>
        <w:spacing w:after="0"/>
        <w:rPr>
          <w:rFonts w:ascii="Arial" w:hAnsi="Arial" w:cs="Arial"/>
          <w:sz w:val="18"/>
          <w:szCs w:val="18"/>
        </w:rPr>
      </w:pPr>
      <w:r w:rsidRPr="00410D44">
        <w:rPr>
          <w:rStyle w:val="FootnoteReference"/>
          <w:rFonts w:ascii="Arial" w:hAnsi="Arial" w:cs="Arial"/>
          <w:sz w:val="18"/>
          <w:szCs w:val="18"/>
        </w:rPr>
        <w:footnoteRef/>
      </w:r>
      <w:r w:rsidRPr="00410D44">
        <w:rPr>
          <w:rFonts w:ascii="Arial" w:hAnsi="Arial" w:cs="Arial"/>
          <w:sz w:val="18"/>
          <w:szCs w:val="18"/>
        </w:rPr>
        <w:t xml:space="preserve"> </w:t>
      </w:r>
      <w:r w:rsidR="00570875">
        <w:rPr>
          <w:rFonts w:ascii="Arial" w:hAnsi="Arial" w:cs="Arial"/>
          <w:sz w:val="18"/>
          <w:szCs w:val="18"/>
        </w:rPr>
        <w:tab/>
      </w:r>
      <w:proofErr w:type="spellStart"/>
      <w:r w:rsidRPr="00410D44">
        <w:rPr>
          <w:rFonts w:ascii="Arial" w:hAnsi="Arial" w:cs="Arial"/>
          <w:sz w:val="18"/>
          <w:szCs w:val="18"/>
        </w:rPr>
        <w:t>Organización</w:t>
      </w:r>
      <w:proofErr w:type="spellEnd"/>
      <w:r w:rsidRPr="00410D44">
        <w:rPr>
          <w:rFonts w:ascii="Arial" w:hAnsi="Arial" w:cs="Arial"/>
          <w:sz w:val="18"/>
          <w:szCs w:val="18"/>
        </w:rPr>
        <w:t xml:space="preserve"> para la </w:t>
      </w:r>
      <w:proofErr w:type="spellStart"/>
      <w:r w:rsidRPr="00410D44">
        <w:rPr>
          <w:rFonts w:ascii="Arial" w:hAnsi="Arial" w:cs="Arial"/>
          <w:sz w:val="18"/>
          <w:szCs w:val="18"/>
        </w:rPr>
        <w:t>Cooperación</w:t>
      </w:r>
      <w:proofErr w:type="spellEnd"/>
      <w:r w:rsidRPr="00410D44">
        <w:rPr>
          <w:rFonts w:ascii="Arial" w:hAnsi="Arial" w:cs="Arial"/>
          <w:sz w:val="18"/>
          <w:szCs w:val="18"/>
        </w:rPr>
        <w:t xml:space="preserve"> y el </w:t>
      </w:r>
      <w:proofErr w:type="spellStart"/>
      <w:r w:rsidRPr="00410D44">
        <w:rPr>
          <w:rFonts w:ascii="Arial" w:hAnsi="Arial" w:cs="Arial"/>
          <w:sz w:val="18"/>
          <w:szCs w:val="18"/>
        </w:rPr>
        <w:t>Desarrollo</w:t>
      </w:r>
      <w:proofErr w:type="spellEnd"/>
      <w:r w:rsidRPr="00410D44">
        <w:rPr>
          <w:rFonts w:ascii="Arial" w:hAnsi="Arial" w:cs="Arial"/>
          <w:sz w:val="18"/>
          <w:szCs w:val="18"/>
        </w:rPr>
        <w:t xml:space="preserve"> </w:t>
      </w:r>
      <w:proofErr w:type="spellStart"/>
      <w:r w:rsidRPr="00410D44">
        <w:rPr>
          <w:rFonts w:ascii="Arial" w:hAnsi="Arial" w:cs="Arial"/>
          <w:sz w:val="18"/>
          <w:szCs w:val="18"/>
        </w:rPr>
        <w:t>Económicos</w:t>
      </w:r>
      <w:proofErr w:type="spellEnd"/>
      <w:r w:rsidRPr="00410D44">
        <w:rPr>
          <w:rFonts w:ascii="Arial" w:hAnsi="Arial" w:cs="Arial"/>
          <w:sz w:val="18"/>
          <w:szCs w:val="18"/>
        </w:rPr>
        <w:t xml:space="preserve"> - OCDE (2013), “</w:t>
      </w:r>
      <w:r w:rsidRPr="00410D44">
        <w:rPr>
          <w:rFonts w:ascii="Arial" w:hAnsi="Arial" w:cs="Arial"/>
          <w:i/>
          <w:iCs/>
          <w:sz w:val="18"/>
          <w:szCs w:val="18"/>
        </w:rPr>
        <w:t>The rationale for fighting corruption”, Background brief</w:t>
      </w:r>
      <w:r w:rsidRPr="00410D44">
        <w:rPr>
          <w:rFonts w:ascii="Arial" w:hAnsi="Arial" w:cs="Arial"/>
          <w:sz w:val="18"/>
          <w:szCs w:val="18"/>
        </w:rPr>
        <w:t xml:space="preserve">, </w:t>
      </w:r>
      <w:proofErr w:type="spellStart"/>
      <w:r w:rsidRPr="00410D44">
        <w:rPr>
          <w:rFonts w:ascii="Arial" w:hAnsi="Arial" w:cs="Arial"/>
          <w:sz w:val="18"/>
          <w:szCs w:val="18"/>
        </w:rPr>
        <w:t>París</w:t>
      </w:r>
      <w:proofErr w:type="spellEnd"/>
      <w:r w:rsidRPr="00410D44">
        <w:rPr>
          <w:rFonts w:ascii="Arial" w:hAnsi="Arial" w:cs="Arial"/>
          <w:sz w:val="18"/>
          <w:szCs w:val="18"/>
        </w:rPr>
        <w:t xml:space="preserve">: OCDE; </w:t>
      </w:r>
      <w:proofErr w:type="spellStart"/>
      <w:r w:rsidRPr="00410D44">
        <w:rPr>
          <w:rFonts w:ascii="Arial" w:hAnsi="Arial" w:cs="Arial"/>
          <w:sz w:val="18"/>
          <w:szCs w:val="18"/>
        </w:rPr>
        <w:t>Sumanjeet</w:t>
      </w:r>
      <w:proofErr w:type="spellEnd"/>
      <w:r w:rsidRPr="00410D44">
        <w:rPr>
          <w:rFonts w:ascii="Arial" w:hAnsi="Arial" w:cs="Arial"/>
          <w:sz w:val="18"/>
          <w:szCs w:val="18"/>
        </w:rPr>
        <w:t>, R. (2015), “</w:t>
      </w:r>
      <w:r w:rsidRPr="00410D44">
        <w:rPr>
          <w:rFonts w:ascii="Arial" w:hAnsi="Arial" w:cs="Arial"/>
          <w:i/>
          <w:iCs/>
          <w:sz w:val="18"/>
          <w:szCs w:val="18"/>
        </w:rPr>
        <w:t>Institutions, Transparency, and Economic Growth</w:t>
      </w:r>
      <w:r w:rsidRPr="00410D44">
        <w:rPr>
          <w:rFonts w:ascii="Arial" w:hAnsi="Arial" w:cs="Arial"/>
          <w:sz w:val="18"/>
          <w:szCs w:val="18"/>
        </w:rPr>
        <w:t xml:space="preserve">”, </w:t>
      </w:r>
      <w:r w:rsidRPr="00410D44">
        <w:rPr>
          <w:rFonts w:ascii="Arial" w:hAnsi="Arial" w:cs="Arial"/>
          <w:i/>
          <w:iCs/>
          <w:sz w:val="18"/>
          <w:szCs w:val="18"/>
        </w:rPr>
        <w:t xml:space="preserve">Emerging Economy Studies </w:t>
      </w:r>
      <w:r w:rsidRPr="00410D44">
        <w:rPr>
          <w:rFonts w:ascii="Arial" w:hAnsi="Arial" w:cs="Arial"/>
          <w:sz w:val="18"/>
          <w:szCs w:val="18"/>
        </w:rPr>
        <w:t>1(2): 188-210</w:t>
      </w:r>
      <w:r w:rsidR="00570875">
        <w:rPr>
          <w:rFonts w:ascii="Arial" w:hAnsi="Arial" w:cs="Arial"/>
          <w:sz w:val="18"/>
          <w:szCs w:val="18"/>
        </w:rPr>
        <w:t>.</w:t>
      </w:r>
    </w:p>
  </w:footnote>
  <w:footnote w:id="41">
    <w:p w14:paraId="105CDBDB" w14:textId="7D23DC38" w:rsidR="006C5339" w:rsidRPr="00410D44" w:rsidRDefault="006C5339" w:rsidP="00570875">
      <w:pPr>
        <w:pStyle w:val="FootnoteText"/>
        <w:spacing w:after="0"/>
        <w:rPr>
          <w:rFonts w:ascii="Arial" w:hAnsi="Arial" w:cs="Arial"/>
          <w:sz w:val="18"/>
          <w:szCs w:val="18"/>
        </w:rPr>
      </w:pPr>
      <w:r w:rsidRPr="00410D44">
        <w:rPr>
          <w:rStyle w:val="FootnoteReference"/>
          <w:rFonts w:ascii="Arial" w:hAnsi="Arial" w:cs="Arial"/>
          <w:sz w:val="18"/>
          <w:szCs w:val="18"/>
        </w:rPr>
        <w:footnoteRef/>
      </w:r>
      <w:r w:rsidRPr="00410D44">
        <w:rPr>
          <w:rFonts w:ascii="Arial" w:hAnsi="Arial" w:cs="Arial"/>
          <w:sz w:val="18"/>
          <w:szCs w:val="18"/>
        </w:rPr>
        <w:t xml:space="preserve"> </w:t>
      </w:r>
      <w:r w:rsidR="00570875">
        <w:rPr>
          <w:rFonts w:ascii="Arial" w:hAnsi="Arial" w:cs="Arial"/>
          <w:sz w:val="18"/>
          <w:szCs w:val="18"/>
        </w:rPr>
        <w:tab/>
      </w:r>
      <w:proofErr w:type="spellStart"/>
      <w:r w:rsidRPr="00410D44">
        <w:rPr>
          <w:rFonts w:ascii="Arial" w:hAnsi="Arial" w:cs="Arial"/>
          <w:sz w:val="18"/>
          <w:szCs w:val="18"/>
        </w:rPr>
        <w:t>Véase</w:t>
      </w:r>
      <w:proofErr w:type="spellEnd"/>
      <w:r w:rsidRPr="00410D44">
        <w:rPr>
          <w:rFonts w:ascii="Arial" w:hAnsi="Arial" w:cs="Arial"/>
          <w:sz w:val="18"/>
          <w:szCs w:val="18"/>
        </w:rPr>
        <w:t xml:space="preserve">, </w:t>
      </w:r>
      <w:proofErr w:type="spellStart"/>
      <w:r w:rsidRPr="00410D44">
        <w:rPr>
          <w:rFonts w:ascii="Arial" w:hAnsi="Arial" w:cs="Arial"/>
          <w:sz w:val="18"/>
          <w:szCs w:val="18"/>
        </w:rPr>
        <w:t>por</w:t>
      </w:r>
      <w:proofErr w:type="spellEnd"/>
      <w:r w:rsidRPr="00410D44">
        <w:rPr>
          <w:rFonts w:ascii="Arial" w:hAnsi="Arial" w:cs="Arial"/>
          <w:sz w:val="18"/>
          <w:szCs w:val="18"/>
        </w:rPr>
        <w:t xml:space="preserve"> </w:t>
      </w:r>
      <w:proofErr w:type="spellStart"/>
      <w:r w:rsidRPr="00410D44">
        <w:rPr>
          <w:rFonts w:ascii="Arial" w:hAnsi="Arial" w:cs="Arial"/>
          <w:sz w:val="18"/>
          <w:szCs w:val="18"/>
        </w:rPr>
        <w:t>ejemplo</w:t>
      </w:r>
      <w:proofErr w:type="spellEnd"/>
      <w:r w:rsidRPr="00410D44">
        <w:rPr>
          <w:rFonts w:ascii="Arial" w:hAnsi="Arial" w:cs="Arial"/>
          <w:sz w:val="18"/>
          <w:szCs w:val="18"/>
        </w:rPr>
        <w:t xml:space="preserve">, </w:t>
      </w:r>
      <w:proofErr w:type="spellStart"/>
      <w:r w:rsidRPr="00410D44">
        <w:rPr>
          <w:rFonts w:ascii="Arial" w:hAnsi="Arial" w:cs="Arial"/>
          <w:sz w:val="18"/>
          <w:szCs w:val="18"/>
        </w:rPr>
        <w:t>Lambsdorff</w:t>
      </w:r>
      <w:proofErr w:type="spellEnd"/>
      <w:r w:rsidRPr="00410D44">
        <w:rPr>
          <w:rFonts w:ascii="Arial" w:hAnsi="Arial" w:cs="Arial"/>
          <w:sz w:val="18"/>
          <w:szCs w:val="18"/>
        </w:rPr>
        <w:t>, J. (2003), “</w:t>
      </w:r>
      <w:r w:rsidRPr="00410D44">
        <w:rPr>
          <w:rFonts w:ascii="Arial" w:hAnsi="Arial" w:cs="Arial"/>
          <w:i/>
          <w:iCs/>
          <w:sz w:val="18"/>
          <w:szCs w:val="18"/>
        </w:rPr>
        <w:t>How Corruption Affects Productivity</w:t>
      </w:r>
      <w:r w:rsidRPr="00410D44">
        <w:rPr>
          <w:rFonts w:ascii="Arial" w:hAnsi="Arial" w:cs="Arial"/>
          <w:sz w:val="18"/>
          <w:szCs w:val="18"/>
        </w:rPr>
        <w:t xml:space="preserve">”, </w:t>
      </w:r>
      <w:proofErr w:type="spellStart"/>
      <w:r w:rsidRPr="00410D44">
        <w:rPr>
          <w:rFonts w:ascii="Arial" w:hAnsi="Arial" w:cs="Arial"/>
          <w:i/>
          <w:iCs/>
          <w:sz w:val="18"/>
          <w:szCs w:val="18"/>
        </w:rPr>
        <w:t>Kyklos</w:t>
      </w:r>
      <w:proofErr w:type="spellEnd"/>
      <w:r w:rsidRPr="00410D44">
        <w:rPr>
          <w:rFonts w:ascii="Arial" w:hAnsi="Arial" w:cs="Arial"/>
          <w:i/>
          <w:iCs/>
          <w:sz w:val="18"/>
          <w:szCs w:val="18"/>
        </w:rPr>
        <w:t xml:space="preserve"> </w:t>
      </w:r>
      <w:r w:rsidRPr="00410D44">
        <w:rPr>
          <w:rFonts w:ascii="Arial" w:hAnsi="Arial" w:cs="Arial"/>
          <w:sz w:val="18"/>
          <w:szCs w:val="18"/>
        </w:rPr>
        <w:t xml:space="preserve">56(4): 457-474; De Rosa, D., </w:t>
      </w:r>
      <w:proofErr w:type="spellStart"/>
      <w:r w:rsidRPr="00410D44">
        <w:rPr>
          <w:rFonts w:ascii="Arial" w:hAnsi="Arial" w:cs="Arial"/>
          <w:sz w:val="18"/>
          <w:szCs w:val="18"/>
        </w:rPr>
        <w:t>Gooroochurn</w:t>
      </w:r>
      <w:proofErr w:type="spellEnd"/>
      <w:r w:rsidRPr="00410D44">
        <w:rPr>
          <w:rFonts w:ascii="Arial" w:hAnsi="Arial" w:cs="Arial"/>
          <w:sz w:val="18"/>
          <w:szCs w:val="18"/>
        </w:rPr>
        <w:t xml:space="preserve">, N. y </w:t>
      </w:r>
      <w:proofErr w:type="spellStart"/>
      <w:r w:rsidRPr="00410D44">
        <w:rPr>
          <w:rFonts w:ascii="Arial" w:hAnsi="Arial" w:cs="Arial"/>
          <w:sz w:val="18"/>
          <w:szCs w:val="18"/>
        </w:rPr>
        <w:t>Gorg</w:t>
      </w:r>
      <w:proofErr w:type="spellEnd"/>
      <w:r w:rsidRPr="00410D44">
        <w:rPr>
          <w:rFonts w:ascii="Arial" w:hAnsi="Arial" w:cs="Arial"/>
          <w:sz w:val="18"/>
          <w:szCs w:val="18"/>
        </w:rPr>
        <w:t>, H. (2010), “</w:t>
      </w:r>
      <w:r w:rsidRPr="00410D44">
        <w:rPr>
          <w:rFonts w:ascii="Arial" w:hAnsi="Arial" w:cs="Arial"/>
          <w:i/>
          <w:iCs/>
          <w:sz w:val="18"/>
          <w:szCs w:val="18"/>
        </w:rPr>
        <w:t>Corruption and Productivity</w:t>
      </w:r>
      <w:r w:rsidRPr="00410D44">
        <w:rPr>
          <w:rFonts w:ascii="Arial" w:hAnsi="Arial" w:cs="Arial"/>
          <w:sz w:val="18"/>
          <w:szCs w:val="18"/>
        </w:rPr>
        <w:t xml:space="preserve">”, </w:t>
      </w:r>
      <w:r w:rsidRPr="00410D44">
        <w:rPr>
          <w:rFonts w:ascii="Arial" w:hAnsi="Arial" w:cs="Arial"/>
          <w:i/>
          <w:iCs/>
          <w:sz w:val="18"/>
          <w:szCs w:val="18"/>
        </w:rPr>
        <w:t xml:space="preserve">Working Paper </w:t>
      </w:r>
      <w:r w:rsidRPr="00410D44">
        <w:rPr>
          <w:rFonts w:ascii="Arial" w:hAnsi="Arial" w:cs="Arial"/>
          <w:sz w:val="18"/>
          <w:szCs w:val="18"/>
        </w:rPr>
        <w:t>5348, Washington D.C: Banco Mundial.</w:t>
      </w:r>
    </w:p>
  </w:footnote>
  <w:footnote w:id="42">
    <w:p w14:paraId="70F34415" w14:textId="335F36FB" w:rsidR="006C5339" w:rsidRPr="00410D44" w:rsidRDefault="006C5339" w:rsidP="00570875">
      <w:pPr>
        <w:pStyle w:val="FootnoteText"/>
        <w:spacing w:after="0"/>
        <w:rPr>
          <w:rFonts w:ascii="Arial" w:hAnsi="Arial" w:cs="Arial"/>
          <w:sz w:val="18"/>
          <w:szCs w:val="18"/>
        </w:rPr>
      </w:pPr>
      <w:r w:rsidRPr="00410D44">
        <w:rPr>
          <w:rStyle w:val="FootnoteReference"/>
          <w:rFonts w:ascii="Arial" w:hAnsi="Arial" w:cs="Arial"/>
          <w:sz w:val="18"/>
          <w:szCs w:val="18"/>
        </w:rPr>
        <w:footnoteRef/>
      </w:r>
      <w:r w:rsidRPr="00410D44">
        <w:rPr>
          <w:rFonts w:ascii="Arial" w:hAnsi="Arial" w:cs="Arial"/>
          <w:sz w:val="18"/>
          <w:szCs w:val="18"/>
        </w:rPr>
        <w:t xml:space="preserve"> </w:t>
      </w:r>
      <w:r w:rsidR="00570875">
        <w:rPr>
          <w:rFonts w:ascii="Arial" w:hAnsi="Arial" w:cs="Arial"/>
          <w:sz w:val="18"/>
          <w:szCs w:val="18"/>
        </w:rPr>
        <w:tab/>
      </w:r>
      <w:r w:rsidRPr="00570875">
        <w:rPr>
          <w:rFonts w:ascii="Arial" w:hAnsi="Arial" w:cs="Arial"/>
          <w:i/>
          <w:sz w:val="18"/>
          <w:szCs w:val="18"/>
        </w:rPr>
        <w:t>IMF</w:t>
      </w:r>
      <w:r w:rsidR="00570875" w:rsidRPr="00570875">
        <w:rPr>
          <w:rFonts w:ascii="Arial" w:hAnsi="Arial" w:cs="Arial"/>
          <w:i/>
          <w:sz w:val="18"/>
          <w:szCs w:val="18"/>
        </w:rPr>
        <w:t xml:space="preserve"> </w:t>
      </w:r>
      <w:r w:rsidRPr="00570875">
        <w:rPr>
          <w:rFonts w:ascii="Arial" w:hAnsi="Arial" w:cs="Arial"/>
          <w:i/>
          <w:sz w:val="18"/>
          <w:szCs w:val="18"/>
        </w:rPr>
        <w:t>(2016), “Corruption: Costs and Mitigating Strategies”, IMF Staff Discussion Note.</w:t>
      </w:r>
    </w:p>
  </w:footnote>
  <w:footnote w:id="43">
    <w:p w14:paraId="5AE7E389" w14:textId="4C01A62B" w:rsidR="006C5339" w:rsidRPr="00410D44" w:rsidRDefault="006C5339" w:rsidP="00570875">
      <w:pPr>
        <w:pStyle w:val="FootnoteText"/>
        <w:spacing w:after="0"/>
        <w:rPr>
          <w:rFonts w:ascii="Arial" w:hAnsi="Arial" w:cs="Arial"/>
          <w:sz w:val="18"/>
          <w:szCs w:val="18"/>
        </w:rPr>
      </w:pPr>
      <w:r w:rsidRPr="00410D44">
        <w:rPr>
          <w:rStyle w:val="FootnoteReference"/>
          <w:rFonts w:ascii="Arial" w:hAnsi="Arial" w:cs="Arial"/>
          <w:sz w:val="18"/>
          <w:szCs w:val="18"/>
        </w:rPr>
        <w:footnoteRef/>
      </w:r>
      <w:r w:rsidRPr="00410D44">
        <w:rPr>
          <w:rFonts w:ascii="Arial" w:hAnsi="Arial" w:cs="Arial"/>
          <w:sz w:val="18"/>
          <w:szCs w:val="18"/>
        </w:rPr>
        <w:t xml:space="preserve"> </w:t>
      </w:r>
      <w:r w:rsidR="00570875">
        <w:rPr>
          <w:rFonts w:ascii="Arial" w:hAnsi="Arial" w:cs="Arial"/>
          <w:sz w:val="18"/>
          <w:szCs w:val="18"/>
        </w:rPr>
        <w:tab/>
      </w:r>
      <w:r w:rsidRPr="00410D44">
        <w:rPr>
          <w:rFonts w:ascii="Arial" w:hAnsi="Arial" w:cs="Arial"/>
          <w:sz w:val="18"/>
          <w:szCs w:val="18"/>
        </w:rPr>
        <w:t>Kane, Edward J., and Tara Rice. 2000. Op. cit.</w:t>
      </w:r>
    </w:p>
  </w:footnote>
  <w:footnote w:id="44">
    <w:p w14:paraId="59851072" w14:textId="70566DDE" w:rsidR="006C5339" w:rsidRPr="00410D44" w:rsidRDefault="006C5339" w:rsidP="00570875">
      <w:pPr>
        <w:pStyle w:val="FootnoteText"/>
        <w:spacing w:after="0"/>
        <w:rPr>
          <w:rFonts w:ascii="Arial" w:hAnsi="Arial" w:cs="Arial"/>
          <w:sz w:val="18"/>
          <w:szCs w:val="18"/>
        </w:rPr>
      </w:pPr>
      <w:r w:rsidRPr="00410D44">
        <w:rPr>
          <w:rStyle w:val="FootnoteReference"/>
          <w:rFonts w:ascii="Arial" w:hAnsi="Arial" w:cs="Arial"/>
          <w:sz w:val="18"/>
          <w:szCs w:val="18"/>
        </w:rPr>
        <w:footnoteRef/>
      </w:r>
      <w:r w:rsidRPr="00410D44">
        <w:rPr>
          <w:rFonts w:ascii="Arial" w:hAnsi="Arial" w:cs="Arial"/>
          <w:sz w:val="18"/>
          <w:szCs w:val="18"/>
        </w:rPr>
        <w:t xml:space="preserve"> </w:t>
      </w:r>
      <w:r w:rsidR="00570875">
        <w:rPr>
          <w:rFonts w:ascii="Arial" w:hAnsi="Arial" w:cs="Arial"/>
          <w:sz w:val="18"/>
          <w:szCs w:val="18"/>
        </w:rPr>
        <w:tab/>
      </w:r>
      <w:r w:rsidRPr="00410D44">
        <w:rPr>
          <w:rFonts w:ascii="Arial" w:hAnsi="Arial" w:cs="Arial"/>
          <w:sz w:val="18"/>
          <w:szCs w:val="18"/>
        </w:rPr>
        <w:t xml:space="preserve">De Rosa, Donato, </w:t>
      </w:r>
      <w:proofErr w:type="spellStart"/>
      <w:r w:rsidRPr="00410D44">
        <w:rPr>
          <w:rFonts w:ascii="Arial" w:hAnsi="Arial" w:cs="Arial"/>
          <w:sz w:val="18"/>
          <w:szCs w:val="18"/>
        </w:rPr>
        <w:t>Nishaal</w:t>
      </w:r>
      <w:proofErr w:type="spellEnd"/>
      <w:r w:rsidRPr="00410D44">
        <w:rPr>
          <w:rFonts w:ascii="Arial" w:hAnsi="Arial" w:cs="Arial"/>
          <w:sz w:val="18"/>
          <w:szCs w:val="18"/>
        </w:rPr>
        <w:t xml:space="preserve"> </w:t>
      </w:r>
      <w:proofErr w:type="spellStart"/>
      <w:r w:rsidRPr="00410D44">
        <w:rPr>
          <w:rFonts w:ascii="Arial" w:hAnsi="Arial" w:cs="Arial"/>
          <w:sz w:val="18"/>
          <w:szCs w:val="18"/>
        </w:rPr>
        <w:t>Gooroochurn</w:t>
      </w:r>
      <w:proofErr w:type="spellEnd"/>
      <w:r w:rsidRPr="00410D44">
        <w:rPr>
          <w:rFonts w:ascii="Arial" w:hAnsi="Arial" w:cs="Arial"/>
          <w:sz w:val="18"/>
          <w:szCs w:val="18"/>
        </w:rPr>
        <w:t xml:space="preserve">, and Holger </w:t>
      </w:r>
      <w:proofErr w:type="spellStart"/>
      <w:r w:rsidRPr="00410D44">
        <w:rPr>
          <w:rFonts w:ascii="Arial" w:hAnsi="Arial" w:cs="Arial"/>
          <w:sz w:val="18"/>
          <w:szCs w:val="18"/>
        </w:rPr>
        <w:t>Görg</w:t>
      </w:r>
      <w:proofErr w:type="spellEnd"/>
      <w:r w:rsidRPr="00410D44">
        <w:rPr>
          <w:rFonts w:ascii="Arial" w:hAnsi="Arial" w:cs="Arial"/>
          <w:sz w:val="18"/>
          <w:szCs w:val="18"/>
        </w:rPr>
        <w:t>. 2010. "</w:t>
      </w:r>
      <w:r w:rsidRPr="00410D44">
        <w:rPr>
          <w:rFonts w:ascii="Arial" w:hAnsi="Arial" w:cs="Arial"/>
          <w:i/>
          <w:sz w:val="18"/>
          <w:szCs w:val="18"/>
        </w:rPr>
        <w:t>Corruption and Productivity: Firm-Level Evidence from the BEEPS Survey</w:t>
      </w:r>
      <w:r w:rsidRPr="00410D44">
        <w:rPr>
          <w:rFonts w:ascii="Arial" w:hAnsi="Arial" w:cs="Arial"/>
          <w:sz w:val="18"/>
          <w:szCs w:val="18"/>
        </w:rPr>
        <w:t xml:space="preserve">," </w:t>
      </w:r>
      <w:r w:rsidRPr="00383AB5">
        <w:rPr>
          <w:rFonts w:ascii="Arial" w:hAnsi="Arial" w:cs="Arial"/>
          <w:i/>
          <w:sz w:val="18"/>
          <w:szCs w:val="18"/>
        </w:rPr>
        <w:t>World Bank Policy Research Working Paper Series.</w:t>
      </w:r>
      <w:r w:rsidRPr="00410D44">
        <w:rPr>
          <w:rFonts w:ascii="Arial" w:hAnsi="Arial" w:cs="Arial"/>
          <w:sz w:val="18"/>
          <w:szCs w:val="18"/>
        </w:rPr>
        <w:t xml:space="preserve"> Washington y </w:t>
      </w:r>
      <w:proofErr w:type="spellStart"/>
      <w:r w:rsidRPr="00410D44">
        <w:rPr>
          <w:rFonts w:ascii="Arial" w:hAnsi="Arial" w:cs="Arial"/>
          <w:sz w:val="18"/>
          <w:szCs w:val="18"/>
        </w:rPr>
        <w:t>Paunov</w:t>
      </w:r>
      <w:proofErr w:type="spellEnd"/>
      <w:r w:rsidRPr="00410D44">
        <w:rPr>
          <w:rFonts w:ascii="Arial" w:hAnsi="Arial" w:cs="Arial"/>
          <w:sz w:val="18"/>
          <w:szCs w:val="18"/>
        </w:rPr>
        <w:t>, Caroline. 2016. “</w:t>
      </w:r>
      <w:r w:rsidRPr="00410D44">
        <w:rPr>
          <w:rFonts w:ascii="Arial" w:hAnsi="Arial" w:cs="Arial"/>
          <w:i/>
          <w:sz w:val="18"/>
          <w:szCs w:val="18"/>
        </w:rPr>
        <w:t>Corruption’s Asymmetric Impacts on Firm Innovation</w:t>
      </w:r>
      <w:r w:rsidRPr="00410D44">
        <w:rPr>
          <w:rFonts w:ascii="Arial" w:hAnsi="Arial" w:cs="Arial"/>
          <w:sz w:val="18"/>
          <w:szCs w:val="18"/>
        </w:rPr>
        <w:t>.” Journal of Development Economics 118: 216–31.</w:t>
      </w:r>
    </w:p>
  </w:footnote>
  <w:footnote w:id="45">
    <w:p w14:paraId="04FADE03" w14:textId="71FADFA6" w:rsidR="006C5339" w:rsidRPr="00383AB5" w:rsidRDefault="006C5339" w:rsidP="00570875">
      <w:pPr>
        <w:pStyle w:val="FootnoteText"/>
        <w:spacing w:after="0"/>
        <w:rPr>
          <w:rFonts w:ascii="Arial" w:hAnsi="Arial" w:cs="Arial"/>
          <w:i/>
          <w:sz w:val="18"/>
          <w:szCs w:val="18"/>
        </w:rPr>
      </w:pPr>
      <w:r w:rsidRPr="00410D44">
        <w:rPr>
          <w:rStyle w:val="FootnoteReference"/>
          <w:rFonts w:ascii="Arial" w:hAnsi="Arial" w:cs="Arial"/>
          <w:sz w:val="18"/>
          <w:szCs w:val="18"/>
        </w:rPr>
        <w:footnoteRef/>
      </w:r>
      <w:r w:rsidRPr="00410D44">
        <w:rPr>
          <w:rFonts w:ascii="Arial" w:hAnsi="Arial" w:cs="Arial"/>
          <w:sz w:val="18"/>
          <w:szCs w:val="18"/>
        </w:rPr>
        <w:t xml:space="preserve"> </w:t>
      </w:r>
      <w:r w:rsidR="00570875">
        <w:rPr>
          <w:rFonts w:ascii="Arial" w:hAnsi="Arial" w:cs="Arial"/>
          <w:sz w:val="18"/>
          <w:szCs w:val="18"/>
        </w:rPr>
        <w:tab/>
      </w:r>
      <w:proofErr w:type="spellStart"/>
      <w:r w:rsidRPr="00410D44">
        <w:rPr>
          <w:rFonts w:ascii="Arial" w:hAnsi="Arial" w:cs="Arial"/>
          <w:sz w:val="18"/>
          <w:szCs w:val="18"/>
        </w:rPr>
        <w:t>Ugur</w:t>
      </w:r>
      <w:proofErr w:type="spellEnd"/>
      <w:r w:rsidRPr="00410D44">
        <w:rPr>
          <w:rFonts w:ascii="Arial" w:hAnsi="Arial" w:cs="Arial"/>
          <w:sz w:val="18"/>
          <w:szCs w:val="18"/>
        </w:rPr>
        <w:t xml:space="preserve"> y Nandini </w:t>
      </w:r>
      <w:proofErr w:type="spellStart"/>
      <w:r w:rsidRPr="00410D44">
        <w:rPr>
          <w:rFonts w:ascii="Arial" w:hAnsi="Arial" w:cs="Arial"/>
          <w:sz w:val="18"/>
          <w:szCs w:val="18"/>
        </w:rPr>
        <w:t>Dasgupta</w:t>
      </w:r>
      <w:proofErr w:type="spellEnd"/>
      <w:r w:rsidRPr="00410D44">
        <w:rPr>
          <w:rFonts w:ascii="Arial" w:hAnsi="Arial" w:cs="Arial"/>
          <w:sz w:val="18"/>
          <w:szCs w:val="18"/>
        </w:rPr>
        <w:t xml:space="preserve">. 2011. </w:t>
      </w:r>
      <w:r w:rsidRPr="00410D44">
        <w:rPr>
          <w:rFonts w:ascii="Arial" w:hAnsi="Arial" w:cs="Arial"/>
          <w:i/>
          <w:sz w:val="18"/>
          <w:szCs w:val="18"/>
        </w:rPr>
        <w:t>“Evidence on the Economic Growth Impacts of Corruption in Low-Income Countries and Beyond”</w:t>
      </w:r>
      <w:r w:rsidRPr="00410D44">
        <w:rPr>
          <w:rFonts w:ascii="Arial" w:hAnsi="Arial" w:cs="Arial"/>
          <w:sz w:val="18"/>
          <w:szCs w:val="18"/>
        </w:rPr>
        <w:t xml:space="preserve">. </w:t>
      </w:r>
      <w:r w:rsidRPr="00383AB5">
        <w:rPr>
          <w:rFonts w:ascii="Arial" w:hAnsi="Arial" w:cs="Arial"/>
          <w:i/>
          <w:sz w:val="18"/>
          <w:szCs w:val="18"/>
        </w:rPr>
        <w:t>EPPI-Centre Report 1914, Social Science Research Unit, Institute of Education, University of London</w:t>
      </w:r>
      <w:r w:rsidR="00383AB5">
        <w:rPr>
          <w:rFonts w:ascii="Arial" w:hAnsi="Arial" w:cs="Arial"/>
          <w:i/>
          <w:sz w:val="18"/>
          <w:szCs w:val="18"/>
        </w:rPr>
        <w:t>.</w:t>
      </w:r>
      <w:bookmarkStart w:id="6" w:name="_GoBack"/>
      <w:bookmarkEnd w:id="6"/>
    </w:p>
  </w:footnote>
  <w:footnote w:id="46">
    <w:p w14:paraId="10D68183" w14:textId="42899D6C" w:rsidR="006C5339" w:rsidRPr="00383AB5" w:rsidRDefault="006C5339" w:rsidP="00570875">
      <w:pPr>
        <w:pStyle w:val="FootnoteText"/>
        <w:spacing w:after="0"/>
        <w:rPr>
          <w:rFonts w:ascii="Arial" w:hAnsi="Arial" w:cs="Arial"/>
          <w:i/>
          <w:sz w:val="18"/>
          <w:szCs w:val="18"/>
          <w:lang w:val="es-ES_tradnl"/>
        </w:rPr>
      </w:pPr>
      <w:r w:rsidRPr="00383AB5">
        <w:rPr>
          <w:rStyle w:val="FootnoteReference"/>
          <w:rFonts w:ascii="Arial" w:hAnsi="Arial" w:cs="Arial"/>
          <w:i/>
          <w:sz w:val="18"/>
          <w:szCs w:val="18"/>
        </w:rPr>
        <w:footnoteRef/>
      </w:r>
      <w:r w:rsidRPr="00383AB5">
        <w:rPr>
          <w:rFonts w:ascii="Arial" w:hAnsi="Arial" w:cs="Arial"/>
          <w:i/>
          <w:sz w:val="18"/>
          <w:szCs w:val="18"/>
          <w:lang w:val="es-ES_tradnl"/>
        </w:rPr>
        <w:t xml:space="preserve"> </w:t>
      </w:r>
      <w:r w:rsidR="00570875" w:rsidRPr="00383AB5">
        <w:rPr>
          <w:rFonts w:ascii="Arial" w:hAnsi="Arial" w:cs="Arial"/>
          <w:i/>
          <w:sz w:val="18"/>
          <w:szCs w:val="18"/>
          <w:lang w:val="es-ES_tradnl"/>
        </w:rPr>
        <w:tab/>
      </w:r>
      <w:r w:rsidRPr="00383AB5">
        <w:rPr>
          <w:rFonts w:ascii="Arial" w:hAnsi="Arial" w:cs="Arial"/>
          <w:i/>
          <w:sz w:val="18"/>
          <w:szCs w:val="18"/>
          <w:lang w:val="es-ES_tradnl"/>
        </w:rPr>
        <w:t>FMI (2016), Articulo IV Paraguay.</w:t>
      </w:r>
    </w:p>
  </w:footnote>
  <w:footnote w:id="47">
    <w:p w14:paraId="41BCACD6" w14:textId="6A5EDEB9" w:rsidR="006C5339" w:rsidRPr="00410D44" w:rsidRDefault="006C5339" w:rsidP="00570875">
      <w:pPr>
        <w:pStyle w:val="FootnoteText"/>
        <w:spacing w:after="0"/>
        <w:rPr>
          <w:rFonts w:ascii="Arial" w:hAnsi="Arial" w:cs="Arial"/>
          <w:sz w:val="18"/>
          <w:szCs w:val="18"/>
          <w:lang w:val="es-ES_tradnl"/>
        </w:rPr>
      </w:pPr>
      <w:r w:rsidRPr="00410D44">
        <w:rPr>
          <w:rStyle w:val="FootnoteReference"/>
          <w:rFonts w:ascii="Arial" w:hAnsi="Arial" w:cs="Arial"/>
          <w:sz w:val="18"/>
          <w:szCs w:val="18"/>
        </w:rPr>
        <w:footnoteRef/>
      </w:r>
      <w:r w:rsidR="00570875">
        <w:rPr>
          <w:rFonts w:ascii="Arial" w:hAnsi="Arial" w:cs="Arial"/>
          <w:sz w:val="18"/>
          <w:szCs w:val="18"/>
          <w:lang w:val="es-ES_tradnl"/>
        </w:rPr>
        <w:t xml:space="preserve"> </w:t>
      </w:r>
      <w:r w:rsidR="00570875">
        <w:rPr>
          <w:rFonts w:ascii="Arial" w:hAnsi="Arial" w:cs="Arial"/>
          <w:sz w:val="18"/>
          <w:szCs w:val="18"/>
          <w:lang w:val="es-ES_tradnl"/>
        </w:rPr>
        <w:tab/>
        <w:t>Má</w:t>
      </w:r>
      <w:r w:rsidRPr="00410D44">
        <w:rPr>
          <w:rFonts w:ascii="Arial" w:hAnsi="Arial" w:cs="Arial"/>
          <w:sz w:val="18"/>
          <w:szCs w:val="18"/>
          <w:lang w:val="es-ES_tradnl"/>
        </w:rPr>
        <w:t>s aún, en el modelo de referencia, 10 es el número de periodos aproximado para llegar al nuevo equilibrio. Se considera prudente extender la contabilización de los costos y beneficios dentro de ese período y no extenderla más allá del mismo.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2126346814"/>
      <w:docPartObj>
        <w:docPartGallery w:val="Page Numbers (Bottom of Page)"/>
        <w:docPartUnique/>
      </w:docPartObj>
    </w:sdtPr>
    <w:sdtEndPr>
      <w:rPr>
        <w:rFonts w:ascii="Arial" w:hAnsi="Arial" w:cs="Arial"/>
        <w:sz w:val="18"/>
        <w:szCs w:val="18"/>
      </w:rPr>
    </w:sdtEndPr>
    <w:sdtContent>
      <w:p w14:paraId="61387EC3" w14:textId="103880A4" w:rsidR="006C5339" w:rsidRPr="008820C2" w:rsidRDefault="006C5339" w:rsidP="008820C2">
        <w:pPr>
          <w:pStyle w:val="Footer"/>
          <w:jc w:val="center"/>
          <w:rPr>
            <w:rFonts w:ascii="Arial" w:eastAsiaTheme="majorEastAsia" w:hAnsi="Arial" w:cs="Arial"/>
            <w:sz w:val="18"/>
            <w:szCs w:val="18"/>
          </w:rPr>
        </w:pPr>
        <w:r>
          <w:rPr>
            <w:rFonts w:ascii="Arial" w:eastAsiaTheme="majorEastAsia" w:hAnsi="Arial" w:cs="Arial"/>
            <w:sz w:val="18"/>
            <w:szCs w:val="18"/>
          </w:rPr>
          <w:t>-</w:t>
        </w:r>
        <w:r w:rsidRPr="008820C2">
          <w:rPr>
            <w:rFonts w:ascii="Arial" w:eastAsiaTheme="majorEastAsia" w:hAnsi="Arial" w:cs="Arial"/>
            <w:sz w:val="18"/>
            <w:szCs w:val="18"/>
          </w:rPr>
          <w:t xml:space="preserve"> </w:t>
        </w:r>
        <w:r w:rsidRPr="008820C2">
          <w:rPr>
            <w:rFonts w:ascii="Arial" w:eastAsiaTheme="minorEastAsia" w:hAnsi="Arial" w:cs="Arial"/>
            <w:sz w:val="18"/>
            <w:szCs w:val="18"/>
          </w:rPr>
          <w:fldChar w:fldCharType="begin"/>
        </w:r>
        <w:r w:rsidRPr="008820C2">
          <w:rPr>
            <w:rFonts w:ascii="Arial" w:hAnsi="Arial" w:cs="Arial"/>
            <w:sz w:val="18"/>
            <w:szCs w:val="18"/>
          </w:rPr>
          <w:instrText xml:space="preserve"> PAGE    \* MERGEFORMAT </w:instrText>
        </w:r>
        <w:r w:rsidRPr="008820C2">
          <w:rPr>
            <w:rFonts w:ascii="Arial" w:eastAsiaTheme="minorEastAsia" w:hAnsi="Arial" w:cs="Arial"/>
            <w:sz w:val="18"/>
            <w:szCs w:val="18"/>
          </w:rPr>
          <w:fldChar w:fldCharType="separate"/>
        </w:r>
        <w:r w:rsidR="00383AB5" w:rsidRPr="00383AB5">
          <w:rPr>
            <w:rFonts w:ascii="Arial" w:eastAsiaTheme="majorEastAsia" w:hAnsi="Arial" w:cs="Arial"/>
            <w:noProof/>
            <w:sz w:val="18"/>
            <w:szCs w:val="18"/>
          </w:rPr>
          <w:t>21</w:t>
        </w:r>
        <w:r w:rsidRPr="008820C2">
          <w:rPr>
            <w:rFonts w:ascii="Arial" w:eastAsiaTheme="majorEastAsia" w:hAnsi="Arial" w:cs="Arial"/>
            <w:noProof/>
            <w:sz w:val="18"/>
            <w:szCs w:val="18"/>
          </w:rPr>
          <w:fldChar w:fldCharType="end"/>
        </w:r>
        <w:r>
          <w:rPr>
            <w:rFonts w:ascii="Arial" w:eastAsiaTheme="majorEastAsia" w:hAnsi="Arial" w:cs="Arial"/>
            <w:sz w:val="18"/>
            <w:szCs w:val="18"/>
          </w:rPr>
          <w:t xml:space="preserve"> -</w:t>
        </w:r>
      </w:p>
    </w:sdtContent>
  </w:sdt>
  <w:p w14:paraId="61387EC4" w14:textId="77777777" w:rsidR="006C5339" w:rsidRDefault="006C5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6F58"/>
    <w:multiLevelType w:val="multilevel"/>
    <w:tmpl w:val="BAEA503A"/>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2448"/>
        </w:tabs>
        <w:ind w:left="2448" w:hanging="1296"/>
      </w:p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 w15:restartNumberingAfterBreak="0">
    <w:nsid w:val="23012068"/>
    <w:multiLevelType w:val="multilevel"/>
    <w:tmpl w:val="A0AA1EDA"/>
    <w:lvl w:ilvl="0">
      <w:start w:val="1"/>
      <w:numFmt w:val="upperRoman"/>
      <w:lvlText w:val="%1."/>
      <w:lvlJc w:val="center"/>
      <w:pPr>
        <w:tabs>
          <w:tab w:val="num" w:pos="2088"/>
        </w:tabs>
        <w:ind w:left="1440" w:firstLine="288"/>
      </w:pPr>
      <w:rPr>
        <w:b/>
        <w:i w:val="0"/>
      </w:rPr>
    </w:lvl>
    <w:lvl w:ilvl="1">
      <w:start w:val="1"/>
      <w:numFmt w:val="decimal"/>
      <w:isLgl/>
      <w:lvlText w:val="%1.%2"/>
      <w:lvlJc w:val="left"/>
      <w:pPr>
        <w:tabs>
          <w:tab w:val="num" w:pos="2736"/>
        </w:tabs>
        <w:ind w:left="2736" w:hanging="1296"/>
      </w:pPr>
    </w:lvl>
    <w:lvl w:ilvl="2">
      <w:start w:val="1"/>
      <w:numFmt w:val="lowerLetter"/>
      <w:lvlText w:val="%3."/>
      <w:lvlJc w:val="left"/>
      <w:pPr>
        <w:tabs>
          <w:tab w:val="num" w:pos="2592"/>
        </w:tabs>
        <w:ind w:left="2592" w:hanging="432"/>
      </w:pPr>
    </w:lvl>
    <w:lvl w:ilvl="3">
      <w:start w:val="1"/>
      <w:numFmt w:val="lowerRoman"/>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2" w15:restartNumberingAfterBreak="0">
    <w:nsid w:val="2E646869"/>
    <w:multiLevelType w:val="multilevel"/>
    <w:tmpl w:val="F94A1C16"/>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Heading5"/>
      <w:lvlText w:val="%5)"/>
      <w:lvlJc w:val="left"/>
      <w:pPr>
        <w:ind w:left="5112" w:hanging="432"/>
      </w:pPr>
    </w:lvl>
    <w:lvl w:ilvl="5">
      <w:start w:val="1"/>
      <w:numFmt w:val="lowerLetter"/>
      <w:pStyle w:val="Heading6"/>
      <w:lvlText w:val="%6)"/>
      <w:lvlJc w:val="left"/>
      <w:pPr>
        <w:ind w:left="5256" w:hanging="432"/>
      </w:pPr>
    </w:lvl>
    <w:lvl w:ilvl="6">
      <w:start w:val="1"/>
      <w:numFmt w:val="lowerRoman"/>
      <w:pStyle w:val="Heading7"/>
      <w:lvlText w:val="%7)"/>
      <w:lvlJc w:val="right"/>
      <w:pPr>
        <w:ind w:left="5400" w:hanging="288"/>
      </w:pPr>
    </w:lvl>
    <w:lvl w:ilvl="7">
      <w:start w:val="1"/>
      <w:numFmt w:val="lowerLetter"/>
      <w:pStyle w:val="Heading8"/>
      <w:lvlText w:val="%8."/>
      <w:lvlJc w:val="left"/>
      <w:pPr>
        <w:ind w:left="5544" w:hanging="432"/>
      </w:pPr>
    </w:lvl>
    <w:lvl w:ilvl="8">
      <w:start w:val="1"/>
      <w:numFmt w:val="lowerRoman"/>
      <w:pStyle w:val="Heading9"/>
      <w:lvlText w:val="%9."/>
      <w:lvlJc w:val="right"/>
      <w:pPr>
        <w:ind w:left="5688" w:hanging="144"/>
      </w:pPr>
    </w:lvl>
  </w:abstractNum>
  <w:abstractNum w:abstractNumId="3" w15:restartNumberingAfterBreak="0">
    <w:nsid w:val="34B07556"/>
    <w:multiLevelType w:val="multilevel"/>
    <w:tmpl w:val="99643E14"/>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4" w15:restartNumberingAfterBreak="0">
    <w:nsid w:val="4B915108"/>
    <w:multiLevelType w:val="hybridMultilevel"/>
    <w:tmpl w:val="E50EE5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D9552C"/>
    <w:multiLevelType w:val="multilevel"/>
    <w:tmpl w:val="5C9E73EA"/>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lvl>
    <w:lvl w:ilvl="2">
      <w:start w:val="1"/>
      <w:numFmt w:val="lowerLetter"/>
      <w:lvlText w:val="%3."/>
      <w:lvlJc w:val="left"/>
      <w:pPr>
        <w:tabs>
          <w:tab w:val="num" w:pos="2304"/>
        </w:tabs>
        <w:ind w:left="2304" w:hanging="432"/>
      </w:pPr>
    </w:lvl>
    <w:lvl w:ilvl="3">
      <w:start w:val="1"/>
      <w:numFmt w:val="bullet"/>
      <w:lvlText w:val=""/>
      <w:lvlJc w:val="left"/>
      <w:pPr>
        <w:tabs>
          <w:tab w:val="num" w:pos="2736"/>
        </w:tabs>
        <w:ind w:left="2736" w:hanging="288"/>
      </w:pPr>
      <w:rPr>
        <w:rFonts w:ascii="Symbol" w:hAnsi="Symbol" w:hint="default"/>
      </w:r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0"/>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20A"/>
    <w:rsid w:val="00002EBB"/>
    <w:rsid w:val="00016677"/>
    <w:rsid w:val="00024631"/>
    <w:rsid w:val="00035CA7"/>
    <w:rsid w:val="00043D1B"/>
    <w:rsid w:val="0006055A"/>
    <w:rsid w:val="0006726D"/>
    <w:rsid w:val="00067CB0"/>
    <w:rsid w:val="00071CD7"/>
    <w:rsid w:val="000741E0"/>
    <w:rsid w:val="00074F51"/>
    <w:rsid w:val="00081EBE"/>
    <w:rsid w:val="00084AF3"/>
    <w:rsid w:val="00084F1E"/>
    <w:rsid w:val="00090311"/>
    <w:rsid w:val="00092C16"/>
    <w:rsid w:val="000950F9"/>
    <w:rsid w:val="00096EE8"/>
    <w:rsid w:val="000A00F8"/>
    <w:rsid w:val="000A7882"/>
    <w:rsid w:val="000B0F12"/>
    <w:rsid w:val="000B1A7A"/>
    <w:rsid w:val="000B2D0B"/>
    <w:rsid w:val="000B538B"/>
    <w:rsid w:val="000D13AA"/>
    <w:rsid w:val="000F4C41"/>
    <w:rsid w:val="000F4FAE"/>
    <w:rsid w:val="001021F2"/>
    <w:rsid w:val="0010715B"/>
    <w:rsid w:val="00113634"/>
    <w:rsid w:val="00117FD9"/>
    <w:rsid w:val="00121A63"/>
    <w:rsid w:val="00131870"/>
    <w:rsid w:val="001329E5"/>
    <w:rsid w:val="00137EE5"/>
    <w:rsid w:val="00140F76"/>
    <w:rsid w:val="0014107F"/>
    <w:rsid w:val="0014488F"/>
    <w:rsid w:val="00160FD0"/>
    <w:rsid w:val="001610DD"/>
    <w:rsid w:val="00171873"/>
    <w:rsid w:val="00184E19"/>
    <w:rsid w:val="00191438"/>
    <w:rsid w:val="00195EA6"/>
    <w:rsid w:val="001A0F9A"/>
    <w:rsid w:val="001A187A"/>
    <w:rsid w:val="001A69E9"/>
    <w:rsid w:val="001A706B"/>
    <w:rsid w:val="001B4BCD"/>
    <w:rsid w:val="001B53D2"/>
    <w:rsid w:val="001B55E7"/>
    <w:rsid w:val="001B647E"/>
    <w:rsid w:val="001D31A0"/>
    <w:rsid w:val="001E09FF"/>
    <w:rsid w:val="001E1DA6"/>
    <w:rsid w:val="001E3F18"/>
    <w:rsid w:val="001E6EAE"/>
    <w:rsid w:val="001F26C4"/>
    <w:rsid w:val="002070E0"/>
    <w:rsid w:val="002137E1"/>
    <w:rsid w:val="002145A7"/>
    <w:rsid w:val="002161FE"/>
    <w:rsid w:val="00217E7B"/>
    <w:rsid w:val="0022109F"/>
    <w:rsid w:val="00221970"/>
    <w:rsid w:val="0022779A"/>
    <w:rsid w:val="00230F7D"/>
    <w:rsid w:val="002343D2"/>
    <w:rsid w:val="0023602B"/>
    <w:rsid w:val="00237FC3"/>
    <w:rsid w:val="00240191"/>
    <w:rsid w:val="0024309C"/>
    <w:rsid w:val="00247C9E"/>
    <w:rsid w:val="00252CB6"/>
    <w:rsid w:val="00253048"/>
    <w:rsid w:val="00257F0E"/>
    <w:rsid w:val="00266E09"/>
    <w:rsid w:val="00270468"/>
    <w:rsid w:val="002718A0"/>
    <w:rsid w:val="00281FA7"/>
    <w:rsid w:val="00291D1A"/>
    <w:rsid w:val="00293222"/>
    <w:rsid w:val="002B2F7A"/>
    <w:rsid w:val="002C5F34"/>
    <w:rsid w:val="002C72E7"/>
    <w:rsid w:val="002D6042"/>
    <w:rsid w:val="002F3B8B"/>
    <w:rsid w:val="002F52AD"/>
    <w:rsid w:val="0030116B"/>
    <w:rsid w:val="0030251C"/>
    <w:rsid w:val="003300CC"/>
    <w:rsid w:val="00332CD1"/>
    <w:rsid w:val="003424BA"/>
    <w:rsid w:val="0034273A"/>
    <w:rsid w:val="00365A71"/>
    <w:rsid w:val="0036634F"/>
    <w:rsid w:val="003672F3"/>
    <w:rsid w:val="00383AB5"/>
    <w:rsid w:val="00394651"/>
    <w:rsid w:val="00395CE8"/>
    <w:rsid w:val="00395F30"/>
    <w:rsid w:val="003976D8"/>
    <w:rsid w:val="003A5118"/>
    <w:rsid w:val="003B1BF2"/>
    <w:rsid w:val="003B701A"/>
    <w:rsid w:val="003B7963"/>
    <w:rsid w:val="003C7F7E"/>
    <w:rsid w:val="003D4EF0"/>
    <w:rsid w:val="003E7110"/>
    <w:rsid w:val="003F0101"/>
    <w:rsid w:val="003F4848"/>
    <w:rsid w:val="003F7AF1"/>
    <w:rsid w:val="00401CB4"/>
    <w:rsid w:val="0040446F"/>
    <w:rsid w:val="00410D44"/>
    <w:rsid w:val="0041798A"/>
    <w:rsid w:val="004247A9"/>
    <w:rsid w:val="004269C8"/>
    <w:rsid w:val="0042708A"/>
    <w:rsid w:val="00433E0A"/>
    <w:rsid w:val="00440EA2"/>
    <w:rsid w:val="00443F25"/>
    <w:rsid w:val="00462176"/>
    <w:rsid w:val="00467B8D"/>
    <w:rsid w:val="00470D5E"/>
    <w:rsid w:val="004749CA"/>
    <w:rsid w:val="00480DC7"/>
    <w:rsid w:val="004810E5"/>
    <w:rsid w:val="00483264"/>
    <w:rsid w:val="0048375E"/>
    <w:rsid w:val="00484B4D"/>
    <w:rsid w:val="00485B7C"/>
    <w:rsid w:val="00493EDA"/>
    <w:rsid w:val="004A4FFB"/>
    <w:rsid w:val="004A7C38"/>
    <w:rsid w:val="004B532F"/>
    <w:rsid w:val="004B592F"/>
    <w:rsid w:val="004C0745"/>
    <w:rsid w:val="004C7EDB"/>
    <w:rsid w:val="004D07BC"/>
    <w:rsid w:val="004D2164"/>
    <w:rsid w:val="004E7680"/>
    <w:rsid w:val="004E7B6E"/>
    <w:rsid w:val="005162D0"/>
    <w:rsid w:val="005270E2"/>
    <w:rsid w:val="00531C70"/>
    <w:rsid w:val="0053421F"/>
    <w:rsid w:val="00534309"/>
    <w:rsid w:val="00543A4D"/>
    <w:rsid w:val="00545195"/>
    <w:rsid w:val="00545A9E"/>
    <w:rsid w:val="00545DF5"/>
    <w:rsid w:val="005467BD"/>
    <w:rsid w:val="0054695F"/>
    <w:rsid w:val="00547ED2"/>
    <w:rsid w:val="005510EF"/>
    <w:rsid w:val="00556062"/>
    <w:rsid w:val="00557080"/>
    <w:rsid w:val="005571A3"/>
    <w:rsid w:val="00561D66"/>
    <w:rsid w:val="00563849"/>
    <w:rsid w:val="00566B1F"/>
    <w:rsid w:val="00570875"/>
    <w:rsid w:val="00571B4A"/>
    <w:rsid w:val="00576CAE"/>
    <w:rsid w:val="005863E1"/>
    <w:rsid w:val="0058664B"/>
    <w:rsid w:val="00590C2D"/>
    <w:rsid w:val="00593B98"/>
    <w:rsid w:val="005B0DE7"/>
    <w:rsid w:val="005B5CC8"/>
    <w:rsid w:val="005B63BE"/>
    <w:rsid w:val="005C5FF0"/>
    <w:rsid w:val="005C6910"/>
    <w:rsid w:val="005D2B9E"/>
    <w:rsid w:val="005D361D"/>
    <w:rsid w:val="005E44D3"/>
    <w:rsid w:val="005E4C9E"/>
    <w:rsid w:val="005E50DF"/>
    <w:rsid w:val="005F0AC5"/>
    <w:rsid w:val="005F260B"/>
    <w:rsid w:val="005F4226"/>
    <w:rsid w:val="005F6574"/>
    <w:rsid w:val="005F7AE3"/>
    <w:rsid w:val="00600874"/>
    <w:rsid w:val="006046A8"/>
    <w:rsid w:val="00612232"/>
    <w:rsid w:val="00622F05"/>
    <w:rsid w:val="006240F2"/>
    <w:rsid w:val="00627461"/>
    <w:rsid w:val="00627859"/>
    <w:rsid w:val="00632A74"/>
    <w:rsid w:val="00641D60"/>
    <w:rsid w:val="00655D63"/>
    <w:rsid w:val="00661537"/>
    <w:rsid w:val="00662617"/>
    <w:rsid w:val="006769CA"/>
    <w:rsid w:val="00680926"/>
    <w:rsid w:val="00682F24"/>
    <w:rsid w:val="006838F9"/>
    <w:rsid w:val="00683A40"/>
    <w:rsid w:val="00687BDF"/>
    <w:rsid w:val="00693003"/>
    <w:rsid w:val="00694044"/>
    <w:rsid w:val="006C5339"/>
    <w:rsid w:val="006C74CC"/>
    <w:rsid w:val="006D1E33"/>
    <w:rsid w:val="006D5877"/>
    <w:rsid w:val="006E050D"/>
    <w:rsid w:val="006E24B7"/>
    <w:rsid w:val="006E7314"/>
    <w:rsid w:val="006F2F0E"/>
    <w:rsid w:val="00710C8B"/>
    <w:rsid w:val="007135AE"/>
    <w:rsid w:val="00714D84"/>
    <w:rsid w:val="007210C7"/>
    <w:rsid w:val="00734AD9"/>
    <w:rsid w:val="00745FB0"/>
    <w:rsid w:val="00752C2D"/>
    <w:rsid w:val="00766E51"/>
    <w:rsid w:val="0077284A"/>
    <w:rsid w:val="00780DA9"/>
    <w:rsid w:val="00782B07"/>
    <w:rsid w:val="007917B1"/>
    <w:rsid w:val="00792340"/>
    <w:rsid w:val="00795F2D"/>
    <w:rsid w:val="007A0973"/>
    <w:rsid w:val="007B5D00"/>
    <w:rsid w:val="007C24BD"/>
    <w:rsid w:val="007C400A"/>
    <w:rsid w:val="007C6DA2"/>
    <w:rsid w:val="007D0815"/>
    <w:rsid w:val="007D3CE5"/>
    <w:rsid w:val="007E0D0F"/>
    <w:rsid w:val="007E2CF4"/>
    <w:rsid w:val="007E5C40"/>
    <w:rsid w:val="007F7A06"/>
    <w:rsid w:val="0080190C"/>
    <w:rsid w:val="00804391"/>
    <w:rsid w:val="0081487E"/>
    <w:rsid w:val="00820308"/>
    <w:rsid w:val="0082278C"/>
    <w:rsid w:val="00834DBC"/>
    <w:rsid w:val="0084187A"/>
    <w:rsid w:val="0084589F"/>
    <w:rsid w:val="00845D85"/>
    <w:rsid w:val="008471FD"/>
    <w:rsid w:val="008472FA"/>
    <w:rsid w:val="0085762A"/>
    <w:rsid w:val="00871033"/>
    <w:rsid w:val="00871C21"/>
    <w:rsid w:val="00881314"/>
    <w:rsid w:val="008820C2"/>
    <w:rsid w:val="008864E4"/>
    <w:rsid w:val="00891123"/>
    <w:rsid w:val="008A3A01"/>
    <w:rsid w:val="008A5B1F"/>
    <w:rsid w:val="008B4975"/>
    <w:rsid w:val="008B5DC9"/>
    <w:rsid w:val="008C0334"/>
    <w:rsid w:val="008C125F"/>
    <w:rsid w:val="008C30DE"/>
    <w:rsid w:val="008C6018"/>
    <w:rsid w:val="008D1BCD"/>
    <w:rsid w:val="008D2C95"/>
    <w:rsid w:val="008D6FFC"/>
    <w:rsid w:val="008E06BF"/>
    <w:rsid w:val="008E11D9"/>
    <w:rsid w:val="008E4616"/>
    <w:rsid w:val="008E7C6A"/>
    <w:rsid w:val="008F5E25"/>
    <w:rsid w:val="008F6D80"/>
    <w:rsid w:val="009179D7"/>
    <w:rsid w:val="00922A21"/>
    <w:rsid w:val="00924EE7"/>
    <w:rsid w:val="00933D43"/>
    <w:rsid w:val="00943E0A"/>
    <w:rsid w:val="00944EA3"/>
    <w:rsid w:val="0094517B"/>
    <w:rsid w:val="009460CC"/>
    <w:rsid w:val="00946107"/>
    <w:rsid w:val="0095654B"/>
    <w:rsid w:val="00962A6D"/>
    <w:rsid w:val="00963C34"/>
    <w:rsid w:val="0097329E"/>
    <w:rsid w:val="009772E5"/>
    <w:rsid w:val="00985948"/>
    <w:rsid w:val="00990201"/>
    <w:rsid w:val="00991681"/>
    <w:rsid w:val="00994798"/>
    <w:rsid w:val="009A5B62"/>
    <w:rsid w:val="009B4838"/>
    <w:rsid w:val="009C0687"/>
    <w:rsid w:val="009C6A61"/>
    <w:rsid w:val="009D7B7E"/>
    <w:rsid w:val="009E2687"/>
    <w:rsid w:val="009E61A6"/>
    <w:rsid w:val="009F27C1"/>
    <w:rsid w:val="009F2BFD"/>
    <w:rsid w:val="00A00430"/>
    <w:rsid w:val="00A03852"/>
    <w:rsid w:val="00A07578"/>
    <w:rsid w:val="00A07E98"/>
    <w:rsid w:val="00A20AE6"/>
    <w:rsid w:val="00A20B37"/>
    <w:rsid w:val="00A2342A"/>
    <w:rsid w:val="00A2612D"/>
    <w:rsid w:val="00A316C4"/>
    <w:rsid w:val="00A41F53"/>
    <w:rsid w:val="00A42E1A"/>
    <w:rsid w:val="00A50302"/>
    <w:rsid w:val="00A527EA"/>
    <w:rsid w:val="00A70FB2"/>
    <w:rsid w:val="00A71986"/>
    <w:rsid w:val="00A73D47"/>
    <w:rsid w:val="00A77FF4"/>
    <w:rsid w:val="00A837BE"/>
    <w:rsid w:val="00A8436C"/>
    <w:rsid w:val="00A85F45"/>
    <w:rsid w:val="00A90AC3"/>
    <w:rsid w:val="00A94BE5"/>
    <w:rsid w:val="00AA25A9"/>
    <w:rsid w:val="00AA44C6"/>
    <w:rsid w:val="00AA6984"/>
    <w:rsid w:val="00AB071A"/>
    <w:rsid w:val="00AC062A"/>
    <w:rsid w:val="00AC2DA2"/>
    <w:rsid w:val="00AC358A"/>
    <w:rsid w:val="00AD2D55"/>
    <w:rsid w:val="00AE2E59"/>
    <w:rsid w:val="00AE31AF"/>
    <w:rsid w:val="00B012B8"/>
    <w:rsid w:val="00B04170"/>
    <w:rsid w:val="00B05BF4"/>
    <w:rsid w:val="00B05FF8"/>
    <w:rsid w:val="00B10DC0"/>
    <w:rsid w:val="00B11FF4"/>
    <w:rsid w:val="00B15FE5"/>
    <w:rsid w:val="00B30043"/>
    <w:rsid w:val="00B35253"/>
    <w:rsid w:val="00B36857"/>
    <w:rsid w:val="00B415BA"/>
    <w:rsid w:val="00B4751F"/>
    <w:rsid w:val="00B51E47"/>
    <w:rsid w:val="00B53FDD"/>
    <w:rsid w:val="00B61D3E"/>
    <w:rsid w:val="00B7120A"/>
    <w:rsid w:val="00B71699"/>
    <w:rsid w:val="00B82A24"/>
    <w:rsid w:val="00B86EAE"/>
    <w:rsid w:val="00B903F9"/>
    <w:rsid w:val="00BA0606"/>
    <w:rsid w:val="00BA21B9"/>
    <w:rsid w:val="00BB66BE"/>
    <w:rsid w:val="00BC0806"/>
    <w:rsid w:val="00BC68B4"/>
    <w:rsid w:val="00BD0338"/>
    <w:rsid w:val="00BD2BA6"/>
    <w:rsid w:val="00BD5217"/>
    <w:rsid w:val="00BE1A28"/>
    <w:rsid w:val="00BE5FEF"/>
    <w:rsid w:val="00BE675F"/>
    <w:rsid w:val="00BE7D60"/>
    <w:rsid w:val="00BF397F"/>
    <w:rsid w:val="00C00CC8"/>
    <w:rsid w:val="00C05DB2"/>
    <w:rsid w:val="00C07C94"/>
    <w:rsid w:val="00C138D8"/>
    <w:rsid w:val="00C16E9E"/>
    <w:rsid w:val="00C479E4"/>
    <w:rsid w:val="00C56EAC"/>
    <w:rsid w:val="00C6217C"/>
    <w:rsid w:val="00C837DD"/>
    <w:rsid w:val="00C86D3D"/>
    <w:rsid w:val="00C92A0C"/>
    <w:rsid w:val="00C97DC2"/>
    <w:rsid w:val="00CA0E88"/>
    <w:rsid w:val="00CB0E53"/>
    <w:rsid w:val="00CD6B6D"/>
    <w:rsid w:val="00CD7019"/>
    <w:rsid w:val="00CE60EB"/>
    <w:rsid w:val="00CE6DEE"/>
    <w:rsid w:val="00CE6F84"/>
    <w:rsid w:val="00CF09E4"/>
    <w:rsid w:val="00CF6FB4"/>
    <w:rsid w:val="00CF7866"/>
    <w:rsid w:val="00D170A3"/>
    <w:rsid w:val="00D170C3"/>
    <w:rsid w:val="00D215B8"/>
    <w:rsid w:val="00D2728B"/>
    <w:rsid w:val="00D276AC"/>
    <w:rsid w:val="00D34923"/>
    <w:rsid w:val="00D42DAC"/>
    <w:rsid w:val="00D44091"/>
    <w:rsid w:val="00D5050F"/>
    <w:rsid w:val="00D57A05"/>
    <w:rsid w:val="00D608E0"/>
    <w:rsid w:val="00D73DF1"/>
    <w:rsid w:val="00D74B28"/>
    <w:rsid w:val="00D836B0"/>
    <w:rsid w:val="00DB1B7A"/>
    <w:rsid w:val="00DB685A"/>
    <w:rsid w:val="00DC0F98"/>
    <w:rsid w:val="00DC320C"/>
    <w:rsid w:val="00DC6EC9"/>
    <w:rsid w:val="00DC74C7"/>
    <w:rsid w:val="00DD27D1"/>
    <w:rsid w:val="00DD529D"/>
    <w:rsid w:val="00DD6A5F"/>
    <w:rsid w:val="00DE31B3"/>
    <w:rsid w:val="00DE79E8"/>
    <w:rsid w:val="00E0077A"/>
    <w:rsid w:val="00E11838"/>
    <w:rsid w:val="00E15B16"/>
    <w:rsid w:val="00E16F11"/>
    <w:rsid w:val="00E27F20"/>
    <w:rsid w:val="00E31E6F"/>
    <w:rsid w:val="00E31FC5"/>
    <w:rsid w:val="00E32C1D"/>
    <w:rsid w:val="00E3366F"/>
    <w:rsid w:val="00E35651"/>
    <w:rsid w:val="00E42BDF"/>
    <w:rsid w:val="00E430CA"/>
    <w:rsid w:val="00E47481"/>
    <w:rsid w:val="00E5693C"/>
    <w:rsid w:val="00E57CE0"/>
    <w:rsid w:val="00E57D48"/>
    <w:rsid w:val="00E60533"/>
    <w:rsid w:val="00E61857"/>
    <w:rsid w:val="00E6222B"/>
    <w:rsid w:val="00E678AA"/>
    <w:rsid w:val="00E72F77"/>
    <w:rsid w:val="00E73805"/>
    <w:rsid w:val="00E93719"/>
    <w:rsid w:val="00E96150"/>
    <w:rsid w:val="00EA1813"/>
    <w:rsid w:val="00EA1CC6"/>
    <w:rsid w:val="00EA34AC"/>
    <w:rsid w:val="00EB0219"/>
    <w:rsid w:val="00EB5889"/>
    <w:rsid w:val="00EB6DDA"/>
    <w:rsid w:val="00EC3B58"/>
    <w:rsid w:val="00EC4041"/>
    <w:rsid w:val="00EC4D3D"/>
    <w:rsid w:val="00ED7615"/>
    <w:rsid w:val="00EE29F6"/>
    <w:rsid w:val="00EF1742"/>
    <w:rsid w:val="00EF645C"/>
    <w:rsid w:val="00F008AA"/>
    <w:rsid w:val="00F00916"/>
    <w:rsid w:val="00F170F1"/>
    <w:rsid w:val="00F24798"/>
    <w:rsid w:val="00F27834"/>
    <w:rsid w:val="00F31C93"/>
    <w:rsid w:val="00F35C4B"/>
    <w:rsid w:val="00F37322"/>
    <w:rsid w:val="00F420E4"/>
    <w:rsid w:val="00F52372"/>
    <w:rsid w:val="00F53369"/>
    <w:rsid w:val="00F56098"/>
    <w:rsid w:val="00F643F4"/>
    <w:rsid w:val="00F8365F"/>
    <w:rsid w:val="00F85ACC"/>
    <w:rsid w:val="00F86269"/>
    <w:rsid w:val="00F8780A"/>
    <w:rsid w:val="00F94904"/>
    <w:rsid w:val="00F97FCC"/>
    <w:rsid w:val="00FA3353"/>
    <w:rsid w:val="00FA4263"/>
    <w:rsid w:val="00FA6F01"/>
    <w:rsid w:val="00FA739A"/>
    <w:rsid w:val="00FB2F0A"/>
    <w:rsid w:val="00FB5CE6"/>
    <w:rsid w:val="00FB5D53"/>
    <w:rsid w:val="00FE11A9"/>
    <w:rsid w:val="00FE5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87DC4"/>
  <w15:docId w15:val="{23186F91-B40A-49D4-8D74-491E576B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06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B7120A"/>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120A"/>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120A"/>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120A"/>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7120A"/>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link w:val="ChapterChar"/>
    <w:qFormat/>
    <w:rsid w:val="00B7120A"/>
    <w:pPr>
      <w:keepNext/>
      <w:numPr>
        <w:numId w:val="1"/>
      </w:numPr>
      <w:tabs>
        <w:tab w:val="clear" w:pos="1800"/>
        <w:tab w:val="num" w:pos="648"/>
        <w:tab w:val="left" w:pos="1440"/>
      </w:tabs>
      <w:spacing w:before="240" w:after="240" w:line="240" w:lineRule="auto"/>
      <w:ind w:left="0"/>
      <w:jc w:val="center"/>
    </w:pPr>
    <w:rPr>
      <w:rFonts w:ascii="Times New Roman" w:hAnsi="Times New Roman" w:cs="Times New Roman"/>
      <w:b/>
      <w:smallCaps/>
      <w:sz w:val="24"/>
    </w:rPr>
  </w:style>
  <w:style w:type="character" w:customStyle="1" w:styleId="ChapterChar">
    <w:name w:val="Chapter Char"/>
    <w:basedOn w:val="DefaultParagraphFont"/>
    <w:link w:val="Chapter"/>
    <w:rsid w:val="00B7120A"/>
    <w:rPr>
      <w:rFonts w:ascii="Times New Roman" w:hAnsi="Times New Roman" w:cs="Times New Roman"/>
      <w:b/>
      <w:smallCaps/>
      <w:sz w:val="24"/>
    </w:rPr>
  </w:style>
  <w:style w:type="paragraph" w:customStyle="1" w:styleId="FirstHeading">
    <w:name w:val="FirstHeading"/>
    <w:basedOn w:val="Normal"/>
    <w:next w:val="Normal"/>
    <w:link w:val="FirstHeadingChar"/>
    <w:rsid w:val="00B7120A"/>
    <w:pPr>
      <w:keepNext/>
      <w:numPr>
        <w:numId w:val="2"/>
      </w:numPr>
      <w:tabs>
        <w:tab w:val="left" w:pos="0"/>
        <w:tab w:val="left" w:pos="86"/>
      </w:tabs>
      <w:spacing w:before="120" w:after="120" w:line="240" w:lineRule="auto"/>
      <w:ind w:left="720"/>
    </w:pPr>
    <w:rPr>
      <w:rFonts w:ascii="Times New Roman" w:hAnsi="Times New Roman" w:cs="Times New Roman"/>
      <w:b/>
      <w:sz w:val="24"/>
    </w:rPr>
  </w:style>
  <w:style w:type="character" w:customStyle="1" w:styleId="FirstHeadingChar">
    <w:name w:val="FirstHeading Char"/>
    <w:basedOn w:val="DefaultParagraphFont"/>
    <w:link w:val="FirstHeading"/>
    <w:rsid w:val="00B7120A"/>
    <w:rPr>
      <w:rFonts w:ascii="Times New Roman" w:hAnsi="Times New Roman" w:cs="Times New Roman"/>
      <w:b/>
      <w:sz w:val="24"/>
    </w:rPr>
  </w:style>
  <w:style w:type="paragraph" w:customStyle="1" w:styleId="SecHeading">
    <w:name w:val="SecHeading"/>
    <w:basedOn w:val="Normal"/>
    <w:next w:val="Paragraph"/>
    <w:link w:val="SecHeadingChar"/>
    <w:rsid w:val="00B7120A"/>
    <w:pPr>
      <w:keepNext/>
      <w:numPr>
        <w:ilvl w:val="1"/>
        <w:numId w:val="2"/>
      </w:numPr>
      <w:tabs>
        <w:tab w:val="clear" w:pos="5400"/>
        <w:tab w:val="num" w:pos="1296"/>
      </w:tabs>
      <w:spacing w:before="120" w:after="120" w:line="240" w:lineRule="auto"/>
      <w:ind w:left="1296"/>
    </w:pPr>
    <w:rPr>
      <w:rFonts w:ascii="Times New Roman" w:hAnsi="Times New Roman" w:cs="Times New Roman"/>
      <w:b/>
      <w:sz w:val="24"/>
    </w:rPr>
  </w:style>
  <w:style w:type="character" w:customStyle="1" w:styleId="SecHeadingChar">
    <w:name w:val="SecHeading Char"/>
    <w:basedOn w:val="DefaultParagraphFont"/>
    <w:link w:val="SecHeading"/>
    <w:rsid w:val="00B7120A"/>
    <w:rPr>
      <w:rFonts w:ascii="Times New Roman" w:hAnsi="Times New Roman" w:cs="Times New Roman"/>
      <w:b/>
      <w:sz w:val="24"/>
    </w:rPr>
  </w:style>
  <w:style w:type="paragraph" w:customStyle="1" w:styleId="SubHeading1">
    <w:name w:val="SubHeading1"/>
    <w:basedOn w:val="SecHeading"/>
    <w:link w:val="SubHeading1Char"/>
    <w:rsid w:val="00B7120A"/>
    <w:pPr>
      <w:numPr>
        <w:ilvl w:val="2"/>
      </w:numPr>
      <w:tabs>
        <w:tab w:val="clear" w:pos="5976"/>
        <w:tab w:val="num" w:pos="1872"/>
      </w:tabs>
      <w:ind w:left="1872"/>
    </w:pPr>
  </w:style>
  <w:style w:type="character" w:customStyle="1" w:styleId="SubHeading1Char">
    <w:name w:val="SubHeading1 Char"/>
    <w:basedOn w:val="DefaultParagraphFont"/>
    <w:link w:val="SubHeading1"/>
    <w:rsid w:val="00B7120A"/>
    <w:rPr>
      <w:rFonts w:ascii="Times New Roman" w:hAnsi="Times New Roman" w:cs="Times New Roman"/>
      <w:b/>
      <w:sz w:val="24"/>
    </w:rPr>
  </w:style>
  <w:style w:type="paragraph" w:customStyle="1" w:styleId="Subheading2">
    <w:name w:val="Subheading2"/>
    <w:basedOn w:val="SecHeading"/>
    <w:link w:val="Subheading2Char"/>
    <w:rsid w:val="00B7120A"/>
    <w:pPr>
      <w:numPr>
        <w:ilvl w:val="3"/>
      </w:numPr>
      <w:tabs>
        <w:tab w:val="clear" w:pos="6480"/>
        <w:tab w:val="num" w:pos="2376"/>
      </w:tabs>
      <w:ind w:left="2376"/>
    </w:pPr>
  </w:style>
  <w:style w:type="character" w:customStyle="1" w:styleId="Subheading2Char">
    <w:name w:val="Subheading2 Char"/>
    <w:basedOn w:val="DefaultParagraphFont"/>
    <w:link w:val="Subheading2"/>
    <w:rsid w:val="00B7120A"/>
    <w:rPr>
      <w:rFonts w:ascii="Times New Roman" w:hAnsi="Times New Roman" w:cs="Times New Roman"/>
      <w:b/>
      <w:sz w:val="24"/>
    </w:rPr>
  </w:style>
  <w:style w:type="paragraph" w:customStyle="1" w:styleId="Paragraph">
    <w:name w:val="Paragraph"/>
    <w:aliases w:val="paragraph,p,PARAGRAPH,PG,pa,at"/>
    <w:basedOn w:val="BodyTextIndent"/>
    <w:link w:val="ParagraphChar"/>
    <w:qFormat/>
    <w:rsid w:val="00B7120A"/>
    <w:pPr>
      <w:numPr>
        <w:ilvl w:val="1"/>
        <w:numId w:val="1"/>
      </w:numPr>
      <w:spacing w:before="120"/>
      <w:jc w:val="both"/>
      <w:outlineLvl w:val="1"/>
    </w:pPr>
  </w:style>
  <w:style w:type="character" w:customStyle="1" w:styleId="ParagraphChar">
    <w:name w:val="Paragraph Char"/>
    <w:basedOn w:val="DefaultParagraphFont"/>
    <w:link w:val="Paragraph"/>
    <w:rsid w:val="00B7120A"/>
    <w:rPr>
      <w:rFonts w:ascii="Times New Roman" w:hAnsi="Times New Roman" w:cs="Times New Roman"/>
      <w:sz w:val="24"/>
    </w:rPr>
  </w:style>
  <w:style w:type="paragraph" w:customStyle="1" w:styleId="subpar">
    <w:name w:val="subpar"/>
    <w:basedOn w:val="BodyTextIndent3"/>
    <w:link w:val="subparChar"/>
    <w:rsid w:val="00B7120A"/>
    <w:pPr>
      <w:numPr>
        <w:ilvl w:val="2"/>
        <w:numId w:val="1"/>
      </w:numPr>
      <w:spacing w:before="120"/>
      <w:jc w:val="both"/>
      <w:outlineLvl w:val="2"/>
    </w:pPr>
  </w:style>
  <w:style w:type="character" w:customStyle="1" w:styleId="subparChar">
    <w:name w:val="subpar Char"/>
    <w:basedOn w:val="DefaultParagraphFont"/>
    <w:link w:val="subpar"/>
    <w:rsid w:val="00B7120A"/>
    <w:rPr>
      <w:rFonts w:ascii="Times New Roman" w:hAnsi="Times New Roman" w:cs="Times New Roman"/>
      <w:sz w:val="24"/>
      <w:szCs w:val="16"/>
    </w:rPr>
  </w:style>
  <w:style w:type="paragraph" w:customStyle="1" w:styleId="SubSubPar">
    <w:name w:val="SubSubPar"/>
    <w:basedOn w:val="subpar"/>
    <w:link w:val="SubSubParChar"/>
    <w:rsid w:val="00B7120A"/>
    <w:pPr>
      <w:numPr>
        <w:ilvl w:val="3"/>
      </w:numPr>
      <w:tabs>
        <w:tab w:val="left" w:pos="0"/>
      </w:tabs>
    </w:pPr>
  </w:style>
  <w:style w:type="character" w:customStyle="1" w:styleId="SubSubParChar">
    <w:name w:val="SubSubPar Char"/>
    <w:basedOn w:val="DefaultParagraphFont"/>
    <w:link w:val="SubSubPar"/>
    <w:rsid w:val="00B7120A"/>
    <w:rPr>
      <w:rFonts w:ascii="Times New Roman" w:hAnsi="Times New Roman" w:cs="Times New Roman"/>
      <w:sz w:val="24"/>
      <w:szCs w:val="16"/>
    </w:rPr>
  </w:style>
  <w:style w:type="paragraph" w:customStyle="1" w:styleId="Regtable">
    <w:name w:val="Regtable"/>
    <w:basedOn w:val="Normal"/>
    <w:link w:val="RegtableChar"/>
    <w:rsid w:val="00B7120A"/>
    <w:pPr>
      <w:keepLines/>
      <w:framePr w:wrap="around" w:vAnchor="text" w:hAnchor="text" w:y="1"/>
      <w:spacing w:before="20" w:after="20" w:line="240" w:lineRule="auto"/>
    </w:pPr>
    <w:rPr>
      <w:rFonts w:ascii="Times New Roman" w:hAnsi="Times New Roman" w:cs="Times New Roman"/>
      <w:sz w:val="20"/>
    </w:rPr>
  </w:style>
  <w:style w:type="character" w:customStyle="1" w:styleId="RegtableChar">
    <w:name w:val="Regtable Char"/>
    <w:basedOn w:val="DefaultParagraphFont"/>
    <w:link w:val="Regtable"/>
    <w:rsid w:val="00B7120A"/>
    <w:rPr>
      <w:rFonts w:ascii="Times New Roman" w:hAnsi="Times New Roman" w:cs="Times New Roman"/>
      <w:sz w:val="20"/>
    </w:rPr>
  </w:style>
  <w:style w:type="paragraph" w:customStyle="1" w:styleId="TableTitle">
    <w:name w:val="TableTitle"/>
    <w:basedOn w:val="Normal"/>
    <w:link w:val="TableTitleChar"/>
    <w:rsid w:val="00B7120A"/>
    <w:pPr>
      <w:keepNext/>
      <w:framePr w:wrap="around" w:vAnchor="text" w:hAnchor="text" w:y="1"/>
      <w:spacing w:before="20" w:after="20" w:line="240" w:lineRule="auto"/>
      <w:jc w:val="center"/>
    </w:pPr>
    <w:rPr>
      <w:rFonts w:ascii="Times New Roman Bold" w:hAnsi="Times New Roman Bold"/>
      <w:b/>
      <w:spacing w:val="-3"/>
      <w:sz w:val="20"/>
    </w:rPr>
  </w:style>
  <w:style w:type="character" w:customStyle="1" w:styleId="TableTitleChar">
    <w:name w:val="TableTitle Char"/>
    <w:basedOn w:val="DefaultParagraphFont"/>
    <w:link w:val="TableTitle"/>
    <w:rsid w:val="00B7120A"/>
    <w:rPr>
      <w:rFonts w:ascii="Times New Roman Bold" w:hAnsi="Times New Roman Bold"/>
      <w:b/>
      <w:spacing w:val="-3"/>
      <w:sz w:val="20"/>
    </w:rPr>
  </w:style>
  <w:style w:type="character" w:customStyle="1" w:styleId="Heading5Char">
    <w:name w:val="Heading 5 Char"/>
    <w:basedOn w:val="DefaultParagraphFont"/>
    <w:link w:val="Heading5"/>
    <w:uiPriority w:val="9"/>
    <w:semiHidden/>
    <w:rsid w:val="00B7120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712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7120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120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120A"/>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uiPriority w:val="99"/>
    <w:semiHidden/>
    <w:unhideWhenUsed/>
    <w:rsid w:val="00B7120A"/>
    <w:pPr>
      <w:spacing w:after="120" w:line="240" w:lineRule="auto"/>
      <w:ind w:left="360"/>
    </w:pPr>
    <w:rPr>
      <w:rFonts w:ascii="Times New Roman" w:hAnsi="Times New Roman" w:cs="Times New Roman"/>
      <w:sz w:val="24"/>
    </w:rPr>
  </w:style>
  <w:style w:type="character" w:customStyle="1" w:styleId="BodyTextIndentChar">
    <w:name w:val="Body Text Indent Char"/>
    <w:basedOn w:val="DefaultParagraphFont"/>
    <w:link w:val="BodyTextIndent"/>
    <w:uiPriority w:val="99"/>
    <w:semiHidden/>
    <w:rsid w:val="00B7120A"/>
    <w:rPr>
      <w:rFonts w:ascii="Times New Roman" w:hAnsi="Times New Roman" w:cs="Times New Roman"/>
      <w:sz w:val="24"/>
    </w:rPr>
  </w:style>
  <w:style w:type="paragraph" w:styleId="BodyTextIndent3">
    <w:name w:val="Body Text Indent 3"/>
    <w:basedOn w:val="Normal"/>
    <w:link w:val="BodyTextIndent3Char"/>
    <w:uiPriority w:val="99"/>
    <w:semiHidden/>
    <w:unhideWhenUsed/>
    <w:rsid w:val="00B7120A"/>
    <w:pPr>
      <w:spacing w:after="120" w:line="240" w:lineRule="auto"/>
      <w:ind w:left="360"/>
    </w:pPr>
    <w:rPr>
      <w:rFonts w:ascii="Times New Roman" w:hAnsi="Times New Roman" w:cs="Times New Roman"/>
      <w:sz w:val="24"/>
      <w:szCs w:val="16"/>
    </w:rPr>
  </w:style>
  <w:style w:type="character" w:customStyle="1" w:styleId="BodyTextIndent3Char">
    <w:name w:val="Body Text Indent 3 Char"/>
    <w:basedOn w:val="DefaultParagraphFont"/>
    <w:link w:val="BodyTextIndent3"/>
    <w:uiPriority w:val="99"/>
    <w:semiHidden/>
    <w:rsid w:val="00B7120A"/>
    <w:rPr>
      <w:rFonts w:ascii="Times New Roman" w:hAnsi="Times New Roman" w:cs="Times New Roman"/>
      <w:sz w:val="24"/>
      <w:szCs w:val="16"/>
    </w:rPr>
  </w:style>
  <w:style w:type="paragraph" w:styleId="FootnoteText">
    <w:name w:val="footnote text"/>
    <w:aliases w:val="Footnote Text Char Char,Footnote Text1 Char,Footnote Text Char Char Char Char,fn,Texto nota pie IIRSA,single space,texto de nota al pie,Texto nota pie Car Car Car Car Car Car Car Car,Texto nota pie Car Car Car,Texto nota pie Car1,Texto,F"/>
    <w:basedOn w:val="Normal"/>
    <w:link w:val="FootnoteTextChar"/>
    <w:unhideWhenUsed/>
    <w:qFormat/>
    <w:rsid w:val="00B7120A"/>
    <w:pPr>
      <w:keepNext/>
      <w:keepLines/>
      <w:spacing w:after="120" w:line="240" w:lineRule="auto"/>
      <w:ind w:left="288" w:hanging="288"/>
      <w:jc w:val="both"/>
    </w:pPr>
    <w:rPr>
      <w:rFonts w:ascii="Times New Roman" w:hAnsi="Times New Roman" w:cs="Times New Roman"/>
      <w:spacing w:val="-3"/>
      <w:sz w:val="20"/>
      <w:szCs w:val="20"/>
    </w:rPr>
  </w:style>
  <w:style w:type="character" w:customStyle="1" w:styleId="FootnoteTextChar">
    <w:name w:val="Footnote Text Char"/>
    <w:aliases w:val="Footnote Text Char Char Char,Footnote Text1 Char Char,Footnote Text Char Char Char Char Char,fn Char,Texto nota pie IIRSA Char,single space Char,texto de nota al pie Char,Texto nota pie Car Car Car Car Car Car Car Car Char,Texto Char"/>
    <w:basedOn w:val="DefaultParagraphFont"/>
    <w:link w:val="FootnoteText"/>
    <w:rsid w:val="00B7120A"/>
    <w:rPr>
      <w:rFonts w:ascii="Times New Roman" w:hAnsi="Times New Roman" w:cs="Times New Roman"/>
      <w:spacing w:val="-3"/>
      <w:sz w:val="20"/>
      <w:szCs w:val="20"/>
    </w:rPr>
  </w:style>
  <w:style w:type="character" w:styleId="FootnoteReference">
    <w:name w:val="footnote reference"/>
    <w:aliases w:val="ftref,Fußnotenzeichen DISS,16 Point,Superscript 6 Point,BVI fnr,Знак сноски 1,referencia nota al pie,titulo 2,FC,Footnote Referencefra,Ref. de nota al pie.,Footnote Reference.SES,Ref. de nota al pie EDEP,pie pddes,fr,SUPERS, BVI fnr"/>
    <w:basedOn w:val="DefaultParagraphFont"/>
    <w:uiPriority w:val="99"/>
    <w:unhideWhenUsed/>
    <w:qFormat/>
    <w:rsid w:val="001A187A"/>
    <w:rPr>
      <w:vertAlign w:val="superscript"/>
    </w:rPr>
  </w:style>
  <w:style w:type="character" w:styleId="PlaceholderText">
    <w:name w:val="Placeholder Text"/>
    <w:basedOn w:val="DefaultParagraphFont"/>
    <w:uiPriority w:val="99"/>
    <w:semiHidden/>
    <w:rsid w:val="003D4EF0"/>
    <w:rPr>
      <w:color w:val="808080"/>
    </w:rPr>
  </w:style>
  <w:style w:type="paragraph" w:styleId="BalloonText">
    <w:name w:val="Balloon Text"/>
    <w:basedOn w:val="Normal"/>
    <w:link w:val="BalloonTextChar"/>
    <w:uiPriority w:val="99"/>
    <w:semiHidden/>
    <w:unhideWhenUsed/>
    <w:rsid w:val="003D4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EF0"/>
    <w:rPr>
      <w:rFonts w:ascii="Tahoma" w:hAnsi="Tahoma" w:cs="Tahoma"/>
      <w:sz w:val="16"/>
      <w:szCs w:val="16"/>
    </w:rPr>
  </w:style>
  <w:style w:type="paragraph" w:customStyle="1" w:styleId="Newpage">
    <w:name w:val="Newpage"/>
    <w:basedOn w:val="Chapter"/>
    <w:rsid w:val="00BA0606"/>
    <w:pPr>
      <w:numPr>
        <w:numId w:val="0"/>
      </w:numPr>
      <w:tabs>
        <w:tab w:val="clear" w:pos="1440"/>
        <w:tab w:val="left" w:pos="3060"/>
      </w:tabs>
      <w:spacing w:after="0"/>
    </w:pPr>
    <w:rPr>
      <w:rFonts w:eastAsia="Times New Roman"/>
      <w:szCs w:val="20"/>
      <w:lang w:val="es-ES"/>
    </w:rPr>
  </w:style>
  <w:style w:type="character" w:customStyle="1" w:styleId="Heading1Char">
    <w:name w:val="Heading 1 Char"/>
    <w:basedOn w:val="DefaultParagraphFont"/>
    <w:link w:val="Heading1"/>
    <w:uiPriority w:val="9"/>
    <w:rsid w:val="00BA060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A0606"/>
    <w:pPr>
      <w:outlineLvl w:val="9"/>
    </w:pPr>
    <w:rPr>
      <w:lang w:eastAsia="ja-JP"/>
    </w:rPr>
  </w:style>
  <w:style w:type="paragraph" w:styleId="TOC1">
    <w:name w:val="toc 1"/>
    <w:basedOn w:val="Normal"/>
    <w:next w:val="Normal"/>
    <w:autoRedefine/>
    <w:uiPriority w:val="39"/>
    <w:unhideWhenUsed/>
    <w:rsid w:val="004C7EDB"/>
    <w:pPr>
      <w:tabs>
        <w:tab w:val="left" w:pos="440"/>
        <w:tab w:val="right" w:leader="dot" w:pos="8640"/>
      </w:tabs>
      <w:spacing w:after="100"/>
      <w:jc w:val="center"/>
    </w:pPr>
    <w:rPr>
      <w:smallCaps/>
      <w:lang w:val="es-ES_tradnl"/>
    </w:rPr>
  </w:style>
  <w:style w:type="paragraph" w:styleId="TOC2">
    <w:name w:val="toc 2"/>
    <w:basedOn w:val="Normal"/>
    <w:next w:val="Normal"/>
    <w:autoRedefine/>
    <w:uiPriority w:val="39"/>
    <w:unhideWhenUsed/>
    <w:rsid w:val="00BA0606"/>
    <w:pPr>
      <w:spacing w:after="100"/>
      <w:ind w:left="220"/>
    </w:pPr>
  </w:style>
  <w:style w:type="paragraph" w:styleId="TOC3">
    <w:name w:val="toc 3"/>
    <w:basedOn w:val="Normal"/>
    <w:next w:val="Normal"/>
    <w:autoRedefine/>
    <w:uiPriority w:val="39"/>
    <w:unhideWhenUsed/>
    <w:rsid w:val="00BA0606"/>
    <w:pPr>
      <w:spacing w:after="100"/>
      <w:ind w:left="440"/>
    </w:pPr>
  </w:style>
  <w:style w:type="paragraph" w:styleId="TOC4">
    <w:name w:val="toc 4"/>
    <w:basedOn w:val="Normal"/>
    <w:next w:val="Normal"/>
    <w:autoRedefine/>
    <w:uiPriority w:val="39"/>
    <w:unhideWhenUsed/>
    <w:rsid w:val="00BA0606"/>
    <w:pPr>
      <w:spacing w:after="100"/>
      <w:ind w:left="660"/>
    </w:pPr>
    <w:rPr>
      <w:rFonts w:eastAsiaTheme="minorEastAsia"/>
    </w:rPr>
  </w:style>
  <w:style w:type="paragraph" w:styleId="TOC5">
    <w:name w:val="toc 5"/>
    <w:basedOn w:val="Normal"/>
    <w:next w:val="Normal"/>
    <w:autoRedefine/>
    <w:uiPriority w:val="39"/>
    <w:unhideWhenUsed/>
    <w:rsid w:val="00BA0606"/>
    <w:pPr>
      <w:spacing w:after="100"/>
      <w:ind w:left="880"/>
    </w:pPr>
    <w:rPr>
      <w:rFonts w:eastAsiaTheme="minorEastAsia"/>
    </w:rPr>
  </w:style>
  <w:style w:type="paragraph" w:styleId="TOC6">
    <w:name w:val="toc 6"/>
    <w:basedOn w:val="Normal"/>
    <w:next w:val="Normal"/>
    <w:autoRedefine/>
    <w:uiPriority w:val="39"/>
    <w:unhideWhenUsed/>
    <w:rsid w:val="00BA0606"/>
    <w:pPr>
      <w:spacing w:after="100"/>
      <w:ind w:left="1100"/>
    </w:pPr>
    <w:rPr>
      <w:rFonts w:eastAsiaTheme="minorEastAsia"/>
    </w:rPr>
  </w:style>
  <w:style w:type="paragraph" w:styleId="TOC7">
    <w:name w:val="toc 7"/>
    <w:basedOn w:val="Normal"/>
    <w:next w:val="Normal"/>
    <w:autoRedefine/>
    <w:uiPriority w:val="39"/>
    <w:unhideWhenUsed/>
    <w:rsid w:val="00BA0606"/>
    <w:pPr>
      <w:spacing w:after="100"/>
      <w:ind w:left="1320"/>
    </w:pPr>
    <w:rPr>
      <w:rFonts w:eastAsiaTheme="minorEastAsia"/>
    </w:rPr>
  </w:style>
  <w:style w:type="paragraph" w:styleId="TOC8">
    <w:name w:val="toc 8"/>
    <w:basedOn w:val="Normal"/>
    <w:next w:val="Normal"/>
    <w:autoRedefine/>
    <w:uiPriority w:val="39"/>
    <w:unhideWhenUsed/>
    <w:rsid w:val="00BA0606"/>
    <w:pPr>
      <w:spacing w:after="100"/>
      <w:ind w:left="1540"/>
    </w:pPr>
    <w:rPr>
      <w:rFonts w:eastAsiaTheme="minorEastAsia"/>
    </w:rPr>
  </w:style>
  <w:style w:type="paragraph" w:styleId="TOC9">
    <w:name w:val="toc 9"/>
    <w:basedOn w:val="Normal"/>
    <w:next w:val="Normal"/>
    <w:autoRedefine/>
    <w:uiPriority w:val="39"/>
    <w:unhideWhenUsed/>
    <w:rsid w:val="00BA0606"/>
    <w:pPr>
      <w:spacing w:after="100"/>
      <w:ind w:left="1760"/>
    </w:pPr>
    <w:rPr>
      <w:rFonts w:eastAsiaTheme="minorEastAsia"/>
    </w:rPr>
  </w:style>
  <w:style w:type="character" w:styleId="Hyperlink">
    <w:name w:val="Hyperlink"/>
    <w:basedOn w:val="DefaultParagraphFont"/>
    <w:uiPriority w:val="99"/>
    <w:unhideWhenUsed/>
    <w:rsid w:val="00BA0606"/>
    <w:rPr>
      <w:color w:val="0000FF" w:themeColor="hyperlink"/>
      <w:u w:val="single"/>
    </w:rPr>
  </w:style>
  <w:style w:type="paragraph" w:styleId="Header">
    <w:name w:val="header"/>
    <w:basedOn w:val="Normal"/>
    <w:link w:val="HeaderChar"/>
    <w:uiPriority w:val="99"/>
    <w:unhideWhenUsed/>
    <w:rsid w:val="00BA0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606"/>
  </w:style>
  <w:style w:type="paragraph" w:styleId="Footer">
    <w:name w:val="footer"/>
    <w:basedOn w:val="Normal"/>
    <w:link w:val="FooterChar"/>
    <w:uiPriority w:val="99"/>
    <w:unhideWhenUsed/>
    <w:rsid w:val="00BA0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606"/>
  </w:style>
  <w:style w:type="paragraph" w:styleId="ListParagraph">
    <w:name w:val="List Paragraph"/>
    <w:basedOn w:val="Normal"/>
    <w:uiPriority w:val="34"/>
    <w:qFormat/>
    <w:rsid w:val="00484B4D"/>
    <w:pPr>
      <w:ind w:left="720"/>
      <w:contextualSpacing/>
    </w:pPr>
  </w:style>
  <w:style w:type="paragraph" w:styleId="CommentText">
    <w:name w:val="annotation text"/>
    <w:basedOn w:val="Normal"/>
    <w:link w:val="CommentTextChar"/>
    <w:uiPriority w:val="99"/>
    <w:semiHidden/>
    <w:unhideWhenUsed/>
    <w:rsid w:val="00C16E9E"/>
    <w:pPr>
      <w:spacing w:line="240" w:lineRule="auto"/>
    </w:pPr>
    <w:rPr>
      <w:sz w:val="20"/>
      <w:szCs w:val="20"/>
    </w:rPr>
  </w:style>
  <w:style w:type="character" w:customStyle="1" w:styleId="CommentTextChar">
    <w:name w:val="Comment Text Char"/>
    <w:basedOn w:val="DefaultParagraphFont"/>
    <w:link w:val="CommentText"/>
    <w:uiPriority w:val="99"/>
    <w:semiHidden/>
    <w:rsid w:val="00C16E9E"/>
    <w:rPr>
      <w:sz w:val="20"/>
      <w:szCs w:val="20"/>
    </w:rPr>
  </w:style>
  <w:style w:type="character" w:styleId="CommentReference">
    <w:name w:val="annotation reference"/>
    <w:basedOn w:val="DefaultParagraphFont"/>
    <w:uiPriority w:val="99"/>
    <w:semiHidden/>
    <w:unhideWhenUsed/>
    <w:rsid w:val="00C16E9E"/>
    <w:rPr>
      <w:sz w:val="16"/>
      <w:szCs w:val="16"/>
    </w:rPr>
  </w:style>
  <w:style w:type="paragraph" w:styleId="CommentSubject">
    <w:name w:val="annotation subject"/>
    <w:basedOn w:val="CommentText"/>
    <w:next w:val="CommentText"/>
    <w:link w:val="CommentSubjectChar"/>
    <w:uiPriority w:val="99"/>
    <w:semiHidden/>
    <w:unhideWhenUsed/>
    <w:rsid w:val="003F7AF1"/>
    <w:rPr>
      <w:b/>
      <w:bCs/>
    </w:rPr>
  </w:style>
  <w:style w:type="character" w:customStyle="1" w:styleId="CommentSubjectChar">
    <w:name w:val="Comment Subject Char"/>
    <w:basedOn w:val="CommentTextChar"/>
    <w:link w:val="CommentSubject"/>
    <w:uiPriority w:val="99"/>
    <w:semiHidden/>
    <w:rsid w:val="003F7AF1"/>
    <w:rPr>
      <w:b/>
      <w:bCs/>
      <w:sz w:val="20"/>
      <w:szCs w:val="20"/>
    </w:rPr>
  </w:style>
  <w:style w:type="character" w:styleId="FollowedHyperlink">
    <w:name w:val="FollowedHyperlink"/>
    <w:basedOn w:val="DefaultParagraphFont"/>
    <w:uiPriority w:val="99"/>
    <w:semiHidden/>
    <w:unhideWhenUsed/>
    <w:rsid w:val="0053421F"/>
    <w:rPr>
      <w:color w:val="800080" w:themeColor="followedHyperlink"/>
      <w:u w:val="single"/>
    </w:rPr>
  </w:style>
  <w:style w:type="paragraph" w:styleId="Revision">
    <w:name w:val="Revision"/>
    <w:hidden/>
    <w:uiPriority w:val="99"/>
    <w:semiHidden/>
    <w:rsid w:val="00F420E4"/>
    <w:pPr>
      <w:spacing w:after="0" w:line="240" w:lineRule="auto"/>
    </w:pPr>
  </w:style>
  <w:style w:type="paragraph" w:styleId="NoSpacing">
    <w:name w:val="No Spacing"/>
    <w:uiPriority w:val="1"/>
    <w:qFormat/>
    <w:rsid w:val="009859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14291">
      <w:bodyDiv w:val="1"/>
      <w:marLeft w:val="0"/>
      <w:marRight w:val="0"/>
      <w:marTop w:val="0"/>
      <w:marBottom w:val="0"/>
      <w:divBdr>
        <w:top w:val="none" w:sz="0" w:space="0" w:color="auto"/>
        <w:left w:val="none" w:sz="0" w:space="0" w:color="auto"/>
        <w:bottom w:val="none" w:sz="0" w:space="0" w:color="auto"/>
        <w:right w:val="none" w:sz="0" w:space="0" w:color="auto"/>
      </w:divBdr>
    </w:div>
    <w:div w:id="221525847">
      <w:bodyDiv w:val="1"/>
      <w:marLeft w:val="0"/>
      <w:marRight w:val="0"/>
      <w:marTop w:val="0"/>
      <w:marBottom w:val="0"/>
      <w:divBdr>
        <w:top w:val="none" w:sz="0" w:space="0" w:color="auto"/>
        <w:left w:val="none" w:sz="0" w:space="0" w:color="auto"/>
        <w:bottom w:val="none" w:sz="0" w:space="0" w:color="auto"/>
        <w:right w:val="none" w:sz="0" w:space="0" w:color="auto"/>
      </w:divBdr>
    </w:div>
    <w:div w:id="316153479">
      <w:bodyDiv w:val="1"/>
      <w:marLeft w:val="0"/>
      <w:marRight w:val="0"/>
      <w:marTop w:val="0"/>
      <w:marBottom w:val="0"/>
      <w:divBdr>
        <w:top w:val="none" w:sz="0" w:space="0" w:color="auto"/>
        <w:left w:val="none" w:sz="0" w:space="0" w:color="auto"/>
        <w:bottom w:val="none" w:sz="0" w:space="0" w:color="auto"/>
        <w:right w:val="none" w:sz="0" w:space="0" w:color="auto"/>
      </w:divBdr>
    </w:div>
    <w:div w:id="378280773">
      <w:bodyDiv w:val="1"/>
      <w:marLeft w:val="0"/>
      <w:marRight w:val="0"/>
      <w:marTop w:val="0"/>
      <w:marBottom w:val="0"/>
      <w:divBdr>
        <w:top w:val="none" w:sz="0" w:space="0" w:color="auto"/>
        <w:left w:val="none" w:sz="0" w:space="0" w:color="auto"/>
        <w:bottom w:val="none" w:sz="0" w:space="0" w:color="auto"/>
        <w:right w:val="none" w:sz="0" w:space="0" w:color="auto"/>
      </w:divBdr>
    </w:div>
    <w:div w:id="600770420">
      <w:bodyDiv w:val="1"/>
      <w:marLeft w:val="0"/>
      <w:marRight w:val="0"/>
      <w:marTop w:val="0"/>
      <w:marBottom w:val="0"/>
      <w:divBdr>
        <w:top w:val="none" w:sz="0" w:space="0" w:color="auto"/>
        <w:left w:val="none" w:sz="0" w:space="0" w:color="auto"/>
        <w:bottom w:val="none" w:sz="0" w:space="0" w:color="auto"/>
        <w:right w:val="none" w:sz="0" w:space="0" w:color="auto"/>
      </w:divBdr>
    </w:div>
    <w:div w:id="920913378">
      <w:bodyDiv w:val="1"/>
      <w:marLeft w:val="0"/>
      <w:marRight w:val="0"/>
      <w:marTop w:val="0"/>
      <w:marBottom w:val="0"/>
      <w:divBdr>
        <w:top w:val="none" w:sz="0" w:space="0" w:color="auto"/>
        <w:left w:val="none" w:sz="0" w:space="0" w:color="auto"/>
        <w:bottom w:val="none" w:sz="0" w:space="0" w:color="auto"/>
        <w:right w:val="none" w:sz="0" w:space="0" w:color="auto"/>
      </w:divBdr>
    </w:div>
    <w:div w:id="1327977142">
      <w:bodyDiv w:val="1"/>
      <w:marLeft w:val="0"/>
      <w:marRight w:val="0"/>
      <w:marTop w:val="0"/>
      <w:marBottom w:val="0"/>
      <w:divBdr>
        <w:top w:val="none" w:sz="0" w:space="0" w:color="auto"/>
        <w:left w:val="none" w:sz="0" w:space="0" w:color="auto"/>
        <w:bottom w:val="none" w:sz="0" w:space="0" w:color="auto"/>
        <w:right w:val="none" w:sz="0" w:space="0" w:color="auto"/>
      </w:divBdr>
    </w:div>
    <w:div w:id="1510635021">
      <w:bodyDiv w:val="1"/>
      <w:marLeft w:val="0"/>
      <w:marRight w:val="0"/>
      <w:marTop w:val="0"/>
      <w:marBottom w:val="0"/>
      <w:divBdr>
        <w:top w:val="none" w:sz="0" w:space="0" w:color="auto"/>
        <w:left w:val="none" w:sz="0" w:space="0" w:color="auto"/>
        <w:bottom w:val="none" w:sz="0" w:space="0" w:color="auto"/>
        <w:right w:val="none" w:sz="0" w:space="0" w:color="auto"/>
      </w:divBdr>
    </w:div>
    <w:div w:id="1586919771">
      <w:bodyDiv w:val="1"/>
      <w:marLeft w:val="0"/>
      <w:marRight w:val="0"/>
      <w:marTop w:val="0"/>
      <w:marBottom w:val="0"/>
      <w:divBdr>
        <w:top w:val="none" w:sz="0" w:space="0" w:color="auto"/>
        <w:left w:val="none" w:sz="0" w:space="0" w:color="auto"/>
        <w:bottom w:val="none" w:sz="0" w:space="0" w:color="auto"/>
        <w:right w:val="none" w:sz="0" w:space="0" w:color="auto"/>
      </w:divBdr>
    </w:div>
    <w:div w:id="1610239039">
      <w:bodyDiv w:val="1"/>
      <w:marLeft w:val="0"/>
      <w:marRight w:val="0"/>
      <w:marTop w:val="0"/>
      <w:marBottom w:val="0"/>
      <w:divBdr>
        <w:top w:val="none" w:sz="0" w:space="0" w:color="auto"/>
        <w:left w:val="none" w:sz="0" w:space="0" w:color="auto"/>
        <w:bottom w:val="none" w:sz="0" w:space="0" w:color="auto"/>
        <w:right w:val="none" w:sz="0" w:space="0" w:color="auto"/>
      </w:divBdr>
    </w:div>
    <w:div w:id="1832602796">
      <w:bodyDiv w:val="1"/>
      <w:marLeft w:val="0"/>
      <w:marRight w:val="0"/>
      <w:marTop w:val="0"/>
      <w:marBottom w:val="0"/>
      <w:divBdr>
        <w:top w:val="none" w:sz="0" w:space="0" w:color="auto"/>
        <w:left w:val="none" w:sz="0" w:space="0" w:color="auto"/>
        <w:bottom w:val="none" w:sz="0" w:space="0" w:color="auto"/>
        <w:right w:val="none" w:sz="0" w:space="0" w:color="auto"/>
      </w:divBdr>
    </w:div>
    <w:div w:id="1979719485">
      <w:bodyDiv w:val="1"/>
      <w:marLeft w:val="0"/>
      <w:marRight w:val="0"/>
      <w:marTop w:val="0"/>
      <w:marBottom w:val="0"/>
      <w:divBdr>
        <w:top w:val="none" w:sz="0" w:space="0" w:color="auto"/>
        <w:left w:val="none" w:sz="0" w:space="0" w:color="auto"/>
        <w:bottom w:val="none" w:sz="0" w:space="0" w:color="auto"/>
        <w:right w:val="none" w:sz="0" w:space="0" w:color="auto"/>
      </w:divBdr>
    </w:div>
    <w:div w:id="213398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5.emf"/><Relationship Id="rId26" Type="http://schemas.openxmlformats.org/officeDocument/2006/relationships/image" Target="media/image13.emf"/><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emf"/><Relationship Id="rId25" Type="http://schemas.openxmlformats.org/officeDocument/2006/relationships/image" Target="media/image12.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1.emf"/><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image" Target="media/image15.emf"/><Relationship Id="rId10" Type="http://schemas.openxmlformats.org/officeDocument/2006/relationships/webSettings" Target="webSettings.xml"/><Relationship Id="rId19" Type="http://schemas.openxmlformats.org/officeDocument/2006/relationships/image" Target="media/image6.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mf.org/external/pubs/ft/wp/2015/wp152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ae61f9b1-e23d-4f49-b3d7-56b991556c4b" ContentTypeId="0x010100ACF722E9F6B0B149B0CD8BE2560A6672" PreviousValue="false"/>
</file>

<file path=customXml/item3.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Business_x0020_Area xmlns="cdc7663a-08f0-4737-9e8c-148ce897a09c" xsi:nil="true"/>
    <IDBDocs_x0020_Number xmlns="cdc7663a-08f0-4737-9e8c-148ce897a09c">40714717</IDBDocs_x0020_Number>
    <TaxCatchAll xmlns="cdc7663a-08f0-4737-9e8c-148ce897a09c">
      <Value>8</Value>
      <Value>7</Value>
    </TaxCatchAll>
    <Phase xmlns="cdc7663a-08f0-4737-9e8c-148ce897a09c" xsi:nil="true"/>
    <SISCOR_x0020_Number xmlns="cdc7663a-08f0-4737-9e8c-148ce897a09c" xsi:nil="true"/>
    <Division_x0020_or_x0020_Unit xmlns="cdc7663a-08f0-4737-9e8c-148ce897a09c">IFD/CMF</Division_x0020_or_x0020_Unit>
    <Approval_x0020_Number xmlns="cdc7663a-08f0-4737-9e8c-148ce897a09c" xsi:nil="true"/>
    <Document_x0020_Author xmlns="cdc7663a-08f0-4737-9e8c-148ce897a09c" xsi:nil="true"/>
    <Fiscal_x0020_Year_x0020_IDB xmlns="cdc7663a-08f0-4737-9e8c-148ce897a09c">2016</Fiscal_x0020_Year_x0020_IDB>
    <Other_x0020_Author xmlns="cdc7663a-08f0-4737-9e8c-148ce897a09c" xsi:nil="true"/>
    <Project_x0020_Number xmlns="cdc7663a-08f0-4737-9e8c-148ce897a09c">CO-L1214</Project_x0020_Number>
    <Package_x0020_Code xmlns="cdc7663a-08f0-4737-9e8c-148ce897a09c" xsi:nil="true"/>
    <Key_x0020_Document xmlns="cdc7663a-08f0-4737-9e8c-148ce897a09c">false</Key_x0020_Document>
    <Migration_x0020_Info xmlns="cdc7663a-08f0-4737-9e8c-148ce897a09c">&lt;Data&gt;&lt;APPLICATION&gt;MS WORD&lt;/APPLICATION&gt;&lt;STAGE_CODE&gt;POD&lt;/STAGE_CODE&gt;&lt;USER_STAGE&gt;Proposal for Operation Development&lt;/USER_STAGE&gt;&lt;APPROVAL_CODE&gt;MANAGER&lt;/APPROVAL_CODE&gt;&lt;APPROVAL_DESC&gt;Manager&lt;/APPROVAL_DESC&gt;&lt;PD_OBJ_TYPE&gt;0&lt;/PD_OBJ_TYPE&gt;&lt;MAKERECORD&gt;N&lt;/MAKERECORD&gt;&lt;/Data&gt;</Migration_x0020_Info>
    <Operation_x0020_Type xmlns="cdc7663a-08f0-4737-9e8c-148ce897a09c" xsi:nil="true"/>
    <Document_x0020_Language_x0020_IDB xmlns="cdc7663a-08f0-4737-9e8c-148ce897a09c">Spanish</Document_x0020_Language_x0020_IDB>
    <Identifier xmlns="cdc7663a-08f0-4737-9e8c-148ce897a09c"> TECFILE</Identifier>
    <Access_x0020_to_x0020_Information_x00a0_Policy xmlns="cdc7663a-08f0-4737-9e8c-148ce897a09c">Confidential</Access_x0020_to_x0020_Information_x00a0_Policy>
    <b26cdb1da78c4bb4b1c1bac2f6ac5911 xmlns="cdc7663a-08f0-4737-9e8c-148ce897a09c">
      <Terms xmlns="http://schemas.microsoft.com/office/infopath/2007/PartnerControls">
        <TermInfo xmlns="http://schemas.microsoft.com/office/infopath/2007/PartnerControls">
          <TermName xmlns="http://schemas.microsoft.com/office/infopath/2007/PartnerControls">Loan Proposal</TermName>
          <TermId xmlns="http://schemas.microsoft.com/office/infopath/2007/PartnerControls">6ee86b6f-6e46-485b-8bfb-87a1f44622ac</TermId>
        </TermInfo>
      </Terms>
    </b26cdb1da78c4bb4b1c1bac2f6ac5911>
    <ic46d7e087fd4a108fb86518ca413cc6 xmlns="cdc7663a-08f0-4737-9e8c-148ce897a09c">
      <Terms xmlns="http://schemas.microsoft.com/office/infopath/2007/PartnerControls"/>
    </ic46d7e087fd4a108fb86518ca413cc6>
    <From_x003a_ xmlns="cdc7663a-08f0-4737-9e8c-148ce897a09c" xsi:nil="true"/>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To_x003a_ xmlns="cdc7663a-08f0-4737-9e8c-148ce897a09c" xsi:nil="true"/>
    <nddeef1749674d76abdbe4b239a70bc6 xmlns="cdc7663a-08f0-4737-9e8c-148ce897a09c">
      <Terms xmlns="http://schemas.microsoft.com/office/infopath/2007/PartnerControls"/>
    </nddeef1749674d76abdbe4b239a70bc6>
    <_dlc_DocId xmlns="cdc7663a-08f0-4737-9e8c-148ce897a09c">EZSHARE-196348553-13</_dlc_DocId>
    <_dlc_DocIdUrl xmlns="cdc7663a-08f0-4737-9e8c-148ce897a09c">
      <Url>https://idbg.sharepoint.com/teams/EZ-CO-LON/CO-L1214/_layouts/15/DocIdRedir.aspx?ID=EZSHARE-196348553-13</Url>
      <Description>EZSHARE-196348553-13</Description>
    </_dlc_DocIdUrl>
    <Record_x0020_Number xmlns="cdc7663a-08f0-4737-9e8c-148ce897a09c">R0000067160</Record_x0020_Number>
  </documentManagement>
</p:properties>
</file>

<file path=customXml/item4.xml><?xml version="1.0" encoding="utf-8"?>
<ct:contentTypeSchema xmlns:ct="http://schemas.microsoft.com/office/2006/metadata/contentType" xmlns:ma="http://schemas.microsoft.com/office/2006/metadata/properties/metaAttributes" ct:_="" ma:_="" ma:contentTypeName="ez-Operations" ma:contentTypeID="0x010100ACF722E9F6B0B149B0CD8BE2560A667200DD7CA639BBA5CF45B34B8071B9A359C1" ma:contentTypeVersion="19" ma:contentTypeDescription="The base project type from which other project content types inherit their information." ma:contentTypeScope="" ma:versionID="9f7baabc96577929f3aba98bdb31fbe8">
  <xsd:schema xmlns:xsd="http://www.w3.org/2001/XMLSchema" xmlns:xs="http://www.w3.org/2001/XMLSchema" xmlns:p="http://schemas.microsoft.com/office/2006/metadata/properties" xmlns:ns2="cdc7663a-08f0-4737-9e8c-148ce897a09c" targetNamespace="http://schemas.microsoft.com/office/2006/metadata/properties" ma:root="true" ma:fieldsID="9226591c17a5fd9591ac09c8f5aa647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FB04D07-37B7-47A5-8B0B-77C7E58B0572}">
  <ds:schemaRefs>
    <ds:schemaRef ds:uri="http://schemas.microsoft.com/sharepoint/events"/>
  </ds:schemaRefs>
</ds:datastoreItem>
</file>

<file path=customXml/itemProps2.xml><?xml version="1.0" encoding="utf-8"?>
<ds:datastoreItem xmlns:ds="http://schemas.openxmlformats.org/officeDocument/2006/customXml" ds:itemID="{605ACF0C-D872-47CC-9DDF-D5DE78B5F7CA}">
  <ds:schemaRefs>
    <ds:schemaRef ds:uri="Microsoft.SharePoint.Taxonomy.ContentTypeSync"/>
  </ds:schemaRefs>
</ds:datastoreItem>
</file>

<file path=customXml/itemProps3.xml><?xml version="1.0" encoding="utf-8"?>
<ds:datastoreItem xmlns:ds="http://schemas.openxmlformats.org/officeDocument/2006/customXml" ds:itemID="{49DAE0EC-D6E2-41D8-8D8C-7B4AD04EC051}">
  <ds:schemaRefs>
    <ds:schemaRef ds:uri="http://schemas.microsoft.com/office/2006/metadata/properties"/>
    <ds:schemaRef ds:uri="http://schemas.microsoft.com/office/infopath/2007/PartnerControls"/>
    <ds:schemaRef ds:uri="cdc7663a-08f0-4737-9e8c-148ce897a09c"/>
  </ds:schemaRefs>
</ds:datastoreItem>
</file>

<file path=customXml/itemProps4.xml><?xml version="1.0" encoding="utf-8"?>
<ds:datastoreItem xmlns:ds="http://schemas.openxmlformats.org/officeDocument/2006/customXml" ds:itemID="{FC8FBB2E-3062-4030-9465-0F2C1942E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659443-9FA0-4F46-8B7E-598BC1479208}">
  <ds:schemaRefs>
    <ds:schemaRef ds:uri="http://schemas.microsoft.com/sharepoint/v3/contenttype/forms"/>
  </ds:schemaRefs>
</ds:datastoreItem>
</file>

<file path=customXml/itemProps6.xml><?xml version="1.0" encoding="utf-8"?>
<ds:datastoreItem xmlns:ds="http://schemas.openxmlformats.org/officeDocument/2006/customXml" ds:itemID="{5595E2DD-1571-40E7-9D36-113268730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23</Pages>
  <Words>7156</Words>
  <Characters>38858</Characters>
  <Application>Microsoft Office Word</Application>
  <DocSecurity>0</DocSecurity>
  <Lines>706</Lines>
  <Paragraphs>202</Paragraphs>
  <ScaleCrop>false</ScaleCrop>
  <HeadingPairs>
    <vt:vector size="2" baseType="variant">
      <vt:variant>
        <vt:lpstr>Title</vt:lpstr>
      </vt:variant>
      <vt:variant>
        <vt:i4>1</vt:i4>
      </vt:variant>
    </vt:vector>
  </HeadingPairs>
  <TitlesOfParts>
    <vt:vector size="1" baseType="lpstr">
      <vt:lpstr>Análisis Económico _ CO-L1214</vt:lpstr>
    </vt:vector>
  </TitlesOfParts>
  <Company>Inter-American Development Bank</Company>
  <LinksUpToDate>false</LinksUpToDate>
  <CharactersWithSpaces>45812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Económico _ CO-L1214</dc:title>
  <dc:creator>Alejandro Támola</dc:creator>
  <cp:lastModifiedBy>Bernedo, Cecilia</cp:lastModifiedBy>
  <cp:revision>5</cp:revision>
  <cp:lastPrinted>2016-10-19T14:45:00Z</cp:lastPrinted>
  <dcterms:created xsi:type="dcterms:W3CDTF">2017-09-20T20:15:00Z</dcterms:created>
  <dcterms:modified xsi:type="dcterms:W3CDTF">2017-09-28T16:17:00Z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0x010100ACF722E9F6B0B149B0CD8BE2560A667200DD7CA639BBA5CF45B34B8071B9A359C1</vt:lpwstr>
  </property>
  <property fmtid="{D5CDD505-2E9C-101B-9397-08002B2CF9AE}" pid="3" name="TaxKeyword">
    <vt:lpwstr/>
  </property>
  <property fmtid="{D5CDD505-2E9C-101B-9397-08002B2CF9AE}" pid="4" name="Abstract">
    <vt:lpwstr/>
  </property>
  <property fmtid="{D5CDD505-2E9C-101B-9397-08002B2CF9AE}" pid="5" name="Disclosure Activity">
    <vt:lpwstr>Proposal for Operation Development</vt:lpwstr>
  </property>
  <property fmtid="{D5CDD505-2E9C-101B-9397-08002B2CF9AE}" pid="6" name="Sub_x002d_Sector">
    <vt:lpwstr/>
  </property>
  <property fmtid="{D5CDD505-2E9C-101B-9397-08002B2CF9AE}" pid="7" name="TaxKeywordTaxHTField">
    <vt:lpwstr/>
  </property>
  <property fmtid="{D5CDD505-2E9C-101B-9397-08002B2CF9AE}" pid="8" name="Series Operations IDB">
    <vt:lpwstr>-1;#Loan Proposal|6ee86b6f-6e46-485b-8bfb-87a1f44622ac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-1;#Loan Proposal|6ee86b6f-6e46-485b-8bfb-87a1f44622ac</vt:lpwstr>
  </property>
  <property fmtid="{D5CDD505-2E9C-101B-9397-08002B2CF9AE}" pid="12" name="Webtopic">
    <vt:lpwstr/>
  </property>
  <property fmtid="{D5CDD505-2E9C-101B-9397-08002B2CF9AE}" pid="13" name="Publishing House">
    <vt:lpwstr/>
  </property>
  <property fmtid="{D5CDD505-2E9C-101B-9397-08002B2CF9AE}" pid="14" name="Sector IDB">
    <vt:lpwstr/>
  </property>
  <property fmtid="{D5CDD505-2E9C-101B-9397-08002B2CF9AE}" pid="15" name="Function Operations IDB">
    <vt:lpwstr>-1;#Project Preparation, Planning and Design|29ca0c72-1fc4-435f-a09c-28585cb5eac9</vt:lpwstr>
  </property>
  <property fmtid="{D5CDD505-2E9C-101B-9397-08002B2CF9AE}" pid="16" name="Sub-Sector">
    <vt:lpwstr/>
  </property>
  <property fmtid="{D5CDD505-2E9C-101B-9397-08002B2CF9AE}" pid="17" name="Issue_x0020_Date">
    <vt:lpwstr/>
  </property>
  <property fmtid="{D5CDD505-2E9C-101B-9397-08002B2CF9AE}" pid="18" name="Publication_x0020_Type">
    <vt:lpwstr/>
  </property>
  <property fmtid="{D5CDD505-2E9C-101B-9397-08002B2CF9AE}" pid="19" name="Publishing_x0020_House">
    <vt:lpwstr/>
  </property>
  <property fmtid="{D5CDD505-2E9C-101B-9397-08002B2CF9AE}" pid="20" name="Function_x0020_Operations_x0020_IDB">
    <vt:lpwstr>-1;#Project Preparation, Planning and Design|29ca0c72-1fc4-435f-a09c-28585cb5eac9</vt:lpwstr>
  </property>
  <property fmtid="{D5CDD505-2E9C-101B-9397-08002B2CF9AE}" pid="21" name="Region">
    <vt:lpwstr/>
  </property>
  <property fmtid="{D5CDD505-2E9C-101B-9397-08002B2CF9AE}" pid="22" name="Disclosure_x0020_Activity">
    <vt:lpwstr>Proposal for Operation Development</vt:lpwstr>
  </property>
  <property fmtid="{D5CDD505-2E9C-101B-9397-08002B2CF9AE}" pid="23" name="Fund_x0020_IDB">
    <vt:lpwstr/>
  </property>
  <property fmtid="{D5CDD505-2E9C-101B-9397-08002B2CF9AE}" pid="24" name="_dlc_DocIdItemGuid">
    <vt:lpwstr>462c6c76-5822-43ab-be69-82b0f005a5b1</vt:lpwstr>
  </property>
  <property fmtid="{D5CDD505-2E9C-101B-9397-08002B2CF9AE}" pid="25" name="Disclosed">
    <vt:lpwstr/>
  </property>
  <property fmtid="{D5CDD505-2E9C-101B-9397-08002B2CF9AE}" pid="26" name="KP Topics">
    <vt:lpwstr/>
  </property>
  <property fmtid="{D5CDD505-2E9C-101B-9397-08002B2CF9AE}" pid="27" name="KP_x0020_Topics">
    <vt:lpwstr/>
  </property>
  <property fmtid="{D5CDD505-2E9C-101B-9397-08002B2CF9AE}" pid="28" name="Editor1">
    <vt:lpwstr/>
  </property>
  <property fmtid="{D5CDD505-2E9C-101B-9397-08002B2CF9AE}" pid="29" name="Sector_x0020_IDB">
    <vt:lpwstr/>
  </property>
  <property fmtid="{D5CDD505-2E9C-101B-9397-08002B2CF9AE}" pid="30" name="Publication Type">
    <vt:lpwstr/>
  </property>
  <property fmtid="{D5CDD505-2E9C-101B-9397-08002B2CF9AE}" pid="31" name="Issue Date">
    <vt:lpwstr/>
  </property>
</Properties>
</file>