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body>
    <w:p w:rsidRPr="00E60650" w:rsidR="00F10FC6" w:rsidP="559FA22C" w:rsidRDefault="00F10FC6" w14:paraId="3BC8FC89" w14:textId="77777777" w14:noSpellErr="1">
      <w:pPr>
        <w:pStyle w:val="SubSubPar"/>
        <w:numPr>
          <w:numId w:val="0"/>
        </w:numPr>
        <w:spacing w:after="0"/>
        <w:jc w:val="center"/>
        <w:rPr>
          <w:rFonts w:ascii="Arial" w:hAnsi="Arial" w:cs="Arial"/>
          <w:smallCaps w:val="1"/>
          <w:sz w:val="22"/>
          <w:szCs w:val="22"/>
          <w:lang w:val="es-ES"/>
        </w:rPr>
      </w:pPr>
      <w:bookmarkStart w:name="_Toc388249744" w:id="0"/>
      <w:r w:rsidRPr="559FA22C" w:rsidR="559FA22C">
        <w:rPr>
          <w:rFonts w:ascii="Arial" w:hAnsi="Arial" w:cs="Arial"/>
          <w:smallCaps w:val="1"/>
          <w:sz w:val="22"/>
          <w:szCs w:val="22"/>
          <w:lang w:val="es-ES"/>
        </w:rPr>
        <w:t>Documento del Banco Interamericano De Desarrollo</w:t>
      </w:r>
      <w:bookmarkEnd w:id="0"/>
    </w:p>
    <w:p w:rsidRPr="00E60650" w:rsidR="00F10FC6" w:rsidP="00F10FC6" w:rsidRDefault="00F10FC6" w14:paraId="288CED3C" w14:textId="77777777">
      <w:pPr>
        <w:spacing w:before="120" w:after="120" w:line="240" w:lineRule="auto"/>
        <w:jc w:val="center"/>
        <w:rPr>
          <w:rFonts w:ascii="Arial" w:hAnsi="Arial" w:cs="Arial"/>
          <w:lang w:val="es-ES"/>
        </w:rPr>
      </w:pPr>
    </w:p>
    <w:p w:rsidRPr="00E60650" w:rsidR="00A84DC3" w:rsidP="00F10FC6" w:rsidRDefault="00A84DC3" w14:paraId="4175EBFE" w14:textId="77777777">
      <w:pPr>
        <w:spacing w:before="120" w:after="120" w:line="240" w:lineRule="auto"/>
        <w:jc w:val="center"/>
        <w:rPr>
          <w:rFonts w:ascii="Arial" w:hAnsi="Arial" w:cs="Arial"/>
          <w:lang w:val="es-ES"/>
        </w:rPr>
      </w:pPr>
    </w:p>
    <w:p w:rsidRPr="00E60650" w:rsidR="00A84DC3" w:rsidP="00F10FC6" w:rsidRDefault="00A84DC3" w14:paraId="63EB36E7" w14:textId="77777777">
      <w:pPr>
        <w:spacing w:before="120" w:after="120" w:line="240" w:lineRule="auto"/>
        <w:jc w:val="center"/>
        <w:rPr>
          <w:rFonts w:ascii="Arial" w:hAnsi="Arial" w:cs="Arial"/>
          <w:lang w:val="es-ES"/>
        </w:rPr>
      </w:pPr>
    </w:p>
    <w:p w:rsidRPr="00E60650" w:rsidR="00A84DC3" w:rsidP="00F10FC6" w:rsidRDefault="00A84DC3" w14:paraId="51A62EA2" w14:textId="77777777">
      <w:pPr>
        <w:spacing w:before="120" w:after="120" w:line="240" w:lineRule="auto"/>
        <w:jc w:val="center"/>
        <w:rPr>
          <w:rFonts w:ascii="Arial" w:hAnsi="Arial" w:cs="Arial"/>
          <w:lang w:val="es-ES"/>
        </w:rPr>
      </w:pPr>
    </w:p>
    <w:p w:rsidRPr="00E60650" w:rsidR="00F10FC6" w:rsidP="00F10FC6" w:rsidRDefault="00F10FC6" w14:paraId="6F57DA36" w14:textId="77777777">
      <w:pPr>
        <w:spacing w:before="120" w:after="120" w:line="240" w:lineRule="auto"/>
        <w:jc w:val="center"/>
        <w:rPr>
          <w:rFonts w:ascii="Arial" w:hAnsi="Arial" w:cs="Arial"/>
          <w:sz w:val="28"/>
          <w:szCs w:val="28"/>
          <w:lang w:val="es-ES"/>
        </w:rPr>
      </w:pPr>
    </w:p>
    <w:p w:rsidRPr="002210AF" w:rsidR="000C59BD" w:rsidP="000C59BD" w:rsidRDefault="000C59BD" w14:paraId="185B2FE6" w14:textId="77777777">
      <w:pPr>
        <w:jc w:val="center"/>
        <w:rPr>
          <w:rFonts w:ascii="Arial" w:hAnsi="Arial" w:cs="Arial"/>
          <w:b/>
          <w:smallCaps/>
          <w:noProof/>
          <w:sz w:val="28"/>
          <w:szCs w:val="28"/>
          <w:lang w:val="es-ES"/>
        </w:rPr>
      </w:pPr>
      <w:bookmarkStart w:name="_Toc388249751" w:id="1"/>
      <w:bookmarkStart w:name="_Ref388349384" w:id="2"/>
      <w:r w:rsidRPr="002210AF">
        <w:rPr>
          <w:rFonts w:ascii="Arial" w:hAnsi="Arial" w:cs="Arial"/>
          <w:b/>
          <w:smallCaps/>
          <w:noProof/>
          <w:sz w:val="28"/>
          <w:szCs w:val="28"/>
          <w:lang w:val="es-ES"/>
        </w:rPr>
        <w:t>Argentina</w:t>
      </w:r>
    </w:p>
    <w:p w:rsidRPr="002210AF" w:rsidR="000C59BD" w:rsidP="000C59BD" w:rsidRDefault="000C59BD" w14:paraId="7D493BC7" w14:textId="77777777">
      <w:pPr>
        <w:jc w:val="center"/>
        <w:rPr>
          <w:rFonts w:ascii="Arial" w:hAnsi="Arial" w:cs="Arial"/>
          <w:noProof/>
          <w:sz w:val="28"/>
          <w:szCs w:val="28"/>
          <w:lang w:val="es-ES"/>
        </w:rPr>
      </w:pPr>
    </w:p>
    <w:p w:rsidRPr="002210AF" w:rsidR="000C59BD" w:rsidP="000C59BD" w:rsidRDefault="000C59BD" w14:paraId="7D874E74" w14:textId="77777777">
      <w:pPr>
        <w:jc w:val="center"/>
        <w:rPr>
          <w:rFonts w:ascii="Arial" w:hAnsi="Arial" w:cs="Arial"/>
          <w:noProof/>
          <w:sz w:val="28"/>
          <w:szCs w:val="28"/>
          <w:lang w:val="es-ES"/>
        </w:rPr>
      </w:pPr>
    </w:p>
    <w:p w:rsidRPr="002210AF" w:rsidR="000C59BD" w:rsidP="000C59BD" w:rsidRDefault="000C59BD" w14:paraId="4AD9C06F" w14:textId="77777777">
      <w:pPr>
        <w:jc w:val="center"/>
        <w:rPr>
          <w:rFonts w:ascii="Arial" w:hAnsi="Arial" w:cs="Arial"/>
          <w:b/>
          <w:smallCaps/>
          <w:noProof/>
          <w:sz w:val="28"/>
          <w:szCs w:val="28"/>
          <w:lang w:val="es-ES"/>
        </w:rPr>
      </w:pPr>
      <w:r w:rsidRPr="002210AF">
        <w:rPr>
          <w:rFonts w:ascii="Arial" w:hAnsi="Arial" w:cs="Arial"/>
          <w:b/>
          <w:smallCaps/>
          <w:noProof/>
          <w:sz w:val="28"/>
          <w:szCs w:val="28"/>
          <w:lang w:val="es-ES"/>
        </w:rPr>
        <w:t>Programa de Apoyo al Financiamiento de Infraestructura</w:t>
      </w:r>
    </w:p>
    <w:p w:rsidRPr="002210AF" w:rsidR="000C59BD" w:rsidP="000C59BD" w:rsidRDefault="000C59BD" w14:paraId="1EB84BC0" w14:textId="77777777">
      <w:pPr>
        <w:jc w:val="center"/>
        <w:rPr>
          <w:rFonts w:ascii="Arial" w:hAnsi="Arial" w:cs="Arial"/>
          <w:b/>
          <w:smallCaps/>
          <w:noProof/>
          <w:sz w:val="28"/>
          <w:szCs w:val="28"/>
          <w:lang w:val="es-ES"/>
        </w:rPr>
      </w:pPr>
      <w:r w:rsidRPr="002210AF">
        <w:rPr>
          <w:rFonts w:ascii="Arial" w:hAnsi="Arial" w:cs="Arial"/>
          <w:b/>
          <w:smallCaps/>
          <w:noProof/>
          <w:sz w:val="28"/>
          <w:szCs w:val="28"/>
          <w:lang w:val="es-ES"/>
        </w:rPr>
        <w:t>Productiva en Argentina</w:t>
      </w:r>
    </w:p>
    <w:p w:rsidRPr="002210AF" w:rsidR="000C59BD" w:rsidP="000C59BD" w:rsidRDefault="000C59BD" w14:paraId="1F3ECE08" w14:textId="77777777">
      <w:pPr>
        <w:jc w:val="center"/>
        <w:rPr>
          <w:rFonts w:ascii="Arial" w:hAnsi="Arial" w:cs="Arial"/>
          <w:b/>
          <w:noProof/>
          <w:sz w:val="28"/>
          <w:szCs w:val="28"/>
          <w:lang w:val="es-ES"/>
        </w:rPr>
      </w:pPr>
    </w:p>
    <w:p w:rsidRPr="002210AF" w:rsidR="000C59BD" w:rsidP="000C59BD" w:rsidRDefault="000C59BD" w14:paraId="4772D51C" w14:textId="77777777">
      <w:pPr>
        <w:jc w:val="center"/>
        <w:rPr>
          <w:rFonts w:ascii="Arial" w:hAnsi="Arial" w:cs="Arial"/>
          <w:b/>
          <w:noProof/>
          <w:sz w:val="24"/>
          <w:szCs w:val="28"/>
          <w:lang w:val="es-ES"/>
        </w:rPr>
      </w:pPr>
      <w:r w:rsidRPr="002210AF">
        <w:rPr>
          <w:rFonts w:ascii="Arial" w:hAnsi="Arial" w:cs="Arial"/>
          <w:b/>
          <w:noProof/>
          <w:sz w:val="24"/>
          <w:szCs w:val="28"/>
          <w:lang w:val="es-ES"/>
        </w:rPr>
        <w:t>(AR-L1281)</w:t>
      </w:r>
    </w:p>
    <w:p w:rsidRPr="002210AF" w:rsidR="000C59BD" w:rsidP="000C59BD" w:rsidRDefault="000C59BD" w14:paraId="1B666299" w14:textId="77777777">
      <w:pPr>
        <w:tabs>
          <w:tab w:val="left" w:pos="1440"/>
          <w:tab w:val="left" w:pos="3060"/>
        </w:tabs>
        <w:jc w:val="center"/>
        <w:rPr>
          <w:rFonts w:ascii="Arial" w:hAnsi="Arial" w:cs="Arial"/>
          <w:b/>
          <w:smallCaps/>
          <w:noProof/>
          <w:lang w:val="es-ES"/>
        </w:rPr>
      </w:pPr>
    </w:p>
    <w:p w:rsidRPr="002210AF" w:rsidR="000C59BD" w:rsidP="000C59BD" w:rsidRDefault="000C59BD" w14:paraId="41E14FBD" w14:textId="77777777">
      <w:pPr>
        <w:tabs>
          <w:tab w:val="left" w:pos="1440"/>
          <w:tab w:val="left" w:pos="3060"/>
        </w:tabs>
        <w:jc w:val="center"/>
        <w:rPr>
          <w:rFonts w:ascii="Arial" w:hAnsi="Arial" w:cs="Arial"/>
          <w:smallCaps/>
          <w:noProof/>
          <w:lang w:val="es-ES"/>
        </w:rPr>
      </w:pPr>
    </w:p>
    <w:p w:rsidRPr="002210AF" w:rsidR="000C59BD" w:rsidP="000C59BD" w:rsidRDefault="000C59BD" w14:paraId="7BBCDC6C" w14:textId="77777777">
      <w:pPr>
        <w:jc w:val="center"/>
        <w:rPr>
          <w:rFonts w:ascii="Arial" w:hAnsi="Arial" w:cs="Arial"/>
          <w:noProof/>
          <w:sz w:val="28"/>
          <w:szCs w:val="28"/>
          <w:lang w:val="es-ES"/>
        </w:rPr>
      </w:pPr>
    </w:p>
    <w:p w:rsidRPr="008D6662" w:rsidR="000C59BD" w:rsidP="559FA22C" w:rsidRDefault="000C59BD" w14:paraId="1761287A" w14:textId="25EE50AC" w14:noSpellErr="1">
      <w:pPr>
        <w:tabs>
          <w:tab w:val="left" w:pos="1440"/>
          <w:tab w:val="left" w:pos="3060"/>
        </w:tabs>
        <w:jc w:val="center"/>
        <w:outlineLvl w:val="0"/>
        <w:rPr>
          <w:rFonts w:ascii="Arial" w:hAnsi="Arial" w:cs="Arial"/>
          <w:b w:val="1"/>
          <w:bCs w:val="1"/>
          <w:smallCaps w:val="1"/>
          <w:lang w:val="es-ES"/>
        </w:rPr>
      </w:pPr>
      <w:r w:rsidRPr="559FA22C" w:rsidR="559FA22C">
        <w:rPr>
          <w:rFonts w:ascii="Arial" w:hAnsi="Arial" w:cs="Arial"/>
          <w:b w:val="1"/>
          <w:bCs w:val="1"/>
          <w:smallCaps w:val="1"/>
          <w:lang w:val="es-ES"/>
        </w:rPr>
        <w:t xml:space="preserve">Análisis </w:t>
      </w:r>
      <w:r w:rsidRPr="559FA22C" w:rsidR="559FA22C">
        <w:rPr>
          <w:rFonts w:ascii="Arial" w:hAnsi="Arial" w:cs="Arial"/>
          <w:b w:val="1"/>
          <w:bCs w:val="1"/>
          <w:smallCaps w:val="1"/>
          <w:lang w:val="es-ES"/>
        </w:rPr>
        <w:t>Financiero</w:t>
      </w:r>
    </w:p>
    <w:p w:rsidRPr="008D6662" w:rsidR="000C59BD" w:rsidP="000C59BD" w:rsidRDefault="000C59BD" w14:paraId="055A92EF" w14:textId="77777777">
      <w:pPr>
        <w:spacing w:after="100" w:afterAutospacing="1" w:line="240" w:lineRule="auto"/>
        <w:jc w:val="center"/>
        <w:rPr>
          <w:rFonts w:ascii="Arial" w:hAnsi="Arial" w:cs="Arial"/>
          <w:b/>
          <w:lang w:val="es-ES"/>
        </w:rPr>
      </w:pPr>
    </w:p>
    <w:p w:rsidRPr="002210AF" w:rsidR="000C59BD" w:rsidP="000C59BD" w:rsidRDefault="000C59BD" w14:paraId="7EC3A0A7" w14:textId="77777777">
      <w:pPr>
        <w:pStyle w:val="TOC3"/>
        <w:rPr>
          <w:lang w:val="es-ES"/>
        </w:rPr>
      </w:pPr>
    </w:p>
    <w:p w:rsidRPr="008D6662" w:rsidR="000C59BD" w:rsidP="000C59BD" w:rsidRDefault="000C59BD" w14:paraId="31F731F6" w14:textId="77777777">
      <w:pPr>
        <w:rPr>
          <w:rFonts w:ascii="Arial" w:hAnsi="Arial" w:cs="Arial"/>
          <w:lang w:val="es-ES"/>
        </w:rPr>
      </w:pPr>
    </w:p>
    <w:p w:rsidRPr="008D6662" w:rsidR="000C59BD" w:rsidP="000C59BD" w:rsidRDefault="000C59BD" w14:paraId="7344779E" w14:textId="77777777">
      <w:pPr>
        <w:rPr>
          <w:rFonts w:ascii="Arial" w:hAnsi="Arial" w:cs="Arial"/>
          <w:lang w:val="es-ES"/>
        </w:rPr>
      </w:pPr>
    </w:p>
    <w:p w:rsidRPr="008D6662" w:rsidR="000C59BD" w:rsidP="000C59BD" w:rsidRDefault="000C59BD" w14:paraId="24ADCCA8" w14:textId="77777777">
      <w:pPr>
        <w:rPr>
          <w:rFonts w:ascii="Arial" w:hAnsi="Arial" w:cs="Arial"/>
          <w:lang w:val="es-ES"/>
        </w:rPr>
      </w:pPr>
    </w:p>
    <w:p w:rsidRPr="008D6662" w:rsidR="000C59BD" w:rsidP="000C59BD" w:rsidRDefault="000C59BD" w14:paraId="3A90FE02" w14:textId="77777777">
      <w:pPr>
        <w:jc w:val="center"/>
        <w:rPr>
          <w:rFonts w:ascii="Arial" w:hAnsi="Arial" w:cs="Arial"/>
          <w:b/>
          <w:lang w:val="es-ES"/>
        </w:rPr>
      </w:pPr>
    </w:p>
    <w:p w:rsidRPr="008D6662" w:rsidR="000C59BD" w:rsidP="000C59BD" w:rsidRDefault="000C59BD" w14:paraId="676D564F" w14:textId="77777777">
      <w:pPr>
        <w:rPr>
          <w:rFonts w:ascii="Arial" w:hAnsi="Arial" w:cs="Arial"/>
          <w:b/>
          <w:lang w:val="es-ES"/>
        </w:rPr>
      </w:pPr>
      <w:r w:rsidRPr="002210AF">
        <w:rPr>
          <w:rFonts w:ascii="Arial" w:hAnsi="Arial" w:cs="Arial"/>
          <w:noProof/>
          <w:lang w:val="es-ES" w:eastAsia="en-US"/>
        </w:rPr>
        <mc:AlternateContent>
          <mc:Choice Requires="wps">
            <w:drawing>
              <wp:anchor distT="0" distB="0" distL="114300" distR="114300" simplePos="0" relativeHeight="251660288" behindDoc="0" locked="0" layoutInCell="1" allowOverlap="1" wp14:anchorId="71E1BABF" wp14:editId="7BC62E5D">
                <wp:simplePos x="0" y="0"/>
                <wp:positionH relativeFrom="column">
                  <wp:posOffset>-209762</wp:posOffset>
                </wp:positionH>
                <wp:positionV relativeFrom="paragraph">
                  <wp:posOffset>300990</wp:posOffset>
                </wp:positionV>
                <wp:extent cx="5734050" cy="296333"/>
                <wp:effectExtent l="0" t="0" r="19050" b="279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96333"/>
                        </a:xfrm>
                        <a:prstGeom prst="rect">
                          <a:avLst/>
                        </a:prstGeom>
                        <a:solidFill>
                          <a:srgbClr val="FFFFFF"/>
                        </a:solidFill>
                        <a:ln w="9525">
                          <a:solidFill>
                            <a:srgbClr val="000000"/>
                          </a:solidFill>
                          <a:miter lim="800000"/>
                          <a:headEnd/>
                          <a:tailEnd/>
                        </a:ln>
                      </wps:spPr>
                      <wps:txbx>
                        <w:txbxContent>
                          <w:p w:rsidRPr="00041D0E" w:rsidR="00D83F08" w:rsidP="000C59BD" w:rsidRDefault="00D83F08" w14:paraId="4E30A3DC" w14:textId="77777777">
                            <w:pPr>
                              <w:jc w:val="both"/>
                              <w:rPr>
                                <w:rFonts w:ascii="Arial" w:hAnsi="Arial" w:cs="Arial"/>
                                <w:sz w:val="20"/>
                                <w:lang w:val="es-ES_tradnl"/>
                              </w:rPr>
                            </w:pPr>
                            <w:r w:rsidRPr="00041D0E">
                              <w:rPr>
                                <w:rFonts w:ascii="Arial" w:hAnsi="Arial" w:cs="Arial"/>
                                <w:szCs w:val="24"/>
                                <w:lang w:val="es-ES_tradnl"/>
                              </w:rPr>
                              <w:t xml:space="preserve">Este documento fue elaborado por Daniel Fonseca y María Cabrera (IFD/CMF).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CC893C3">
              <v:shapetype id="_x0000_t202" coordsize="21600,21600" o:spt="202" path="m,l,21600r21600,l21600,xe" w14:anchorId="71E1BABF">
                <v:stroke joinstyle="miter"/>
                <v:path gradientshapeok="t" o:connecttype="rect"/>
              </v:shapetype>
              <v:shape id="Text Box 3" style="position:absolute;margin-left:-16.5pt;margin-top:23.7pt;width:451.5pt;height:2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">
                <v:textbox>
                  <w:txbxContent>
                    <w:p w:rsidRPr="00041D0E" w:rsidR="00D83F08" w:rsidP="000C59BD" w:rsidRDefault="00D83F08" w14:paraId="4F0B9D93" w14:textId="77777777">
                      <w:pPr>
                        <w:jc w:val="both"/>
                        <w:rPr>
                          <w:rFonts w:ascii="Arial" w:hAnsi="Arial" w:cs="Arial"/>
                          <w:sz w:val="20"/>
                          <w:lang w:val="es-ES_tradnl"/>
                        </w:rPr>
                      </w:pPr>
                      <w:r w:rsidRPr="00041D0E">
                        <w:rPr>
                          <w:rFonts w:ascii="Arial" w:hAnsi="Arial" w:cs="Arial"/>
                          <w:szCs w:val="24"/>
                          <w:lang w:val="es-ES_tradnl"/>
                        </w:rPr>
                        <w:t xml:space="preserve">Este documento fue elaborado por Daniel Fonseca y María Cabrera (IFD/CMF). </w:t>
                      </w:r>
                    </w:p>
                  </w:txbxContent>
                </v:textbox>
              </v:shape>
            </w:pict>
          </mc:Fallback>
        </mc:AlternateContent>
      </w:r>
    </w:p>
    <w:p w:rsidRPr="008D6662" w:rsidR="000C59BD" w:rsidP="000C59BD" w:rsidRDefault="000C59BD" w14:paraId="68950EC1" w14:textId="77777777">
      <w:pPr>
        <w:rPr>
          <w:rFonts w:ascii="Arial" w:hAnsi="Arial" w:cs="Arial"/>
          <w:lang w:val="es-ES"/>
        </w:rPr>
      </w:pPr>
    </w:p>
    <w:p w:rsidRPr="008D6662" w:rsidR="00DA3664" w:rsidP="00DA3664" w:rsidRDefault="00DA3664" w14:paraId="3963FE32" w14:textId="77777777">
      <w:pPr>
        <w:rPr>
          <w:rFonts w:ascii="Arial" w:hAnsi="Arial" w:cs="Arial"/>
          <w:lang w:val="es-ES"/>
        </w:rPr>
      </w:pPr>
    </w:p>
    <w:p w:rsidRPr="008D6662" w:rsidR="00997F7A" w:rsidP="0082724D" w:rsidRDefault="00997F7A" w14:paraId="4C1B9636" w14:textId="77777777">
      <w:pPr>
        <w:rPr>
          <w:rFonts w:ascii="Arial" w:hAnsi="Arial" w:cs="Arial"/>
          <w:lang w:val="es-ES"/>
        </w:rPr>
        <w:sectPr w:rsidRPr="008D6662" w:rsidR="00997F7A" w:rsidSect="00A84DC3">
          <w:footerReference w:type="first" r:id="rId14"/>
          <w:type w:val="continuous"/>
          <w:pgSz w:w="12242" w:h="15842" w:orient="portrait" w:code="1"/>
          <w:pgMar w:top="1440" w:right="1800" w:bottom="1440" w:left="1800" w:header="720" w:footer="720" w:gutter="0"/>
          <w:cols w:space="708"/>
          <w:docGrid w:linePitch="360"/>
        </w:sectPr>
      </w:pPr>
    </w:p>
    <w:p w:rsidRPr="008D6662" w:rsidR="00997F7A" w:rsidP="559FA22C" w:rsidRDefault="0086613E" w14:paraId="595E6B7C" w14:textId="77777777" w14:noSpellErr="1">
      <w:pPr>
        <w:jc w:val="center"/>
        <w:rPr>
          <w:rFonts w:ascii="Arial" w:hAnsi="Arial" w:cs="Arial"/>
          <w:b w:val="1"/>
          <w:bCs w:val="1"/>
          <w:smallCaps w:val="1"/>
          <w:lang w:val="es-ES"/>
        </w:rPr>
      </w:pPr>
      <w:r w:rsidRPr="559FA22C" w:rsidR="559FA22C">
        <w:rPr>
          <w:rFonts w:ascii="Arial" w:hAnsi="Arial" w:cs="Arial"/>
          <w:b w:val="1"/>
          <w:bCs w:val="1"/>
          <w:smallCaps w:val="1"/>
          <w:lang w:val="es-ES"/>
        </w:rPr>
        <w:t>CONTENIDO</w:t>
      </w:r>
    </w:p>
    <w:p w:rsidRPr="002210AF" w:rsidR="00243423" w:rsidRDefault="00997F7A" w14:paraId="164E5408" w14:textId="2120509B">
      <w:pPr>
        <w:pStyle w:val="TOC1"/>
        <w:rPr>
          <w:rFonts w:ascii="Arial" w:hAnsi="Arial" w:cs="Arial"/>
          <w:b w:val="0"/>
          <w:smallCaps w:val="0"/>
          <w:sz w:val="22"/>
          <w:lang w:val="es-ES" w:eastAsia="en-US"/>
        </w:rPr>
      </w:pPr>
      <w:r w:rsidRPr="0025178A">
        <w:rPr>
          <w:rFonts w:ascii="Arial" w:hAnsi="Arial" w:cs="Arial"/>
          <w:sz w:val="22"/>
          <w:lang w:val="es-ES"/>
        </w:rPr>
        <w:fldChar w:fldCharType="begin"/>
      </w:r>
      <w:r w:rsidRPr="00453872">
        <w:rPr>
          <w:rFonts w:ascii="Arial" w:hAnsi="Arial" w:cs="Arial"/>
          <w:sz w:val="22"/>
          <w:lang w:val="es-ES"/>
        </w:rPr>
        <w:instrText xml:space="preserve"> TOC \f \t "Chapter,1,FirstHeading,2,SecHeading,3" </w:instrText>
      </w:r>
      <w:r w:rsidRPr="002210AF">
        <w:rPr>
          <w:rFonts w:ascii="Arial" w:hAnsi="Arial" w:cs="Arial"/>
          <w:sz w:val="22"/>
          <w:lang w:val="es-ES"/>
        </w:rPr>
        <w:fldChar w:fldCharType="separate"/>
      </w:r>
      <w:r w:rsidRPr="002210AF" w:rsidR="00243423">
        <w:rPr>
          <w:rFonts w:ascii="Arial" w:hAnsi="Arial" w:cs="Arial"/>
          <w:color w:val="000000" w:themeColor="text1"/>
          <w:sz w:val="22"/>
          <w:lang w:val="es-ES"/>
        </w:rPr>
        <w:t>I.</w:t>
      </w:r>
      <w:r w:rsidRPr="002210AF" w:rsidR="00243423">
        <w:rPr>
          <w:rFonts w:ascii="Arial" w:hAnsi="Arial" w:cs="Arial"/>
          <w:b w:val="0"/>
          <w:smallCaps w:val="0"/>
          <w:sz w:val="22"/>
          <w:lang w:val="es-ES" w:eastAsia="en-US"/>
        </w:rPr>
        <w:tab/>
      </w:r>
      <w:r w:rsidRPr="002210AF" w:rsidR="00243423">
        <w:rPr>
          <w:rFonts w:ascii="Arial" w:hAnsi="Arial" w:cs="Arial"/>
          <w:color w:val="000000" w:themeColor="text1"/>
          <w:sz w:val="22"/>
          <w:lang w:val="es-ES"/>
        </w:rPr>
        <w:t>Introducción</w:t>
      </w:r>
      <w:r w:rsidRPr="002210AF" w:rsidR="00243423">
        <w:rPr>
          <w:rFonts w:ascii="Arial" w:hAnsi="Arial" w:cs="Arial"/>
          <w:sz w:val="22"/>
          <w:lang w:val="es-ES"/>
        </w:rPr>
        <w:tab/>
      </w:r>
      <w:r w:rsidRPr="002210AF" w:rsidR="00086A95">
        <w:rPr>
          <w:rFonts w:ascii="Arial" w:hAnsi="Arial" w:cs="Arial"/>
          <w:sz w:val="22"/>
          <w:lang w:val="es-ES"/>
        </w:rPr>
        <w:t>1</w:t>
      </w:r>
    </w:p>
    <w:p w:rsidRPr="002210AF" w:rsidR="00243423" w:rsidRDefault="00243423" w14:paraId="55FA8488" w14:textId="6FC0FF35">
      <w:pPr>
        <w:pStyle w:val="TOC1"/>
        <w:rPr>
          <w:rFonts w:ascii="Arial" w:hAnsi="Arial" w:cs="Arial"/>
          <w:b w:val="0"/>
          <w:smallCaps w:val="0"/>
          <w:sz w:val="22"/>
          <w:lang w:val="es-ES" w:eastAsia="en-US"/>
        </w:rPr>
      </w:pPr>
      <w:r w:rsidRPr="002210AF">
        <w:rPr>
          <w:rFonts w:ascii="Arial" w:hAnsi="Arial" w:cs="Arial"/>
          <w:color w:val="000000" w:themeColor="text1"/>
          <w:sz w:val="22"/>
          <w:lang w:val="es-ES"/>
        </w:rPr>
        <w:t>II.</w:t>
      </w:r>
      <w:r w:rsidRPr="002210AF">
        <w:rPr>
          <w:rFonts w:ascii="Arial" w:hAnsi="Arial" w:cs="Arial"/>
          <w:b w:val="0"/>
          <w:smallCaps w:val="0"/>
          <w:sz w:val="22"/>
          <w:lang w:val="es-ES" w:eastAsia="en-US"/>
        </w:rPr>
        <w:tab/>
      </w:r>
      <w:r w:rsidRPr="002210AF">
        <w:rPr>
          <w:rFonts w:ascii="Arial" w:hAnsi="Arial" w:cs="Arial"/>
          <w:color w:val="000000" w:themeColor="text1"/>
          <w:sz w:val="22"/>
          <w:lang w:val="es-ES"/>
        </w:rPr>
        <w:t>Metodología y Supuestos</w:t>
      </w:r>
      <w:r w:rsidRPr="002210AF">
        <w:rPr>
          <w:rFonts w:ascii="Arial" w:hAnsi="Arial" w:cs="Arial"/>
          <w:sz w:val="22"/>
          <w:lang w:val="es-ES"/>
        </w:rPr>
        <w:tab/>
      </w:r>
      <w:r w:rsidRPr="002210AF" w:rsidR="00086A95">
        <w:rPr>
          <w:rFonts w:ascii="Arial" w:hAnsi="Arial" w:cs="Arial"/>
          <w:sz w:val="22"/>
          <w:lang w:val="es-ES"/>
        </w:rPr>
        <w:t>4</w:t>
      </w:r>
    </w:p>
    <w:p w:rsidRPr="002210AF" w:rsidR="00243423" w:rsidRDefault="00243423" w14:paraId="4055A014" w14:textId="1D687D25">
      <w:pPr>
        <w:pStyle w:val="TOC1"/>
        <w:rPr>
          <w:rFonts w:ascii="Arial" w:hAnsi="Arial" w:cs="Arial"/>
          <w:b w:val="0"/>
          <w:smallCaps w:val="0"/>
          <w:sz w:val="22"/>
          <w:lang w:val="es-ES" w:eastAsia="en-US"/>
        </w:rPr>
      </w:pPr>
      <w:r w:rsidRPr="002210AF">
        <w:rPr>
          <w:rFonts w:ascii="Arial" w:hAnsi="Arial" w:cs="Arial"/>
          <w:color w:val="000000" w:themeColor="text1"/>
          <w:sz w:val="22"/>
          <w:lang w:val="es-ES"/>
        </w:rPr>
        <w:t>III.</w:t>
      </w:r>
      <w:r w:rsidRPr="002210AF">
        <w:rPr>
          <w:rFonts w:ascii="Arial" w:hAnsi="Arial" w:cs="Arial"/>
          <w:b w:val="0"/>
          <w:smallCaps w:val="0"/>
          <w:sz w:val="22"/>
          <w:lang w:val="es-ES" w:eastAsia="en-US"/>
        </w:rPr>
        <w:tab/>
      </w:r>
      <w:r w:rsidRPr="002210AF">
        <w:rPr>
          <w:rFonts w:ascii="Arial" w:hAnsi="Arial" w:cs="Arial"/>
          <w:color w:val="000000" w:themeColor="text1"/>
          <w:sz w:val="22"/>
          <w:lang w:val="es-ES"/>
        </w:rPr>
        <w:t>Valoración del Beneficio Económico</w:t>
      </w:r>
      <w:r w:rsidRPr="002210AF">
        <w:rPr>
          <w:rFonts w:ascii="Arial" w:hAnsi="Arial" w:cs="Arial"/>
          <w:sz w:val="22"/>
          <w:lang w:val="es-ES"/>
        </w:rPr>
        <w:tab/>
      </w:r>
      <w:r w:rsidRPr="002210AF" w:rsidR="00086A95">
        <w:rPr>
          <w:rFonts w:ascii="Arial" w:hAnsi="Arial" w:cs="Arial"/>
          <w:sz w:val="22"/>
          <w:lang w:val="es-ES"/>
        </w:rPr>
        <w:t>7</w:t>
      </w:r>
    </w:p>
    <w:p w:rsidRPr="002210AF" w:rsidR="00243423" w:rsidRDefault="00243423" w14:paraId="7C844A2C" w14:textId="38E316FE">
      <w:pPr>
        <w:pStyle w:val="TOC1"/>
        <w:rPr>
          <w:rFonts w:ascii="Arial" w:hAnsi="Arial" w:cs="Arial"/>
          <w:b w:val="0"/>
          <w:smallCaps w:val="0"/>
          <w:sz w:val="22"/>
          <w:lang w:val="es-ES" w:eastAsia="en-US"/>
        </w:rPr>
      </w:pPr>
      <w:r w:rsidRPr="002210AF">
        <w:rPr>
          <w:rFonts w:ascii="Arial" w:hAnsi="Arial" w:cs="Arial"/>
          <w:color w:val="000000" w:themeColor="text1"/>
          <w:sz w:val="22"/>
          <w:lang w:val="es-ES"/>
        </w:rPr>
        <w:t>IV.</w:t>
      </w:r>
      <w:r w:rsidRPr="002210AF">
        <w:rPr>
          <w:rFonts w:ascii="Arial" w:hAnsi="Arial" w:cs="Arial"/>
          <w:b w:val="0"/>
          <w:smallCaps w:val="0"/>
          <w:sz w:val="22"/>
          <w:lang w:val="es-ES" w:eastAsia="en-US"/>
        </w:rPr>
        <w:tab/>
      </w:r>
      <w:r w:rsidRPr="002210AF">
        <w:rPr>
          <w:rFonts w:ascii="Arial" w:hAnsi="Arial" w:cs="Arial"/>
          <w:color w:val="000000" w:themeColor="text1"/>
          <w:sz w:val="22"/>
          <w:lang w:val="es-ES"/>
        </w:rPr>
        <w:t>Análisis de Sensibilidad</w:t>
      </w:r>
      <w:r w:rsidRPr="002210AF">
        <w:rPr>
          <w:rFonts w:ascii="Arial" w:hAnsi="Arial" w:cs="Arial"/>
          <w:sz w:val="22"/>
          <w:lang w:val="es-ES"/>
        </w:rPr>
        <w:tab/>
      </w:r>
      <w:r w:rsidRPr="002210AF" w:rsidR="00086A95">
        <w:rPr>
          <w:rFonts w:ascii="Arial" w:hAnsi="Arial" w:cs="Arial"/>
          <w:sz w:val="22"/>
          <w:lang w:val="es-ES"/>
        </w:rPr>
        <w:t>11</w:t>
      </w:r>
    </w:p>
    <w:p w:rsidRPr="002210AF" w:rsidR="00243423" w:rsidRDefault="00243423" w14:paraId="1267BAFF" w14:textId="4676A42D">
      <w:pPr>
        <w:pStyle w:val="TOC1"/>
        <w:rPr>
          <w:rFonts w:ascii="Arial" w:hAnsi="Arial" w:cs="Arial"/>
          <w:sz w:val="22"/>
          <w:lang w:val="es-ES"/>
        </w:rPr>
      </w:pPr>
      <w:r w:rsidRPr="002210AF">
        <w:rPr>
          <w:rFonts w:ascii="Arial" w:hAnsi="Arial" w:cs="Arial"/>
          <w:color w:val="000000" w:themeColor="text1"/>
          <w:sz w:val="22"/>
          <w:lang w:val="es-ES"/>
        </w:rPr>
        <w:t>V.</w:t>
      </w:r>
      <w:r w:rsidRPr="002210AF">
        <w:rPr>
          <w:rFonts w:ascii="Arial" w:hAnsi="Arial" w:cs="Arial"/>
          <w:b w:val="0"/>
          <w:smallCaps w:val="0"/>
          <w:sz w:val="22"/>
          <w:lang w:val="es-ES" w:eastAsia="en-US"/>
        </w:rPr>
        <w:tab/>
      </w:r>
      <w:r w:rsidRPr="002210AF">
        <w:rPr>
          <w:rFonts w:ascii="Arial" w:hAnsi="Arial" w:cs="Arial"/>
          <w:color w:val="000000" w:themeColor="text1"/>
          <w:sz w:val="22"/>
          <w:lang w:val="es-ES"/>
        </w:rPr>
        <w:t>Conclusiones</w:t>
      </w:r>
      <w:r w:rsidRPr="002210AF">
        <w:rPr>
          <w:rFonts w:ascii="Arial" w:hAnsi="Arial" w:cs="Arial"/>
          <w:sz w:val="22"/>
          <w:lang w:val="es-ES"/>
        </w:rPr>
        <w:tab/>
      </w:r>
      <w:r w:rsidRPr="002210AF" w:rsidR="00086A95">
        <w:rPr>
          <w:rFonts w:ascii="Arial" w:hAnsi="Arial" w:cs="Arial"/>
          <w:sz w:val="22"/>
          <w:lang w:val="es-ES"/>
        </w:rPr>
        <w:t>12</w:t>
      </w:r>
    </w:p>
    <w:p w:rsidRPr="002210AF" w:rsidR="00086A95" w:rsidP="00086A95" w:rsidRDefault="00086A95" w14:paraId="307D737F" w14:textId="77777777">
      <w:pPr>
        <w:rPr>
          <w:rFonts w:ascii="Arial" w:hAnsi="Arial" w:cs="Arial"/>
          <w:lang w:val="es-ES" w:eastAsia="ja-JP"/>
        </w:rPr>
      </w:pPr>
    </w:p>
    <w:p w:rsidRPr="002210AF" w:rsidR="00086A95" w:rsidP="00086A95" w:rsidRDefault="00086A95" w14:paraId="57C4A514" w14:textId="290BDB15">
      <w:pPr>
        <w:pStyle w:val="TOC1"/>
        <w:rPr>
          <w:rFonts w:ascii="Arial" w:hAnsi="Arial" w:cs="Arial"/>
          <w:sz w:val="22"/>
          <w:lang w:val="es-ES"/>
        </w:rPr>
      </w:pPr>
      <w:r w:rsidRPr="002210AF">
        <w:rPr>
          <w:rFonts w:ascii="Arial" w:hAnsi="Arial" w:cs="Arial"/>
          <w:color w:val="000000" w:themeColor="text1"/>
          <w:sz w:val="22"/>
          <w:lang w:val="es-ES"/>
        </w:rPr>
        <w:t>Anexo</w:t>
      </w:r>
      <w:r w:rsidR="00E838E1">
        <w:rPr>
          <w:rFonts w:ascii="Arial" w:hAnsi="Arial" w:cs="Arial"/>
          <w:color w:val="000000" w:themeColor="text1"/>
          <w:sz w:val="22"/>
          <w:lang w:val="es-ES"/>
        </w:rPr>
        <w:t xml:space="preserve"> I </w:t>
      </w:r>
      <w:r w:rsidRPr="002210AF">
        <w:rPr>
          <w:rFonts w:ascii="Arial" w:hAnsi="Arial" w:cs="Arial"/>
          <w:sz w:val="22"/>
          <w:lang w:val="es-ES"/>
        </w:rPr>
        <w:tab/>
      </w:r>
      <w:r w:rsidRPr="002210AF">
        <w:rPr>
          <w:rFonts w:ascii="Arial" w:hAnsi="Arial" w:cs="Arial"/>
          <w:sz w:val="22"/>
          <w:lang w:val="es-ES"/>
        </w:rPr>
        <w:t>13</w:t>
      </w:r>
    </w:p>
    <w:p w:rsidRPr="002210AF" w:rsidR="0086613E" w:rsidP="00F950A5" w:rsidRDefault="00997F7A" w14:paraId="7E3648D8" w14:textId="77777777">
      <w:pPr>
        <w:pStyle w:val="TOC3"/>
        <w:rPr>
          <w:lang w:val="es-ES"/>
        </w:rPr>
      </w:pPr>
      <w:r w:rsidRPr="0025178A">
        <w:rPr>
          <w:lang w:val="es-ES"/>
        </w:rPr>
        <w:fldChar w:fldCharType="end"/>
      </w:r>
    </w:p>
    <w:p w:rsidRPr="008D6662" w:rsidR="0086613E" w:rsidP="00F950A5" w:rsidRDefault="0086613E" w14:paraId="03958DF1" w14:textId="77777777">
      <w:pPr>
        <w:pStyle w:val="TOC3"/>
        <w:rPr>
          <w:lang w:val="es-ES"/>
        </w:rPr>
      </w:pPr>
    </w:p>
    <w:p w:rsidRPr="008D6662" w:rsidR="002B2976" w:rsidP="001D1187" w:rsidRDefault="002B2976" w14:paraId="1B73199D" w14:textId="77777777">
      <w:pPr>
        <w:rPr>
          <w:rFonts w:ascii="Arial" w:hAnsi="Arial" w:cs="Arial"/>
          <w:lang w:val="es-ES" w:eastAsia="ja-JP"/>
        </w:rPr>
        <w:sectPr w:rsidRPr="008D6662" w:rsidR="002B2976" w:rsidSect="00A84DC3">
          <w:footerReference w:type="default" r:id="rId15"/>
          <w:footerReference w:type="first" r:id="rId16"/>
          <w:pgSz w:w="12242" w:h="15842" w:orient="portrait" w:code="1"/>
          <w:pgMar w:top="1440" w:right="1800" w:bottom="1440" w:left="1800" w:header="720" w:footer="720" w:gutter="0"/>
          <w:pgNumType w:start="0"/>
          <w:cols w:space="708"/>
          <w:titlePg/>
          <w:docGrid w:linePitch="360"/>
        </w:sectPr>
      </w:pPr>
    </w:p>
    <w:p w:rsidRPr="008D6662" w:rsidR="0082724D" w:rsidP="002B2976" w:rsidRDefault="0082724D" w14:paraId="29AA6551" w14:textId="77777777">
      <w:pPr>
        <w:spacing w:after="0"/>
        <w:rPr>
          <w:rFonts w:ascii="Arial" w:hAnsi="Arial" w:cs="Arial"/>
          <w:lang w:val="es-ES"/>
        </w:rPr>
        <w:sectPr w:rsidRPr="008D6662" w:rsidR="0082724D" w:rsidSect="00A84DC3">
          <w:footerReference w:type="first" r:id="rId17"/>
          <w:pgSz w:w="12242" w:h="15842" w:orient="portrait" w:code="1"/>
          <w:pgMar w:top="1440" w:right="1800" w:bottom="1440" w:left="1800" w:header="720" w:footer="720" w:gutter="0"/>
          <w:cols w:space="708"/>
          <w:titlePg/>
          <w:docGrid w:linePitch="360"/>
        </w:sectPr>
      </w:pPr>
    </w:p>
    <w:p w:rsidRPr="008D6662" w:rsidR="00F10FC6" w:rsidP="559FA22C" w:rsidRDefault="00F10FC6" w14:paraId="08FDA0A2" w14:textId="77777777" w14:noSpellErr="1">
      <w:pPr>
        <w:pStyle w:val="Chapter"/>
        <w:spacing w:before="0"/>
        <w:ind w:left="720"/>
        <w:rPr>
          <w:rFonts w:ascii="Arial" w:hAnsi="Arial" w:cs="Arial"/>
          <w:color w:val="000000" w:themeColor="text1" w:themeTint="FF" w:themeShade="FF"/>
          <w:lang w:val="es-ES"/>
        </w:rPr>
      </w:pPr>
      <w:bookmarkStart w:name="_Toc498007205" w:id="3"/>
      <w:r w:rsidRPr="559FA22C" w:rsidR="559FA22C">
        <w:rPr>
          <w:rFonts w:ascii="Arial" w:hAnsi="Arial" w:cs="Arial"/>
          <w:color w:val="000000" w:themeColor="text1" w:themeTint="FF" w:themeShade="FF"/>
          <w:lang w:val="es-ES"/>
        </w:rPr>
        <w:t>Introducción</w:t>
      </w:r>
      <w:bookmarkEnd w:id="1"/>
      <w:bookmarkEnd w:id="2"/>
      <w:bookmarkEnd w:id="3"/>
    </w:p>
    <w:p w:rsidR="00B4066E" w:rsidP="559FA22C" w:rsidRDefault="00B4066E" w14:paraId="05080FEB" w14:textId="78779D47" w14:noSpellErr="1">
      <w:pPr>
        <w:pStyle w:val="ListParagraph"/>
        <w:numPr>
          <w:ilvl w:val="1"/>
          <w:numId w:val="4"/>
        </w:numPr>
        <w:tabs>
          <w:tab w:val="clear" w:pos="2448"/>
          <w:tab w:val="num" w:pos="1170"/>
        </w:tabs>
        <w:spacing w:before="120" w:after="120" w:line="240" w:lineRule="auto"/>
        <w:ind w:left="720" w:hanging="720"/>
        <w:contextualSpacing w:val="0"/>
        <w:jc w:val="both"/>
        <w:rPr>
          <w:rFonts w:ascii="Arial" w:hAnsi="Arial" w:eastAsia="Times New Roman" w:cs="Arial"/>
          <w:lang w:val="es-ES"/>
        </w:rPr>
      </w:pPr>
      <w:r w:rsidRPr="559FA22C">
        <w:rPr>
          <w:rFonts w:ascii="Arial" w:hAnsi="Arial" w:eastAsia="Times New Roman" w:cs="Arial"/>
          <w:b w:val="1"/>
          <w:bCs w:val="1"/>
          <w:lang w:val="es-ES"/>
        </w:rPr>
        <w:t>Contexto macroeconómico.</w:t>
      </w:r>
      <w:r w:rsidRPr="008D6662">
        <w:rPr>
          <w:rFonts w:ascii="Arial" w:hAnsi="Arial" w:eastAsia="Times New Roman" w:cs="Arial"/>
          <w:lang w:val="es-ES"/>
        </w:rPr>
        <w:t xml:space="preserve"> A principios de 2016 Argentina cambió su marco de política económica buscando atajar el deterioro macroeconómico que venía registrando en los últimos años. El conjunto de acciones del gobierno para corregir desequilibrios internos se ha visto traducido en una evolución favorable de los indicadores de riesgo del país, un renovado acceso a los merc</w:t>
      </w:r>
      <w:r w:rsidRPr="008D6662" w:rsidR="004C37B7">
        <w:rPr>
          <w:rFonts w:ascii="Arial" w:hAnsi="Arial" w:eastAsia="Times New Roman" w:cs="Arial"/>
          <w:lang w:val="es-ES"/>
        </w:rPr>
        <w:t>ados de crédito internacionales</w:t>
      </w:r>
      <w:r w:rsidRPr="008D6662">
        <w:rPr>
          <w:rFonts w:ascii="Arial" w:hAnsi="Arial" w:eastAsia="Times New Roman" w:cs="Arial"/>
          <w:lang w:val="es-ES"/>
        </w:rPr>
        <w:t xml:space="preserve"> y </w:t>
      </w:r>
      <w:r w:rsidRPr="008D6662" w:rsidR="004C37B7">
        <w:rPr>
          <w:rFonts w:ascii="Arial" w:hAnsi="Arial" w:eastAsia="Times New Roman" w:cs="Arial"/>
          <w:lang w:val="es-ES"/>
        </w:rPr>
        <w:t xml:space="preserve">una significativa </w:t>
      </w:r>
      <w:r w:rsidRPr="008D6662">
        <w:rPr>
          <w:rFonts w:ascii="Arial" w:hAnsi="Arial" w:eastAsia="Times New Roman" w:cs="Arial"/>
          <w:lang w:val="es-ES"/>
        </w:rPr>
        <w:t>desaceleración de la inflación</w:t>
      </w:r>
      <w:r w:rsidRPr="008D6662" w:rsidR="004C37B7">
        <w:rPr>
          <w:rFonts w:ascii="Arial" w:hAnsi="Arial" w:eastAsia="Times New Roman" w:cs="Arial"/>
          <w:lang w:val="es-ES"/>
        </w:rPr>
        <w:t xml:space="preserve"> -siguiendo las predicciones del Banco Central, se espera una inflación del 22% al cierre de 2017 frente al 35,6% registrado en 2016</w:t>
      </w:r>
      <w:r w:rsidRPr="008D6662" w:rsidR="004C37B7">
        <w:rPr>
          <w:rStyle w:val="FootnoteReference"/>
          <w:rFonts w:ascii="Arial" w:hAnsi="Arial" w:eastAsia="Times New Roman" w:cs="Arial"/>
          <w:lang w:val="es-ES"/>
        </w:rPr>
        <w:footnoteReference w:id="1"/>
      </w:r>
      <w:r w:rsidRPr="008D6662" w:rsidR="004C37B7">
        <w:rPr>
          <w:rFonts w:ascii="Arial" w:hAnsi="Arial" w:eastAsia="Times New Roman" w:cs="Arial"/>
          <w:lang w:val="es-ES"/>
        </w:rPr>
        <w:t>-</w:t>
      </w:r>
      <w:r w:rsidRPr="008D6662">
        <w:rPr>
          <w:rFonts w:ascii="Arial" w:hAnsi="Arial" w:eastAsia="Times New Roman" w:cs="Arial"/>
          <w:lang w:val="es-ES"/>
        </w:rPr>
        <w:t xml:space="preserve">. El crecimiento proyectado para 2017 es de 2,8% según el Relevamiento de Expectativas de Mercado del Banco Central, recuperándose de una recesión </w:t>
      </w:r>
      <w:r w:rsidRPr="008D6662" w:rsidR="004C37B7">
        <w:rPr>
          <w:rFonts w:ascii="Arial" w:hAnsi="Arial" w:eastAsia="Times New Roman" w:cs="Arial"/>
          <w:lang w:val="es-ES"/>
        </w:rPr>
        <w:t>que en 2016 alcanzó el</w:t>
      </w:r>
      <w:r w:rsidRPr="008D6662">
        <w:rPr>
          <w:rFonts w:ascii="Arial" w:hAnsi="Arial" w:eastAsia="Times New Roman" w:cs="Arial"/>
          <w:lang w:val="es-ES"/>
        </w:rPr>
        <w:t xml:space="preserve"> 2,2% según el INDEC. </w:t>
      </w:r>
      <w:r w:rsidRPr="008D6662" w:rsidR="005D61ED">
        <w:rPr>
          <w:rFonts w:ascii="Arial" w:hAnsi="Arial" w:eastAsia="Times New Roman" w:cs="Arial"/>
          <w:lang w:val="es-ES"/>
        </w:rPr>
        <w:t>Al mismo tiempo, e</w:t>
      </w:r>
      <w:r w:rsidRPr="008D6662">
        <w:rPr>
          <w:rFonts w:ascii="Arial" w:hAnsi="Arial" w:eastAsia="Times New Roman" w:cs="Arial"/>
          <w:lang w:val="es-ES"/>
        </w:rPr>
        <w:t>l Gobierno</w:t>
      </w:r>
      <w:r w:rsidRPr="008D6662" w:rsidR="005D61ED">
        <w:rPr>
          <w:rFonts w:ascii="Arial" w:hAnsi="Arial" w:eastAsia="Times New Roman" w:cs="Arial"/>
          <w:lang w:val="es-ES"/>
        </w:rPr>
        <w:t xml:space="preserve"> de Argentina</w:t>
      </w:r>
      <w:r w:rsidRPr="008D6662">
        <w:rPr>
          <w:rFonts w:ascii="Arial" w:hAnsi="Arial" w:eastAsia="Times New Roman" w:cs="Arial"/>
          <w:lang w:val="es-ES"/>
        </w:rPr>
        <w:t xml:space="preserve"> persigue una estrategia gradual de reducción del déficit fiscal </w:t>
      </w:r>
      <w:r w:rsidRPr="008D6662" w:rsidR="005D61ED">
        <w:rPr>
          <w:rFonts w:ascii="Arial" w:hAnsi="Arial" w:eastAsia="Times New Roman" w:cs="Arial"/>
          <w:lang w:val="es-ES"/>
        </w:rPr>
        <w:t>bajo el actual contexto de niveles</w:t>
      </w:r>
      <w:r w:rsidRPr="008D6662">
        <w:rPr>
          <w:rFonts w:ascii="Arial" w:hAnsi="Arial" w:eastAsia="Times New Roman" w:cs="Arial"/>
          <w:lang w:val="es-ES"/>
        </w:rPr>
        <w:t xml:space="preserve"> moderados de endeudamiento público</w:t>
      </w:r>
      <w:r w:rsidRPr="008D6662" w:rsidR="005D61ED">
        <w:rPr>
          <w:rFonts w:ascii="Arial" w:hAnsi="Arial" w:eastAsia="Times New Roman" w:cs="Arial"/>
          <w:lang w:val="es-ES"/>
        </w:rPr>
        <w:t xml:space="preserve"> y poniendo la mira en los</w:t>
      </w:r>
      <w:r w:rsidRPr="008D6662">
        <w:rPr>
          <w:rFonts w:ascii="Arial" w:hAnsi="Arial" w:eastAsia="Times New Roman" w:cs="Arial"/>
          <w:lang w:val="es-ES"/>
        </w:rPr>
        <w:t xml:space="preserve"> mercados de crédito internacionales. El programa fiscal del Gobierno proyecta un déficit primario de 4,2% del PIB para 2017 que se reduciría a razón de 1% del PIB por año en 2018 y 2019. </w:t>
      </w:r>
      <w:r w:rsidRPr="008D6662" w:rsidR="00D43CDB">
        <w:rPr>
          <w:rFonts w:ascii="Arial" w:hAnsi="Arial" w:eastAsia="Times New Roman" w:cs="Arial"/>
          <w:lang w:val="es-ES"/>
        </w:rPr>
        <w:t xml:space="preserve">El gradualismo fiscal permite una suavización de los costos del ajuste, pero trae aparejado altas necesidades de financiamiento en el corto plazo y alguna vulnerabilidad a shocks adversos en mercados financieros internacionales. La consolidación electoral del Gobierno podría suponer un avance en una agenda de reformas estructurales necesaria para apuntalar el crecimiento de mediano y largo plazo. </w:t>
      </w:r>
      <w:r w:rsidRPr="008D6662" w:rsidR="005D61ED">
        <w:rPr>
          <w:rFonts w:ascii="Arial" w:hAnsi="Arial" w:eastAsia="Times New Roman" w:cs="Arial"/>
          <w:lang w:val="es-ES"/>
        </w:rPr>
        <w:t>Como consecuencia del</w:t>
      </w:r>
      <w:r w:rsidRPr="008D6662">
        <w:rPr>
          <w:rFonts w:ascii="Arial" w:hAnsi="Arial" w:eastAsia="Times New Roman" w:cs="Arial"/>
          <w:lang w:val="es-ES"/>
        </w:rPr>
        <w:t xml:space="preserve"> reducido espacio fiscal</w:t>
      </w:r>
      <w:r w:rsidRPr="008D6662" w:rsidR="005D61ED">
        <w:rPr>
          <w:rFonts w:ascii="Arial" w:hAnsi="Arial" w:eastAsia="Times New Roman" w:cs="Arial"/>
          <w:lang w:val="es-ES"/>
        </w:rPr>
        <w:t xml:space="preserve">, el crecimiento de la inversión pública en infraestructura se ve condicionado </w:t>
      </w:r>
      <w:r w:rsidRPr="008D6662">
        <w:rPr>
          <w:rFonts w:ascii="Arial" w:hAnsi="Arial" w:eastAsia="Times New Roman" w:cs="Arial"/>
          <w:lang w:val="es-ES"/>
        </w:rPr>
        <w:t xml:space="preserve">y es por ello que las autoridades buscan promover la participación del sector privado en estos proyectos de inversión. En este contexto, para 2018 el Gobierno espera fuerte complemento privado (1,6% del PIB) a su programa de inversión pública (1,9% del PIB). </w:t>
      </w:r>
    </w:p>
    <w:p w:rsidRPr="002210AF" w:rsidR="00BC0F90" w:rsidP="559FA22C" w:rsidRDefault="00BC0F90" w14:paraId="1C15D8E4" w14:textId="02600A37" w14:noSpellErr="1">
      <w:pPr>
        <w:pStyle w:val="ListParagraph"/>
        <w:numPr>
          <w:ilvl w:val="1"/>
          <w:numId w:val="4"/>
        </w:numPr>
        <w:tabs>
          <w:tab w:val="clear" w:pos="2448"/>
          <w:tab w:val="num" w:pos="1170"/>
        </w:tabs>
        <w:spacing w:before="120" w:after="120" w:line="240" w:lineRule="auto"/>
        <w:ind w:left="720" w:hanging="720"/>
        <w:contextualSpacing w:val="0"/>
        <w:jc w:val="both"/>
        <w:rPr>
          <w:rFonts w:ascii="Arial" w:hAnsi="Arial" w:cs="Arial"/>
          <w:lang w:val="es-ES"/>
        </w:rPr>
      </w:pPr>
      <w:r w:rsidRPr="559FA22C">
        <w:rPr>
          <w:rFonts w:ascii="Arial" w:hAnsi="Arial" w:eastAsia="Times New Roman" w:cs="Arial"/>
          <w:b w:val="1"/>
          <w:bCs w:val="1"/>
          <w:lang w:val="es-ES"/>
        </w:rPr>
        <w:t>Desarrollo del sistema financiero</w:t>
      </w:r>
      <w:r w:rsidRPr="002210AF">
        <w:rPr>
          <w:rFonts w:ascii="Arial" w:hAnsi="Arial" w:eastAsia="Times New Roman" w:cs="Arial"/>
          <w:lang w:val="es-ES"/>
        </w:rPr>
        <w:t>. El sistema financiero desempeña un papel crucial en el crecimiento de la economía</w:t>
      </w:r>
      <w:r w:rsidRPr="002210AF">
        <w:rPr>
          <w:rFonts w:eastAsia="Times New Roman"/>
          <w:lang w:val="es-ES"/>
        </w:rPr>
        <w:footnoteReference w:id="2"/>
      </w:r>
      <w:r w:rsidRPr="002210AF">
        <w:rPr>
          <w:rFonts w:ascii="Arial" w:hAnsi="Arial" w:eastAsia="Times New Roman" w:cs="Arial"/>
          <w:lang w:val="es-ES"/>
        </w:rPr>
        <w:t>. Para que sea eficiente, el sistema financiero debe, entre otros: (i) canalizar recursos de los ahorrantes hacia inversiones productivas, para estimular el crecimiento económico; (ii) transformar plazos, buscando redireccionar el ahorro de corto plazo hacia inversiones productivas de largo plazo, tales como proyectos de infraestructura; y (iii) atenuar el perfil de riesgo de las inversiones productivas a fin de facilitar la participación de una mayor cantidad y profundidad de inversionistas</w:t>
      </w:r>
      <w:r w:rsidRPr="002210AF">
        <w:rPr>
          <w:rFonts w:ascii="Arial" w:hAnsi="Arial" w:eastAsia="Times New Roman" w:cs="Arial"/>
          <w:lang w:val="es-ES"/>
        </w:rPr>
        <w:footnoteReference w:id="3"/>
      </w:r>
      <w:r w:rsidRPr="002210AF">
        <w:rPr>
          <w:rFonts w:ascii="Arial" w:hAnsi="Arial" w:eastAsia="Times New Roman" w:cs="Arial"/>
          <w:lang w:val="es-ES"/>
        </w:rPr>
        <w:t>.</w:t>
      </w:r>
    </w:p>
    <w:p w:rsidRPr="00BC0F90" w:rsidR="00BC0F90" w:rsidP="559FA22C" w:rsidRDefault="00BC0F90" w14:paraId="0D2E5376" w14:textId="1CA6688B" w14:noSpellErr="1">
      <w:pPr>
        <w:pStyle w:val="ListParagraph"/>
        <w:numPr>
          <w:ilvl w:val="1"/>
          <w:numId w:val="4"/>
        </w:numPr>
        <w:tabs>
          <w:tab w:val="clear" w:pos="2448"/>
          <w:tab w:val="num" w:pos="1170"/>
        </w:tabs>
        <w:spacing w:before="120" w:after="120" w:line="240" w:lineRule="auto"/>
        <w:ind w:left="720" w:hanging="720"/>
        <w:contextualSpacing w:val="0"/>
        <w:jc w:val="both"/>
        <w:rPr>
          <w:rFonts w:ascii="Arial" w:hAnsi="Arial" w:cs="Arial"/>
          <w:lang w:val="es-ES"/>
        </w:rPr>
      </w:pPr>
      <w:r w:rsidRPr="002210AF">
        <w:rPr>
          <w:rFonts w:ascii="Arial" w:hAnsi="Arial" w:eastAsia="Times New Roman" w:cs="Arial"/>
          <w:lang w:val="es-ES"/>
        </w:rPr>
        <w:t xml:space="preserve">Argentina ha venido presentando un bajo nivel de financiamiento al sector privado, mostrando una relación de crédito doméstico al PIB del 14% al 2016, comparado con los niveles presentados en Brasil (62% al 2016), Chile (112% al 2016), </w:t>
      </w:r>
      <w:r w:rsidRPr="002210AF">
        <w:rPr>
          <w:rFonts w:ascii="Arial" w:hAnsi="Arial" w:eastAsia="Times New Roman" w:cs="Arial"/>
          <w:lang w:val="es-ES"/>
        </w:rPr>
        <w:lastRenderedPageBreak/>
        <w:t>Colombia (47% al 2016), México (35% al 2016), Perú (36% al 2016), y la media mundial (132% al 2016)</w:t>
      </w:r>
      <w:r w:rsidRPr="002210AF">
        <w:rPr>
          <w:rFonts w:ascii="Arial" w:hAnsi="Arial" w:eastAsia="Times New Roman" w:cs="Arial"/>
          <w:vertAlign w:val="superscript"/>
          <w:lang w:val="es-ES"/>
        </w:rPr>
        <w:footnoteReference w:id="4"/>
      </w:r>
      <w:r w:rsidRPr="002210AF">
        <w:rPr>
          <w:rFonts w:ascii="Arial" w:hAnsi="Arial" w:eastAsia="Times New Roman" w:cs="Arial"/>
          <w:lang w:val="es-ES"/>
        </w:rPr>
        <w:t>.</w:t>
      </w:r>
    </w:p>
    <w:p w:rsidRPr="00BC0F90" w:rsidR="00BC0F90" w:rsidP="559FA22C" w:rsidRDefault="00BC0F90" w14:paraId="454484EC" w14:textId="77777777" w14:noSpellErr="1">
      <w:pPr>
        <w:pStyle w:val="ListParagraph"/>
        <w:numPr>
          <w:ilvl w:val="1"/>
          <w:numId w:val="4"/>
        </w:numPr>
        <w:tabs>
          <w:tab w:val="clear" w:pos="2448"/>
          <w:tab w:val="num" w:pos="1170"/>
        </w:tabs>
        <w:spacing w:before="120" w:after="120" w:line="240" w:lineRule="auto"/>
        <w:ind w:left="720" w:hanging="720"/>
        <w:contextualSpacing w:val="0"/>
        <w:jc w:val="both"/>
        <w:rPr>
          <w:rFonts w:ascii="Arial" w:hAnsi="Arial" w:cs="Arial"/>
          <w:lang w:val="es-ES"/>
        </w:rPr>
      </w:pPr>
      <w:r w:rsidRPr="002210AF">
        <w:rPr>
          <w:rFonts w:ascii="Arial" w:hAnsi="Arial" w:eastAsia="Times New Roman" w:cs="Arial"/>
          <w:lang w:val="es-ES"/>
        </w:rPr>
        <w:t>El más reciente Reporte de Competitividad Global 2017-2018 del Foro Económico Mundial</w:t>
      </w:r>
      <w:r w:rsidRPr="002210AF">
        <w:rPr>
          <w:rFonts w:ascii="Arial" w:hAnsi="Arial" w:eastAsia="Times New Roman" w:cs="Arial"/>
          <w:vertAlign w:val="superscript"/>
          <w:lang w:val="es-ES"/>
        </w:rPr>
        <w:footnoteReference w:id="5"/>
      </w:r>
      <w:r w:rsidRPr="002210AF">
        <w:rPr>
          <w:rFonts w:ascii="Arial" w:hAnsi="Arial" w:eastAsia="Times New Roman" w:cs="Arial"/>
          <w:lang w:val="es-ES"/>
        </w:rPr>
        <w:t xml:space="preserve"> muestra Argentina en la posición 121 de 137 países observados en cuanto al pilar de desarrollo de los mercados financieros, comparándose desfavorablemente con Brasil (posición 92), Chile (posición 17), Colombia (posición 27), México (posición 36), y Perú (posición 35). En efecto, el país refleja niveles bajos en indicadores que son cruciales para promover el desarrollo productivo, tales como en el acceso de los servicios financieros (posición 130), en los costos de los servicios financieros (posición 124), en el financiamiento de capital a través de los mercados de capitales (posición 106), y 116 en la facilidad para obtener financiamiento (posición 116).</w:t>
      </w:r>
    </w:p>
    <w:p w:rsidRPr="00BC0F90" w:rsidR="00BC0F90" w:rsidP="559FA22C" w:rsidRDefault="00BC0F90" w14:paraId="1877F36C" w14:textId="3BDDB857" w14:noSpellErr="1">
      <w:pPr>
        <w:pStyle w:val="ListParagraph"/>
        <w:numPr>
          <w:ilvl w:val="1"/>
          <w:numId w:val="4"/>
        </w:numPr>
        <w:tabs>
          <w:tab w:val="clear" w:pos="2448"/>
          <w:tab w:val="num" w:pos="1170"/>
        </w:tabs>
        <w:spacing w:before="120" w:after="120" w:line="240" w:lineRule="auto"/>
        <w:ind w:left="720" w:hanging="720"/>
        <w:contextualSpacing w:val="0"/>
        <w:jc w:val="both"/>
        <w:rPr>
          <w:rFonts w:ascii="Arial" w:hAnsi="Arial" w:cs="Arial"/>
          <w:lang w:val="es-ES"/>
        </w:rPr>
      </w:pPr>
      <w:r w:rsidRPr="002210AF">
        <w:rPr>
          <w:rFonts w:ascii="Arial" w:hAnsi="Arial" w:eastAsia="Times New Roman" w:cs="Arial"/>
          <w:u w:val="single"/>
          <w:lang w:val="es-ES"/>
        </w:rPr>
        <w:t>El sistema financiero</w:t>
      </w:r>
      <w:r w:rsidRPr="002210AF">
        <w:rPr>
          <w:rFonts w:ascii="Arial" w:hAnsi="Arial" w:eastAsia="Times New Roman" w:cs="Arial"/>
          <w:lang w:val="es-ES"/>
        </w:rPr>
        <w:t xml:space="preserve"> se ha visto afectado por la situación macroeconómica, y en particular, el control inflacionario con sus efectos asociados sobre las tasas reales, son ingredientes esenciales para establecer bases sólidas sobre las cuales apalancar el crecimiento</w:t>
      </w:r>
      <w:r w:rsidRPr="002210AF">
        <w:rPr>
          <w:lang w:val="es-ES"/>
        </w:rPr>
        <w:footnoteReference w:id="6"/>
      </w:r>
      <w:r w:rsidRPr="002210AF">
        <w:rPr>
          <w:rFonts w:ascii="Arial" w:hAnsi="Arial" w:eastAsia="Times New Roman" w:cs="Arial"/>
          <w:lang w:val="es-ES"/>
        </w:rPr>
        <w:t>. El sistema financiero argentino se contrajo significativamente como consecuencia de la crisis 2001-2002 y, si bien ha crecido en años recientes, se trata de un sistema pequeño, dominado por la banca, y mantiene un perfil transaccional sustentado en un horizonte de corto plazo. Durante la más reciente evaluación de estabilidad del sistema financiero realizada por el Fondo Monetario Internacional</w:t>
      </w:r>
      <w:r w:rsidRPr="002210AF">
        <w:rPr>
          <w:lang w:val="es-ES"/>
        </w:rPr>
        <w:footnoteReference w:id="7"/>
      </w:r>
      <w:r w:rsidRPr="002210AF">
        <w:rPr>
          <w:rFonts w:ascii="Arial" w:hAnsi="Arial" w:eastAsia="Times New Roman" w:cs="Arial"/>
          <w:lang w:val="es-ES"/>
        </w:rPr>
        <w:t>, se constató que el sistema se encuentra líquido, cuenta con una sólida capitalización, y mantiene una buena calidad de activos. De acuerdo con la Superintendencia de Entidades Financieras y Cambiarias</w:t>
      </w:r>
      <w:r w:rsidRPr="002210AF">
        <w:rPr>
          <w:rFonts w:ascii="Arial" w:hAnsi="Arial" w:eastAsia="Times New Roman" w:cs="Arial"/>
          <w:vertAlign w:val="superscript"/>
          <w:lang w:val="es-ES"/>
        </w:rPr>
        <w:footnoteReference w:id="8"/>
      </w:r>
      <w:r w:rsidRPr="002210AF">
        <w:rPr>
          <w:rFonts w:ascii="Arial" w:hAnsi="Arial" w:eastAsia="Times New Roman" w:cs="Arial"/>
          <w:lang w:val="es-ES"/>
        </w:rPr>
        <w:t xml:space="preserve">, el sistema financiero está compuesto por 78 entidades financieras, de las cuales hay: (i) 63 bancos, -13 públicos y 50 privados, 33 de capital nacional y 17 de capital extranjero; (ii) 14 compañías financieras; y (iii) 1 caja de crédito. El sistema está compuesto de US$178 mil millones de activos a junio 2017, lo cual representa un crecimiento de 5,9% comparado con </w:t>
      </w:r>
      <w:r w:rsidR="00160729">
        <w:rPr>
          <w:rFonts w:ascii="Arial" w:hAnsi="Arial" w:eastAsia="Times New Roman" w:cs="Arial"/>
          <w:lang w:val="es-ES"/>
        </w:rPr>
        <w:t>lo registrado</w:t>
      </w:r>
      <w:r w:rsidRPr="002210AF">
        <w:rPr>
          <w:rFonts w:ascii="Arial" w:hAnsi="Arial" w:eastAsia="Times New Roman" w:cs="Arial"/>
          <w:lang w:val="es-ES"/>
        </w:rPr>
        <w:t xml:space="preserve"> a diciembre </w:t>
      </w:r>
      <w:r w:rsidR="00160729">
        <w:rPr>
          <w:rFonts w:ascii="Arial" w:hAnsi="Arial" w:eastAsia="Times New Roman" w:cs="Arial"/>
          <w:lang w:val="es-ES"/>
        </w:rPr>
        <w:t xml:space="preserve">de </w:t>
      </w:r>
      <w:r w:rsidRPr="002210AF">
        <w:rPr>
          <w:rFonts w:ascii="Arial" w:hAnsi="Arial" w:eastAsia="Times New Roman" w:cs="Arial"/>
          <w:lang w:val="es-ES"/>
        </w:rPr>
        <w:t>2016</w:t>
      </w:r>
      <w:r w:rsidR="00160729">
        <w:rPr>
          <w:rFonts w:ascii="Arial" w:hAnsi="Arial" w:eastAsia="Times New Roman" w:cs="Arial"/>
          <w:lang w:val="es-ES"/>
        </w:rPr>
        <w:t>,</w:t>
      </w:r>
      <w:r w:rsidRPr="002210AF">
        <w:rPr>
          <w:rFonts w:ascii="Arial" w:hAnsi="Arial" w:eastAsia="Times New Roman" w:cs="Arial"/>
          <w:lang w:val="es-ES"/>
        </w:rPr>
        <w:t xml:space="preserve"> y de un patrimonio de US$21 mil millones a junio 2017. El total de crédito es de US$80 mil millones a junio 2017, comparado con US$72 mil millones a diciembre 2016, lo cual representa un crecimiento de 11% durante este lapso. El crédito representa 45% del total de activos del sistema financiero a junio 2017, lo cual es bajo comparado a los niveles de 69% en Chile</w:t>
      </w:r>
      <w:r w:rsidRPr="002210AF">
        <w:rPr>
          <w:rFonts w:ascii="Arial" w:hAnsi="Arial" w:eastAsia="Times New Roman" w:cs="Arial"/>
          <w:vertAlign w:val="superscript"/>
          <w:lang w:val="es-ES"/>
        </w:rPr>
        <w:footnoteReference w:id="9"/>
      </w:r>
      <w:r w:rsidRPr="002210AF">
        <w:rPr>
          <w:rFonts w:ascii="Arial" w:hAnsi="Arial" w:eastAsia="Times New Roman" w:cs="Arial"/>
          <w:lang w:val="es-ES"/>
        </w:rPr>
        <w:t>, 74% en Colombia</w:t>
      </w:r>
      <w:r w:rsidRPr="002210AF">
        <w:rPr>
          <w:rFonts w:ascii="Arial" w:hAnsi="Arial" w:eastAsia="Times New Roman" w:cs="Arial"/>
          <w:vertAlign w:val="superscript"/>
          <w:lang w:val="es-ES"/>
        </w:rPr>
        <w:footnoteReference w:id="10"/>
      </w:r>
      <w:r w:rsidRPr="002210AF">
        <w:rPr>
          <w:rFonts w:ascii="Arial" w:hAnsi="Arial" w:eastAsia="Times New Roman" w:cs="Arial"/>
          <w:lang w:val="es-ES"/>
        </w:rPr>
        <w:t>, y 69% en Perú</w:t>
      </w:r>
      <w:r w:rsidRPr="002210AF">
        <w:rPr>
          <w:rFonts w:ascii="Arial" w:hAnsi="Arial" w:eastAsia="Times New Roman" w:cs="Arial"/>
          <w:vertAlign w:val="superscript"/>
          <w:lang w:val="es-ES"/>
        </w:rPr>
        <w:footnoteReference w:id="11"/>
      </w:r>
      <w:r w:rsidRPr="002210AF">
        <w:rPr>
          <w:rFonts w:ascii="Arial" w:hAnsi="Arial" w:eastAsia="Times New Roman" w:cs="Arial"/>
          <w:lang w:val="es-ES"/>
        </w:rPr>
        <w:t>.</w:t>
      </w:r>
    </w:p>
    <w:p w:rsidRPr="00BC0F90" w:rsidR="00BC0F90" w:rsidP="559FA22C" w:rsidRDefault="00A55188" w14:paraId="4CC22E81" w14:textId="16D1F2A9">
      <w:pPr>
        <w:pStyle w:val="ListParagraph"/>
        <w:numPr>
          <w:ilvl w:val="1"/>
          <w:numId w:val="4"/>
        </w:numPr>
        <w:tabs>
          <w:tab w:val="clear" w:pos="2448"/>
          <w:tab w:val="num" w:pos="1170"/>
        </w:tabs>
        <w:spacing w:before="120" w:after="120" w:line="240" w:lineRule="auto"/>
        <w:ind w:left="720" w:hanging="720"/>
        <w:contextualSpacing w:val="0"/>
        <w:jc w:val="both"/>
        <w:rPr>
          <w:rFonts w:ascii="Arial" w:hAnsi="Arial" w:cs="Arial"/>
          <w:lang w:val="es-ES"/>
        </w:rPr>
      </w:pPr>
      <w:r w:rsidRPr="002210AF">
        <w:rPr>
          <w:rFonts w:ascii="Arial" w:hAnsi="Arial" w:eastAsia="Times New Roman" w:cs="Arial"/>
          <w:u w:val="single"/>
          <w:lang w:val="es-ES"/>
        </w:rPr>
        <w:t>El mercado de capitales</w:t>
      </w:r>
      <w:r w:rsidRPr="00DA6C67">
        <w:rPr>
          <w:rFonts w:ascii="Arial" w:hAnsi="Arial" w:eastAsia="Times New Roman" w:cs="Arial"/>
          <w:lang w:val="es-ES"/>
        </w:rPr>
        <w:t xml:space="preserve"> en Argentina</w:t>
      </w:r>
      <w:r>
        <w:rPr>
          <w:rFonts w:ascii="Arial" w:hAnsi="Arial" w:eastAsia="Times New Roman" w:cs="Arial"/>
          <w:lang w:val="es-ES"/>
        </w:rPr>
        <w:t>, p</w:t>
      </w:r>
      <w:r w:rsidRPr="002210AF" w:rsidR="00BC0F90">
        <w:rPr>
          <w:rFonts w:ascii="Arial" w:hAnsi="Arial" w:eastAsia="Times New Roman" w:cs="Arial"/>
          <w:lang w:val="es-ES"/>
        </w:rPr>
        <w:t xml:space="preserve">or su parte, también ha mostrado un limitado desarrollo a través del tiempo, con una capitalización de mercado que </w:t>
      </w:r>
      <w:r w:rsidRPr="002210AF" w:rsidR="00BC0F90">
        <w:rPr>
          <w:rFonts w:ascii="Arial" w:hAnsi="Arial" w:eastAsia="Times New Roman" w:cs="Arial"/>
          <w:lang w:val="es-ES"/>
        </w:rPr>
        <w:lastRenderedPageBreak/>
        <w:t>ronda el 10% del PIB</w:t>
      </w:r>
      <w:r w:rsidRPr="559FA22C" w:rsidR="00160729">
        <w:rPr>
          <w:rFonts w:ascii="Arial" w:hAnsi="Arial" w:cs="Arial"/>
          <w:lang w:val="es-ES"/>
        </w:rPr>
        <w:t>, por debajo del promedio de 60% en países de ingreso medio alto</w:t>
      </w:r>
      <w:r w:rsidRPr="559FA22C" w:rsidR="00160729">
        <w:rPr>
          <w:rStyle w:val="FootnoteReference"/>
          <w:rFonts w:ascii="Arial" w:hAnsi="Arial" w:cs="Arial"/>
          <w:lang w:val="es-ES"/>
        </w:rPr>
        <w:footnoteReference w:id="12"/>
      </w:r>
      <w:r w:rsidRPr="002210AF" w:rsidR="00BC0F90">
        <w:rPr>
          <w:rFonts w:ascii="Arial" w:hAnsi="Arial" w:eastAsia="Times New Roman" w:cs="Arial"/>
          <w:lang w:val="es-ES"/>
        </w:rPr>
        <w:t>. Los inversionistas institucionales domésticos se concentran en la Administración Nacional de Seguridad Social (ANSES – fondo público de pensiones), 455 Fondos Comunes de Inversión (FCI) con US$29 mil millones en fondos administrados, y 7 Fondos Comunes de Inversión Cerrados (FCIC) con US$288 millones en fondos administrados. A junio 2017 se registraron US$8 mil millones de obligaciones negociadas, lo cual representa un incremento de 40% sobre el período a junio 2016 cuando se registraron US$5.7 mil. Durante el año 2017, los sectores más dinámicos han sido la construcción, infraestructura, y energía, en los cuales se han colocado US$4,4 mil millones</w:t>
      </w:r>
      <w:r w:rsidRPr="002210AF" w:rsidR="00BC0F90">
        <w:rPr>
          <w:rFonts w:ascii="Arial" w:hAnsi="Arial" w:eastAsia="Times New Roman" w:cs="Arial"/>
          <w:vertAlign w:val="superscript"/>
          <w:lang w:val="es-ES"/>
        </w:rPr>
        <w:footnoteReference w:id="13"/>
      </w:r>
      <w:r w:rsidRPr="002210AF" w:rsidR="00BC0F90">
        <w:rPr>
          <w:rFonts w:ascii="Arial" w:hAnsi="Arial" w:eastAsia="Times New Roman" w:cs="Arial"/>
          <w:lang w:val="es-ES"/>
        </w:rPr>
        <w:t>. Finalmente, es importante señalar que Argentina estuvo ausente de los mercados de capitales internacionales por motivo de los ‘</w:t>
      </w:r>
      <w:proofErr w:type="spellStart"/>
      <w:r w:rsidRPr="002210AF" w:rsidR="00BC0F90">
        <w:rPr>
          <w:rFonts w:ascii="Arial" w:hAnsi="Arial" w:eastAsia="Times New Roman" w:cs="Arial"/>
          <w:lang w:val="es-ES"/>
        </w:rPr>
        <w:t>holdouts</w:t>
      </w:r>
      <w:proofErr w:type="spellEnd"/>
      <w:r w:rsidRPr="002210AF" w:rsidR="00BC0F90">
        <w:rPr>
          <w:rFonts w:ascii="Arial" w:hAnsi="Arial" w:eastAsia="Times New Roman" w:cs="Arial"/>
          <w:lang w:val="es-ES"/>
        </w:rPr>
        <w:t>’ en el pago de algunos bonos internacionales, que recién fue resuelto en el 2016 y le permitió a Argentina recuperar su acceso a financiamiento externo.</w:t>
      </w:r>
    </w:p>
    <w:p w:rsidR="00BC0F90" w:rsidP="559FA22C" w:rsidRDefault="00BC0F90" w14:paraId="706E352B" w14:textId="62713894" w14:noSpellErr="1">
      <w:pPr>
        <w:pStyle w:val="ListParagraph"/>
        <w:numPr>
          <w:ilvl w:val="1"/>
          <w:numId w:val="4"/>
        </w:numPr>
        <w:tabs>
          <w:tab w:val="clear" w:pos="2448"/>
          <w:tab w:val="num" w:pos="1170"/>
        </w:tabs>
        <w:spacing w:before="120" w:after="120" w:line="240" w:lineRule="auto"/>
        <w:ind w:left="720" w:hanging="720"/>
        <w:contextualSpacing w:val="0"/>
        <w:jc w:val="both"/>
        <w:rPr>
          <w:rFonts w:ascii="Arial" w:hAnsi="Arial" w:eastAsia="Times New Roman" w:cs="Arial"/>
          <w:lang w:val="es-ES"/>
        </w:rPr>
      </w:pPr>
      <w:r w:rsidRPr="002210AF">
        <w:rPr>
          <w:rFonts w:ascii="Arial" w:hAnsi="Arial" w:eastAsia="Times New Roman" w:cs="Arial"/>
          <w:lang w:val="es-ES"/>
        </w:rPr>
        <w:t>Para efectos de dinamizar la economía en Argentina, es necesario promover la inversión</w:t>
      </w:r>
      <w:r w:rsidR="00160729">
        <w:rPr>
          <w:rFonts w:ascii="Arial" w:hAnsi="Arial" w:eastAsia="Times New Roman" w:cs="Arial"/>
          <w:lang w:val="es-ES"/>
        </w:rPr>
        <w:t xml:space="preserve"> productiva, particularmente en infraestructura</w:t>
      </w:r>
      <w:r w:rsidRPr="002210AF">
        <w:rPr>
          <w:rFonts w:ascii="Arial" w:hAnsi="Arial" w:eastAsia="Times New Roman" w:cs="Arial"/>
          <w:lang w:val="es-ES"/>
        </w:rPr>
        <w:t>. En este sentido, el gobierno, tomando en cuenta las limitaciones fiscales que hoy en día enfrenta en sus finanzas públicas, reconoce que su capacidad para estimular la inversión pública va tener un impacto limitado en los años por venir. En consecuencia, es entonces indispensable promover la inversión privada de manera a que sea el motor del crecimiento económico en el país. El gobierno, reconociendo el estancamiento relativo de la economía y de la inversión privada</w:t>
      </w:r>
      <w:r w:rsidRPr="002210AF">
        <w:rPr>
          <w:rFonts w:eastAsia="Times New Roman"/>
          <w:lang w:val="es-ES"/>
        </w:rPr>
        <w:footnoteReference w:id="14"/>
      </w:r>
      <w:r w:rsidRPr="002210AF">
        <w:rPr>
          <w:rFonts w:ascii="Arial" w:hAnsi="Arial" w:eastAsia="Times New Roman" w:cs="Arial"/>
          <w:lang w:val="es-ES"/>
        </w:rPr>
        <w:t>, se ha propuesto como parte de sus objetivos de gobierno</w:t>
      </w:r>
      <w:r w:rsidRPr="002210AF">
        <w:rPr>
          <w:rFonts w:eastAsia="Times New Roman"/>
          <w:lang w:val="es-ES"/>
        </w:rPr>
        <w:footnoteReference w:id="15"/>
      </w:r>
      <w:r w:rsidRPr="002210AF">
        <w:rPr>
          <w:rFonts w:ascii="Arial" w:hAnsi="Arial" w:eastAsia="Times New Roman" w:cs="Arial"/>
          <w:lang w:val="es-ES"/>
        </w:rPr>
        <w:t xml:space="preserve"> lograr una estabilidad macroeconómica, fomentar la productividad nacional, y desarrollar la infraestructura.</w:t>
      </w:r>
    </w:p>
    <w:p w:rsidRPr="002210AF" w:rsidR="009A3EF0" w:rsidP="559FA22C" w:rsidRDefault="009A3EF0" w14:paraId="6BDDED63" w14:textId="646C2AAF">
      <w:pPr>
        <w:pStyle w:val="ListParagraph"/>
        <w:numPr>
          <w:ilvl w:val="1"/>
          <w:numId w:val="4"/>
        </w:numPr>
        <w:tabs>
          <w:tab w:val="clear" w:pos="2448"/>
          <w:tab w:val="num" w:pos="1170"/>
        </w:tabs>
        <w:spacing w:before="120" w:after="120" w:line="240" w:lineRule="auto"/>
        <w:ind w:left="720" w:hanging="720"/>
        <w:contextualSpacing w:val="0"/>
        <w:jc w:val="both"/>
        <w:rPr>
          <w:rFonts w:ascii="Arial" w:hAnsi="Arial" w:cs="Arial"/>
          <w:lang w:val="es-ES"/>
        </w:rPr>
      </w:pPr>
      <w:r w:rsidRPr="559FA22C" w:rsidR="559FA22C">
        <w:rPr>
          <w:rFonts w:ascii="Arial" w:hAnsi="Arial" w:eastAsia="Times New Roman" w:cs="Arial"/>
          <w:b w:val="1"/>
          <w:bCs w:val="1"/>
          <w:lang w:val="es-ES"/>
        </w:rPr>
        <w:t>M</w:t>
      </w:r>
      <w:r w:rsidRPr="559FA22C" w:rsidR="559FA22C">
        <w:rPr>
          <w:rFonts w:ascii="Arial" w:hAnsi="Arial" w:eastAsia="Times New Roman" w:cs="Arial"/>
          <w:b w:val="1"/>
          <w:bCs w:val="1"/>
          <w:lang w:val="es-ES"/>
        </w:rPr>
        <w:t>ovilización de recursos</w:t>
      </w:r>
      <w:r w:rsidRPr="559FA22C" w:rsidR="559FA22C">
        <w:rPr>
          <w:rFonts w:ascii="Arial" w:hAnsi="Arial" w:eastAsia="Times New Roman" w:cs="Arial"/>
          <w:b w:val="1"/>
          <w:bCs w:val="1"/>
          <w:lang w:val="es-ES"/>
        </w:rPr>
        <w:t xml:space="preserve"> </w:t>
      </w:r>
      <w:r w:rsidRPr="559FA22C" w:rsidR="559FA22C">
        <w:rPr>
          <w:rFonts w:ascii="Arial" w:hAnsi="Arial" w:eastAsia="Times New Roman" w:cs="Arial"/>
          <w:b w:val="1"/>
          <w:bCs w:val="1"/>
          <w:lang w:val="es-ES"/>
        </w:rPr>
        <w:t xml:space="preserve">privados </w:t>
      </w:r>
      <w:r w:rsidRPr="559FA22C" w:rsidR="559FA22C">
        <w:rPr>
          <w:rFonts w:ascii="Arial" w:hAnsi="Arial" w:eastAsia="Times New Roman" w:cs="Arial"/>
          <w:b w:val="1"/>
          <w:bCs w:val="1"/>
          <w:lang w:val="es-ES"/>
        </w:rPr>
        <w:t xml:space="preserve">para el financiamiento </w:t>
      </w:r>
      <w:r w:rsidRPr="559FA22C" w:rsidR="559FA22C">
        <w:rPr>
          <w:rFonts w:ascii="Arial" w:hAnsi="Arial" w:eastAsia="Times New Roman" w:cs="Arial"/>
          <w:b w:val="1"/>
          <w:bCs w:val="1"/>
          <w:lang w:val="es-ES"/>
        </w:rPr>
        <w:t xml:space="preserve">de la inversión </w:t>
      </w:r>
      <w:r w:rsidRPr="559FA22C" w:rsidR="559FA22C">
        <w:rPr>
          <w:rFonts w:ascii="Arial" w:hAnsi="Arial" w:eastAsia="Times New Roman" w:cs="Arial"/>
          <w:b w:val="1"/>
          <w:bCs w:val="1"/>
          <w:lang w:val="es-ES"/>
        </w:rPr>
        <w:t>productiv</w:t>
      </w:r>
      <w:r w:rsidRPr="559FA22C" w:rsidR="559FA22C">
        <w:rPr>
          <w:rFonts w:ascii="Arial" w:hAnsi="Arial" w:eastAsia="Times New Roman" w:cs="Arial"/>
          <w:b w:val="1"/>
          <w:bCs w:val="1"/>
          <w:lang w:val="es-ES"/>
        </w:rPr>
        <w:t>a</w:t>
      </w:r>
      <w:r w:rsidRPr="559FA22C" w:rsidR="559FA22C">
        <w:rPr>
          <w:rFonts w:ascii="Arial" w:hAnsi="Arial" w:eastAsia="Times New Roman" w:cs="Arial"/>
          <w:lang w:val="es-ES"/>
        </w:rPr>
        <w:t xml:space="preserve">. </w:t>
      </w:r>
      <w:r w:rsidRPr="559FA22C" w:rsidR="559FA22C">
        <w:rPr>
          <w:rFonts w:ascii="Arial" w:hAnsi="Arial" w:eastAsia="Times New Roman" w:cs="Arial"/>
          <w:lang w:val="es-ES"/>
        </w:rPr>
        <w:t>Como se ha mencionado anteriormente, hoy en día el mercado doméstico está centrado en el corto y mediano plazo, y no tiene suficiente capacidad de absorción para atender las necesidades de financiamiento del país. Por su parte, las fuentes de financiamiento internacionales son escasas, recién se vienen reincorporando gradualmente al país luego del arreglo con los ‘</w:t>
      </w:r>
      <w:proofErr w:type="spellStart"/>
      <w:r w:rsidRPr="559FA22C" w:rsidR="559FA22C">
        <w:rPr>
          <w:rFonts w:ascii="Arial" w:hAnsi="Arial" w:eastAsia="Times New Roman" w:cs="Arial"/>
          <w:i w:val="1"/>
          <w:iCs w:val="1"/>
          <w:lang w:val="es-ES"/>
        </w:rPr>
        <w:t>holdouts</w:t>
      </w:r>
      <w:proofErr w:type="spellEnd"/>
      <w:r w:rsidRPr="559FA22C" w:rsidR="559FA22C">
        <w:rPr>
          <w:rFonts w:ascii="Arial" w:hAnsi="Arial" w:eastAsia="Times New Roman" w:cs="Arial"/>
          <w:i w:val="1"/>
          <w:iCs w:val="1"/>
          <w:lang w:val="es-ES"/>
        </w:rPr>
        <w:t>’</w:t>
      </w:r>
      <w:r w:rsidRPr="559FA22C" w:rsidR="559FA22C">
        <w:rPr>
          <w:rFonts w:ascii="Arial" w:hAnsi="Arial" w:eastAsia="Times New Roman" w:cs="Arial"/>
          <w:lang w:val="es-ES"/>
        </w:rPr>
        <w:t xml:space="preserve"> y cuentan un apetito de riesgo limitado.</w:t>
      </w:r>
    </w:p>
    <w:p w:rsidRPr="009A3EF0" w:rsidR="009A3EF0" w:rsidP="559FA22C" w:rsidRDefault="009A3EF0" w14:paraId="3BE8D445" w14:textId="43F5B1EE" w14:noSpellErr="1">
      <w:pPr>
        <w:pStyle w:val="ListParagraph"/>
        <w:numPr>
          <w:ilvl w:val="1"/>
          <w:numId w:val="4"/>
        </w:numPr>
        <w:tabs>
          <w:tab w:val="clear" w:pos="2448"/>
          <w:tab w:val="num" w:pos="1170"/>
        </w:tabs>
        <w:spacing w:before="120" w:after="120" w:line="240" w:lineRule="auto"/>
        <w:ind w:left="720" w:hanging="720"/>
        <w:contextualSpacing w:val="0"/>
        <w:jc w:val="both"/>
        <w:rPr>
          <w:rFonts w:ascii="Arial" w:hAnsi="Arial" w:cs="Arial"/>
          <w:lang w:val="es-ES"/>
        </w:rPr>
      </w:pPr>
      <w:r w:rsidRPr="002210AF">
        <w:rPr>
          <w:rFonts w:ascii="Arial" w:hAnsi="Arial" w:eastAsia="Times New Roman" w:cs="Arial"/>
          <w:lang w:val="es-ES"/>
        </w:rPr>
        <w:t xml:space="preserve">El programa buscará maximizar la cantidad de financiamiento privado que se podrá destinar al desarrollo productivo en Argentina. En efecto, la comunidad internacional ha venido replanteando el tradicional esquema de asistencia oficial de desarrollo en respuesta al establecimiento de las nuevas Metas de Desarrollo Sostenible de las Naciones Unidas en 2015, en donde se centra las intervenciones mediante la movilización de la inversión de todo tipo: público y privado, nacional e internacional, tanto en capital como en capacidad. Para lograr este objetivo, los bancos multilaterales de desarrollo y el Fondo Monetario Internacional proponen un nuevo paradigma de financiamiento en dónde es indispensable priorizar la </w:t>
      </w:r>
      <w:r w:rsidRPr="002210AF">
        <w:rPr>
          <w:rFonts w:ascii="Arial" w:hAnsi="Arial" w:eastAsia="Times New Roman" w:cs="Arial"/>
          <w:lang w:val="es-ES"/>
        </w:rPr>
        <w:lastRenderedPageBreak/>
        <w:t>movilización de recursos de</w:t>
      </w:r>
      <w:r w:rsidR="00402A02">
        <w:rPr>
          <w:rFonts w:ascii="Arial" w:hAnsi="Arial" w:eastAsia="Times New Roman" w:cs="Arial"/>
          <w:lang w:val="es-ES"/>
        </w:rPr>
        <w:t xml:space="preserve">l sector privado </w:t>
      </w:r>
      <w:r w:rsidRPr="002210AF">
        <w:rPr>
          <w:rFonts w:ascii="Arial" w:hAnsi="Arial" w:eastAsia="Times New Roman" w:cs="Arial"/>
          <w:lang w:val="es-ES"/>
        </w:rPr>
        <w:t>a fin de apalancar los escasos recursos que estas instituciones disponen</w:t>
      </w:r>
      <w:r w:rsidRPr="002210AF">
        <w:rPr>
          <w:rFonts w:ascii="Arial" w:hAnsi="Arial" w:eastAsia="Times New Roman" w:cs="Arial"/>
          <w:vertAlign w:val="superscript"/>
          <w:lang w:val="es-ES"/>
        </w:rPr>
        <w:footnoteReference w:id="16"/>
      </w:r>
      <w:r w:rsidR="00E838E1">
        <w:rPr>
          <w:rFonts w:ascii="Arial" w:hAnsi="Arial" w:eastAsia="Times New Roman" w:cs="Arial"/>
          <w:lang w:val="es-ES"/>
        </w:rPr>
        <w:t xml:space="preserve"> </w:t>
      </w:r>
      <w:r w:rsidRPr="002210AF">
        <w:rPr>
          <w:rFonts w:ascii="Arial" w:hAnsi="Arial" w:eastAsia="Times New Roman" w:cs="Arial"/>
          <w:lang w:val="es-ES"/>
        </w:rPr>
        <w:t>.</w:t>
      </w:r>
    </w:p>
    <w:p w:rsidRPr="009A3EF0" w:rsidR="009A3EF0" w:rsidP="559FA22C" w:rsidRDefault="00402A02" w14:paraId="6E2424B8" w14:textId="58852B13" w14:noSpellErr="1">
      <w:pPr>
        <w:pStyle w:val="ListParagraph"/>
        <w:numPr>
          <w:ilvl w:val="1"/>
          <w:numId w:val="4"/>
        </w:numPr>
        <w:tabs>
          <w:tab w:val="clear" w:pos="2448"/>
          <w:tab w:val="num" w:pos="1170"/>
        </w:tabs>
        <w:spacing w:before="120" w:after="120" w:line="240" w:lineRule="auto"/>
        <w:ind w:left="720" w:hanging="720"/>
        <w:contextualSpacing w:val="0"/>
        <w:jc w:val="both"/>
        <w:rPr>
          <w:rFonts w:ascii="Arial" w:hAnsi="Arial" w:cs="Arial"/>
          <w:lang w:val="es-ES"/>
        </w:rPr>
      </w:pPr>
      <w:r w:rsidRPr="559FA22C" w:rsidR="559FA22C">
        <w:rPr>
          <w:rFonts w:ascii="Arial" w:hAnsi="Arial" w:cs="Arial"/>
          <w:lang w:val="es-ES"/>
        </w:rPr>
        <w:t xml:space="preserve">En este sentido, los bancos multilaterales de desarrollo </w:t>
      </w:r>
      <w:r w:rsidRPr="559FA22C" w:rsidR="559FA22C">
        <w:rPr>
          <w:rFonts w:ascii="Arial" w:hAnsi="Arial" w:cs="Arial"/>
          <w:lang w:val="es-ES"/>
        </w:rPr>
        <w:t xml:space="preserve">han ido planteando </w:t>
      </w:r>
      <w:r w:rsidRPr="559FA22C" w:rsidR="559FA22C">
        <w:rPr>
          <w:rFonts w:ascii="Arial" w:hAnsi="Arial" w:cs="Arial"/>
          <w:lang w:val="es-ES"/>
        </w:rPr>
        <w:t>soluciones de financiamiento para el desarrollo que va más allá</w:t>
      </w:r>
      <w:r w:rsidRPr="559FA22C" w:rsidR="559FA22C">
        <w:rPr>
          <w:rFonts w:ascii="Arial" w:hAnsi="Arial" w:cs="Arial"/>
          <w:lang w:val="es-ES"/>
        </w:rPr>
        <w:t xml:space="preserve"> de</w:t>
      </w:r>
      <w:r w:rsidRPr="559FA22C" w:rsidR="559FA22C">
        <w:rPr>
          <w:rFonts w:ascii="Arial" w:hAnsi="Arial" w:cs="Arial"/>
          <w:lang w:val="es-ES"/>
        </w:rPr>
        <w:t xml:space="preserve"> los préstamos tradicionales, </w:t>
      </w:r>
      <w:r w:rsidRPr="559FA22C" w:rsidR="559FA22C">
        <w:rPr>
          <w:rFonts w:ascii="Arial" w:hAnsi="Arial" w:cs="Arial"/>
          <w:lang w:val="es-ES"/>
        </w:rPr>
        <w:t xml:space="preserve">tales como los instrumentos de garantía, </w:t>
      </w:r>
      <w:r w:rsidRPr="559FA22C" w:rsidR="559FA22C">
        <w:rPr>
          <w:rFonts w:ascii="Arial" w:hAnsi="Arial" w:cs="Arial"/>
          <w:lang w:val="es-ES"/>
        </w:rPr>
        <w:t>enfocándose en los siguientes conceptos: (i) sum</w:t>
      </w:r>
      <w:r w:rsidRPr="559FA22C" w:rsidR="559FA22C">
        <w:rPr>
          <w:rFonts w:ascii="Arial" w:hAnsi="Arial" w:cs="Arial"/>
          <w:lang w:val="es-ES"/>
        </w:rPr>
        <w:t>ar</w:t>
      </w:r>
      <w:r w:rsidRPr="559FA22C" w:rsidR="559FA22C">
        <w:rPr>
          <w:rFonts w:ascii="Arial" w:hAnsi="Arial" w:cs="Arial"/>
          <w:lang w:val="es-ES"/>
        </w:rPr>
        <w:t>, agrup</w:t>
      </w:r>
      <w:r w:rsidRPr="559FA22C" w:rsidR="559FA22C">
        <w:rPr>
          <w:rFonts w:ascii="Arial" w:hAnsi="Arial" w:cs="Arial"/>
          <w:lang w:val="es-ES"/>
        </w:rPr>
        <w:t>ar</w:t>
      </w:r>
      <w:r w:rsidRPr="559FA22C" w:rsidR="559FA22C">
        <w:rPr>
          <w:rFonts w:ascii="Arial" w:hAnsi="Arial" w:cs="Arial"/>
          <w:lang w:val="es-ES"/>
        </w:rPr>
        <w:t xml:space="preserve"> y facilit</w:t>
      </w:r>
      <w:r w:rsidRPr="559FA22C" w:rsidR="559FA22C">
        <w:rPr>
          <w:rFonts w:ascii="Arial" w:hAnsi="Arial" w:cs="Arial"/>
          <w:lang w:val="es-ES"/>
        </w:rPr>
        <w:t>ar</w:t>
      </w:r>
      <w:r w:rsidRPr="559FA22C" w:rsidR="559FA22C">
        <w:rPr>
          <w:rFonts w:ascii="Arial" w:hAnsi="Arial" w:cs="Arial"/>
          <w:lang w:val="es-ES"/>
        </w:rPr>
        <w:t xml:space="preserve"> nuevos flujos o mayores resultados con una misma cantidad de recursos; y (ii) gestion</w:t>
      </w:r>
      <w:r w:rsidRPr="559FA22C" w:rsidR="559FA22C">
        <w:rPr>
          <w:rFonts w:ascii="Arial" w:hAnsi="Arial" w:cs="Arial"/>
          <w:lang w:val="es-ES"/>
        </w:rPr>
        <w:t>ar</w:t>
      </w:r>
      <w:r w:rsidRPr="559FA22C" w:rsidR="559FA22C">
        <w:rPr>
          <w:rFonts w:ascii="Arial" w:hAnsi="Arial" w:cs="Arial"/>
          <w:lang w:val="es-ES"/>
        </w:rPr>
        <w:t xml:space="preserve"> o redu</w:t>
      </w:r>
      <w:r w:rsidRPr="559FA22C" w:rsidR="559FA22C">
        <w:rPr>
          <w:rFonts w:ascii="Arial" w:hAnsi="Arial" w:cs="Arial"/>
          <w:lang w:val="es-ES"/>
        </w:rPr>
        <w:t>cir</w:t>
      </w:r>
      <w:r w:rsidRPr="559FA22C" w:rsidR="559FA22C">
        <w:rPr>
          <w:rFonts w:ascii="Arial" w:hAnsi="Arial" w:cs="Arial"/>
          <w:lang w:val="es-ES"/>
        </w:rPr>
        <w:t xml:space="preserve"> el riesgo para inversionistas, atendiendo las fallas de mercado o reduciendo el riesgo regulatorio</w:t>
      </w:r>
      <w:r w:rsidRPr="559FA22C" w:rsidR="559FA22C">
        <w:rPr>
          <w:rFonts w:ascii="Arial" w:hAnsi="Arial" w:eastAsia="Times New Roman" w:cs="Arial"/>
          <w:lang w:val="es-ES"/>
        </w:rPr>
        <w:t>.</w:t>
      </w:r>
    </w:p>
    <w:p w:rsidRPr="002210AF" w:rsidR="009A3EF0" w:rsidP="559FA22C" w:rsidRDefault="009A3EF0" w14:paraId="7BA195E2" w14:textId="037642BB" w14:noSpellErr="1">
      <w:pPr>
        <w:pStyle w:val="ListParagraph"/>
        <w:numPr>
          <w:ilvl w:val="1"/>
          <w:numId w:val="4"/>
        </w:numPr>
        <w:tabs>
          <w:tab w:val="clear" w:pos="2448"/>
          <w:tab w:val="num" w:pos="1170"/>
        </w:tabs>
        <w:spacing w:before="120" w:after="120" w:line="240" w:lineRule="auto"/>
        <w:ind w:left="720" w:hanging="720"/>
        <w:contextualSpacing w:val="0"/>
        <w:jc w:val="both"/>
        <w:rPr>
          <w:rFonts w:ascii="Arial" w:hAnsi="Arial" w:cs="Arial"/>
          <w:lang w:val="es-ES"/>
        </w:rPr>
      </w:pPr>
      <w:r w:rsidRPr="002210AF">
        <w:rPr>
          <w:rFonts w:ascii="Arial" w:hAnsi="Arial" w:eastAsia="Times New Roman" w:cs="Arial"/>
          <w:lang w:val="es-ES"/>
        </w:rPr>
        <w:t>Si bien se ha usado en forma limitada, la experiencia de las garantías ha sido positiva. De acuerdo con la Organización para la Cooperación y el Desarrollo Económicos (OCDE)</w:t>
      </w:r>
      <w:r w:rsidRPr="002210AF">
        <w:rPr>
          <w:lang w:val="es-ES"/>
        </w:rPr>
        <w:footnoteReference w:id="17"/>
      </w:r>
      <w:r w:rsidRPr="002210AF">
        <w:rPr>
          <w:rFonts w:ascii="Arial" w:hAnsi="Arial" w:eastAsia="Times New Roman" w:cs="Arial"/>
          <w:lang w:val="es-ES"/>
        </w:rPr>
        <w:t>, los organismos internacionales de desarrollo movilizaron US$36 mil millones del sector privado entre 2012 y 2014, de los cuales 59% se originaron a través de garantías. De acuerdo con el Banco Mundial</w:t>
      </w:r>
      <w:r w:rsidRPr="002210AF">
        <w:rPr>
          <w:lang w:val="es-ES"/>
        </w:rPr>
        <w:footnoteReference w:id="18"/>
      </w:r>
      <w:r w:rsidRPr="002210AF">
        <w:rPr>
          <w:rFonts w:ascii="Arial" w:hAnsi="Arial" w:eastAsia="Times New Roman" w:cs="Arial"/>
          <w:lang w:val="es-ES"/>
        </w:rPr>
        <w:t>, la demanda por las garantías se origina por (i) percepción de riesgo político; (ii) percepción de riesgo regulatorio y contractual; y (iii) mejoramiento en el acceso y las condiciones a financiamiento en mercados sub-atendidos. No obstante, se trata de un producto de utilización selectiva, pues el Banco Mundial emitió 10 garantías parciales de crédito de 1990 a 2007. Estas 10 garantías se emitieron por un monto de US$1.600 millones para cubrir una inversión total de US$12.000 millones, representando un apalancamiento de 7 veces. Además, permitieron acceder a un plazo mayor, pues en el caso de Filipinas y China se llegó a un plazo de 15 años, casi el doble de lo que ofrecía el mercado, pero sin mayor efecto en el costo</w:t>
      </w:r>
      <w:r w:rsidR="00402A02">
        <w:rPr>
          <w:rFonts w:ascii="Arial" w:hAnsi="Arial" w:eastAsia="Times New Roman" w:cs="Arial"/>
          <w:lang w:val="es-ES"/>
        </w:rPr>
        <w:t xml:space="preserve"> financiero. </w:t>
      </w:r>
      <w:r w:rsidRPr="559FA22C" w:rsidR="00402A02">
        <w:rPr>
          <w:rFonts w:ascii="Arial" w:hAnsi="Arial" w:cs="Arial"/>
          <w:lang w:val="es-ES"/>
        </w:rPr>
        <w:t>En otros casos, como los de Líbano, Jordania y Tailandia, tanto el acceso a mercados que no se habían utilizado anteriormente y una disminución en el costo del financiamiento fueron los efectos positivos, mejorando en tres escalas la calificación de riesgo y generando apetito para el financiamiento en un momento cuando no lo había anteriormente. En Argentina y Colombia, el Banco Mundial emitió garantías basada en políticas, las cuales generaron un apalancamiento de 4,7 veces y 6,3 veces respectivamente. En Argentina, si bien no implicó un ahorro significativo en costo, se logró colocar una emisión por US$1,2 mil millones de financiamiento externo, que no hubiera sido posible sin la garantía. Los beneficios en costos son relativos a la estructura de la emisión, las características de la garantía y el momento que sale al mercado, de acuerdo con una muestra de 7 garantías presentada por el Banco Mundial en su estudio, se evidencia un ahorro promedio ponderado de 100 puntos base relativo al costo financiero y un incremento de 3,8 años en duración relativo al plazo de financiamiento</w:t>
      </w:r>
      <w:r w:rsidRPr="002210AF">
        <w:rPr>
          <w:rFonts w:ascii="Arial" w:hAnsi="Arial" w:eastAsia="Times New Roman" w:cs="Arial"/>
          <w:lang w:val="es-ES"/>
        </w:rPr>
        <w:t>.</w:t>
      </w:r>
    </w:p>
    <w:p w:rsidRPr="009A3EF0" w:rsidR="009A3EF0" w:rsidP="559FA22C" w:rsidRDefault="00F25B50" w14:paraId="010006CD" w14:textId="086452B2" w14:noSpellErr="1">
      <w:pPr>
        <w:pStyle w:val="ListParagraph"/>
        <w:numPr>
          <w:ilvl w:val="1"/>
          <w:numId w:val="4"/>
        </w:numPr>
        <w:tabs>
          <w:tab w:val="clear" w:pos="2448"/>
          <w:tab w:val="num" w:pos="1170"/>
        </w:tabs>
        <w:spacing w:before="120" w:after="120" w:line="240" w:lineRule="auto"/>
        <w:ind w:left="720" w:hanging="720"/>
        <w:contextualSpacing w:val="0"/>
        <w:jc w:val="both"/>
        <w:rPr>
          <w:rFonts w:ascii="Arial" w:hAnsi="Arial" w:cs="Arial"/>
          <w:lang w:val="es-ES"/>
        </w:rPr>
      </w:pPr>
      <w:r w:rsidRPr="559FA22C">
        <w:rPr>
          <w:rFonts w:ascii="Arial" w:hAnsi="Arial" w:cs="Arial"/>
          <w:lang w:val="es-ES"/>
        </w:rPr>
        <w:lastRenderedPageBreak/>
        <w:t xml:space="preserve">En el caso del BID, si bien la experiencia ha sido limitada en el uso de garantías con contragarantía soberana, </w:t>
      </w:r>
      <w:r w:rsidRPr="559FA22C">
        <w:rPr>
          <w:rFonts w:ascii="Arial" w:hAnsi="Arial" w:cs="Arial"/>
          <w:lang w:val="es-ES"/>
        </w:rPr>
        <w:t xml:space="preserve">sí </w:t>
      </w:r>
      <w:r w:rsidRPr="559FA22C">
        <w:rPr>
          <w:rFonts w:ascii="Arial" w:hAnsi="Arial" w:cs="Arial"/>
          <w:lang w:val="es-ES"/>
        </w:rPr>
        <w:t>existen lineamientos</w:t>
      </w:r>
      <w:r w:rsidRPr="559FA22C">
        <w:rPr>
          <w:rFonts w:ascii="Arial" w:hAnsi="Arial" w:cs="Arial"/>
          <w:lang w:val="es-ES"/>
        </w:rPr>
        <w:t xml:space="preserve"> internos</w:t>
      </w:r>
      <w:r w:rsidRPr="559FA22C">
        <w:rPr>
          <w:rFonts w:ascii="Arial" w:hAnsi="Arial" w:cs="Arial"/>
          <w:lang w:val="es-ES"/>
        </w:rPr>
        <w:t xml:space="preserve"> para el uso del producto.</w:t>
      </w:r>
      <w:r w:rsidRPr="00F25B50">
        <w:rPr>
          <w:rStyle w:val="FootnoteReference"/>
          <w:rFonts w:ascii="Arial" w:hAnsi="Arial" w:eastAsia="Times New Roman" w:cs="Arial"/>
          <w:lang w:val="es-ES"/>
        </w:rPr>
        <w:t xml:space="preserve"> </w:t>
      </w:r>
      <w:r>
        <w:rPr>
          <w:rStyle w:val="FootnoteReference"/>
          <w:rFonts w:ascii="Arial" w:hAnsi="Arial" w:eastAsia="Times New Roman" w:cs="Arial"/>
          <w:lang w:val="es-ES"/>
        </w:rPr>
        <w:footnoteReference w:id="19"/>
      </w:r>
      <w:r w:rsidRPr="559FA22C">
        <w:rPr>
          <w:rFonts w:ascii="Arial" w:hAnsi="Arial" w:cs="Arial"/>
          <w:lang w:val="es-ES"/>
        </w:rPr>
        <w:t xml:space="preserve"> En el año 2013, el Banco aprobó la Propuesta de política para un instrumento de garantía flexible aplicable a operaciones con garantía soberana (GN-2729-2)</w:t>
      </w:r>
      <w:r>
        <w:rPr>
          <w:rStyle w:val="FootnoteReference"/>
          <w:rFonts w:ascii="Arial" w:hAnsi="Arial" w:cs="Arial"/>
        </w:rPr>
        <w:footnoteReference w:id="20"/>
      </w:r>
      <w:r w:rsidRPr="559FA22C">
        <w:rPr>
          <w:rFonts w:ascii="Arial" w:hAnsi="Arial" w:cs="Arial"/>
          <w:lang w:val="es-ES"/>
        </w:rPr>
        <w:t xml:space="preserve"> para contar con un mecanismo flexible que permitiera usar más estratégicamente los recursos oficiales disponibles para el desarrollo a través de la movilización del financiamiento privado, mediante la diversificación de productos financieros para responder mejor a las necesidades de los países, según se estableció en el Informe sobre el Noveno Aumento General de Recursos del Banco Interamericano de Desarrollo (AB-2764) y de innovaciones en los productos de participación conjunta del Banco y el diseño y aplicación de productos y servicios financieros y no financieros y diferentes modalidades de participación en actividades con una base de clientes muy variada según se establece en la Agenda para un Banco Mejor, entre otros.</w:t>
      </w:r>
    </w:p>
    <w:p w:rsidRPr="00FF76FA" w:rsidR="00FF76FA" w:rsidP="559FA22C" w:rsidRDefault="00FF76FA" w14:paraId="367AAD6D" w14:noSpellErr="1" w14:textId="7D4EBE0B">
      <w:pPr>
        <w:pStyle w:val="ListParagraph"/>
        <w:numPr>
          <w:ilvl w:val="1"/>
          <w:numId w:val="4"/>
        </w:numPr>
        <w:tabs>
          <w:tab w:val="clear" w:pos="2448"/>
          <w:tab w:val="num" w:pos="1170"/>
        </w:tabs>
        <w:spacing w:before="120" w:after="120" w:line="240" w:lineRule="auto"/>
        <w:ind w:left="720" w:hanging="720"/>
        <w:contextualSpacing w:val="0"/>
        <w:jc w:val="both"/>
        <w:rPr>
          <w:rFonts w:ascii="Arial" w:hAnsi="Arial" w:cs="Arial"/>
          <w:lang w:val="es-ES"/>
        </w:rPr>
      </w:pPr>
      <w:r>
        <w:rPr>
          <w:rFonts w:ascii="Arial" w:hAnsi="Arial" w:eastAsia="Times New Roman" w:cs="Arial"/>
          <w:lang w:val="es-ES"/>
        </w:rPr>
        <w:t>E</w:t>
      </w:r>
      <w:r w:rsidRPr="002210AF">
        <w:rPr>
          <w:rFonts w:ascii="Arial" w:hAnsi="Arial" w:eastAsia="Times New Roman" w:cs="Arial"/>
          <w:lang w:val="es-ES"/>
        </w:rPr>
        <w:t>l programa propone establecer una facilidad</w:t>
      </w:r>
      <w:r w:rsidRPr="002210AF">
        <w:rPr>
          <w:rFonts w:ascii="Arial" w:hAnsi="Arial" w:eastAsia="Times New Roman" w:cs="Arial"/>
          <w:lang w:val="es-ES"/>
        </w:rPr>
        <w:t xml:space="preserve"> flexible</w:t>
      </w:r>
      <w:r w:rsidRPr="002210AF">
        <w:rPr>
          <w:rFonts w:ascii="Arial" w:hAnsi="Arial" w:eastAsia="Times New Roman" w:cs="Arial"/>
          <w:lang w:val="es-ES"/>
        </w:rPr>
        <w:t xml:space="preserve"> de mitigación de riesgos de naturaleza pública por hasta US$4</w:t>
      </w:r>
      <w:r w:rsidR="00E524F8">
        <w:rPr>
          <w:rFonts w:ascii="Arial" w:hAnsi="Arial" w:eastAsia="Times New Roman" w:cs="Arial"/>
          <w:lang w:val="es-ES"/>
        </w:rPr>
        <w:t>9</w:t>
      </w:r>
      <w:r w:rsidRPr="002210AF">
        <w:rPr>
          <w:rFonts w:ascii="Arial" w:hAnsi="Arial" w:eastAsia="Times New Roman" w:cs="Arial"/>
          <w:lang w:val="es-ES"/>
        </w:rPr>
        <w:t>0 millones, para facilitar la inversión privada en el desarrollo productivo</w:t>
      </w:r>
      <w:r w:rsidR="00402A02">
        <w:rPr>
          <w:rFonts w:ascii="Arial" w:hAnsi="Arial" w:eastAsia="Times New Roman" w:cs="Arial"/>
          <w:lang w:val="es-ES"/>
        </w:rPr>
        <w:t xml:space="preserve"> a través de garantías</w:t>
      </w:r>
      <w:r w:rsidRPr="002210AF">
        <w:rPr>
          <w:rFonts w:ascii="Arial" w:hAnsi="Arial" w:eastAsia="Times New Roman" w:cs="Arial"/>
          <w:lang w:val="es-ES"/>
        </w:rPr>
        <w:t>. Dicho apoyo se instrumentará mediante garantías parciales de crédito que cuenten con la garantía soberana de la República Argentina de acuerdo con las necesidades de los proyectos identificados, de los inversionistas potenciales, y de los instrumentos a garantizar para cumplir con el objetivo del programa. Con el fin de atraer nuevos inversionistas potenciales con vocación ambiental</w:t>
      </w:r>
      <w:r w:rsidRPr="002210AF">
        <w:rPr>
          <w:rFonts w:ascii="Arial" w:hAnsi="Arial" w:eastAsia="Times New Roman" w:cs="Arial"/>
          <w:vertAlign w:val="superscript"/>
          <w:lang w:val="es-ES"/>
        </w:rPr>
        <w:footnoteReference w:id="21"/>
      </w:r>
      <w:r w:rsidRPr="002210AF">
        <w:rPr>
          <w:rFonts w:ascii="Arial" w:hAnsi="Arial" w:eastAsia="Times New Roman" w:cs="Arial"/>
          <w:lang w:val="es-ES"/>
        </w:rPr>
        <w:t xml:space="preserve"> también se explorarán opciones que pueden brindar inversiones de bajo impacto de carbono y resiliente al cambio climático, lo cual a su vez permitirá generar costos de operación más bajos durante la vida de la inversión y reducir los riesgos</w:t>
      </w:r>
      <w:r w:rsidRPr="002210AF">
        <w:rPr>
          <w:rFonts w:ascii="Arial" w:hAnsi="Arial" w:eastAsia="Times New Roman" w:cs="Arial"/>
          <w:vertAlign w:val="superscript"/>
          <w:lang w:val="es-ES"/>
        </w:rPr>
        <w:footnoteReference w:id="22"/>
      </w:r>
      <w:r w:rsidRPr="002210AF">
        <w:rPr>
          <w:rFonts w:ascii="Arial" w:hAnsi="Arial" w:eastAsia="Times New Roman" w:cs="Arial"/>
          <w:lang w:val="es-ES"/>
        </w:rPr>
        <w:t>.</w:t>
      </w:r>
    </w:p>
    <w:p w:rsidR="00C501E4" w:rsidP="559FA22C" w:rsidRDefault="00A55188" w14:paraId="46C309CE" w14:textId="0221DF9D" w14:noSpellErr="1">
      <w:pPr>
        <w:pStyle w:val="ListParagraph"/>
        <w:numPr>
          <w:ilvl w:val="1"/>
          <w:numId w:val="4"/>
        </w:numPr>
        <w:tabs>
          <w:tab w:val="clear" w:pos="2448"/>
          <w:tab w:val="num" w:pos="1170"/>
        </w:tabs>
        <w:spacing w:before="120" w:after="120" w:line="240" w:lineRule="auto"/>
        <w:ind w:left="720" w:hanging="720"/>
        <w:contextualSpacing w:val="0"/>
        <w:jc w:val="both"/>
        <w:rPr>
          <w:rFonts w:ascii="Arial" w:hAnsi="Arial" w:eastAsia="Times New Roman" w:cs="Arial"/>
          <w:lang w:val="es-ES"/>
        </w:rPr>
      </w:pPr>
      <w:r w:rsidRPr="559FA22C">
        <w:rPr>
          <w:rFonts w:ascii="Arial" w:hAnsi="Arial" w:eastAsia="Times New Roman" w:cs="Arial"/>
          <w:b w:val="1"/>
          <w:bCs w:val="1"/>
          <w:lang w:val="es-ES"/>
        </w:rPr>
        <w:t>La infraestructura como destino de la inversión productiva.</w:t>
      </w:r>
      <w:r w:rsidRPr="00734002">
        <w:rPr>
          <w:rFonts w:ascii="Arial" w:hAnsi="Arial" w:eastAsia="Times New Roman" w:cs="Arial"/>
          <w:lang w:val="es-ES"/>
        </w:rPr>
        <w:t xml:space="preserve"> La infraestructura es un factor esencial para incrementar la productividad, el crecimiento y el desarrollo de un país y, por ende, su competitividad.</w:t>
      </w:r>
      <w:r w:rsidR="00734002">
        <w:rPr>
          <w:rFonts w:ascii="Arial" w:hAnsi="Arial" w:eastAsia="Times New Roman" w:cs="Arial"/>
          <w:lang w:val="es-ES"/>
        </w:rPr>
        <w:t xml:space="preserve"> </w:t>
      </w:r>
      <w:r w:rsidRPr="00C501E4" w:rsidR="00B4066E">
        <w:rPr>
          <w:rFonts w:ascii="Arial" w:hAnsi="Arial" w:eastAsia="Times New Roman" w:cs="Arial"/>
          <w:lang w:val="es-ES"/>
        </w:rPr>
        <w:t xml:space="preserve">Argentina </w:t>
      </w:r>
      <w:r w:rsidRPr="00C501E4" w:rsidR="00C501E4">
        <w:rPr>
          <w:rFonts w:ascii="Arial" w:hAnsi="Arial" w:eastAsia="Times New Roman" w:cs="Arial"/>
          <w:lang w:val="es-ES"/>
        </w:rPr>
        <w:t xml:space="preserve">comparte el </w:t>
      </w:r>
      <w:r w:rsidRPr="00C501E4" w:rsidR="00B4066E">
        <w:rPr>
          <w:rFonts w:ascii="Arial" w:hAnsi="Arial" w:eastAsia="Times New Roman" w:cs="Arial"/>
          <w:lang w:val="es-ES"/>
        </w:rPr>
        <w:t>del contexto regional</w:t>
      </w:r>
      <w:r w:rsidRPr="00C501E4" w:rsidR="00C501E4">
        <w:rPr>
          <w:rFonts w:ascii="Arial" w:hAnsi="Arial" w:eastAsia="Times New Roman" w:cs="Arial"/>
          <w:lang w:val="es-ES"/>
        </w:rPr>
        <w:t xml:space="preserve"> de Latinoamérica y Caribe</w:t>
      </w:r>
      <w:r w:rsidRPr="00C501E4" w:rsidR="00B4066E">
        <w:rPr>
          <w:rFonts w:ascii="Arial" w:hAnsi="Arial" w:eastAsia="Times New Roman" w:cs="Arial"/>
          <w:lang w:val="es-ES"/>
        </w:rPr>
        <w:t xml:space="preserve">, </w:t>
      </w:r>
      <w:r w:rsidRPr="00C501E4" w:rsidR="00C501E4">
        <w:rPr>
          <w:rFonts w:ascii="Arial" w:hAnsi="Arial" w:eastAsia="Times New Roman" w:cs="Arial"/>
          <w:lang w:val="es-ES"/>
        </w:rPr>
        <w:t>presentando en todo caso</w:t>
      </w:r>
      <w:r w:rsidRPr="00C501E4" w:rsidR="00B4066E">
        <w:rPr>
          <w:rFonts w:ascii="Arial" w:hAnsi="Arial" w:eastAsia="Times New Roman" w:cs="Arial"/>
          <w:lang w:val="es-ES"/>
        </w:rPr>
        <w:t xml:space="preserve"> una problemática más acuciante en términos de un déficit en la infraestructura de calidad. De acuerdo con la trayectoria reciente, Argentina registró una inversión en infraestructura alrededor de 2% del PIB entre los años 2008 y 2015</w:t>
      </w:r>
      <w:r w:rsidRPr="00C501E4" w:rsidR="00C501E4">
        <w:rPr>
          <w:rFonts w:ascii="Arial" w:hAnsi="Arial" w:eastAsia="Times New Roman" w:cs="Arial"/>
          <w:lang w:val="es-ES"/>
        </w:rPr>
        <w:t>-</w:t>
      </w:r>
      <w:r w:rsidRPr="00C501E4" w:rsidR="00C501E4">
        <w:rPr>
          <w:rStyle w:val="FootnoteReference"/>
          <w:rFonts w:ascii="Arial" w:hAnsi="Arial" w:eastAsia="Times New Roman" w:cs="Arial"/>
          <w:lang w:val="es-ES"/>
        </w:rPr>
        <w:footnoteReference w:id="23"/>
      </w:r>
      <w:r w:rsidR="00E838E1">
        <w:rPr>
          <w:rFonts w:ascii="Arial" w:hAnsi="Arial" w:eastAsia="Times New Roman" w:cs="Arial"/>
          <w:lang w:val="es-ES"/>
        </w:rPr>
        <w:t xml:space="preserve"> </w:t>
      </w:r>
      <w:r w:rsidRPr="00C501E4" w:rsidR="00C501E4">
        <w:rPr>
          <w:rFonts w:ascii="Arial" w:hAnsi="Arial" w:eastAsia="Times New Roman" w:cs="Arial"/>
          <w:lang w:val="es-ES"/>
        </w:rPr>
        <w:t>, lejos del al 5% que se estima sería necesario para cerrar la brecha de infraestructura, y aún más alejado de los niveles de inversión de las economías emergentes asiáticas-</w:t>
      </w:r>
      <w:r w:rsidRPr="00C501E4" w:rsidR="00B4066E">
        <w:rPr>
          <w:rFonts w:ascii="Arial" w:hAnsi="Arial" w:eastAsia="Times New Roman" w:cs="Arial"/>
          <w:lang w:val="es-ES"/>
        </w:rPr>
        <w:t>, del cual únicamente se registró entre 18% y 30% de inversión privada.</w:t>
      </w:r>
      <w:r w:rsidRPr="00C501E4" w:rsidR="0017337B">
        <w:rPr>
          <w:rStyle w:val="FootnoteReference"/>
          <w:rFonts w:ascii="Arial" w:hAnsi="Arial" w:eastAsia="Times New Roman" w:cs="Arial"/>
          <w:lang w:val="es-ES"/>
        </w:rPr>
        <w:footnoteReference w:id="24"/>
      </w:r>
      <w:r w:rsidRPr="00C501E4" w:rsidR="00B4066E">
        <w:rPr>
          <w:rFonts w:ascii="Arial" w:hAnsi="Arial" w:eastAsia="Times New Roman" w:cs="Arial"/>
          <w:lang w:val="es-ES"/>
        </w:rPr>
        <w:t xml:space="preserve"> </w:t>
      </w:r>
      <w:r w:rsidR="00C501E4">
        <w:rPr>
          <w:rFonts w:ascii="Arial" w:hAnsi="Arial" w:eastAsia="Times New Roman" w:cs="Arial"/>
          <w:lang w:val="es-ES"/>
        </w:rPr>
        <w:t xml:space="preserve">Hay que señalar además que en épocas de </w:t>
      </w:r>
      <w:r w:rsidRPr="008D6662" w:rsidR="00C501E4">
        <w:rPr>
          <w:rFonts w:ascii="Arial" w:hAnsi="Arial" w:eastAsia="Times New Roman" w:cs="Arial"/>
          <w:lang w:val="es-ES"/>
        </w:rPr>
        <w:t>crisis, el gasto en capital tiende a recortarse en mayor medida que el gasto corriente; lo que supone que, además de que la inversión púbica no es suficiente para cerrar la brecha, se encuentra fuertemente condicionada por la situación económica</w:t>
      </w:r>
      <w:r w:rsidR="00C501E4">
        <w:rPr>
          <w:rFonts w:ascii="Arial" w:hAnsi="Arial" w:eastAsia="Times New Roman" w:cs="Arial"/>
          <w:lang w:val="es-ES"/>
        </w:rPr>
        <w:t xml:space="preserve">. De este modo se incide en </w:t>
      </w:r>
      <w:r w:rsidR="00C501E4">
        <w:rPr>
          <w:rFonts w:ascii="Arial" w:hAnsi="Arial" w:eastAsia="Times New Roman" w:cs="Arial"/>
          <w:lang w:val="es-ES"/>
        </w:rPr>
        <w:lastRenderedPageBreak/>
        <w:t xml:space="preserve">que el reto </w:t>
      </w:r>
      <w:r w:rsidRPr="008D6662" w:rsidR="00C501E4">
        <w:rPr>
          <w:rFonts w:ascii="Arial" w:hAnsi="Arial" w:eastAsia="Times New Roman" w:cs="Arial"/>
          <w:lang w:val="es-ES"/>
        </w:rPr>
        <w:t>que se plantea es aumentar la inversión total, pasando necesariamente por la movilización de nuevos agentes privados y el diseño e incorporación de nuevas formas de financiación, particularmente las participaciones público-privadas.</w:t>
      </w:r>
      <w:r w:rsidR="00C501E4">
        <w:rPr>
          <w:rFonts w:ascii="Arial" w:hAnsi="Arial" w:eastAsia="Times New Roman" w:cs="Arial"/>
          <w:lang w:val="es-ES"/>
        </w:rPr>
        <w:t xml:space="preserve"> </w:t>
      </w:r>
    </w:p>
    <w:p w:rsidRPr="00C501E4" w:rsidR="00B4066E" w:rsidP="559FA22C" w:rsidRDefault="00C501E4" w14:paraId="1CB3D30F" w14:textId="4345E583">
      <w:pPr>
        <w:pStyle w:val="ListParagraph"/>
        <w:numPr>
          <w:ilvl w:val="1"/>
          <w:numId w:val="4"/>
        </w:numPr>
        <w:tabs>
          <w:tab w:val="clear" w:pos="2448"/>
          <w:tab w:val="num" w:pos="1170"/>
        </w:tabs>
        <w:spacing w:before="120" w:after="120" w:line="240" w:lineRule="auto"/>
        <w:ind w:left="720" w:hanging="720"/>
        <w:contextualSpacing w:val="0"/>
        <w:jc w:val="both"/>
        <w:rPr>
          <w:rFonts w:ascii="Arial" w:hAnsi="Arial" w:eastAsia="Times New Roman" w:cs="Arial"/>
          <w:lang w:val="es-ES"/>
        </w:rPr>
      </w:pPr>
      <w:r>
        <w:rPr>
          <w:rFonts w:ascii="Arial" w:hAnsi="Arial" w:eastAsia="Times New Roman" w:cs="Arial"/>
          <w:lang w:val="es-ES"/>
        </w:rPr>
        <w:t xml:space="preserve">Otros indicadores esenciales de la dotación y calidad de la infraestructura apoyan esta tesis de deficiencias en infraestructura en Argentina. </w:t>
      </w:r>
      <w:r w:rsidRPr="00C501E4" w:rsidR="00B4066E">
        <w:rPr>
          <w:rFonts w:ascii="Arial" w:hAnsi="Arial" w:eastAsia="Times New Roman" w:cs="Arial"/>
          <w:lang w:val="es-ES"/>
        </w:rPr>
        <w:t>De acuerd</w:t>
      </w:r>
      <w:r w:rsidRPr="00C501E4" w:rsidR="00D43CDB">
        <w:rPr>
          <w:rFonts w:ascii="Arial" w:hAnsi="Arial" w:eastAsia="Times New Roman" w:cs="Arial"/>
          <w:lang w:val="es-ES"/>
        </w:rPr>
        <w:t>o con el Foro Económico Mundial (2017)</w:t>
      </w:r>
      <w:r w:rsidRPr="00C501E4" w:rsidR="00B4066E">
        <w:rPr>
          <w:rFonts w:ascii="Arial" w:hAnsi="Arial" w:eastAsia="Times New Roman" w:cs="Arial"/>
          <w:lang w:val="es-ES"/>
        </w:rPr>
        <w:t>, Argentina ocupa la posición 106 de 137 países encuestados en calidad de infraestructura, con particular deficiencia en los corredores viales (posición 96 de 137) y abastecimiento de electricidad (posición 113 de 137).</w:t>
      </w:r>
      <w:r w:rsidRPr="00C501E4" w:rsidR="00FA3BA7">
        <w:rPr>
          <w:rStyle w:val="FootnoteReference"/>
          <w:rFonts w:ascii="Arial" w:hAnsi="Arial" w:eastAsia="Times New Roman" w:cs="Arial"/>
          <w:lang w:val="es-ES"/>
        </w:rPr>
        <w:footnoteReference w:id="25"/>
      </w:r>
      <w:r w:rsidRPr="00C501E4" w:rsidR="00B4066E">
        <w:rPr>
          <w:rFonts w:ascii="Arial" w:hAnsi="Arial" w:eastAsia="Times New Roman" w:cs="Arial"/>
          <w:lang w:val="es-ES"/>
        </w:rPr>
        <w:t xml:space="preserve"> De manera similar, el </w:t>
      </w:r>
      <w:proofErr w:type="spellStart"/>
      <w:r w:rsidRPr="559FA22C" w:rsidR="00B4066E">
        <w:rPr>
          <w:rFonts w:ascii="Arial" w:hAnsi="Arial" w:eastAsia="Times New Roman" w:cs="Arial"/>
          <w:i w:val="1"/>
          <w:iCs w:val="1"/>
          <w:lang w:val="es-ES"/>
        </w:rPr>
        <w:t>Logistics</w:t>
      </w:r>
      <w:proofErr w:type="spellEnd"/>
      <w:r w:rsidRPr="559FA22C" w:rsidR="00B4066E">
        <w:rPr>
          <w:rFonts w:ascii="Arial" w:hAnsi="Arial" w:eastAsia="Times New Roman" w:cs="Arial"/>
          <w:i w:val="1"/>
          <w:iCs w:val="1"/>
          <w:lang w:val="es-ES"/>
        </w:rPr>
        <w:t xml:space="preserve"> </w:t>
      </w:r>
      <w:proofErr w:type="spellStart"/>
      <w:r w:rsidRPr="559FA22C" w:rsidR="00B4066E">
        <w:rPr>
          <w:rFonts w:ascii="Arial" w:hAnsi="Arial" w:eastAsia="Times New Roman" w:cs="Arial"/>
          <w:i w:val="1"/>
          <w:iCs w:val="1"/>
          <w:lang w:val="es-ES"/>
        </w:rPr>
        <w:t>Perfomance</w:t>
      </w:r>
      <w:proofErr w:type="spellEnd"/>
      <w:r w:rsidRPr="559FA22C" w:rsidR="00B4066E">
        <w:rPr>
          <w:rFonts w:ascii="Arial" w:hAnsi="Arial" w:eastAsia="Times New Roman" w:cs="Arial"/>
          <w:i w:val="1"/>
          <w:iCs w:val="1"/>
          <w:lang w:val="es-ES"/>
        </w:rPr>
        <w:t xml:space="preserve"> </w:t>
      </w:r>
      <w:proofErr w:type="spellStart"/>
      <w:r w:rsidRPr="559FA22C" w:rsidR="00B4066E">
        <w:rPr>
          <w:rFonts w:ascii="Arial" w:hAnsi="Arial" w:eastAsia="Times New Roman" w:cs="Arial"/>
          <w:i w:val="1"/>
          <w:iCs w:val="1"/>
          <w:lang w:val="es-ES"/>
        </w:rPr>
        <w:t>Index</w:t>
      </w:r>
      <w:proofErr w:type="spellEnd"/>
      <w:r w:rsidRPr="00C501E4" w:rsidR="00B4066E">
        <w:rPr>
          <w:rFonts w:ascii="Arial" w:hAnsi="Arial" w:eastAsia="Times New Roman" w:cs="Arial"/>
          <w:lang w:val="es-ES"/>
        </w:rPr>
        <w:t xml:space="preserve"> del Banco Mundial sitúa a Argentina en el cuarto puesto regional en materia de infraestructura por debajo de México, Brasil y Panamá.</w:t>
      </w:r>
    </w:p>
    <w:p w:rsidRPr="00346E26" w:rsidR="00734002" w:rsidP="559FA22C" w:rsidRDefault="007F1C1B" w14:paraId="468C18C2" w14:textId="688C3138" w14:noSpellErr="1">
      <w:pPr>
        <w:pStyle w:val="ListParagraph"/>
        <w:numPr>
          <w:ilvl w:val="1"/>
          <w:numId w:val="4"/>
        </w:numPr>
        <w:tabs>
          <w:tab w:val="clear" w:pos="2448"/>
          <w:tab w:val="num" w:pos="1170"/>
        </w:tabs>
        <w:spacing w:before="120" w:after="120" w:line="240" w:lineRule="auto"/>
        <w:ind w:left="720" w:hanging="720"/>
        <w:contextualSpacing w:val="0"/>
        <w:jc w:val="both"/>
        <w:rPr>
          <w:rFonts w:ascii="Arial" w:hAnsi="Arial" w:eastAsia="Times New Roman" w:cs="Arial"/>
          <w:lang w:val="es-ES"/>
        </w:rPr>
      </w:pPr>
      <w:r w:rsidRPr="00C501E4">
        <w:rPr>
          <w:rFonts w:ascii="Arial" w:hAnsi="Arial" w:eastAsia="Times New Roman" w:cs="Arial"/>
          <w:lang w:val="es-ES"/>
        </w:rPr>
        <w:t xml:space="preserve">Para hacer frente a la situación anteriormente descrita, el Gobierno de Argentina se ha fijado una ambiciosa agenda de priorización del desarrollo de infraestructura que, debido al reducido espacio fiscal, pasa necesariamente por la inclusión del sector privado en las nuevas inversiones. </w:t>
      </w:r>
      <w:r w:rsidR="00E838E1">
        <w:rPr>
          <w:rFonts w:ascii="Arial" w:hAnsi="Arial" w:eastAsia="Times New Roman" w:cs="Arial"/>
          <w:lang w:val="es-ES"/>
        </w:rPr>
        <w:t>Así</w:t>
      </w:r>
      <w:r w:rsidR="00734002">
        <w:rPr>
          <w:rFonts w:ascii="Arial" w:hAnsi="Arial" w:eastAsia="Times New Roman" w:cs="Arial"/>
          <w:lang w:val="es-ES"/>
        </w:rPr>
        <w:t xml:space="preserve"> pues, </w:t>
      </w:r>
      <w:r w:rsidRPr="0080549D" w:rsidR="00734002">
        <w:rPr>
          <w:rFonts w:ascii="Arial" w:hAnsi="Arial" w:eastAsia="Times New Roman" w:cs="Arial"/>
          <w:lang w:val="es-ES"/>
        </w:rPr>
        <w:t>el Gobierno ha expresado la intención de desarrollar proyectos por una inversión total de US$69 mil millones al 2025</w:t>
      </w:r>
      <w:r w:rsidRPr="002210AF" w:rsidR="00734002">
        <w:rPr>
          <w:rFonts w:ascii="Arial" w:hAnsi="Arial" w:eastAsia="Times New Roman" w:cs="Arial"/>
          <w:vertAlign w:val="superscript"/>
          <w:lang w:val="es-ES"/>
        </w:rPr>
        <w:footnoteReference w:id="26"/>
      </w:r>
      <w:r w:rsidRPr="0080549D" w:rsidR="00734002">
        <w:rPr>
          <w:rFonts w:ascii="Arial" w:hAnsi="Arial" w:eastAsia="Times New Roman" w:cs="Arial"/>
          <w:lang w:val="es-ES"/>
        </w:rPr>
        <w:t>, para lo cual se estima requerir un monto de inversión privada cercano a US$30 mil millones.</w:t>
      </w:r>
      <w:r w:rsidRPr="00734002" w:rsidR="00734002">
        <w:rPr>
          <w:rFonts w:ascii="Arial" w:hAnsi="Arial" w:eastAsia="Times New Roman" w:cs="Arial"/>
          <w:lang w:val="es-ES"/>
        </w:rPr>
        <w:t xml:space="preserve"> </w:t>
      </w:r>
      <w:r w:rsidRPr="00346E26" w:rsidR="00734002">
        <w:rPr>
          <w:rFonts w:ascii="Arial" w:hAnsi="Arial" w:eastAsia="Times New Roman" w:cs="Arial"/>
          <w:lang w:val="es-ES"/>
        </w:rPr>
        <w:t>Ejes identificados como prioritarios en el destino de estas inversiones son: (i) corredores viales; (ii) líneas de transmisión eléctrica; y (iii) generación de energía renovable.</w:t>
      </w:r>
    </w:p>
    <w:p w:rsidRPr="00346E26" w:rsidR="00734002" w:rsidP="559FA22C" w:rsidRDefault="00734002" w14:paraId="079E9A6E" w14:textId="0EAFF557" w14:noSpellErr="1">
      <w:pPr>
        <w:pStyle w:val="ListParagraph"/>
        <w:numPr>
          <w:ilvl w:val="2"/>
          <w:numId w:val="4"/>
        </w:numPr>
        <w:tabs>
          <w:tab w:val="clear" w:pos="2304"/>
        </w:tabs>
        <w:spacing w:before="120" w:after="120" w:line="240" w:lineRule="auto"/>
        <w:ind w:left="1530"/>
        <w:jc w:val="both"/>
        <w:rPr>
          <w:rFonts w:ascii="Arial" w:hAnsi="Arial" w:eastAsia="Times New Roman" w:cs="Arial"/>
          <w:lang w:val="es-ES"/>
        </w:rPr>
      </w:pPr>
      <w:r w:rsidRPr="00346E26">
        <w:rPr>
          <w:rFonts w:ascii="Arial" w:hAnsi="Arial" w:eastAsia="Times New Roman" w:cs="Arial"/>
          <w:u w:val="single"/>
          <w:lang w:val="es-ES"/>
        </w:rPr>
        <w:t>Corredores viales</w:t>
      </w:r>
      <w:r w:rsidRPr="00346E26">
        <w:rPr>
          <w:rFonts w:ascii="Arial" w:hAnsi="Arial" w:eastAsia="Times New Roman" w:cs="Arial"/>
          <w:lang w:val="es-ES"/>
        </w:rPr>
        <w:t xml:space="preserve">: el país presenta </w:t>
      </w:r>
      <w:r w:rsidRPr="559FA22C" w:rsidR="00402A02">
        <w:rPr>
          <w:rFonts w:ascii="Arial" w:hAnsi="Arial" w:cs="Arial"/>
          <w:lang w:val="es-ES"/>
        </w:rPr>
        <w:t>tiene indicadores de transporte significativamente por debajo de los niveles esperados para su nivel de ingreso</w:t>
      </w:r>
      <w:r w:rsidRPr="00346E26">
        <w:rPr>
          <w:rFonts w:ascii="Arial" w:hAnsi="Arial" w:eastAsia="Times New Roman" w:cs="Arial"/>
          <w:lang w:val="es-ES"/>
        </w:rPr>
        <w:t>.</w:t>
      </w:r>
      <w:r w:rsidR="00033284">
        <w:rPr>
          <w:rStyle w:val="FootnoteReference"/>
          <w:rFonts w:ascii="Arial" w:hAnsi="Arial" w:cs="Arial"/>
        </w:rPr>
        <w:footnoteReference w:id="27"/>
      </w:r>
      <w:r w:rsidRPr="00346E26">
        <w:rPr>
          <w:rFonts w:ascii="Arial" w:hAnsi="Arial" w:eastAsia="Times New Roman" w:cs="Arial"/>
          <w:lang w:val="es-ES"/>
        </w:rPr>
        <w:t xml:space="preserve"> En consecuencia, se plantea incrementar la oferta de autopistas en 2.800 kilómetros, de rutas en 4.000 kilómetros y de repavimentar 13.000 kilómetros para el año 2020.</w:t>
      </w:r>
      <w:r w:rsidR="00402A02">
        <w:rPr>
          <w:rFonts w:ascii="Arial" w:hAnsi="Arial" w:eastAsia="Times New Roman" w:cs="Arial"/>
          <w:lang w:val="es-ES"/>
        </w:rPr>
        <w:t xml:space="preserve"> De acuerdo </w:t>
      </w:r>
      <w:r w:rsidR="004622F0">
        <w:rPr>
          <w:rFonts w:ascii="Arial" w:hAnsi="Arial" w:eastAsia="Times New Roman" w:cs="Arial"/>
          <w:lang w:val="es-ES"/>
        </w:rPr>
        <w:t>con la</w:t>
      </w:r>
      <w:r w:rsidR="00402A02">
        <w:rPr>
          <w:rFonts w:ascii="Arial" w:hAnsi="Arial" w:eastAsia="Times New Roman" w:cs="Arial"/>
          <w:lang w:val="es-ES"/>
        </w:rPr>
        <w:t xml:space="preserve"> priorización del Ministerio de Finanzas, éstos serían los primeros proyectos a licitarse bajo esquemas de participación público-privados.</w:t>
      </w:r>
    </w:p>
    <w:p w:rsidRPr="00346E26" w:rsidR="00734002" w:rsidP="559FA22C" w:rsidRDefault="00734002" w14:paraId="6A971A2B" w14:textId="77777777">
      <w:pPr>
        <w:pStyle w:val="ListParagraph"/>
        <w:numPr>
          <w:ilvl w:val="2"/>
          <w:numId w:val="4"/>
        </w:numPr>
        <w:tabs>
          <w:tab w:val="clear" w:pos="2304"/>
        </w:tabs>
        <w:spacing w:before="120" w:after="120" w:line="240" w:lineRule="auto"/>
        <w:ind w:left="1530"/>
        <w:jc w:val="both"/>
        <w:rPr>
          <w:rFonts w:ascii="Arial" w:hAnsi="Arial" w:eastAsia="Times New Roman" w:cs="Arial"/>
          <w:lang w:val="es-ES"/>
        </w:rPr>
      </w:pPr>
      <w:r w:rsidRPr="559FA22C" w:rsidR="559FA22C">
        <w:rPr>
          <w:rFonts w:ascii="Arial" w:hAnsi="Arial" w:eastAsia="Times New Roman" w:cs="Arial"/>
          <w:u w:val="single"/>
          <w:lang w:val="es-ES"/>
        </w:rPr>
        <w:t>Transmisión eléctrica</w:t>
      </w:r>
      <w:r w:rsidRPr="559FA22C" w:rsidR="559FA22C">
        <w:rPr>
          <w:rFonts w:ascii="Arial" w:hAnsi="Arial" w:eastAsia="Times New Roman" w:cs="Arial"/>
          <w:lang w:val="es-ES"/>
        </w:rPr>
        <w:t xml:space="preserve">: el país requiere de inversiones en el sector eléctrico para hacer frente a la demanda de los próximos años y a </w:t>
      </w:r>
      <w:proofErr w:type="spellStart"/>
      <w:r w:rsidRPr="559FA22C" w:rsidR="559FA22C">
        <w:rPr>
          <w:rFonts w:ascii="Arial" w:hAnsi="Arial" w:eastAsia="Times New Roman" w:cs="Arial"/>
          <w:lang w:val="es-ES"/>
        </w:rPr>
        <w:t>descarbonizar</w:t>
      </w:r>
      <w:proofErr w:type="spellEnd"/>
      <w:r w:rsidRPr="559FA22C" w:rsidR="559FA22C">
        <w:rPr>
          <w:rFonts w:ascii="Arial" w:hAnsi="Arial" w:eastAsia="Times New Roman" w:cs="Arial"/>
          <w:lang w:val="es-ES"/>
        </w:rPr>
        <w:t xml:space="preserve"> la matriz energética. Se esperan importantes inversiones en el fortalecimiento y la expansión de líneas de transmisión y estaciones transformadoras en la red de alta tensión en 500kV que contribuirán a mejorar la confiabilidad y estabilidad del sistema, y a la incorporación masiva de proyectos de energía renovable para los próximos años, especialmente de energía eólica y solar fotovoltaica.</w:t>
      </w:r>
    </w:p>
    <w:p w:rsidRPr="00346E26" w:rsidR="00734002" w:rsidP="559FA22C" w:rsidRDefault="00734002" w14:paraId="41D3C3E7" w14:textId="77777777" w14:noSpellErr="1">
      <w:pPr>
        <w:pStyle w:val="ListParagraph"/>
        <w:numPr>
          <w:ilvl w:val="2"/>
          <w:numId w:val="4"/>
        </w:numPr>
        <w:tabs>
          <w:tab w:val="clear" w:pos="2304"/>
        </w:tabs>
        <w:spacing w:before="120" w:after="120" w:line="240" w:lineRule="auto"/>
        <w:ind w:left="1530"/>
        <w:jc w:val="both"/>
        <w:rPr>
          <w:rFonts w:ascii="Arial" w:hAnsi="Arial" w:eastAsia="Times New Roman" w:cs="Arial"/>
          <w:lang w:val="es-ES"/>
        </w:rPr>
      </w:pPr>
      <w:r w:rsidRPr="559FA22C" w:rsidR="559FA22C">
        <w:rPr>
          <w:rFonts w:ascii="Arial" w:hAnsi="Arial" w:eastAsia="Times New Roman" w:cs="Arial"/>
          <w:u w:val="single"/>
          <w:lang w:val="es-ES"/>
        </w:rPr>
        <w:t>Generación de energía renovable</w:t>
      </w:r>
      <w:r w:rsidRPr="559FA22C" w:rsidR="559FA22C">
        <w:rPr>
          <w:rFonts w:ascii="Arial" w:hAnsi="Arial" w:eastAsia="Times New Roman" w:cs="Arial"/>
          <w:lang w:val="es-ES"/>
        </w:rPr>
        <w:t xml:space="preserve">: La energía renovable no convencional representa menos del 2% de la generación dentro matriz eléctrica del país. Para alcanzar las metas previstas de acuerdo a la legislación vigente -se requiere alcanzar un 8% para el 2018 y un 20% para el 2025-, el Gobierno ha lanzado el programa Renovar, habiéndose adjudicado ya 2.425 megavatios de capacidad instalada bajo las rondas 1 y 1.5, y actualmente se encuentra en proceso el Renovar 2.0 a través del cual se </w:t>
      </w:r>
      <w:r w:rsidRPr="559FA22C" w:rsidR="559FA22C">
        <w:rPr>
          <w:rFonts w:ascii="Arial" w:hAnsi="Arial" w:eastAsia="Times New Roman" w:cs="Arial"/>
          <w:lang w:val="es-ES"/>
        </w:rPr>
        <w:t>esperan adjudicar 1.200 megavatios adicionales. La inversión estimada para alcanzar la meta del 2025 se estima en US$20.000 millones.</w:t>
      </w:r>
    </w:p>
    <w:p w:rsidRPr="0080549D" w:rsidR="00734002" w:rsidP="559FA22C" w:rsidRDefault="00734002" w14:paraId="2BF52070" w14:textId="0E05A3A2" w14:noSpellErr="1">
      <w:pPr>
        <w:pStyle w:val="ListParagraph"/>
        <w:numPr>
          <w:ilvl w:val="1"/>
          <w:numId w:val="4"/>
        </w:numPr>
        <w:tabs>
          <w:tab w:val="clear" w:pos="2448"/>
          <w:tab w:val="num" w:pos="1170"/>
        </w:tabs>
        <w:spacing w:before="120" w:after="120" w:line="240" w:lineRule="auto"/>
        <w:ind w:left="720" w:hanging="720"/>
        <w:contextualSpacing w:val="0"/>
        <w:jc w:val="both"/>
        <w:rPr>
          <w:rFonts w:ascii="Arial" w:hAnsi="Arial" w:eastAsia="Times New Roman" w:cs="Arial"/>
          <w:lang w:val="es-ES"/>
        </w:rPr>
      </w:pPr>
      <w:r w:rsidRPr="559FA22C">
        <w:rPr>
          <w:rFonts w:ascii="Arial" w:hAnsi="Arial" w:eastAsia="Times New Roman" w:cs="Arial"/>
          <w:b w:val="1"/>
          <w:bCs w:val="1"/>
          <w:lang w:val="es-ES"/>
        </w:rPr>
        <w:t xml:space="preserve">Limitaciones y barreras a la participación privada en la inversión en infraestructura. </w:t>
      </w:r>
      <w:r w:rsidRPr="0080549D">
        <w:rPr>
          <w:rFonts w:ascii="Arial" w:hAnsi="Arial" w:eastAsia="Times New Roman" w:cs="Arial"/>
          <w:lang w:val="es-ES"/>
        </w:rPr>
        <w:t xml:space="preserve">Cómo se refleja en los párrafos anteriores, el sistema financiero y mercado de capitales doméstico por si solos tienen una capacidad limitada de absorción de inversión, más aún si se considera las necesidades de estructurar financiamiento de largo plazo que tienen los proyectos de infraestructura. </w:t>
      </w:r>
      <w:r w:rsidR="00160729">
        <w:rPr>
          <w:rFonts w:ascii="Arial" w:hAnsi="Arial" w:eastAsia="Times New Roman" w:cs="Arial"/>
          <w:lang w:val="es-ES"/>
        </w:rPr>
        <w:t xml:space="preserve">Al mismo tiempo </w:t>
      </w:r>
      <w:r w:rsidRPr="0080549D">
        <w:rPr>
          <w:rFonts w:ascii="Arial" w:hAnsi="Arial" w:eastAsia="Times New Roman" w:cs="Arial"/>
          <w:lang w:val="es-ES"/>
        </w:rPr>
        <w:t>se identifican importantes barreras que inhiben una participación más contundente por parte del sector: (i) base transaccional de sus operaciones con poca exposición a largo plazo; (ii) normas de riesgo y garantías establecidas por el Banco Central; y (iii) incertidumbre con respecto al costo en el mediano y largo plazo que se traduce a una percepción de riesgo-país.</w:t>
      </w:r>
      <w:r w:rsidRPr="00213D41" w:rsidR="00033284">
        <w:rPr>
          <w:rFonts w:ascii="Arial" w:hAnsi="Arial" w:eastAsia="Times New Roman" w:cs="Arial"/>
          <w:vertAlign w:val="superscript"/>
          <w:lang w:val="es-ES"/>
        </w:rPr>
        <w:footnoteReference w:id="28"/>
      </w:r>
    </w:p>
    <w:p w:rsidRPr="008D6662" w:rsidR="00E1672F" w:rsidP="559FA22C" w:rsidRDefault="003778C0" w14:paraId="071D6D5C" w14:textId="2754372F">
      <w:pPr>
        <w:pStyle w:val="ListParagraph"/>
        <w:numPr>
          <w:ilvl w:val="1"/>
          <w:numId w:val="4"/>
        </w:numPr>
        <w:tabs>
          <w:tab w:val="clear" w:pos="2448"/>
          <w:tab w:val="num" w:pos="1170"/>
        </w:tabs>
        <w:spacing w:before="120" w:after="120" w:line="240" w:lineRule="auto"/>
        <w:ind w:left="720" w:hanging="720"/>
        <w:contextualSpacing w:val="0"/>
        <w:jc w:val="both"/>
        <w:rPr>
          <w:rFonts w:ascii="Arial" w:hAnsi="Arial" w:eastAsia="Times New Roman" w:cs="Arial"/>
          <w:lang w:val="es-ES"/>
        </w:rPr>
      </w:pPr>
      <w:r w:rsidRPr="008D6662">
        <w:rPr>
          <w:rFonts w:ascii="Arial" w:hAnsi="Arial" w:eastAsia="Times New Roman" w:cs="Arial"/>
          <w:lang w:val="es-ES"/>
        </w:rPr>
        <w:t>E</w:t>
      </w:r>
      <w:r w:rsidRPr="008D6662" w:rsidR="00E1672F">
        <w:rPr>
          <w:rFonts w:ascii="Arial" w:hAnsi="Arial" w:eastAsia="Times New Roman" w:cs="Arial"/>
          <w:lang w:val="es-ES"/>
        </w:rPr>
        <w:t xml:space="preserve">l financiamiento privado de la infraestructura </w:t>
      </w:r>
      <w:r w:rsidRPr="008D6662">
        <w:rPr>
          <w:rFonts w:ascii="Arial" w:hAnsi="Arial" w:eastAsia="Times New Roman" w:cs="Arial"/>
          <w:lang w:val="es-ES"/>
        </w:rPr>
        <w:t xml:space="preserve">en LAC </w:t>
      </w:r>
      <w:r w:rsidRPr="008D6662" w:rsidR="00E1672F">
        <w:rPr>
          <w:rFonts w:ascii="Arial" w:hAnsi="Arial" w:eastAsia="Times New Roman" w:cs="Arial"/>
          <w:lang w:val="es-ES"/>
        </w:rPr>
        <w:t xml:space="preserve">ha estado </w:t>
      </w:r>
      <w:r w:rsidRPr="008D6662">
        <w:rPr>
          <w:rFonts w:ascii="Arial" w:hAnsi="Arial" w:eastAsia="Times New Roman" w:cs="Arial"/>
          <w:lang w:val="es-ES"/>
        </w:rPr>
        <w:t>fuertemente</w:t>
      </w:r>
      <w:r w:rsidRPr="008D6662" w:rsidR="00E1672F">
        <w:rPr>
          <w:rFonts w:ascii="Arial" w:hAnsi="Arial" w:eastAsia="Times New Roman" w:cs="Arial"/>
          <w:lang w:val="es-ES"/>
        </w:rPr>
        <w:t xml:space="preserve"> </w:t>
      </w:r>
      <w:r w:rsidRPr="008D6662">
        <w:rPr>
          <w:rFonts w:ascii="Arial" w:hAnsi="Arial" w:eastAsia="Times New Roman" w:cs="Arial"/>
          <w:lang w:val="es-ES"/>
        </w:rPr>
        <w:t>liderado por la banca comercial</w:t>
      </w:r>
      <w:r w:rsidRPr="008D6662" w:rsidR="00E1672F">
        <w:rPr>
          <w:rFonts w:ascii="Arial" w:hAnsi="Arial" w:eastAsia="Times New Roman" w:cs="Arial"/>
          <w:lang w:val="es-ES"/>
        </w:rPr>
        <w:t xml:space="preserve">. En términos generales, dicho financiamiento se ha venido inhibiendo ante un marco regulatorio mundial más estricto, que </w:t>
      </w:r>
      <w:r w:rsidRPr="008D6662" w:rsidR="000C6300">
        <w:rPr>
          <w:rFonts w:ascii="Arial" w:hAnsi="Arial" w:eastAsia="Times New Roman" w:cs="Arial"/>
          <w:lang w:val="es-ES"/>
        </w:rPr>
        <w:t>exige</w:t>
      </w:r>
      <w:r w:rsidRPr="008D6662" w:rsidR="00E1672F">
        <w:rPr>
          <w:rFonts w:ascii="Arial" w:hAnsi="Arial" w:eastAsia="Times New Roman" w:cs="Arial"/>
          <w:lang w:val="es-ES"/>
        </w:rPr>
        <w:t xml:space="preserve"> </w:t>
      </w:r>
      <w:r w:rsidRPr="008D6662">
        <w:rPr>
          <w:rFonts w:ascii="Arial" w:hAnsi="Arial" w:eastAsia="Times New Roman" w:cs="Arial"/>
          <w:lang w:val="es-ES"/>
        </w:rPr>
        <w:t>mayores requerimientos de</w:t>
      </w:r>
      <w:r w:rsidRPr="008D6662" w:rsidR="00E1672F">
        <w:rPr>
          <w:rFonts w:ascii="Arial" w:hAnsi="Arial" w:eastAsia="Times New Roman" w:cs="Arial"/>
          <w:lang w:val="es-ES"/>
        </w:rPr>
        <w:t xml:space="preserve"> capital a los préstamos de mayor plazo y orientados a proyectos, privilegiando otros activos de menor perfil de riesgo con mayor liquidez y un retorno predecible en el corto plazo. Adicionalmente, </w:t>
      </w:r>
      <w:r w:rsidRPr="008D6662">
        <w:rPr>
          <w:rFonts w:ascii="Arial" w:hAnsi="Arial" w:eastAsia="Times New Roman" w:cs="Arial"/>
          <w:lang w:val="es-ES"/>
        </w:rPr>
        <w:t>el sector financiero presenta</w:t>
      </w:r>
      <w:r w:rsidRPr="008D6662" w:rsidR="00E1672F">
        <w:rPr>
          <w:rFonts w:ascii="Arial" w:hAnsi="Arial" w:eastAsia="Times New Roman" w:cs="Arial"/>
          <w:lang w:val="es-ES"/>
        </w:rPr>
        <w:t xml:space="preserve"> una aversión al riesgo de largo plazo que limita el apetito por el financiamiento de infraestructura, en dónde tanto los bancos comerciales como los inversores institucionales no necesariamente tienen las capacidades para poder estructurar los proyectos de acuerdo con sus necesidades de financiamiento. Este problema es particularmente acuciante en Argentina, donde el horizonte de inversión por parte de los actores del sector financiero ha sido en extremo cortoplacista dadas las limitaciones que tienen las instituciones financieras locales, donde se ha manifestado una ausencia de proyectos de inversión </w:t>
      </w:r>
      <w:r w:rsidRPr="008D6662">
        <w:rPr>
          <w:rFonts w:ascii="Arial" w:hAnsi="Arial" w:eastAsia="Times New Roman" w:cs="Arial"/>
          <w:lang w:val="es-ES"/>
        </w:rPr>
        <w:t xml:space="preserve">bancables unido a </w:t>
      </w:r>
      <w:r w:rsidRPr="008D6662" w:rsidR="00E1672F">
        <w:rPr>
          <w:rFonts w:ascii="Arial" w:hAnsi="Arial" w:eastAsia="Times New Roman" w:cs="Arial"/>
          <w:lang w:val="es-ES"/>
        </w:rPr>
        <w:t xml:space="preserve">una carencia de vehículos especializados para financiar </w:t>
      </w:r>
      <w:proofErr w:type="spellStart"/>
      <w:r w:rsidRPr="559FA22C" w:rsidR="00E1672F">
        <w:rPr>
          <w:rFonts w:ascii="Arial" w:hAnsi="Arial" w:eastAsia="Times New Roman" w:cs="Arial"/>
          <w:i w:val="1"/>
          <w:iCs w:val="1"/>
          <w:lang w:val="es-ES"/>
        </w:rPr>
        <w:t>project</w:t>
      </w:r>
      <w:proofErr w:type="spellEnd"/>
      <w:r w:rsidRPr="559FA22C" w:rsidR="00E1672F">
        <w:rPr>
          <w:rFonts w:ascii="Arial" w:hAnsi="Arial" w:eastAsia="Times New Roman" w:cs="Arial"/>
          <w:i w:val="1"/>
          <w:iCs w:val="1"/>
          <w:lang w:val="es-ES"/>
        </w:rPr>
        <w:t xml:space="preserve"> </w:t>
      </w:r>
      <w:proofErr w:type="spellStart"/>
      <w:r w:rsidRPr="559FA22C" w:rsidR="00E1672F">
        <w:rPr>
          <w:rFonts w:ascii="Arial" w:hAnsi="Arial" w:eastAsia="Times New Roman" w:cs="Arial"/>
          <w:i w:val="1"/>
          <w:iCs w:val="1"/>
          <w:lang w:val="es-ES"/>
        </w:rPr>
        <w:t>finance</w:t>
      </w:r>
      <w:proofErr w:type="spellEnd"/>
      <w:r w:rsidRPr="008D6662" w:rsidR="00E1672F">
        <w:rPr>
          <w:rFonts w:ascii="Arial" w:hAnsi="Arial" w:eastAsia="Times New Roman" w:cs="Arial"/>
          <w:lang w:val="es-ES"/>
        </w:rPr>
        <w:t>. El desafío, por tanto, pasa por encontrar instrumentos adecuados que despierten el interés de nuevos actores en el financiamiento de la infraestructura</w:t>
      </w:r>
      <w:r w:rsidRPr="008D6662" w:rsidR="004A57DB">
        <w:rPr>
          <w:rFonts w:ascii="Arial" w:hAnsi="Arial" w:eastAsia="Times New Roman" w:cs="Arial"/>
          <w:lang w:val="es-ES"/>
        </w:rPr>
        <w:t>.</w:t>
      </w:r>
      <w:r w:rsidRPr="002210AF" w:rsidR="00E1672F">
        <w:rPr>
          <w:rFonts w:ascii="Arial" w:hAnsi="Arial" w:eastAsia="Times New Roman" w:cs="Arial"/>
          <w:vertAlign w:val="superscript"/>
          <w:lang w:val="es-ES"/>
        </w:rPr>
        <w:footnoteReference w:id="29"/>
      </w:r>
    </w:p>
    <w:p w:rsidRPr="008D6662" w:rsidR="00E1672F" w:rsidP="559FA22C" w:rsidRDefault="004A57DB" w14:paraId="0EF9099D" w14:textId="77777777">
      <w:pPr>
        <w:pStyle w:val="ListParagraph"/>
        <w:numPr>
          <w:ilvl w:val="1"/>
          <w:numId w:val="4"/>
        </w:numPr>
        <w:tabs>
          <w:tab w:val="clear" w:pos="2448"/>
          <w:tab w:val="num" w:pos="1170"/>
        </w:tabs>
        <w:spacing w:before="120" w:after="120" w:line="240" w:lineRule="auto"/>
        <w:ind w:left="720" w:hanging="720"/>
        <w:contextualSpacing w:val="0"/>
        <w:jc w:val="both"/>
        <w:rPr>
          <w:rFonts w:ascii="Arial" w:hAnsi="Arial" w:eastAsia="Times New Roman" w:cs="Arial"/>
          <w:lang w:val="es-ES"/>
        </w:rPr>
      </w:pPr>
      <w:bookmarkStart w:name="_Hlk497992481" w:id="4"/>
      <w:r w:rsidRPr="559FA22C" w:rsidR="559FA22C">
        <w:rPr>
          <w:rFonts w:ascii="Arial" w:hAnsi="Arial" w:eastAsia="Times New Roman" w:cs="Arial"/>
          <w:lang w:val="es-ES"/>
        </w:rPr>
        <w:t>Como alternativa al financiamiento de la banca comercial, ejercicios recientes</w:t>
      </w:r>
      <w:r w:rsidRPr="559FA22C" w:rsidR="559FA22C">
        <w:rPr>
          <w:rFonts w:ascii="Arial" w:hAnsi="Arial" w:eastAsia="Times New Roman" w:cs="Arial"/>
          <w:lang w:val="es-ES"/>
        </w:rPr>
        <w:t xml:space="preserve"> del BID</w:t>
      </w:r>
      <w:r w:rsidRPr="559FA22C" w:rsidR="559FA22C">
        <w:rPr>
          <w:rFonts w:ascii="Arial" w:hAnsi="Arial" w:eastAsia="Times New Roman" w:cs="Arial"/>
          <w:lang w:val="es-ES"/>
        </w:rPr>
        <w:t xml:space="preserve"> apuntan a una estimulación de la participación de inversionistas institucionales en las inversiones en infraestructura. </w:t>
      </w:r>
      <w:r w:rsidRPr="559FA22C" w:rsidR="559FA22C">
        <w:rPr>
          <w:rFonts w:ascii="Arial" w:hAnsi="Arial" w:eastAsia="Times New Roman" w:cs="Arial"/>
          <w:lang w:val="es-ES"/>
        </w:rPr>
        <w:t xml:space="preserve">En la actualidad, los inversores institucionales representan un porcentaje muy bajo del total de financiamiento de la infraestructura en la región. Los fondos de inversión, los fondos de pensión y las compañías de seguro suponen en conjunto menos del 3% del total del financiamiento. Sin embargo, la infraestructura como clase de activo presenta frecuentemente una serie de características apropiadas para la participación de diversos fondos, al tratarse de: (i) activos de largo plazo con retornos estables -generalmente indexados por la inflación; (ii) flujos de caja predecibles que permiten mayor apalancamiento; y (iii) se alinean a las </w:t>
      </w:r>
      <w:r w:rsidRPr="559FA22C" w:rsidR="559FA22C">
        <w:rPr>
          <w:rFonts w:ascii="Arial" w:hAnsi="Arial" w:eastAsia="Times New Roman" w:cs="Arial"/>
          <w:lang w:val="es-ES"/>
        </w:rPr>
        <w:t>características requeridas para participar de acuerdo a su estructuración legal y los requerimientos regulatorios correspondientes</w:t>
      </w:r>
      <w:r w:rsidRPr="559FA22C" w:rsidR="559FA22C">
        <w:rPr>
          <w:rFonts w:ascii="Arial" w:hAnsi="Arial" w:eastAsia="Times New Roman" w:cs="Arial"/>
          <w:lang w:val="es-ES"/>
        </w:rPr>
        <w:t xml:space="preserve"> (</w:t>
      </w:r>
      <w:proofErr w:type="spellStart"/>
      <w:r w:rsidRPr="559FA22C" w:rsidR="559FA22C">
        <w:rPr>
          <w:rFonts w:ascii="Arial" w:hAnsi="Arial" w:eastAsia="Times New Roman" w:cs="Arial"/>
          <w:lang w:val="es-ES"/>
        </w:rPr>
        <w:t>Serebrisky</w:t>
      </w:r>
      <w:proofErr w:type="spellEnd"/>
      <w:r w:rsidRPr="559FA22C" w:rsidR="559FA22C">
        <w:rPr>
          <w:rFonts w:ascii="Arial" w:hAnsi="Arial" w:eastAsia="Times New Roman" w:cs="Arial"/>
          <w:lang w:val="es-ES"/>
        </w:rPr>
        <w:t xml:space="preserve"> et al., 2015).</w:t>
      </w:r>
    </w:p>
    <w:bookmarkEnd w:id="4"/>
    <w:p w:rsidRPr="002210AF" w:rsidR="00567DFF" w:rsidP="559FA22C" w:rsidRDefault="00CC3E38" w14:paraId="2C0FB664" w14:textId="13869E54">
      <w:pPr>
        <w:pStyle w:val="ListParagraph"/>
        <w:numPr>
          <w:ilvl w:val="1"/>
          <w:numId w:val="4"/>
        </w:numPr>
        <w:tabs>
          <w:tab w:val="clear" w:pos="2448"/>
          <w:tab w:val="num" w:pos="1170"/>
        </w:tabs>
        <w:spacing w:before="120" w:after="120" w:line="240" w:lineRule="auto"/>
        <w:ind w:left="720" w:hanging="720"/>
        <w:contextualSpacing w:val="0"/>
        <w:jc w:val="both"/>
        <w:rPr>
          <w:rFonts w:ascii="Arial" w:hAnsi="Arial" w:cs="Arial"/>
          <w:lang w:val="es-ES"/>
        </w:rPr>
      </w:pPr>
      <w:r w:rsidRPr="559FA22C" w:rsidR="559FA22C">
        <w:rPr>
          <w:rFonts w:ascii="Arial" w:hAnsi="Arial" w:eastAsia="Times New Roman" w:cs="Arial"/>
          <w:lang w:val="es-ES"/>
        </w:rPr>
        <w:t>Bajo el escenario descrito</w:t>
      </w:r>
      <w:r w:rsidRPr="559FA22C" w:rsidR="559FA22C">
        <w:rPr>
          <w:rFonts w:ascii="Arial" w:hAnsi="Arial" w:eastAsia="Times New Roman" w:cs="Arial"/>
          <w:lang w:val="es-ES"/>
        </w:rPr>
        <w:t xml:space="preserve"> de limitada dotación de </w:t>
      </w:r>
      <w:r w:rsidRPr="559FA22C" w:rsidR="559FA22C">
        <w:rPr>
          <w:rFonts w:ascii="Arial" w:hAnsi="Arial" w:eastAsia="Times New Roman" w:cs="Arial"/>
          <w:lang w:val="es-ES"/>
        </w:rPr>
        <w:t>infraestructura</w:t>
      </w:r>
      <w:r w:rsidRPr="559FA22C" w:rsidR="559FA22C">
        <w:rPr>
          <w:rFonts w:ascii="Arial" w:hAnsi="Arial" w:eastAsia="Times New Roman" w:cs="Arial"/>
          <w:lang w:val="es-ES"/>
        </w:rPr>
        <w:t xml:space="preserve"> en contraposición con las limitaciones fiscales que enfrenta el </w:t>
      </w:r>
      <w:r w:rsidRPr="559FA22C" w:rsidR="559FA22C">
        <w:rPr>
          <w:rFonts w:ascii="Arial" w:hAnsi="Arial" w:eastAsia="Times New Roman" w:cs="Arial"/>
          <w:lang w:val="es-ES"/>
        </w:rPr>
        <w:t>país</w:t>
      </w:r>
      <w:r w:rsidRPr="559FA22C" w:rsidR="559FA22C">
        <w:rPr>
          <w:rFonts w:ascii="Arial" w:hAnsi="Arial" w:eastAsia="Times New Roman" w:cs="Arial"/>
          <w:lang w:val="es-ES"/>
        </w:rPr>
        <w:t xml:space="preserve">, </w:t>
      </w:r>
      <w:r w:rsidRPr="559FA22C" w:rsidR="559FA22C">
        <w:rPr>
          <w:rFonts w:ascii="Arial" w:hAnsi="Arial" w:eastAsia="Times New Roman" w:cs="Arial"/>
          <w:lang w:val="es-ES"/>
        </w:rPr>
        <w:t xml:space="preserve">el programa </w:t>
      </w:r>
      <w:r w:rsidRPr="559FA22C" w:rsidR="559FA22C">
        <w:rPr>
          <w:rFonts w:ascii="Arial" w:hAnsi="Arial" w:eastAsia="Times New Roman" w:cs="Arial"/>
          <w:lang w:val="es-ES"/>
        </w:rPr>
        <w:t xml:space="preserve">busca dar respuesta </w:t>
      </w:r>
      <w:r w:rsidRPr="559FA22C" w:rsidR="559FA22C">
        <w:rPr>
          <w:rFonts w:ascii="Arial" w:hAnsi="Arial" w:eastAsia="Times New Roman" w:cs="Arial"/>
          <w:lang w:val="es-ES"/>
        </w:rPr>
        <w:t xml:space="preserve">a la necesidad de movilización de recursos privados </w:t>
      </w:r>
      <w:r w:rsidRPr="559FA22C" w:rsidR="559FA22C">
        <w:rPr>
          <w:rFonts w:ascii="Arial" w:hAnsi="Arial" w:eastAsia="Times New Roman" w:cs="Arial"/>
          <w:lang w:val="es-ES"/>
        </w:rPr>
        <w:t>en Argentina</w:t>
      </w:r>
      <w:r w:rsidRPr="559FA22C" w:rsidR="559FA22C">
        <w:rPr>
          <w:rFonts w:ascii="Arial" w:hAnsi="Arial" w:eastAsia="Times New Roman" w:cs="Arial"/>
          <w:lang w:val="es-ES"/>
        </w:rPr>
        <w:t xml:space="preserve"> gracias a </w:t>
      </w:r>
      <w:r w:rsidRPr="559FA22C" w:rsidR="559FA22C">
        <w:rPr>
          <w:rFonts w:ascii="Arial" w:hAnsi="Arial" w:eastAsia="Times New Roman" w:cs="Arial"/>
          <w:lang w:val="es-ES"/>
        </w:rPr>
        <w:t xml:space="preserve"> </w:t>
      </w:r>
      <w:r w:rsidRPr="559FA22C" w:rsidR="559FA22C">
        <w:rPr>
          <w:rFonts w:ascii="Arial" w:hAnsi="Arial" w:eastAsia="Times New Roman" w:cs="Arial"/>
          <w:lang w:val="es-ES"/>
        </w:rPr>
        <w:t>una herramienta</w:t>
      </w:r>
      <w:r w:rsidRPr="559FA22C" w:rsidR="559FA22C">
        <w:rPr>
          <w:rFonts w:ascii="Arial" w:hAnsi="Arial" w:eastAsia="Times New Roman" w:cs="Arial"/>
          <w:lang w:val="es-ES"/>
        </w:rPr>
        <w:t xml:space="preserve"> flexible de mitigación de riesgos que sirva de estímulo a la participación privada en la inversión de infraestructura en el país</w:t>
      </w:r>
      <w:r w:rsidRPr="559FA22C" w:rsidR="559FA22C">
        <w:rPr>
          <w:rFonts w:ascii="Arial" w:hAnsi="Arial" w:eastAsia="Times New Roman" w:cs="Arial"/>
          <w:lang w:val="es-ES"/>
        </w:rPr>
        <w:t>.</w:t>
      </w:r>
      <w:r w:rsidRPr="559FA22C" w:rsidR="559FA22C">
        <w:rPr>
          <w:rFonts w:ascii="Arial" w:hAnsi="Arial" w:eastAsia="Times New Roman" w:cs="Arial"/>
          <w:lang w:val="es-ES"/>
        </w:rPr>
        <w:t xml:space="preserve"> </w:t>
      </w:r>
      <w:r w:rsidRPr="559FA22C" w:rsidR="559FA22C">
        <w:rPr>
          <w:rFonts w:ascii="Arial" w:hAnsi="Arial" w:eastAsia="Times New Roman" w:cs="Arial"/>
          <w:lang w:val="es-ES"/>
        </w:rPr>
        <w:t xml:space="preserve">En paralelo al programa, el Gobierno de Argentina pretende crear </w:t>
      </w:r>
      <w:r w:rsidRPr="559FA22C" w:rsidR="559FA22C">
        <w:rPr>
          <w:rFonts w:ascii="Arial" w:hAnsi="Arial" w:eastAsia="Times New Roman" w:cs="Arial"/>
          <w:lang w:val="es-ES"/>
        </w:rPr>
        <w:t xml:space="preserve">un nuevo vehículo de financiamiento que optimice la participación del sector privado doméstico e internacional para sustentar un portafolio significativo de financiamiento en la infraestructura productiva. El vehículo se enfocará en atraer recursos de inversionistas que hoy en día no invierten en infraestructura en Argentina. Se anticipa que el vehículo de financiamiento se podrá constituir como un fondo de inversión para el financiamiento de la infraestructura productiva. La conformación del vehículo de financiamiento está siendo gestionada por el Ministerio de Finanzas de la República Argentina, con la colaboración de la Corporación Financiera Internacional (CFI) y del BID </w:t>
      </w:r>
      <w:proofErr w:type="spellStart"/>
      <w:r w:rsidRPr="559FA22C" w:rsidR="559FA22C">
        <w:rPr>
          <w:rFonts w:ascii="Arial" w:hAnsi="Arial" w:eastAsia="Times New Roman" w:cs="Arial"/>
          <w:lang w:val="es-ES"/>
        </w:rPr>
        <w:t>Invest</w:t>
      </w:r>
      <w:proofErr w:type="spellEnd"/>
      <w:r w:rsidRPr="559FA22C" w:rsidR="559FA22C">
        <w:rPr>
          <w:rFonts w:ascii="Arial" w:hAnsi="Arial" w:eastAsia="Times New Roman" w:cs="Arial"/>
          <w:lang w:val="es-ES"/>
        </w:rPr>
        <w:t xml:space="preserve"> en su diseño e implementación. </w:t>
      </w:r>
      <w:bookmarkStart w:name="_GoBack" w:id="5"/>
      <w:bookmarkEnd w:id="5"/>
    </w:p>
    <w:p w:rsidRPr="002210AF" w:rsidR="00567DFF" w:rsidP="559FA22C" w:rsidRDefault="00567DFF" w14:paraId="71D4F7D7" w14:textId="77777777" w14:noSpellErr="1">
      <w:pPr>
        <w:pStyle w:val="ListParagraph"/>
        <w:numPr>
          <w:ilvl w:val="1"/>
          <w:numId w:val="4"/>
        </w:numPr>
        <w:tabs>
          <w:tab w:val="clear" w:pos="2448"/>
          <w:tab w:val="num" w:pos="1170"/>
        </w:tabs>
        <w:spacing w:before="120" w:after="120" w:line="240" w:lineRule="auto"/>
        <w:ind w:left="720" w:hanging="720"/>
        <w:contextualSpacing w:val="0"/>
        <w:jc w:val="both"/>
        <w:rPr>
          <w:rFonts w:ascii="Arial" w:hAnsi="Arial" w:cs="Arial"/>
          <w:lang w:val="es-ES"/>
        </w:rPr>
      </w:pPr>
      <w:r w:rsidRPr="002210AF">
        <w:rPr>
          <w:rFonts w:ascii="Arial" w:hAnsi="Arial" w:eastAsia="Times New Roman" w:cs="Arial"/>
          <w:lang w:val="es-ES"/>
        </w:rPr>
        <w:t>El programa podrá mitigar los riesgos de los proyectos que financie el vehículo de financiamiento, los inversionistas en el vehículo de financiamiento o directamente los inversionistas en los proyectos, para facilitar el financiamiento que se realice en los proyectos de participación público-privada en infraestructura productiva. En el caso de los inversionistas en el vehículo de financiamiento se espera que sus aportes se vinculen como compromisos, los cuales se irán materializando en cierres financieros conforme el vehículo vaya avanzando con el financiamiento de los proyectos específicos que cumplan con los requisitos de elegibilidad aplicables.</w:t>
      </w:r>
      <w:r>
        <w:rPr>
          <w:rStyle w:val="FootnoteReference"/>
          <w:rFonts w:ascii="Arial" w:hAnsi="Arial" w:eastAsia="Times New Roman" w:cs="Arial"/>
          <w:lang w:val="es-ES"/>
        </w:rPr>
        <w:footnoteReference w:id="30"/>
      </w:r>
    </w:p>
    <w:p w:rsidRPr="002210AF" w:rsidR="00000000" w:rsidP="002210AF" w:rsidRDefault="002F4B8B" w14:paraId="76272DE9" w14:textId="77777777">
      <w:pPr>
        <w:pStyle w:val="ListParagraph"/>
        <w:numPr>
          <w:ilvl w:val="1"/>
          <w:numId w:val="4"/>
        </w:numPr>
        <w:tabs>
          <w:tab w:val="clear" w:pos="2448"/>
          <w:tab w:val="num" w:pos="1170"/>
        </w:tabs>
        <w:spacing w:before="120" w:after="120" w:line="240" w:lineRule="auto"/>
        <w:ind w:left="720" w:hanging="720"/>
        <w:contextualSpacing w:val="0"/>
        <w:jc w:val="both"/>
        <w:rPr>
          <w:rFonts w:ascii="Arial" w:hAnsi="Arial" w:cs="Arial"/>
          <w:color w:val="000000" w:themeColor="text1"/>
          <w:lang w:val="es-ES"/>
        </w:rPr>
        <w:sectPr w:rsidRPr="002210AF" w:rsidR="00000000" w:rsidSect="00A84DC3">
          <w:footerReference w:type="default" r:id="rId18"/>
          <w:type w:val="continuous"/>
          <w:pgSz w:w="12242" w:h="15842" w:orient="portrait" w:code="1"/>
          <w:pgMar w:top="1440" w:right="1800" w:bottom="1440" w:left="1800" w:header="720" w:footer="720" w:gutter="0"/>
          <w:cols w:space="708"/>
          <w:docGrid w:linePitch="360"/>
        </w:sectPr>
      </w:pPr>
      <w:bookmarkStart w:name="_Toc388249752" w:id="6"/>
      <w:bookmarkStart w:name="_Ref388349396" w:id="7"/>
    </w:p>
    <w:p w:rsidRPr="008D6662" w:rsidR="00F92059" w:rsidP="559FA22C" w:rsidRDefault="00F10FC6" w14:paraId="581949EA" w14:textId="77777777" w14:noSpellErr="1">
      <w:pPr>
        <w:pStyle w:val="Chapter"/>
        <w:spacing w:before="0"/>
        <w:ind w:left="720"/>
        <w:rPr>
          <w:rFonts w:ascii="Arial" w:hAnsi="Arial" w:cs="Arial"/>
          <w:color w:val="000000" w:themeColor="text1" w:themeTint="FF" w:themeShade="FF"/>
          <w:lang w:val="es-ES"/>
        </w:rPr>
      </w:pPr>
      <w:bookmarkStart w:name="_Toc498007206" w:id="8"/>
      <w:r w:rsidRPr="559FA22C" w:rsidR="559FA22C">
        <w:rPr>
          <w:rFonts w:ascii="Arial" w:hAnsi="Arial" w:cs="Arial"/>
          <w:color w:val="000000" w:themeColor="text1" w:themeTint="FF" w:themeShade="FF"/>
          <w:lang w:val="es-ES"/>
        </w:rPr>
        <w:t>Metodología y Supuestos</w:t>
      </w:r>
      <w:bookmarkEnd w:id="6"/>
      <w:bookmarkEnd w:id="7"/>
      <w:bookmarkEnd w:id="8"/>
    </w:p>
    <w:p w:rsidRPr="008D6662" w:rsidR="00D11CF9" w:rsidP="559FA22C" w:rsidRDefault="00236E55" w14:paraId="6AB8C4F2" w14:noSpellErr="1" w14:textId="37A1527B">
      <w:pPr>
        <w:pStyle w:val="Paragraph"/>
        <w:tabs>
          <w:tab w:val="num" w:pos="720"/>
        </w:tabs>
        <w:ind w:left="720" w:hanging="720"/>
        <w:rPr>
          <w:rFonts w:ascii="Arial" w:hAnsi="Arial" w:cs="Arial"/>
          <w:color w:val="000000" w:themeColor="text1" w:themeTint="FF" w:themeShade="FF"/>
          <w:sz w:val="22"/>
          <w:szCs w:val="22"/>
          <w:lang w:val="es-ES"/>
        </w:rPr>
      </w:pPr>
      <w:r w:rsidRPr="559FA22C" w:rsidR="559FA22C">
        <w:rPr>
          <w:rFonts w:ascii="Arial" w:hAnsi="Arial" w:cs="Arial"/>
          <w:color w:val="000000" w:themeColor="text1" w:themeTint="FF" w:themeShade="FF"/>
          <w:sz w:val="22"/>
          <w:szCs w:val="22"/>
          <w:lang w:val="es-ES"/>
        </w:rPr>
        <w:t xml:space="preserve">La metodología utilizada para el presente análisis de los flujos de costos y beneficios asociados a la realización del presente programa se alinea con los diferentes documentos internos del Banco dan soporte a esta intervención. </w:t>
      </w:r>
      <w:r w:rsidRPr="559FA22C" w:rsidR="559FA22C">
        <w:rPr>
          <w:rFonts w:ascii="Arial" w:hAnsi="Arial" w:cs="Arial"/>
          <w:color w:val="000000" w:themeColor="text1" w:themeTint="FF" w:themeShade="FF"/>
          <w:sz w:val="22"/>
          <w:szCs w:val="22"/>
          <w:lang w:val="es-ES"/>
        </w:rPr>
        <w:t>E</w:t>
      </w:r>
      <w:r w:rsidRPr="559FA22C" w:rsidR="559FA22C">
        <w:rPr>
          <w:rFonts w:ascii="Arial" w:hAnsi="Arial" w:cs="Arial"/>
          <w:color w:val="000000" w:themeColor="text1" w:themeTint="FF" w:themeShade="FF"/>
          <w:sz w:val="22"/>
          <w:szCs w:val="22"/>
          <w:lang w:val="es-ES"/>
        </w:rPr>
        <w:t xml:space="preserve">l </w:t>
      </w:r>
      <w:r w:rsidRPr="559FA22C" w:rsidR="559FA22C">
        <w:rPr>
          <w:rFonts w:ascii="Arial" w:hAnsi="Arial" w:cs="Arial"/>
          <w:color w:val="000000" w:themeColor="text1" w:themeTint="FF" w:themeShade="FF"/>
          <w:sz w:val="22"/>
          <w:szCs w:val="22"/>
          <w:lang w:val="es-ES"/>
        </w:rPr>
        <w:t>programa</w:t>
      </w:r>
      <w:r w:rsidRPr="559FA22C" w:rsidR="559FA22C">
        <w:rPr>
          <w:rFonts w:ascii="Arial" w:hAnsi="Arial" w:cs="Arial"/>
          <w:color w:val="000000" w:themeColor="text1" w:themeTint="FF" w:themeShade="FF"/>
          <w:sz w:val="22"/>
          <w:szCs w:val="22"/>
          <w:lang w:val="es-ES"/>
        </w:rPr>
        <w:t xml:space="preserve"> que aquí se plantea busca</w:t>
      </w:r>
      <w:r w:rsidRPr="559FA22C" w:rsidR="559FA22C">
        <w:rPr>
          <w:rFonts w:ascii="Arial" w:hAnsi="Arial" w:cs="Arial"/>
          <w:color w:val="000000" w:themeColor="text1" w:themeTint="FF" w:themeShade="FF"/>
          <w:sz w:val="22"/>
          <w:szCs w:val="22"/>
          <w:lang w:val="es-ES"/>
        </w:rPr>
        <w:t xml:space="preserve"> </w:t>
      </w:r>
      <w:r w:rsidRPr="559FA22C" w:rsidR="559FA22C">
        <w:rPr>
          <w:rFonts w:ascii="Arial" w:hAnsi="Arial" w:cs="Arial"/>
          <w:sz w:val="22"/>
          <w:szCs w:val="22"/>
          <w:lang w:val="es-ES"/>
        </w:rPr>
        <w:t xml:space="preserve">promover la </w:t>
      </w:r>
      <w:r w:rsidRPr="559FA22C" w:rsidR="559FA22C">
        <w:rPr>
          <w:rFonts w:ascii="Arial" w:hAnsi="Arial" w:cs="Arial"/>
          <w:sz w:val="22"/>
          <w:szCs w:val="22"/>
          <w:lang w:val="es-ES"/>
        </w:rPr>
        <w:t>participación</w:t>
      </w:r>
      <w:r w:rsidRPr="559FA22C" w:rsidR="559FA22C">
        <w:rPr>
          <w:rFonts w:ascii="Arial" w:hAnsi="Arial" w:cs="Arial"/>
          <w:sz w:val="22"/>
          <w:szCs w:val="22"/>
          <w:lang w:val="es-ES"/>
        </w:rPr>
        <w:t xml:space="preserve"> privada en </w:t>
      </w:r>
      <w:r w:rsidRPr="559FA22C" w:rsidR="559FA22C">
        <w:rPr>
          <w:rFonts w:ascii="Arial" w:hAnsi="Arial" w:cs="Arial"/>
          <w:sz w:val="22"/>
          <w:szCs w:val="22"/>
          <w:lang w:val="es-ES"/>
        </w:rPr>
        <w:t>inversión</w:t>
      </w:r>
      <w:r w:rsidRPr="559FA22C" w:rsidR="559FA22C">
        <w:rPr>
          <w:rFonts w:ascii="Arial" w:hAnsi="Arial" w:cs="Arial"/>
          <w:sz w:val="22"/>
          <w:szCs w:val="22"/>
          <w:lang w:val="es-ES"/>
        </w:rPr>
        <w:t xml:space="preserve"> productiva para contribuir al crecimiento económico del país. Mediante </w:t>
      </w:r>
      <w:r w:rsidRPr="559FA22C" w:rsidR="559FA22C">
        <w:rPr>
          <w:rFonts w:ascii="Arial" w:hAnsi="Arial" w:cs="Arial"/>
          <w:sz w:val="22"/>
          <w:szCs w:val="22"/>
          <w:lang w:val="es-ES"/>
        </w:rPr>
        <w:t xml:space="preserve">el establecimiento de </w:t>
      </w:r>
      <w:r w:rsidRPr="559FA22C" w:rsidR="559FA22C">
        <w:rPr>
          <w:rFonts w:ascii="Arial" w:hAnsi="Arial" w:cs="Arial"/>
          <w:sz w:val="22"/>
          <w:szCs w:val="22"/>
          <w:lang w:val="es-ES"/>
        </w:rPr>
        <w:t xml:space="preserve">una facilidad flexible de </w:t>
      </w:r>
      <w:r w:rsidRPr="559FA22C" w:rsidR="559FA22C">
        <w:rPr>
          <w:rFonts w:ascii="Arial" w:hAnsi="Arial" w:cs="Arial"/>
          <w:sz w:val="22"/>
          <w:szCs w:val="22"/>
          <w:lang w:val="es-ES"/>
        </w:rPr>
        <w:t xml:space="preserve">mitigación de </w:t>
      </w:r>
      <w:r w:rsidRPr="559FA22C" w:rsidR="559FA22C">
        <w:rPr>
          <w:rFonts w:ascii="Arial" w:hAnsi="Arial" w:cs="Arial"/>
          <w:sz w:val="22"/>
          <w:szCs w:val="22"/>
          <w:lang w:val="es-ES"/>
        </w:rPr>
        <w:t>riesgos</w:t>
      </w:r>
      <w:r w:rsidRPr="559FA22C" w:rsidR="559FA22C">
        <w:rPr>
          <w:rFonts w:ascii="Arial" w:hAnsi="Arial" w:cs="Arial"/>
          <w:sz w:val="22"/>
          <w:szCs w:val="22"/>
          <w:lang w:val="es-ES"/>
        </w:rPr>
        <w:t xml:space="preserve">, esta iniciativa se centra </w:t>
      </w:r>
      <w:r w:rsidRPr="559FA22C" w:rsidR="559FA22C">
        <w:rPr>
          <w:rFonts w:ascii="Arial" w:hAnsi="Arial" w:cs="Arial"/>
          <w:sz w:val="22"/>
          <w:szCs w:val="22"/>
          <w:lang w:val="es-ES"/>
        </w:rPr>
        <w:t xml:space="preserve">en </w:t>
      </w:r>
      <w:r w:rsidRPr="559FA22C" w:rsidR="559FA22C">
        <w:rPr>
          <w:rFonts w:ascii="Arial" w:hAnsi="Arial" w:cs="Arial"/>
          <w:sz w:val="22"/>
          <w:szCs w:val="22"/>
          <w:lang w:val="es-ES"/>
        </w:rPr>
        <w:t>la</w:t>
      </w:r>
      <w:r w:rsidRPr="559FA22C" w:rsidR="559FA22C">
        <w:rPr>
          <w:rFonts w:ascii="Arial" w:hAnsi="Arial" w:cs="Arial"/>
          <w:sz w:val="22"/>
          <w:szCs w:val="22"/>
          <w:lang w:val="es-ES"/>
        </w:rPr>
        <w:t xml:space="preserve"> mitigación de los riesgos asociados a los proyectos -específicamente riesgos de naturaleza pública-, </w:t>
      </w:r>
      <w:r w:rsidRPr="559FA22C" w:rsidR="559FA22C">
        <w:rPr>
          <w:rFonts w:ascii="Arial" w:hAnsi="Arial" w:cs="Arial"/>
          <w:sz w:val="22"/>
          <w:szCs w:val="22"/>
          <w:lang w:val="es-ES"/>
        </w:rPr>
        <w:t>que resulte en la movilización de</w:t>
      </w:r>
      <w:r w:rsidRPr="559FA22C" w:rsidR="559FA22C">
        <w:rPr>
          <w:rFonts w:ascii="Arial" w:hAnsi="Arial" w:cs="Arial"/>
          <w:sz w:val="22"/>
          <w:szCs w:val="22"/>
          <w:lang w:val="es-ES"/>
        </w:rPr>
        <w:t xml:space="preserve"> </w:t>
      </w:r>
      <w:r w:rsidRPr="559FA22C" w:rsidR="559FA22C">
        <w:rPr>
          <w:rFonts w:ascii="Arial" w:hAnsi="Arial" w:cs="Arial"/>
          <w:sz w:val="22"/>
          <w:szCs w:val="22"/>
          <w:lang w:val="es-ES"/>
        </w:rPr>
        <w:t>recursos privados para</w:t>
      </w:r>
      <w:r w:rsidRPr="559FA22C" w:rsidR="559FA22C">
        <w:rPr>
          <w:rFonts w:ascii="Arial" w:hAnsi="Arial" w:cs="Arial"/>
          <w:sz w:val="22"/>
          <w:szCs w:val="22"/>
          <w:lang w:val="es-ES"/>
        </w:rPr>
        <w:t xml:space="preserve"> el financiamiento de proyectos en infraestructura productiva</w:t>
      </w:r>
      <w:r w:rsidRPr="559FA22C" w:rsidR="559FA22C">
        <w:rPr>
          <w:rFonts w:ascii="Arial" w:hAnsi="Arial" w:cs="Arial"/>
          <w:sz w:val="22"/>
          <w:szCs w:val="22"/>
          <w:lang w:val="es-ES"/>
        </w:rPr>
        <w:t>,</w:t>
      </w:r>
      <w:r w:rsidRPr="559FA22C" w:rsidR="559FA22C">
        <w:rPr>
          <w:rFonts w:ascii="Arial" w:hAnsi="Arial" w:cs="Arial"/>
          <w:sz w:val="22"/>
          <w:szCs w:val="22"/>
          <w:lang w:val="es-ES"/>
        </w:rPr>
        <w:t xml:space="preserve"> </w:t>
      </w:r>
      <w:proofErr w:type="gramStart"/>
      <w:r w:rsidRPr="559FA22C" w:rsidR="559FA22C">
        <w:rPr>
          <w:rFonts w:ascii="Arial" w:hAnsi="Arial" w:cs="Arial"/>
          <w:sz w:val="22"/>
          <w:szCs w:val="22"/>
          <w:lang w:val="es-ES"/>
        </w:rPr>
        <w:t>socio-económicamente</w:t>
      </w:r>
      <w:proofErr w:type="gramEnd"/>
      <w:r w:rsidRPr="559FA22C" w:rsidR="559FA22C">
        <w:rPr>
          <w:rFonts w:ascii="Arial" w:hAnsi="Arial" w:cs="Arial"/>
          <w:sz w:val="22"/>
          <w:szCs w:val="22"/>
          <w:lang w:val="es-ES"/>
        </w:rPr>
        <w:t xml:space="preserve"> viables</w:t>
      </w:r>
      <w:r w:rsidRPr="559FA22C" w:rsidR="559FA22C">
        <w:rPr>
          <w:rFonts w:ascii="Arial" w:hAnsi="Arial" w:cs="Arial"/>
          <w:sz w:val="22"/>
          <w:szCs w:val="22"/>
          <w:lang w:val="es-ES"/>
        </w:rPr>
        <w:t>,</w:t>
      </w:r>
      <w:r w:rsidRPr="559FA22C" w:rsidR="559FA22C">
        <w:rPr>
          <w:rFonts w:ascii="Arial" w:hAnsi="Arial" w:cs="Arial"/>
          <w:sz w:val="22"/>
          <w:szCs w:val="22"/>
          <w:lang w:val="es-ES"/>
        </w:rPr>
        <w:t xml:space="preserve"> bajo esquemas publico privados. Este</w:t>
      </w:r>
      <w:r w:rsidRPr="559FA22C" w:rsidR="559FA22C">
        <w:rPr>
          <w:rFonts w:ascii="Arial" w:hAnsi="Arial" w:cs="Arial"/>
          <w:sz w:val="22"/>
          <w:szCs w:val="22"/>
          <w:lang w:val="es-ES"/>
        </w:rPr>
        <w:t xml:space="preserve"> apoyo se instrumentará mediante garantías y préstamos de acuerdo con las necesidades de los proyectos identificados, de los inversionistas potenciales, y de ejecución para cumplir con el objetivo.</w:t>
      </w:r>
    </w:p>
    <w:p w:rsidR="00D84444" w:rsidP="559FA22C" w:rsidRDefault="00231A0E" w14:paraId="248D2F65" w14:noSpellErr="1" w14:textId="456AE34E">
      <w:pPr>
        <w:pStyle w:val="Paragraph"/>
        <w:tabs>
          <w:tab w:val="num" w:pos="720"/>
        </w:tabs>
        <w:ind w:left="720" w:hanging="720"/>
        <w:rPr>
          <w:rFonts w:ascii="Arial" w:hAnsi="Arial" w:cs="Arial"/>
          <w:color w:val="000000" w:themeColor="text1" w:themeTint="FF" w:themeShade="FF"/>
          <w:sz w:val="22"/>
          <w:szCs w:val="22"/>
          <w:lang w:val="es-ES"/>
        </w:rPr>
      </w:pPr>
      <w:r w:rsidRPr="559FA22C" w:rsidR="559FA22C">
        <w:rPr>
          <w:rFonts w:ascii="Arial" w:hAnsi="Arial" w:cs="Arial"/>
          <w:color w:val="000000" w:themeColor="text1" w:themeTint="FF" w:themeShade="FF"/>
          <w:sz w:val="22"/>
          <w:szCs w:val="22"/>
          <w:lang w:val="es-ES"/>
        </w:rPr>
        <w:t xml:space="preserve">El presente análisis busca, de acuerdo con la lógica vertical que sustenta el programa -y, por tanto, en línea con la correspondiente Matriz de Resultados- establecer el beneficio asociado al establecimiento de esta facilidad. </w:t>
      </w:r>
      <w:r w:rsidRPr="559FA22C" w:rsidR="559FA22C">
        <w:rPr>
          <w:rFonts w:ascii="Arial" w:hAnsi="Arial" w:cs="Arial"/>
          <w:sz w:val="22"/>
          <w:szCs w:val="22"/>
          <w:lang w:val="es-ES"/>
        </w:rPr>
        <w:t xml:space="preserve">Dada la naturaleza del programa de garantías, que se busca tenga un efecto de apalancamiento de recursos privados, y la reducción en los costos de financiamiento, el costo-beneficio del programa se evaluó con un análisis financiero. </w:t>
      </w:r>
      <w:r w:rsidRPr="559FA22C" w:rsidR="559FA22C">
        <w:rPr>
          <w:rFonts w:ascii="Arial" w:hAnsi="Arial" w:cs="Arial"/>
          <w:color w:val="000000" w:themeColor="text1" w:themeTint="FF" w:themeShade="FF"/>
          <w:sz w:val="22"/>
          <w:szCs w:val="22"/>
          <w:lang w:val="es-ES"/>
        </w:rPr>
        <w:t xml:space="preserve">En este ejercicio </w:t>
      </w:r>
      <w:r w:rsidRPr="559FA22C" w:rsidR="559FA22C">
        <w:rPr>
          <w:rFonts w:ascii="Arial" w:hAnsi="Arial" w:cs="Arial"/>
          <w:color w:val="000000" w:themeColor="text1" w:themeTint="FF" w:themeShade="FF"/>
          <w:sz w:val="22"/>
          <w:szCs w:val="22"/>
          <w:lang w:val="es-ES"/>
        </w:rPr>
        <w:t xml:space="preserve">los beneficios se concretan como ahorros en el coste de financiamiento de los proyectos beneficiados a través de este programa frente a un escenario alternativo en el que se recurre al mercado financiero sin contar con ningún tipo de garantía sobre dicha financiación. </w:t>
      </w:r>
      <w:r w:rsidRPr="559FA22C" w:rsidR="559FA22C">
        <w:rPr>
          <w:rFonts w:ascii="Arial" w:hAnsi="Arial" w:cs="Arial"/>
          <w:color w:val="000000" w:themeColor="text1" w:themeTint="FF" w:themeShade="FF"/>
          <w:sz w:val="22"/>
          <w:szCs w:val="22"/>
          <w:lang w:val="es-ES"/>
        </w:rPr>
        <w:t xml:space="preserve">Si bien no se dispone actualmente de un pipeline definitivo </w:t>
      </w:r>
      <w:r w:rsidRPr="559FA22C" w:rsidR="559FA22C">
        <w:rPr>
          <w:rFonts w:ascii="Arial" w:hAnsi="Arial" w:cs="Arial"/>
          <w:color w:val="000000" w:themeColor="text1" w:themeTint="FF" w:themeShade="FF"/>
          <w:sz w:val="22"/>
          <w:szCs w:val="22"/>
          <w:lang w:val="es-ES"/>
        </w:rPr>
        <w:t xml:space="preserve">como destino de la inversión privada </w:t>
      </w:r>
      <w:r w:rsidRPr="559FA22C" w:rsidR="559FA22C">
        <w:rPr>
          <w:rFonts w:ascii="Arial" w:hAnsi="Arial" w:cs="Arial"/>
          <w:color w:val="000000" w:themeColor="text1" w:themeTint="FF" w:themeShade="FF"/>
          <w:sz w:val="22"/>
          <w:szCs w:val="22"/>
          <w:lang w:val="es-ES"/>
        </w:rPr>
        <w:t xml:space="preserve">se han determinado una serie de sectores prioritarios y tipos de proyecto a ser apoyados con la operación. </w:t>
      </w:r>
      <w:r w:rsidRPr="559FA22C" w:rsidR="559FA22C">
        <w:rPr>
          <w:rFonts w:ascii="Arial" w:hAnsi="Arial" w:cs="Arial"/>
          <w:color w:val="000000" w:themeColor="text1" w:themeTint="FF" w:themeShade="FF"/>
          <w:sz w:val="22"/>
          <w:szCs w:val="22"/>
          <w:lang w:val="es-ES"/>
        </w:rPr>
        <w:t>Así</w:t>
      </w:r>
      <w:r w:rsidRPr="559FA22C" w:rsidR="559FA22C">
        <w:rPr>
          <w:rFonts w:ascii="Arial" w:hAnsi="Arial" w:cs="Arial"/>
          <w:color w:val="000000" w:themeColor="text1" w:themeTint="FF" w:themeShade="FF"/>
          <w:sz w:val="22"/>
          <w:szCs w:val="22"/>
          <w:lang w:val="es-ES"/>
        </w:rPr>
        <w:t xml:space="preserve">, se estima que el 70% del monto de la </w:t>
      </w:r>
      <w:r w:rsidRPr="559FA22C" w:rsidR="559FA22C">
        <w:rPr>
          <w:rFonts w:ascii="Arial" w:hAnsi="Arial" w:cs="Arial"/>
          <w:color w:val="000000" w:themeColor="text1" w:themeTint="FF" w:themeShade="FF"/>
          <w:sz w:val="22"/>
          <w:szCs w:val="22"/>
          <w:lang w:val="es-ES"/>
        </w:rPr>
        <w:t>FFMR</w:t>
      </w:r>
      <w:r w:rsidRPr="559FA22C" w:rsidR="559FA22C">
        <w:rPr>
          <w:rFonts w:ascii="Arial" w:hAnsi="Arial" w:cs="Arial"/>
          <w:color w:val="000000" w:themeColor="text1" w:themeTint="FF" w:themeShade="FF"/>
          <w:sz w:val="22"/>
          <w:szCs w:val="22"/>
          <w:lang w:val="es-ES"/>
        </w:rPr>
        <w:t xml:space="preserve"> se destine a dar apoyo a proyectos de inversión en corredores viales</w:t>
      </w:r>
      <w:r w:rsidRPr="559FA22C" w:rsidR="559FA22C">
        <w:rPr>
          <w:rFonts w:ascii="Arial" w:hAnsi="Arial" w:cs="Arial"/>
          <w:color w:val="000000" w:themeColor="text1" w:themeTint="FF" w:themeShade="FF"/>
          <w:sz w:val="22"/>
          <w:szCs w:val="22"/>
          <w:lang w:val="es-ES"/>
        </w:rPr>
        <w:t xml:space="preserve">, que se dividirá a su vez entre proyectos de rehabilitación (50%) y proyectos de nueva construcción. Se prevé que el apoyo a la inversión en líneas de transmisión eléctrica ocupe el 20% del monto de la </w:t>
      </w:r>
      <w:r w:rsidRPr="559FA22C" w:rsidR="559FA22C">
        <w:rPr>
          <w:rFonts w:ascii="Arial" w:hAnsi="Arial" w:cs="Arial"/>
          <w:color w:val="000000" w:themeColor="text1" w:themeTint="FF" w:themeShade="FF"/>
          <w:sz w:val="22"/>
          <w:szCs w:val="22"/>
          <w:lang w:val="es-ES"/>
        </w:rPr>
        <w:t>FFMR</w:t>
      </w:r>
      <w:r w:rsidRPr="559FA22C" w:rsidR="559FA22C">
        <w:rPr>
          <w:rFonts w:ascii="Arial" w:hAnsi="Arial" w:cs="Arial"/>
          <w:color w:val="000000" w:themeColor="text1" w:themeTint="FF" w:themeShade="FF"/>
          <w:sz w:val="22"/>
          <w:szCs w:val="22"/>
          <w:lang w:val="es-ES"/>
        </w:rPr>
        <w:t xml:space="preserve"> y, finalmente, un 10% se destine a la mitigación de riesgos en proyectos de generación energética a partir de fuentes renovables no convencionales, a dividir de modo igual entre proyectos de generación de energía eólica y proyectos de generación de energía solar-fotovoltaica.</w:t>
      </w:r>
      <w:r w:rsidRPr="559FA22C" w:rsidR="559FA22C">
        <w:rPr>
          <w:rFonts w:ascii="Arial" w:hAnsi="Arial" w:cs="Arial"/>
          <w:color w:val="000000" w:themeColor="text1" w:themeTint="FF" w:themeShade="FF"/>
          <w:sz w:val="22"/>
          <w:szCs w:val="22"/>
          <w:lang w:val="es-ES"/>
        </w:rPr>
        <w:t xml:space="preserve"> </w:t>
      </w:r>
      <w:bookmarkStart w:name="_Hlk502741077" w:id="9"/>
      <w:bookmarkEnd w:id="9"/>
    </w:p>
    <w:p w:rsidRPr="008D6662" w:rsidR="00710551" w:rsidP="559FA22C" w:rsidRDefault="00231A0E" w14:paraId="4D686BFA" w14:textId="4AC5E273" w14:noSpellErr="1">
      <w:pPr>
        <w:pStyle w:val="Paragraph"/>
        <w:tabs>
          <w:tab w:val="num" w:pos="720"/>
        </w:tabs>
        <w:ind w:left="720" w:hanging="720"/>
        <w:rPr>
          <w:rFonts w:ascii="Arial" w:hAnsi="Arial" w:cs="Arial"/>
          <w:color w:val="000000" w:themeColor="text1" w:themeTint="FF" w:themeShade="FF"/>
          <w:sz w:val="22"/>
          <w:szCs w:val="22"/>
          <w:lang w:val="es-ES"/>
        </w:rPr>
      </w:pPr>
      <w:r w:rsidRPr="559FA22C" w:rsidR="559FA22C">
        <w:rPr>
          <w:rFonts w:ascii="Arial" w:hAnsi="Arial" w:cs="Arial"/>
          <w:color w:val="000000" w:themeColor="text1" w:themeTint="FF" w:themeShade="FF"/>
          <w:sz w:val="22"/>
          <w:szCs w:val="22"/>
          <w:lang w:val="es-ES"/>
        </w:rPr>
        <w:t xml:space="preserve">Cabe señalar que, si bien se espera demostrar que esta facilidad es en efecto una herramienta beneficiosa para Argentina, los proyectos </w:t>
      </w:r>
      <w:r w:rsidRPr="559FA22C" w:rsidR="559FA22C">
        <w:rPr>
          <w:rFonts w:ascii="Arial" w:hAnsi="Arial" w:cs="Arial"/>
          <w:color w:val="000000" w:themeColor="text1" w:themeTint="FF" w:themeShade="FF"/>
          <w:sz w:val="22"/>
          <w:szCs w:val="22"/>
          <w:lang w:val="es-ES"/>
        </w:rPr>
        <w:t xml:space="preserve">subyacentes susceptibles de recibir una emisión de garantía bajo esta facilidad serán analizados uno a uno de manera previa a la aprobación de la emisión de garantía para </w:t>
      </w:r>
      <w:r w:rsidRPr="559FA22C" w:rsidR="559FA22C">
        <w:rPr>
          <w:rFonts w:ascii="Arial" w:hAnsi="Arial" w:cs="Arial"/>
          <w:color w:val="000000" w:themeColor="text1" w:themeTint="FF" w:themeShade="FF"/>
          <w:sz w:val="22"/>
          <w:szCs w:val="22"/>
          <w:lang w:val="es-ES"/>
        </w:rPr>
        <w:t>avalar</w:t>
      </w:r>
      <w:r w:rsidRPr="559FA22C" w:rsidR="559FA22C">
        <w:rPr>
          <w:rFonts w:ascii="Arial" w:hAnsi="Arial" w:cs="Arial"/>
          <w:color w:val="000000" w:themeColor="text1" w:themeTint="FF" w:themeShade="FF"/>
          <w:sz w:val="22"/>
          <w:szCs w:val="22"/>
          <w:lang w:val="es-ES"/>
        </w:rPr>
        <w:t xml:space="preserve"> que se trata de proyectos socioeconómicamente viables y cuya mejor alternativa de financiación pasa por la participación privada. </w:t>
      </w:r>
      <w:r w:rsidRPr="559FA22C" w:rsidR="559FA22C">
        <w:rPr>
          <w:rFonts w:ascii="Arial" w:hAnsi="Arial" w:cs="Arial"/>
          <w:color w:val="000000" w:themeColor="text1" w:themeTint="FF" w:themeShade="FF"/>
          <w:sz w:val="22"/>
          <w:szCs w:val="22"/>
          <w:lang w:val="es-ES"/>
        </w:rPr>
        <w:t>Los detalles de este proceso previo a la aprobación de la emisión de garantías individuales a los proyectos queda</w:t>
      </w:r>
      <w:r w:rsidRPr="559FA22C" w:rsidR="559FA22C">
        <w:rPr>
          <w:rFonts w:ascii="Arial" w:hAnsi="Arial" w:cs="Arial"/>
          <w:color w:val="000000" w:themeColor="text1" w:themeTint="FF" w:themeShade="FF"/>
          <w:sz w:val="22"/>
          <w:szCs w:val="22"/>
          <w:lang w:val="es-ES"/>
        </w:rPr>
        <w:t>n</w:t>
      </w:r>
      <w:r w:rsidRPr="559FA22C" w:rsidR="559FA22C">
        <w:rPr>
          <w:rFonts w:ascii="Arial" w:hAnsi="Arial" w:cs="Arial"/>
          <w:color w:val="000000" w:themeColor="text1" w:themeTint="FF" w:themeShade="FF"/>
          <w:sz w:val="22"/>
          <w:szCs w:val="22"/>
          <w:lang w:val="es-ES"/>
        </w:rPr>
        <w:t xml:space="preserve"> recogido</w:t>
      </w:r>
      <w:r w:rsidRPr="559FA22C" w:rsidR="559FA22C">
        <w:rPr>
          <w:rFonts w:ascii="Arial" w:hAnsi="Arial" w:cs="Arial"/>
          <w:color w:val="000000" w:themeColor="text1" w:themeTint="FF" w:themeShade="FF"/>
          <w:sz w:val="22"/>
          <w:szCs w:val="22"/>
          <w:lang w:val="es-ES"/>
        </w:rPr>
        <w:t>s</w:t>
      </w:r>
      <w:r w:rsidRPr="559FA22C" w:rsidR="559FA22C">
        <w:rPr>
          <w:rFonts w:ascii="Arial" w:hAnsi="Arial" w:cs="Arial"/>
          <w:color w:val="000000" w:themeColor="text1" w:themeTint="FF" w:themeShade="FF"/>
          <w:sz w:val="22"/>
          <w:szCs w:val="22"/>
          <w:lang w:val="es-ES"/>
        </w:rPr>
        <w:t xml:space="preserve"> en el Reglamento Operativo (ROP) de </w:t>
      </w:r>
      <w:r w:rsidRPr="559FA22C" w:rsidR="559FA22C">
        <w:rPr>
          <w:rFonts w:ascii="Arial" w:hAnsi="Arial" w:cs="Arial"/>
          <w:color w:val="000000" w:themeColor="text1" w:themeTint="FF" w:themeShade="FF"/>
          <w:sz w:val="22"/>
          <w:szCs w:val="22"/>
          <w:lang w:val="es-ES"/>
        </w:rPr>
        <w:t>esta operación</w:t>
      </w:r>
      <w:r w:rsidRPr="559FA22C" w:rsidR="559FA22C">
        <w:rPr>
          <w:rFonts w:ascii="Arial" w:hAnsi="Arial" w:cs="Arial"/>
          <w:color w:val="000000" w:themeColor="text1" w:themeTint="FF" w:themeShade="FF"/>
          <w:sz w:val="22"/>
          <w:szCs w:val="22"/>
          <w:lang w:val="es-ES"/>
        </w:rPr>
        <w:t>.</w:t>
      </w:r>
      <w:r w:rsidRPr="559FA22C" w:rsidR="559FA22C">
        <w:rPr>
          <w:rFonts w:ascii="Arial" w:hAnsi="Arial" w:cs="Arial"/>
          <w:color w:val="000000" w:themeColor="text1" w:themeTint="FF" w:themeShade="FF"/>
          <w:sz w:val="22"/>
          <w:szCs w:val="22"/>
          <w:lang w:val="es-ES"/>
        </w:rPr>
        <w:t xml:space="preserve"> </w:t>
      </w:r>
      <w:r w:rsidRPr="559FA22C" w:rsidR="559FA22C">
        <w:rPr>
          <w:rFonts w:ascii="Arial" w:hAnsi="Arial" w:cs="Arial"/>
          <w:color w:val="000000" w:themeColor="text1" w:themeTint="FF" w:themeShade="FF"/>
          <w:sz w:val="22"/>
          <w:szCs w:val="22"/>
          <w:lang w:val="es-ES"/>
        </w:rPr>
        <w:t xml:space="preserve">   </w:t>
      </w:r>
      <w:r w:rsidRPr="559FA22C" w:rsidR="559FA22C">
        <w:rPr>
          <w:rFonts w:ascii="Arial" w:hAnsi="Arial" w:cs="Arial"/>
          <w:color w:val="000000" w:themeColor="text1" w:themeTint="FF" w:themeShade="FF"/>
          <w:sz w:val="22"/>
          <w:szCs w:val="22"/>
          <w:lang w:val="es-ES"/>
        </w:rPr>
        <w:t xml:space="preserve">  </w:t>
      </w:r>
    </w:p>
    <w:p w:rsidRPr="008D6662" w:rsidR="00543AE5" w:rsidP="559FA22C" w:rsidRDefault="00543AE5" w14:paraId="3A033D86" w14:noSpellErr="1" w14:textId="2D384003">
      <w:pPr>
        <w:pStyle w:val="Paragraph"/>
        <w:tabs>
          <w:tab w:val="num" w:pos="720"/>
        </w:tabs>
        <w:ind w:left="720" w:hanging="720"/>
        <w:rPr>
          <w:rFonts w:ascii="Arial" w:hAnsi="Arial" w:cs="Arial"/>
          <w:color w:val="000000" w:themeColor="text1" w:themeTint="FF" w:themeShade="FF"/>
          <w:sz w:val="22"/>
          <w:szCs w:val="22"/>
          <w:lang w:val="es-ES"/>
        </w:rPr>
      </w:pPr>
      <w:r w:rsidRPr="559FA22C" w:rsidR="559FA22C">
        <w:rPr>
          <w:rFonts w:ascii="Arial" w:hAnsi="Arial" w:cs="Arial"/>
          <w:color w:val="000000" w:themeColor="text1" w:themeTint="FF" w:themeShade="FF"/>
          <w:sz w:val="22"/>
          <w:szCs w:val="22"/>
          <w:lang w:val="es-ES"/>
        </w:rPr>
        <w:t xml:space="preserve">En la siguiente sección se caracterizan los </w:t>
      </w:r>
      <w:r w:rsidRPr="559FA22C" w:rsidR="559FA22C">
        <w:rPr>
          <w:rFonts w:ascii="Arial" w:hAnsi="Arial" w:cs="Arial"/>
          <w:color w:val="000000" w:themeColor="text1" w:themeTint="FF" w:themeShade="FF"/>
          <w:sz w:val="22"/>
          <w:szCs w:val="22"/>
          <w:lang w:val="es-ES"/>
        </w:rPr>
        <w:t xml:space="preserve">flujos de ingresos y egresos de </w:t>
      </w:r>
      <w:r w:rsidRPr="559FA22C" w:rsidR="559FA22C">
        <w:rPr>
          <w:rFonts w:ascii="Arial" w:hAnsi="Arial" w:cs="Arial"/>
          <w:color w:val="000000" w:themeColor="text1" w:themeTint="FF" w:themeShade="FF"/>
          <w:sz w:val="22"/>
          <w:szCs w:val="22"/>
          <w:lang w:val="es-ES"/>
        </w:rPr>
        <w:t xml:space="preserve">la </w:t>
      </w:r>
      <w:r w:rsidRPr="559FA22C" w:rsidR="559FA22C">
        <w:rPr>
          <w:rFonts w:ascii="Arial" w:hAnsi="Arial" w:cs="Arial"/>
          <w:color w:val="000000" w:themeColor="text1" w:themeTint="FF" w:themeShade="FF"/>
          <w:sz w:val="22"/>
          <w:szCs w:val="22"/>
          <w:lang w:val="es-ES"/>
        </w:rPr>
        <w:t>FFMR</w:t>
      </w:r>
      <w:r w:rsidRPr="559FA22C" w:rsidR="559FA22C">
        <w:rPr>
          <w:rFonts w:ascii="Arial" w:hAnsi="Arial" w:cs="Arial"/>
          <w:color w:val="000000" w:themeColor="text1" w:themeTint="FF" w:themeShade="FF"/>
          <w:sz w:val="22"/>
          <w:szCs w:val="22"/>
          <w:lang w:val="es-ES"/>
        </w:rPr>
        <w:t xml:space="preserve"> para someterlos a </w:t>
      </w:r>
      <w:r w:rsidRPr="559FA22C" w:rsidR="559FA22C">
        <w:rPr>
          <w:rFonts w:ascii="Arial" w:hAnsi="Arial" w:cs="Arial"/>
          <w:color w:val="000000" w:themeColor="text1" w:themeTint="FF" w:themeShade="FF"/>
          <w:sz w:val="22"/>
          <w:szCs w:val="22"/>
          <w:lang w:val="es-ES"/>
        </w:rPr>
        <w:t xml:space="preserve">análisis </w:t>
      </w:r>
      <w:r w:rsidRPr="559FA22C" w:rsidR="559FA22C">
        <w:rPr>
          <w:rFonts w:ascii="Arial" w:hAnsi="Arial" w:cs="Arial"/>
          <w:color w:val="000000" w:themeColor="text1" w:themeTint="FF" w:themeShade="FF"/>
          <w:sz w:val="22"/>
          <w:szCs w:val="22"/>
          <w:lang w:val="es-ES"/>
        </w:rPr>
        <w:t xml:space="preserve">financiero </w:t>
      </w:r>
      <w:r w:rsidRPr="559FA22C" w:rsidR="559FA22C">
        <w:rPr>
          <w:rFonts w:ascii="Arial" w:hAnsi="Arial" w:cs="Arial"/>
          <w:color w:val="000000" w:themeColor="text1" w:themeTint="FF" w:themeShade="FF"/>
          <w:sz w:val="22"/>
          <w:szCs w:val="22"/>
          <w:lang w:val="es-ES"/>
        </w:rPr>
        <w:t>costo beneficio con un V</w:t>
      </w:r>
      <w:r w:rsidRPr="559FA22C" w:rsidR="559FA22C">
        <w:rPr>
          <w:rFonts w:ascii="Arial" w:hAnsi="Arial" w:cs="Arial"/>
          <w:color w:val="000000" w:themeColor="text1" w:themeTint="FF" w:themeShade="FF"/>
          <w:sz w:val="22"/>
          <w:szCs w:val="22"/>
          <w:lang w:val="es-ES"/>
        </w:rPr>
        <w:t>P</w:t>
      </w:r>
      <w:r w:rsidRPr="559FA22C" w:rsidR="559FA22C">
        <w:rPr>
          <w:rFonts w:ascii="Arial" w:hAnsi="Arial" w:cs="Arial"/>
          <w:color w:val="000000" w:themeColor="text1" w:themeTint="FF" w:themeShade="FF"/>
          <w:sz w:val="22"/>
          <w:szCs w:val="22"/>
          <w:lang w:val="es-ES"/>
        </w:rPr>
        <w:t>N total asociado.</w:t>
      </w:r>
    </w:p>
    <w:p w:rsidRPr="002210AF" w:rsidR="00B36037" w:rsidP="559FA22C" w:rsidRDefault="00B36037" w14:paraId="295C0025" w14:textId="77777777" w14:noSpellErr="1">
      <w:pPr>
        <w:pStyle w:val="SecHeading"/>
        <w:numPr>
          <w:numId w:val="0"/>
        </w:numPr>
        <w:rPr>
          <w:rFonts w:ascii="Arial" w:hAnsi="Arial" w:cs="Arial"/>
          <w:sz w:val="22"/>
          <w:szCs w:val="22"/>
          <w:u w:val="single"/>
          <w:lang w:val="es-ES"/>
        </w:rPr>
      </w:pPr>
      <w:bookmarkStart w:name="_Toc498007209" w:id="10"/>
      <w:r w:rsidRPr="559FA22C" w:rsidR="559FA22C">
        <w:rPr>
          <w:rFonts w:ascii="Arial" w:hAnsi="Arial" w:cs="Arial"/>
          <w:sz w:val="22"/>
          <w:szCs w:val="22"/>
          <w:u w:val="single"/>
          <w:lang w:val="es-ES"/>
        </w:rPr>
        <w:t xml:space="preserve">Descripción de la </w:t>
      </w:r>
      <w:r w:rsidRPr="559FA22C" w:rsidR="559FA22C">
        <w:rPr>
          <w:rFonts w:ascii="Arial" w:hAnsi="Arial" w:cs="Arial"/>
          <w:sz w:val="22"/>
          <w:szCs w:val="22"/>
          <w:u w:val="single"/>
          <w:lang w:val="es-ES"/>
        </w:rPr>
        <w:t>estrategia</w:t>
      </w:r>
      <w:r w:rsidRPr="559FA22C" w:rsidR="559FA22C">
        <w:rPr>
          <w:rFonts w:ascii="Arial" w:hAnsi="Arial" w:cs="Arial"/>
          <w:sz w:val="22"/>
          <w:szCs w:val="22"/>
          <w:u w:val="single"/>
          <w:lang w:val="es-ES"/>
        </w:rPr>
        <w:t xml:space="preserve"> en términos generales</w:t>
      </w:r>
      <w:bookmarkEnd w:id="10"/>
    </w:p>
    <w:p w:rsidRPr="008D6662" w:rsidR="007975E0" w:rsidP="559FA22C" w:rsidRDefault="007929EC" w14:paraId="497E4356" w14:textId="6A40026B" w14:noSpellErr="1">
      <w:pPr>
        <w:pStyle w:val="Paragraph"/>
        <w:tabs>
          <w:tab w:val="num" w:pos="720"/>
        </w:tabs>
        <w:ind w:left="720" w:hanging="720"/>
        <w:rPr>
          <w:rFonts w:ascii="Arial" w:hAnsi="Arial" w:cs="Arial"/>
          <w:color w:val="000000" w:themeColor="text1" w:themeTint="FF" w:themeShade="FF"/>
          <w:sz w:val="22"/>
          <w:szCs w:val="22"/>
          <w:lang w:val="es-ES"/>
        </w:rPr>
      </w:pPr>
      <w:r w:rsidRPr="559FA22C" w:rsidR="559FA22C">
        <w:rPr>
          <w:rFonts w:ascii="Arial" w:hAnsi="Arial" w:cs="Arial"/>
          <w:b w:val="1"/>
          <w:bCs w:val="1"/>
          <w:color w:val="000000" w:themeColor="text1" w:themeTint="FF" w:themeShade="FF"/>
          <w:sz w:val="22"/>
          <w:szCs w:val="22"/>
          <w:lang w:val="es-ES"/>
        </w:rPr>
        <w:t>Fuente de datos.</w:t>
      </w:r>
      <w:r w:rsidRPr="559FA22C" w:rsidR="559FA22C">
        <w:rPr>
          <w:rFonts w:ascii="Arial" w:hAnsi="Arial" w:cs="Arial"/>
          <w:color w:val="000000" w:themeColor="text1" w:themeTint="FF" w:themeShade="FF"/>
          <w:sz w:val="22"/>
          <w:szCs w:val="22"/>
          <w:lang w:val="es-ES"/>
        </w:rPr>
        <w:t xml:space="preserve"> </w:t>
      </w:r>
      <w:r w:rsidRPr="559FA22C" w:rsidR="559FA22C">
        <w:rPr>
          <w:rFonts w:ascii="Arial" w:hAnsi="Arial" w:cs="Arial"/>
          <w:color w:val="000000" w:themeColor="text1" w:themeTint="FF" w:themeShade="FF"/>
          <w:sz w:val="22"/>
          <w:szCs w:val="22"/>
          <w:lang w:val="es-ES"/>
        </w:rPr>
        <w:t>El presente análisis nos permite, a partir de</w:t>
      </w:r>
      <w:r w:rsidRPr="559FA22C" w:rsidR="559FA22C">
        <w:rPr>
          <w:rFonts w:ascii="Arial" w:hAnsi="Arial" w:cs="Arial"/>
          <w:color w:val="000000" w:themeColor="text1" w:themeTint="FF" w:themeShade="FF"/>
          <w:sz w:val="22"/>
          <w:szCs w:val="22"/>
          <w:lang w:val="es-ES"/>
        </w:rPr>
        <w:t xml:space="preserve"> </w:t>
      </w:r>
      <w:r w:rsidRPr="559FA22C" w:rsidR="559FA22C">
        <w:rPr>
          <w:rFonts w:ascii="Arial" w:hAnsi="Arial" w:cs="Arial"/>
          <w:color w:val="000000" w:themeColor="text1" w:themeTint="FF" w:themeShade="FF"/>
          <w:sz w:val="22"/>
          <w:szCs w:val="22"/>
          <w:lang w:val="es-ES"/>
        </w:rPr>
        <w:t xml:space="preserve">la información </w:t>
      </w:r>
      <w:r w:rsidRPr="559FA22C" w:rsidR="559FA22C">
        <w:rPr>
          <w:rFonts w:ascii="Arial" w:hAnsi="Arial" w:cs="Arial"/>
          <w:color w:val="000000" w:themeColor="text1" w:themeTint="FF" w:themeShade="FF"/>
          <w:sz w:val="22"/>
          <w:szCs w:val="22"/>
          <w:lang w:val="es-ES"/>
        </w:rPr>
        <w:t xml:space="preserve">preliminar </w:t>
      </w:r>
      <w:r w:rsidRPr="559FA22C" w:rsidR="559FA22C">
        <w:rPr>
          <w:rFonts w:ascii="Arial" w:hAnsi="Arial" w:cs="Arial"/>
          <w:color w:val="000000" w:themeColor="text1" w:themeTint="FF" w:themeShade="FF"/>
          <w:sz w:val="22"/>
          <w:szCs w:val="22"/>
          <w:lang w:val="es-ES"/>
        </w:rPr>
        <w:t xml:space="preserve">suministrada por </w:t>
      </w:r>
      <w:r w:rsidRPr="559FA22C" w:rsidR="559FA22C">
        <w:rPr>
          <w:rFonts w:ascii="Arial" w:hAnsi="Arial" w:cs="Arial"/>
          <w:color w:val="000000" w:themeColor="text1" w:themeTint="FF" w:themeShade="FF"/>
          <w:sz w:val="22"/>
          <w:szCs w:val="22"/>
          <w:lang w:val="es-ES"/>
        </w:rPr>
        <w:t>el Ministerio de Finanzas</w:t>
      </w:r>
      <w:r w:rsidRPr="559FA22C" w:rsidR="559FA22C">
        <w:rPr>
          <w:rFonts w:ascii="Arial" w:hAnsi="Arial" w:cs="Arial"/>
          <w:color w:val="000000" w:themeColor="text1" w:themeTint="FF" w:themeShade="FF"/>
          <w:sz w:val="22"/>
          <w:szCs w:val="22"/>
          <w:lang w:val="es-ES"/>
        </w:rPr>
        <w:t xml:space="preserve"> </w:t>
      </w:r>
      <w:r w:rsidRPr="559FA22C" w:rsidR="559FA22C">
        <w:rPr>
          <w:rFonts w:ascii="Arial" w:hAnsi="Arial" w:cs="Arial"/>
          <w:color w:val="000000" w:themeColor="text1" w:themeTint="FF" w:themeShade="FF"/>
          <w:sz w:val="22"/>
          <w:szCs w:val="22"/>
          <w:lang w:val="es-ES"/>
        </w:rPr>
        <w:t>y de un conjunto de</w:t>
      </w:r>
      <w:r w:rsidRPr="559FA22C" w:rsidR="559FA22C">
        <w:rPr>
          <w:rFonts w:ascii="Arial" w:hAnsi="Arial" w:cs="Arial"/>
          <w:color w:val="000000" w:themeColor="text1" w:themeTint="FF" w:themeShade="FF"/>
          <w:sz w:val="22"/>
          <w:szCs w:val="22"/>
          <w:lang w:val="es-ES"/>
        </w:rPr>
        <w:t xml:space="preserve"> supuestos</w:t>
      </w:r>
      <w:r w:rsidRPr="559FA22C" w:rsidR="559FA22C">
        <w:rPr>
          <w:rFonts w:ascii="Arial" w:hAnsi="Arial" w:cs="Arial"/>
          <w:color w:val="000000" w:themeColor="text1" w:themeTint="FF" w:themeShade="FF"/>
          <w:sz w:val="22"/>
          <w:szCs w:val="22"/>
          <w:lang w:val="es-ES"/>
        </w:rPr>
        <w:t xml:space="preserve"> (que se detallan debidamente en la</w:t>
      </w:r>
      <w:r w:rsidRPr="559FA22C" w:rsidR="559FA22C">
        <w:rPr>
          <w:rFonts w:ascii="Arial" w:hAnsi="Arial" w:cs="Arial"/>
          <w:color w:val="000000" w:themeColor="text1" w:themeTint="FF" w:themeShade="FF"/>
          <w:sz w:val="22"/>
          <w:szCs w:val="22"/>
          <w:lang w:val="es-ES"/>
        </w:rPr>
        <w:t>s</w:t>
      </w:r>
      <w:r w:rsidRPr="559FA22C" w:rsidR="559FA22C">
        <w:rPr>
          <w:rFonts w:ascii="Arial" w:hAnsi="Arial" w:cs="Arial"/>
          <w:color w:val="000000" w:themeColor="text1" w:themeTint="FF" w:themeShade="FF"/>
          <w:sz w:val="22"/>
          <w:szCs w:val="22"/>
          <w:lang w:val="es-ES"/>
        </w:rPr>
        <w:t xml:space="preserve"> secciones siguientes)</w:t>
      </w:r>
      <w:r w:rsidRPr="559FA22C" w:rsidR="559FA22C">
        <w:rPr>
          <w:rFonts w:ascii="Arial" w:hAnsi="Arial" w:cs="Arial"/>
          <w:color w:val="000000" w:themeColor="text1" w:themeTint="FF" w:themeShade="FF"/>
          <w:sz w:val="22"/>
          <w:szCs w:val="22"/>
          <w:lang w:val="es-ES"/>
        </w:rPr>
        <w:t xml:space="preserve">, </w:t>
      </w:r>
      <w:r w:rsidRPr="559FA22C" w:rsidR="559FA22C">
        <w:rPr>
          <w:rFonts w:ascii="Arial" w:hAnsi="Arial" w:cs="Arial"/>
          <w:color w:val="000000" w:themeColor="text1" w:themeTint="FF" w:themeShade="FF"/>
          <w:sz w:val="22"/>
          <w:szCs w:val="22"/>
          <w:lang w:val="es-ES"/>
        </w:rPr>
        <w:t xml:space="preserve">proyectar los flujos de ingresos y egresos correspondientes a </w:t>
      </w:r>
      <w:r w:rsidRPr="559FA22C" w:rsidR="559FA22C">
        <w:rPr>
          <w:rFonts w:ascii="Arial" w:hAnsi="Arial" w:cs="Arial"/>
          <w:color w:val="000000" w:themeColor="text1" w:themeTint="FF" w:themeShade="FF"/>
          <w:sz w:val="22"/>
          <w:szCs w:val="22"/>
          <w:lang w:val="es-ES"/>
        </w:rPr>
        <w:t xml:space="preserve">esta operación.  </w:t>
      </w:r>
      <w:r w:rsidRPr="559FA22C" w:rsidR="559FA22C">
        <w:rPr>
          <w:rFonts w:ascii="Arial" w:hAnsi="Arial" w:cs="Arial"/>
          <w:color w:val="000000" w:themeColor="text1" w:themeTint="FF" w:themeShade="FF"/>
          <w:sz w:val="22"/>
          <w:szCs w:val="22"/>
          <w:lang w:val="es-ES"/>
        </w:rPr>
        <w:t xml:space="preserve">Cabe </w:t>
      </w:r>
      <w:r w:rsidRPr="559FA22C" w:rsidR="559FA22C">
        <w:rPr>
          <w:rFonts w:ascii="Arial" w:hAnsi="Arial" w:cs="Arial"/>
          <w:color w:val="000000" w:themeColor="text1" w:themeTint="FF" w:themeShade="FF"/>
          <w:sz w:val="22"/>
          <w:szCs w:val="22"/>
          <w:lang w:val="es-ES"/>
        </w:rPr>
        <w:t>señalar</w:t>
      </w:r>
      <w:r w:rsidRPr="559FA22C" w:rsidR="559FA22C">
        <w:rPr>
          <w:rFonts w:ascii="Arial" w:hAnsi="Arial" w:cs="Arial"/>
          <w:color w:val="000000" w:themeColor="text1" w:themeTint="FF" w:themeShade="FF"/>
          <w:sz w:val="22"/>
          <w:szCs w:val="22"/>
          <w:lang w:val="es-ES"/>
        </w:rPr>
        <w:t xml:space="preserve"> que las caracterizaciones aquí presentadas </w:t>
      </w:r>
      <w:r w:rsidRPr="559FA22C" w:rsidR="559FA22C">
        <w:rPr>
          <w:rFonts w:ascii="Arial" w:hAnsi="Arial" w:cs="Arial"/>
          <w:color w:val="000000" w:themeColor="text1" w:themeTint="FF" w:themeShade="FF"/>
          <w:sz w:val="22"/>
          <w:szCs w:val="22"/>
          <w:lang w:val="es-ES"/>
        </w:rPr>
        <w:t xml:space="preserve">para inversiones en infraestructura </w:t>
      </w:r>
      <w:r w:rsidRPr="559FA22C" w:rsidR="559FA22C">
        <w:rPr>
          <w:rFonts w:ascii="Arial" w:hAnsi="Arial" w:cs="Arial"/>
          <w:color w:val="000000" w:themeColor="text1" w:themeTint="FF" w:themeShade="FF"/>
          <w:sz w:val="22"/>
          <w:szCs w:val="22"/>
          <w:lang w:val="es-ES"/>
        </w:rPr>
        <w:t>se basan</w:t>
      </w:r>
      <w:r w:rsidRPr="559FA22C" w:rsidR="559FA22C">
        <w:rPr>
          <w:rFonts w:ascii="Arial" w:hAnsi="Arial" w:cs="Arial"/>
          <w:color w:val="000000" w:themeColor="text1" w:themeTint="FF" w:themeShade="FF"/>
          <w:sz w:val="22"/>
          <w:szCs w:val="22"/>
          <w:lang w:val="es-ES"/>
        </w:rPr>
        <w:t xml:space="preserve">, </w:t>
      </w:r>
      <w:r w:rsidRPr="559FA22C" w:rsidR="559FA22C">
        <w:rPr>
          <w:rFonts w:ascii="Arial" w:hAnsi="Arial" w:cs="Arial"/>
          <w:color w:val="000000" w:themeColor="text1" w:themeTint="FF" w:themeShade="FF"/>
          <w:sz w:val="22"/>
          <w:szCs w:val="22"/>
          <w:lang w:val="es-ES"/>
        </w:rPr>
        <w:t>tanto en la experiencia internacional para analizar los componentes de los flujos de ingresos y egresos</w:t>
      </w:r>
      <w:r w:rsidRPr="559FA22C" w:rsidR="559FA22C">
        <w:rPr>
          <w:rFonts w:ascii="Arial" w:hAnsi="Arial" w:cs="Arial"/>
          <w:color w:val="000000" w:themeColor="text1" w:themeTint="FF" w:themeShade="FF"/>
          <w:sz w:val="22"/>
          <w:szCs w:val="22"/>
          <w:lang w:val="es-ES"/>
        </w:rPr>
        <w:t>,</w:t>
      </w:r>
      <w:r w:rsidRPr="559FA22C" w:rsidR="559FA22C">
        <w:rPr>
          <w:rFonts w:ascii="Arial" w:hAnsi="Arial" w:cs="Arial"/>
          <w:color w:val="000000" w:themeColor="text1" w:themeTint="FF" w:themeShade="FF"/>
          <w:sz w:val="22"/>
          <w:szCs w:val="22"/>
          <w:lang w:val="es-ES"/>
        </w:rPr>
        <w:t xml:space="preserve"> como en la experiencia operativa </w:t>
      </w:r>
      <w:r w:rsidRPr="559FA22C" w:rsidR="559FA22C">
        <w:rPr>
          <w:rFonts w:ascii="Arial" w:hAnsi="Arial" w:cs="Arial"/>
          <w:color w:val="000000" w:themeColor="text1" w:themeTint="FF" w:themeShade="FF"/>
          <w:sz w:val="22"/>
          <w:szCs w:val="22"/>
          <w:lang w:val="es-ES"/>
        </w:rPr>
        <w:t>propia</w:t>
      </w:r>
      <w:r w:rsidRPr="559FA22C" w:rsidR="559FA22C">
        <w:rPr>
          <w:rFonts w:ascii="Arial" w:hAnsi="Arial" w:cs="Arial"/>
          <w:color w:val="000000" w:themeColor="text1" w:themeTint="FF" w:themeShade="FF"/>
          <w:sz w:val="22"/>
          <w:szCs w:val="22"/>
          <w:lang w:val="es-ES"/>
        </w:rPr>
        <w:t xml:space="preserve"> del BID, </w:t>
      </w:r>
      <w:r w:rsidRPr="559FA22C" w:rsidR="559FA22C">
        <w:rPr>
          <w:rFonts w:ascii="Arial" w:hAnsi="Arial" w:cs="Arial"/>
          <w:color w:val="000000" w:themeColor="text1" w:themeTint="FF" w:themeShade="FF"/>
          <w:sz w:val="22"/>
          <w:szCs w:val="22"/>
          <w:lang w:val="es-ES"/>
        </w:rPr>
        <w:t>apoyándose además en</w:t>
      </w:r>
      <w:r w:rsidRPr="559FA22C" w:rsidR="559FA22C">
        <w:rPr>
          <w:rFonts w:ascii="Arial" w:hAnsi="Arial" w:cs="Arial"/>
          <w:color w:val="000000" w:themeColor="text1" w:themeTint="FF" w:themeShade="FF"/>
          <w:sz w:val="22"/>
          <w:szCs w:val="22"/>
          <w:lang w:val="es-ES"/>
        </w:rPr>
        <w:t xml:space="preserve"> los datos proporcionados por </w:t>
      </w:r>
      <w:r w:rsidRPr="559FA22C" w:rsidR="559FA22C">
        <w:rPr>
          <w:rFonts w:ascii="Arial" w:hAnsi="Arial" w:cs="Arial"/>
          <w:color w:val="000000" w:themeColor="text1" w:themeTint="FF" w:themeShade="FF"/>
          <w:sz w:val="22"/>
          <w:szCs w:val="22"/>
          <w:lang w:val="es-ES"/>
        </w:rPr>
        <w:t xml:space="preserve">el Ministerio de Finanzas </w:t>
      </w:r>
      <w:r w:rsidRPr="559FA22C" w:rsidR="559FA22C">
        <w:rPr>
          <w:rFonts w:ascii="Arial" w:hAnsi="Arial" w:cs="Arial"/>
          <w:color w:val="000000" w:themeColor="text1" w:themeTint="FF" w:themeShade="FF"/>
          <w:sz w:val="22"/>
          <w:szCs w:val="22"/>
          <w:lang w:val="es-ES"/>
        </w:rPr>
        <w:t>sobre inversiones previstas</w:t>
      </w:r>
      <w:r w:rsidRPr="559FA22C" w:rsidR="559FA22C">
        <w:rPr>
          <w:rFonts w:ascii="Arial" w:hAnsi="Arial" w:cs="Arial"/>
          <w:color w:val="000000" w:themeColor="text1" w:themeTint="FF" w:themeShade="FF"/>
          <w:sz w:val="22"/>
          <w:szCs w:val="22"/>
          <w:lang w:val="es-ES"/>
        </w:rPr>
        <w:t xml:space="preserve"> y el reciente ejercicio de sondeo de mercado asociado al desarrollo de esta operación</w:t>
      </w:r>
      <w:r w:rsidRPr="559FA22C" w:rsidR="559FA22C">
        <w:rPr>
          <w:rFonts w:ascii="Arial" w:hAnsi="Arial" w:cs="Arial"/>
          <w:color w:val="000000" w:themeColor="text1" w:themeTint="FF" w:themeShade="FF"/>
          <w:sz w:val="22"/>
          <w:szCs w:val="22"/>
          <w:lang w:val="es-ES"/>
        </w:rPr>
        <w:t>.</w:t>
      </w:r>
      <w:r w:rsidRPr="559FA22C" w:rsidR="559FA22C">
        <w:rPr>
          <w:rFonts w:ascii="Arial" w:hAnsi="Arial" w:cs="Arial"/>
          <w:color w:val="000000" w:themeColor="text1" w:themeTint="FF" w:themeShade="FF"/>
          <w:sz w:val="22"/>
          <w:szCs w:val="22"/>
          <w:lang w:val="es-ES"/>
        </w:rPr>
        <w:t xml:space="preserve"> </w:t>
      </w:r>
    </w:p>
    <w:p w:rsidRPr="008D6662" w:rsidR="00436BD7" w:rsidP="559FA22C" w:rsidRDefault="007929EC" w14:paraId="0BEA276B" w14:noSpellErr="1" w14:textId="2CBF6EAA">
      <w:pPr>
        <w:pStyle w:val="Paragraph"/>
        <w:tabs>
          <w:tab w:val="num" w:pos="720"/>
        </w:tabs>
        <w:ind w:left="720" w:hanging="720"/>
        <w:rPr>
          <w:rFonts w:ascii="Arial" w:hAnsi="Arial" w:cs="Arial"/>
          <w:color w:val="000000" w:themeColor="text1" w:themeTint="FF" w:themeShade="FF"/>
          <w:sz w:val="22"/>
          <w:szCs w:val="22"/>
          <w:lang w:val="es-ES"/>
        </w:rPr>
      </w:pPr>
      <w:r w:rsidRPr="559FA22C" w:rsidR="559FA22C">
        <w:rPr>
          <w:rFonts w:ascii="Arial" w:hAnsi="Arial" w:cs="Arial"/>
          <w:b w:val="1"/>
          <w:bCs w:val="1"/>
          <w:color w:val="000000" w:themeColor="text1" w:themeTint="FF" w:themeShade="FF"/>
          <w:sz w:val="22"/>
          <w:szCs w:val="22"/>
          <w:lang w:val="es-ES"/>
        </w:rPr>
        <w:t>Flujos netos y otras caracterizaciones.</w:t>
      </w:r>
      <w:r w:rsidRPr="559FA22C" w:rsidR="559FA22C">
        <w:rPr>
          <w:rFonts w:ascii="Arial" w:hAnsi="Arial" w:cs="Arial"/>
          <w:color w:val="000000" w:themeColor="text1" w:themeTint="FF" w:themeShade="FF"/>
          <w:sz w:val="22"/>
          <w:szCs w:val="22"/>
          <w:lang w:val="es-ES"/>
        </w:rPr>
        <w:t xml:space="preserve"> </w:t>
      </w:r>
      <w:r w:rsidRPr="559FA22C" w:rsidR="559FA22C">
        <w:rPr>
          <w:rFonts w:ascii="Arial" w:hAnsi="Arial" w:cs="Arial"/>
          <w:color w:val="000000" w:themeColor="text1" w:themeTint="FF" w:themeShade="FF"/>
          <w:sz w:val="22"/>
          <w:szCs w:val="22"/>
          <w:lang w:val="es-ES"/>
        </w:rPr>
        <w:t xml:space="preserve">Las mencionadas proyecciones permiten calcular la diferencia entre ingresos y egresos atribuibles a la ejecución </w:t>
      </w:r>
      <w:r w:rsidRPr="559FA22C" w:rsidR="559FA22C">
        <w:rPr>
          <w:rFonts w:ascii="Arial" w:hAnsi="Arial" w:cs="Arial"/>
          <w:color w:val="000000" w:themeColor="text1" w:themeTint="FF" w:themeShade="FF"/>
          <w:sz w:val="22"/>
          <w:szCs w:val="22"/>
          <w:lang w:val="es-ES"/>
        </w:rPr>
        <w:t xml:space="preserve">de </w:t>
      </w:r>
      <w:r w:rsidRPr="559FA22C" w:rsidR="559FA22C">
        <w:rPr>
          <w:rFonts w:ascii="Arial" w:hAnsi="Arial" w:cs="Arial"/>
          <w:color w:val="000000" w:themeColor="text1" w:themeTint="FF" w:themeShade="FF"/>
          <w:sz w:val="22"/>
          <w:szCs w:val="22"/>
          <w:lang w:val="es-ES"/>
        </w:rPr>
        <w:t xml:space="preserve">esta </w:t>
      </w:r>
      <w:r w:rsidRPr="559FA22C" w:rsidR="559FA22C">
        <w:rPr>
          <w:rFonts w:ascii="Arial" w:hAnsi="Arial" w:cs="Arial"/>
          <w:color w:val="000000" w:themeColor="text1" w:themeTint="FF" w:themeShade="FF"/>
          <w:sz w:val="22"/>
          <w:szCs w:val="22"/>
          <w:lang w:val="es-ES"/>
        </w:rPr>
        <w:t xml:space="preserve">facilidad </w:t>
      </w:r>
      <w:r w:rsidRPr="559FA22C" w:rsidR="559FA22C">
        <w:rPr>
          <w:rFonts w:ascii="Arial" w:hAnsi="Arial" w:cs="Arial"/>
          <w:color w:val="000000" w:themeColor="text1" w:themeTint="FF" w:themeShade="FF"/>
          <w:sz w:val="22"/>
          <w:szCs w:val="22"/>
          <w:lang w:val="es-ES"/>
        </w:rPr>
        <w:t xml:space="preserve">flexible de mitigación de riesgos </w:t>
      </w:r>
      <w:r w:rsidRPr="559FA22C" w:rsidR="559FA22C">
        <w:rPr>
          <w:rFonts w:ascii="Arial" w:hAnsi="Arial" w:cs="Arial"/>
          <w:color w:val="000000" w:themeColor="text1" w:themeTint="FF" w:themeShade="FF"/>
          <w:sz w:val="22"/>
          <w:szCs w:val="22"/>
          <w:lang w:val="es-ES"/>
        </w:rPr>
        <w:t>enfrentándolos a un escenario contra</w:t>
      </w:r>
      <w:r w:rsidRPr="559FA22C" w:rsidR="559FA22C">
        <w:rPr>
          <w:rFonts w:ascii="Arial" w:hAnsi="Arial" w:cs="Arial"/>
          <w:color w:val="000000" w:themeColor="text1" w:themeTint="FF" w:themeShade="FF"/>
          <w:sz w:val="22"/>
          <w:szCs w:val="22"/>
          <w:lang w:val="es-ES"/>
        </w:rPr>
        <w:t>factual en el que no se cuenta con ninguna emisión de garantía para el financiamiento productivo</w:t>
      </w:r>
      <w:r w:rsidRPr="559FA22C" w:rsidR="559FA22C">
        <w:rPr>
          <w:rFonts w:ascii="Arial" w:hAnsi="Arial" w:cs="Arial"/>
          <w:color w:val="000000" w:themeColor="text1" w:themeTint="FF" w:themeShade="FF"/>
          <w:sz w:val="22"/>
          <w:szCs w:val="22"/>
          <w:lang w:val="es-ES"/>
        </w:rPr>
        <w:t xml:space="preserve">. Las condiciones se detallan con más precisión más adelante, pero cabe </w:t>
      </w:r>
      <w:r w:rsidRPr="559FA22C" w:rsidR="559FA22C">
        <w:rPr>
          <w:rFonts w:ascii="Arial" w:hAnsi="Arial" w:cs="Arial"/>
          <w:color w:val="000000" w:themeColor="text1" w:themeTint="FF" w:themeShade="FF"/>
          <w:sz w:val="22"/>
          <w:szCs w:val="22"/>
          <w:lang w:val="es-ES"/>
        </w:rPr>
        <w:t>avanzar</w:t>
      </w:r>
      <w:r w:rsidRPr="559FA22C" w:rsidR="559FA22C">
        <w:rPr>
          <w:rFonts w:ascii="Arial" w:hAnsi="Arial" w:cs="Arial"/>
          <w:color w:val="000000" w:themeColor="text1" w:themeTint="FF" w:themeShade="FF"/>
          <w:sz w:val="22"/>
          <w:szCs w:val="22"/>
          <w:lang w:val="es-ES"/>
        </w:rPr>
        <w:t xml:space="preserve"> que </w:t>
      </w:r>
      <w:r w:rsidRPr="559FA22C" w:rsidR="559FA22C">
        <w:rPr>
          <w:rFonts w:ascii="Arial" w:hAnsi="Arial" w:cs="Arial"/>
          <w:color w:val="000000" w:themeColor="text1" w:themeTint="FF" w:themeShade="FF"/>
          <w:sz w:val="22"/>
          <w:szCs w:val="22"/>
          <w:lang w:val="es-ES"/>
        </w:rPr>
        <w:t xml:space="preserve">tras el cálculo del VPN sobre un </w:t>
      </w:r>
      <w:r w:rsidRPr="559FA22C" w:rsidR="559FA22C">
        <w:rPr>
          <w:rFonts w:ascii="Arial" w:hAnsi="Arial" w:cs="Arial"/>
          <w:color w:val="000000" w:themeColor="text1" w:themeTint="FF" w:themeShade="FF"/>
          <w:sz w:val="22"/>
          <w:szCs w:val="22"/>
          <w:lang w:val="es-ES"/>
        </w:rPr>
        <w:t>escenario central</w:t>
      </w:r>
      <w:r w:rsidRPr="559FA22C" w:rsidR="559FA22C">
        <w:rPr>
          <w:rFonts w:ascii="Arial" w:hAnsi="Arial" w:cs="Arial"/>
          <w:color w:val="000000" w:themeColor="text1" w:themeTint="FF" w:themeShade="FF"/>
          <w:sz w:val="22"/>
          <w:szCs w:val="22"/>
          <w:lang w:val="es-ES"/>
        </w:rPr>
        <w:t xml:space="preserve">, </w:t>
      </w:r>
      <w:r w:rsidRPr="559FA22C" w:rsidR="559FA22C">
        <w:rPr>
          <w:rFonts w:ascii="Arial" w:hAnsi="Arial" w:cs="Arial"/>
          <w:color w:val="000000" w:themeColor="text1" w:themeTint="FF" w:themeShade="FF"/>
          <w:sz w:val="22"/>
          <w:szCs w:val="22"/>
          <w:lang w:val="es-ES"/>
        </w:rPr>
        <w:t>e</w:t>
      </w:r>
      <w:r w:rsidRPr="559FA22C" w:rsidR="559FA22C">
        <w:rPr>
          <w:rFonts w:ascii="Arial" w:hAnsi="Arial" w:cs="Arial"/>
          <w:color w:val="000000" w:themeColor="text1" w:themeTint="FF" w:themeShade="FF"/>
          <w:sz w:val="22"/>
          <w:szCs w:val="22"/>
          <w:lang w:val="es-ES"/>
        </w:rPr>
        <w:t xml:space="preserve">l </w:t>
      </w:r>
      <w:r w:rsidRPr="559FA22C" w:rsidR="559FA22C">
        <w:rPr>
          <w:rFonts w:ascii="Arial" w:hAnsi="Arial" w:cs="Arial"/>
          <w:color w:val="000000" w:themeColor="text1" w:themeTint="FF" w:themeShade="FF"/>
          <w:sz w:val="22"/>
          <w:szCs w:val="22"/>
          <w:lang w:val="es-ES"/>
        </w:rPr>
        <w:t xml:space="preserve">ejercicio de sensibilización </w:t>
      </w:r>
      <w:r w:rsidRPr="559FA22C" w:rsidR="559FA22C">
        <w:rPr>
          <w:rFonts w:ascii="Arial" w:hAnsi="Arial" w:cs="Arial"/>
          <w:color w:val="000000" w:themeColor="text1" w:themeTint="FF" w:themeShade="FF"/>
          <w:sz w:val="22"/>
          <w:szCs w:val="22"/>
          <w:lang w:val="es-ES"/>
        </w:rPr>
        <w:t xml:space="preserve">del VPN </w:t>
      </w:r>
      <w:r w:rsidRPr="559FA22C" w:rsidR="559FA22C">
        <w:rPr>
          <w:rFonts w:ascii="Arial" w:hAnsi="Arial" w:cs="Arial"/>
          <w:color w:val="000000" w:themeColor="text1" w:themeTint="FF" w:themeShade="FF"/>
          <w:sz w:val="22"/>
          <w:szCs w:val="22"/>
          <w:lang w:val="es-ES"/>
        </w:rPr>
        <w:t xml:space="preserve">utiliza </w:t>
      </w:r>
      <w:r w:rsidRPr="559FA22C" w:rsidR="559FA22C">
        <w:rPr>
          <w:rFonts w:ascii="Arial" w:hAnsi="Arial" w:cs="Arial"/>
          <w:color w:val="000000" w:themeColor="text1" w:themeTint="FF" w:themeShade="FF"/>
          <w:sz w:val="22"/>
          <w:szCs w:val="22"/>
          <w:lang w:val="es-ES"/>
        </w:rPr>
        <w:t>los resultados</w:t>
      </w:r>
      <w:r w:rsidRPr="559FA22C" w:rsidR="559FA22C">
        <w:rPr>
          <w:rFonts w:ascii="Arial" w:hAnsi="Arial" w:cs="Arial"/>
          <w:color w:val="000000" w:themeColor="text1" w:themeTint="FF" w:themeShade="FF"/>
          <w:sz w:val="22"/>
          <w:szCs w:val="22"/>
          <w:lang w:val="es-ES"/>
        </w:rPr>
        <w:t xml:space="preserve"> menos exitosos observados en experiencias internacionales anteriores de otras multilaterales</w:t>
      </w:r>
      <w:r w:rsidRPr="559FA22C" w:rsidR="559FA22C">
        <w:rPr>
          <w:rFonts w:ascii="Arial" w:hAnsi="Arial" w:cs="Arial"/>
          <w:color w:val="000000" w:themeColor="text1" w:themeTint="FF" w:themeShade="FF"/>
          <w:sz w:val="22"/>
          <w:szCs w:val="22"/>
          <w:lang w:val="es-ES"/>
        </w:rPr>
        <w:t xml:space="preserve"> para a</w:t>
      </w:r>
      <w:r w:rsidRPr="559FA22C" w:rsidR="559FA22C">
        <w:rPr>
          <w:rFonts w:ascii="Arial" w:hAnsi="Arial" w:cs="Arial"/>
          <w:color w:val="000000" w:themeColor="text1" w:themeTint="FF" w:themeShade="FF"/>
          <w:sz w:val="22"/>
          <w:szCs w:val="22"/>
          <w:lang w:val="es-ES"/>
        </w:rPr>
        <w:t>portar escenarios de especial castigo a</w:t>
      </w:r>
      <w:r w:rsidRPr="559FA22C" w:rsidR="559FA22C">
        <w:rPr>
          <w:rFonts w:ascii="Arial" w:hAnsi="Arial" w:cs="Arial"/>
          <w:color w:val="000000" w:themeColor="text1" w:themeTint="FF" w:themeShade="FF"/>
          <w:sz w:val="22"/>
          <w:szCs w:val="22"/>
          <w:lang w:val="es-ES"/>
        </w:rPr>
        <w:t xml:space="preserve"> </w:t>
      </w:r>
      <w:r w:rsidRPr="559FA22C" w:rsidR="559FA22C">
        <w:rPr>
          <w:rFonts w:ascii="Arial" w:hAnsi="Arial" w:cs="Arial"/>
          <w:color w:val="000000" w:themeColor="text1" w:themeTint="FF" w:themeShade="FF"/>
          <w:sz w:val="22"/>
          <w:szCs w:val="22"/>
          <w:lang w:val="es-ES"/>
        </w:rPr>
        <w:t>la estimación de</w:t>
      </w:r>
      <w:r w:rsidRPr="559FA22C" w:rsidR="559FA22C">
        <w:rPr>
          <w:rFonts w:ascii="Arial" w:hAnsi="Arial" w:cs="Arial"/>
          <w:color w:val="000000" w:themeColor="text1" w:themeTint="FF" w:themeShade="FF"/>
          <w:sz w:val="22"/>
          <w:szCs w:val="22"/>
          <w:lang w:val="es-ES"/>
        </w:rPr>
        <w:t xml:space="preserve"> los flujos positivos asociados </w:t>
      </w:r>
      <w:r w:rsidRPr="559FA22C" w:rsidR="559FA22C">
        <w:rPr>
          <w:rFonts w:ascii="Arial" w:hAnsi="Arial" w:cs="Arial"/>
          <w:color w:val="000000" w:themeColor="text1" w:themeTint="FF" w:themeShade="FF"/>
          <w:sz w:val="22"/>
          <w:szCs w:val="22"/>
          <w:lang w:val="es-ES"/>
        </w:rPr>
        <w:t>al</w:t>
      </w:r>
      <w:r w:rsidRPr="559FA22C" w:rsidR="559FA22C">
        <w:rPr>
          <w:rFonts w:ascii="Arial" w:hAnsi="Arial" w:cs="Arial"/>
          <w:color w:val="000000" w:themeColor="text1" w:themeTint="FF" w:themeShade="FF"/>
          <w:sz w:val="22"/>
          <w:szCs w:val="22"/>
          <w:lang w:val="es-ES"/>
        </w:rPr>
        <w:t> </w:t>
      </w:r>
      <w:r w:rsidRPr="559FA22C" w:rsidR="559FA22C">
        <w:rPr>
          <w:rFonts w:ascii="Arial" w:hAnsi="Arial" w:cs="Arial"/>
          <w:color w:val="000000" w:themeColor="text1" w:themeTint="FF" w:themeShade="FF"/>
          <w:sz w:val="22"/>
          <w:szCs w:val="22"/>
          <w:lang w:val="es-ES"/>
        </w:rPr>
        <w:t>programa.</w:t>
      </w:r>
      <w:r w:rsidRPr="559FA22C" w:rsidR="559FA22C">
        <w:rPr>
          <w:rFonts w:ascii="Arial" w:hAnsi="Arial" w:cs="Arial"/>
          <w:color w:val="000000" w:themeColor="text1" w:themeTint="FF" w:themeShade="FF"/>
          <w:sz w:val="22"/>
          <w:szCs w:val="22"/>
          <w:lang w:val="es-ES"/>
        </w:rPr>
        <w:t xml:space="preserve"> </w:t>
      </w:r>
      <w:bookmarkStart w:name="_Ref360388520" w:id="11"/>
    </w:p>
    <w:p w:rsidRPr="002210AF" w:rsidR="00FD0669" w:rsidP="559FA22C" w:rsidRDefault="0074742C" w14:paraId="30F6D9F0" w14:textId="6C1D6AF1">
      <w:pPr>
        <w:pStyle w:val="Paragraph"/>
        <w:tabs>
          <w:tab w:val="num" w:pos="720"/>
        </w:tabs>
        <w:ind w:left="720" w:hanging="720"/>
        <w:rPr>
          <w:rFonts w:ascii="Arial" w:hAnsi="Arial" w:cs="Arial"/>
          <w:color w:val="000000" w:themeColor="text1" w:themeTint="FF" w:themeShade="FF"/>
          <w:sz w:val="22"/>
          <w:szCs w:val="22"/>
          <w:lang w:val="es-ES"/>
        </w:rPr>
      </w:pPr>
      <w:r w:rsidRPr="559FA22C">
        <w:rPr>
          <w:rFonts w:ascii="Arial" w:hAnsi="Arial" w:cs="Arial"/>
          <w:b w:val="1"/>
          <w:bCs w:val="1"/>
          <w:color w:val="000000" w:themeColor="text1"/>
          <w:sz w:val="22"/>
          <w:szCs w:val="22"/>
          <w:lang w:val="es-ES"/>
        </w:rPr>
        <w:t>Montos y mecanismos de distribución</w:t>
      </w:r>
      <w:r w:rsidRPr="559FA22C">
        <w:rPr>
          <w:rFonts w:ascii="Arial" w:hAnsi="Arial" w:cs="Arial"/>
          <w:b w:val="1"/>
          <w:bCs w:val="1"/>
          <w:color w:val="000000" w:themeColor="text1"/>
          <w:sz w:val="22"/>
          <w:szCs w:val="22"/>
          <w:lang w:val="es-ES"/>
        </w:rPr>
        <w:t xml:space="preserve">. </w:t>
      </w:r>
      <w:r w:rsidRPr="008D6662" w:rsidR="008F0E4F">
        <w:rPr>
          <w:rFonts w:ascii="Arial" w:hAnsi="Arial" w:cs="Arial"/>
          <w:color w:val="000000" w:themeColor="text1"/>
          <w:sz w:val="22"/>
          <w:szCs w:val="22"/>
          <w:lang w:val="es-ES"/>
        </w:rPr>
        <w:t>E</w:t>
      </w:r>
      <w:r w:rsidRPr="008D6662" w:rsidR="00F10FC6">
        <w:rPr>
          <w:rFonts w:ascii="Arial" w:hAnsi="Arial" w:cs="Arial"/>
          <w:color w:val="000000" w:themeColor="text1"/>
          <w:sz w:val="22"/>
          <w:szCs w:val="22"/>
          <w:lang w:val="es-ES"/>
        </w:rPr>
        <w:t>l monto total de</w:t>
      </w:r>
      <w:r w:rsidRPr="008D6662" w:rsidR="008F0E4F">
        <w:rPr>
          <w:rFonts w:ascii="Arial" w:hAnsi="Arial" w:cs="Arial"/>
          <w:color w:val="000000" w:themeColor="text1"/>
          <w:sz w:val="22"/>
          <w:szCs w:val="22"/>
          <w:lang w:val="es-ES"/>
        </w:rPr>
        <w:t>stinado a</w:t>
      </w:r>
      <w:r w:rsidRPr="008D6662" w:rsidR="009C5B5D">
        <w:rPr>
          <w:rFonts w:ascii="Arial" w:hAnsi="Arial" w:cs="Arial"/>
          <w:color w:val="000000" w:themeColor="text1"/>
          <w:sz w:val="22"/>
          <w:szCs w:val="22"/>
          <w:lang w:val="es-ES"/>
        </w:rPr>
        <w:t xml:space="preserve"> esta operación es </w:t>
      </w:r>
      <w:r w:rsidRPr="008D6662" w:rsidR="00DF292E">
        <w:rPr>
          <w:rFonts w:ascii="Arial" w:hAnsi="Arial" w:cs="Arial"/>
          <w:color w:val="000000" w:themeColor="text1"/>
          <w:sz w:val="22"/>
          <w:szCs w:val="22"/>
          <w:lang w:val="es-ES"/>
        </w:rPr>
        <w:t xml:space="preserve">de </w:t>
      </w:r>
      <w:r w:rsidRPr="008D6662" w:rsidR="009C5B5D">
        <w:rPr>
          <w:rFonts w:ascii="Arial" w:hAnsi="Arial" w:cs="Arial"/>
          <w:color w:val="000000" w:themeColor="text1"/>
          <w:sz w:val="22"/>
          <w:szCs w:val="22"/>
          <w:lang w:val="es-ES"/>
        </w:rPr>
        <w:t>US$</w:t>
      </w:r>
      <w:r w:rsidRPr="008D6662" w:rsidR="00911326">
        <w:rPr>
          <w:rFonts w:ascii="Arial" w:hAnsi="Arial" w:cs="Arial"/>
          <w:color w:val="000000" w:themeColor="text1"/>
          <w:sz w:val="22"/>
          <w:szCs w:val="22"/>
          <w:lang w:val="es-ES"/>
        </w:rPr>
        <w:t>500</w:t>
      </w:r>
      <w:r w:rsidRPr="008D6662" w:rsidR="00A84DC3">
        <w:rPr>
          <w:rFonts w:ascii="Arial" w:hAnsi="Arial" w:cs="Arial"/>
          <w:color w:val="000000" w:themeColor="text1"/>
          <w:sz w:val="22"/>
          <w:szCs w:val="22"/>
          <w:lang w:val="es-ES"/>
        </w:rPr>
        <w:t> </w:t>
      </w:r>
      <w:r w:rsidRPr="008D6662" w:rsidR="00280C72">
        <w:rPr>
          <w:rFonts w:ascii="Arial" w:hAnsi="Arial" w:cs="Arial"/>
          <w:color w:val="000000" w:themeColor="text1"/>
          <w:sz w:val="22"/>
          <w:szCs w:val="22"/>
          <w:lang w:val="es-ES"/>
        </w:rPr>
        <w:t>millones</w:t>
      </w:r>
      <w:r w:rsidR="003A106D">
        <w:rPr>
          <w:rFonts w:ascii="Arial" w:hAnsi="Arial" w:cs="Arial"/>
          <w:color w:val="000000" w:themeColor="text1"/>
          <w:sz w:val="22"/>
          <w:szCs w:val="22"/>
          <w:lang w:val="es-ES"/>
        </w:rPr>
        <w:t xml:space="preserve">, de los que se </w:t>
      </w:r>
      <w:r w:rsidRPr="008D6662" w:rsidR="00911326">
        <w:rPr>
          <w:rFonts w:ascii="Arial" w:hAnsi="Arial" w:cs="Arial"/>
          <w:color w:val="000000" w:themeColor="text1"/>
          <w:sz w:val="22"/>
          <w:szCs w:val="22"/>
          <w:lang w:val="es-ES"/>
        </w:rPr>
        <w:t>contemplan US$</w:t>
      </w:r>
      <w:r w:rsidR="00E524F8">
        <w:rPr>
          <w:rFonts w:ascii="Arial" w:hAnsi="Arial" w:cs="Arial"/>
          <w:color w:val="000000" w:themeColor="text1"/>
          <w:sz w:val="22"/>
          <w:szCs w:val="22"/>
          <w:lang w:val="es-ES"/>
        </w:rPr>
        <w:t>1</w:t>
      </w:r>
      <w:r w:rsidRPr="008D6662" w:rsidR="00911326">
        <w:rPr>
          <w:rFonts w:ascii="Arial" w:hAnsi="Arial" w:cs="Arial"/>
          <w:color w:val="000000" w:themeColor="text1"/>
          <w:sz w:val="22"/>
          <w:szCs w:val="22"/>
          <w:lang w:val="es-ES"/>
        </w:rPr>
        <w:t xml:space="preserve">0 millones como costes de </w:t>
      </w:r>
      <w:r w:rsidR="00C43AB9">
        <w:rPr>
          <w:rFonts w:ascii="Arial" w:hAnsi="Arial" w:cs="Arial"/>
          <w:color w:val="000000" w:themeColor="text1"/>
          <w:sz w:val="22"/>
          <w:szCs w:val="22"/>
          <w:lang w:val="es-ES"/>
        </w:rPr>
        <w:t>ejecución del programa y US$4</w:t>
      </w:r>
      <w:r w:rsidR="00E524F8">
        <w:rPr>
          <w:rFonts w:ascii="Arial" w:hAnsi="Arial" w:cs="Arial"/>
          <w:color w:val="000000" w:themeColor="text1"/>
          <w:sz w:val="22"/>
          <w:szCs w:val="22"/>
          <w:lang w:val="es-ES"/>
        </w:rPr>
        <w:t>9</w:t>
      </w:r>
      <w:r w:rsidR="00C43AB9">
        <w:rPr>
          <w:rFonts w:ascii="Arial" w:hAnsi="Arial" w:cs="Arial"/>
          <w:color w:val="000000" w:themeColor="text1"/>
          <w:sz w:val="22"/>
          <w:szCs w:val="22"/>
          <w:lang w:val="es-ES"/>
        </w:rPr>
        <w:t xml:space="preserve">0 como monto total de la </w:t>
      </w:r>
      <w:r w:rsidR="00C43AB9">
        <w:rPr>
          <w:rFonts w:ascii="Arial" w:hAnsi="Arial" w:cs="Arial"/>
          <w:color w:val="000000" w:themeColor="text1"/>
          <w:sz w:val="22"/>
          <w:szCs w:val="22"/>
          <w:lang w:val="es-ES"/>
        </w:rPr>
        <w:t>FFMR</w:t>
      </w:r>
      <w:r w:rsidRPr="008D6662" w:rsidR="008F0E4F">
        <w:rPr>
          <w:rFonts w:ascii="Arial" w:hAnsi="Arial" w:cs="Arial"/>
          <w:color w:val="000000" w:themeColor="text1"/>
          <w:sz w:val="22"/>
          <w:szCs w:val="22"/>
          <w:lang w:val="es-ES"/>
        </w:rPr>
        <w:t>.</w:t>
      </w:r>
      <w:r w:rsidRPr="008D6662" w:rsidR="00FD0669">
        <w:rPr>
          <w:rFonts w:ascii="Arial" w:hAnsi="Arial" w:cs="Arial"/>
          <w:color w:val="000000" w:themeColor="text1"/>
          <w:sz w:val="22"/>
          <w:szCs w:val="22"/>
          <w:lang w:val="es-ES"/>
        </w:rPr>
        <w:t xml:space="preserve"> </w:t>
      </w:r>
      <w:r w:rsidRPr="002210AF" w:rsidR="00FD0669">
        <w:rPr>
          <w:rFonts w:ascii="Arial" w:hAnsi="Arial" w:cs="Arial"/>
          <w:color w:val="000000" w:themeColor="text1"/>
          <w:sz w:val="22"/>
          <w:szCs w:val="22"/>
          <w:lang w:val="es-ES"/>
        </w:rPr>
        <w:t xml:space="preserve">A través del programa se apoyará un portafolio de proyectos de infraestructura productiva de participación pública-privada en Argentina. </w:t>
      </w:r>
      <w:r w:rsidR="00C43AB9">
        <w:rPr>
          <w:rFonts w:ascii="Arial" w:hAnsi="Arial" w:cs="Arial"/>
          <w:color w:val="000000" w:themeColor="text1"/>
          <w:sz w:val="22"/>
          <w:szCs w:val="22"/>
          <w:lang w:val="es-ES"/>
        </w:rPr>
        <w:t xml:space="preserve">Preliminarmente se ha estimado que el destino de las inversiones puede comprender </w:t>
      </w:r>
      <w:r w:rsidRPr="002210AF" w:rsidR="00FD0669">
        <w:rPr>
          <w:rFonts w:ascii="Arial" w:hAnsi="Arial" w:cs="Arial"/>
          <w:color w:val="000000" w:themeColor="text1"/>
          <w:sz w:val="22"/>
          <w:szCs w:val="22"/>
          <w:lang w:val="es-ES"/>
        </w:rPr>
        <w:t>los siguientes tipos de proyectos: (i) corredores viales compuestos por 13 proyectos en construcción de autopistas y carriles de sobrepaso, pavimentación de banquinas, variantes de traza en zonas urbanas y obras complementarias, constando de más de 2.800 kilómetros de autopistas y 4.000 kilómetros de rutas seguras para un total estimado de inversión de US$7.000 millones</w:t>
      </w:r>
      <w:r w:rsidR="00C43AB9">
        <w:rPr>
          <w:rFonts w:ascii="Arial" w:hAnsi="Arial" w:cs="Arial"/>
          <w:color w:val="000000" w:themeColor="text1"/>
          <w:sz w:val="22"/>
          <w:szCs w:val="22"/>
          <w:lang w:val="es-ES"/>
        </w:rPr>
        <w:t>; (ii)</w:t>
      </w:r>
      <w:r w:rsidRPr="002210AF" w:rsidR="00FD0669">
        <w:rPr>
          <w:rFonts w:ascii="Arial" w:hAnsi="Arial" w:cs="Arial"/>
          <w:color w:val="000000" w:themeColor="text1"/>
          <w:sz w:val="22"/>
          <w:szCs w:val="22"/>
          <w:lang w:val="es-ES"/>
        </w:rPr>
        <w:t xml:space="preserve"> construcción de 7 líneas de transmisión de 500 kilovatios por más de 3.000 kilómetros distribuidos por todo el país, incluyendo estaciones transformadoras</w:t>
      </w:r>
      <w:r w:rsidR="00C43AB9">
        <w:rPr>
          <w:rFonts w:ascii="Arial" w:hAnsi="Arial" w:cs="Arial"/>
          <w:color w:val="000000" w:themeColor="text1"/>
          <w:sz w:val="22"/>
          <w:szCs w:val="22"/>
          <w:lang w:val="es-ES"/>
        </w:rPr>
        <w:t>,</w:t>
      </w:r>
      <w:r w:rsidRPr="002210AF" w:rsidR="00FD0669">
        <w:rPr>
          <w:rFonts w:ascii="Arial" w:hAnsi="Arial" w:cs="Arial"/>
          <w:color w:val="000000" w:themeColor="text1"/>
          <w:sz w:val="22"/>
          <w:szCs w:val="22"/>
          <w:lang w:val="es-ES"/>
        </w:rPr>
        <w:t xml:space="preserve"> que </w:t>
      </w:r>
      <w:r w:rsidR="00C43AB9">
        <w:rPr>
          <w:rFonts w:ascii="Arial" w:hAnsi="Arial" w:cs="Arial"/>
          <w:color w:val="000000" w:themeColor="text1"/>
          <w:sz w:val="22"/>
          <w:szCs w:val="22"/>
          <w:lang w:val="es-ES"/>
        </w:rPr>
        <w:t>ascienden a</w:t>
      </w:r>
      <w:r w:rsidRPr="002210AF" w:rsidR="00FD0669">
        <w:rPr>
          <w:rFonts w:ascii="Arial" w:hAnsi="Arial" w:cs="Arial"/>
          <w:color w:val="000000" w:themeColor="text1"/>
          <w:sz w:val="22"/>
          <w:szCs w:val="22"/>
          <w:lang w:val="es-ES"/>
        </w:rPr>
        <w:t xml:space="preserve"> una inversión total estimada de US$3.000 millones</w:t>
      </w:r>
      <w:r w:rsidR="00C43AB9">
        <w:rPr>
          <w:rFonts w:ascii="Arial" w:hAnsi="Arial" w:cs="Arial"/>
          <w:color w:val="000000" w:themeColor="text1"/>
          <w:sz w:val="22"/>
          <w:szCs w:val="22"/>
          <w:lang w:val="es-ES"/>
        </w:rPr>
        <w:t xml:space="preserve">; y (iii) </w:t>
      </w:r>
      <w:r w:rsidRPr="002210AF" w:rsidR="00FD0669">
        <w:rPr>
          <w:rFonts w:ascii="Arial" w:hAnsi="Arial" w:cs="Arial"/>
          <w:color w:val="000000" w:themeColor="text1"/>
          <w:sz w:val="22"/>
          <w:szCs w:val="22"/>
          <w:lang w:val="es-ES"/>
        </w:rPr>
        <w:t xml:space="preserve">generación de energía renovable bajo una posible nueva edición del programa </w:t>
      </w:r>
      <w:proofErr w:type="spellStart"/>
      <w:r w:rsidRPr="002210AF" w:rsidR="00FD0669">
        <w:rPr>
          <w:rFonts w:ascii="Arial" w:hAnsi="Arial" w:cs="Arial"/>
          <w:color w:val="000000" w:themeColor="text1"/>
          <w:sz w:val="22"/>
          <w:szCs w:val="22"/>
          <w:lang w:val="es-ES"/>
        </w:rPr>
        <w:t>RenovAR</w:t>
      </w:r>
      <w:proofErr w:type="spellEnd"/>
      <w:r w:rsidRPr="002210AF" w:rsidR="00FD0669">
        <w:rPr>
          <w:color w:val="000000" w:themeColor="text1"/>
          <w:lang w:val="es-ES"/>
        </w:rPr>
        <w:footnoteReference w:id="31"/>
      </w:r>
      <w:r w:rsidRPr="002210AF" w:rsidR="00FD0669">
        <w:rPr>
          <w:rFonts w:ascii="Arial" w:hAnsi="Arial" w:cs="Arial"/>
          <w:color w:val="000000" w:themeColor="text1"/>
          <w:sz w:val="22"/>
          <w:szCs w:val="22"/>
          <w:lang w:val="es-ES"/>
        </w:rPr>
        <w:t xml:space="preserve">, que </w:t>
      </w:r>
      <w:r w:rsidR="00C43AB9">
        <w:rPr>
          <w:rFonts w:ascii="Arial" w:hAnsi="Arial" w:cs="Arial"/>
          <w:color w:val="000000" w:themeColor="text1"/>
          <w:sz w:val="22"/>
          <w:szCs w:val="22"/>
          <w:lang w:val="es-ES"/>
        </w:rPr>
        <w:t>podría incluir</w:t>
      </w:r>
      <w:r w:rsidRPr="002210AF" w:rsidR="00FD0669">
        <w:rPr>
          <w:rFonts w:ascii="Arial" w:hAnsi="Arial" w:cs="Arial"/>
          <w:color w:val="000000" w:themeColor="text1"/>
          <w:sz w:val="22"/>
          <w:szCs w:val="22"/>
          <w:lang w:val="es-ES"/>
        </w:rPr>
        <w:t xml:space="preserve"> proyectos de generación eólica, solar fotovoltaica, biomasa y biogás para un total estimado de inversión de US$1.000 millones. </w:t>
      </w:r>
      <w:r w:rsidRPr="008D6662" w:rsidR="00C7056E">
        <w:rPr>
          <w:rFonts w:ascii="Arial" w:hAnsi="Arial" w:cs="Arial"/>
          <w:color w:val="000000" w:themeColor="text1"/>
          <w:sz w:val="22"/>
          <w:szCs w:val="22"/>
          <w:lang w:val="es-ES"/>
        </w:rPr>
        <w:t>Se espera que el</w:t>
      </w:r>
      <w:r w:rsidRPr="008D6662" w:rsidR="00F7734A">
        <w:rPr>
          <w:rFonts w:ascii="Arial" w:hAnsi="Arial" w:cs="Arial"/>
          <w:color w:val="000000" w:themeColor="text1"/>
          <w:sz w:val="22"/>
          <w:szCs w:val="22"/>
          <w:lang w:val="es-ES"/>
        </w:rPr>
        <w:t xml:space="preserve"> </w:t>
      </w:r>
      <w:r w:rsidRPr="008D6662" w:rsidR="009C5B5D">
        <w:rPr>
          <w:rFonts w:ascii="Arial" w:hAnsi="Arial" w:cs="Arial"/>
          <w:color w:val="000000" w:themeColor="text1"/>
          <w:sz w:val="22"/>
          <w:szCs w:val="22"/>
          <w:lang w:val="es-ES"/>
        </w:rPr>
        <w:t>7</w:t>
      </w:r>
      <w:r w:rsidRPr="008D6662" w:rsidR="00280C72">
        <w:rPr>
          <w:rFonts w:ascii="Arial" w:hAnsi="Arial" w:cs="Arial"/>
          <w:color w:val="000000" w:themeColor="text1"/>
          <w:sz w:val="22"/>
          <w:szCs w:val="22"/>
          <w:lang w:val="es-ES"/>
        </w:rPr>
        <w:t>0</w:t>
      </w:r>
      <w:r w:rsidRPr="008D6662" w:rsidR="00F7734A">
        <w:rPr>
          <w:rFonts w:ascii="Arial" w:hAnsi="Arial" w:cs="Arial"/>
          <w:color w:val="000000" w:themeColor="text1"/>
          <w:sz w:val="22"/>
          <w:szCs w:val="22"/>
          <w:lang w:val="es-ES"/>
        </w:rPr>
        <w:t xml:space="preserve">% </w:t>
      </w:r>
      <w:r w:rsidRPr="008D6662" w:rsidR="00280C72">
        <w:rPr>
          <w:rFonts w:ascii="Arial" w:hAnsi="Arial" w:cs="Arial"/>
          <w:color w:val="000000" w:themeColor="text1"/>
          <w:sz w:val="22"/>
          <w:szCs w:val="22"/>
          <w:lang w:val="es-ES"/>
        </w:rPr>
        <w:t>del monto sea</w:t>
      </w:r>
      <w:r w:rsidRPr="008D6662" w:rsidR="00F7734A">
        <w:rPr>
          <w:rFonts w:ascii="Arial" w:hAnsi="Arial" w:cs="Arial"/>
          <w:color w:val="000000" w:themeColor="text1"/>
          <w:sz w:val="22"/>
          <w:szCs w:val="22"/>
          <w:lang w:val="es-ES"/>
        </w:rPr>
        <w:t xml:space="preserve"> destinado a </w:t>
      </w:r>
      <w:r w:rsidRPr="008D6662" w:rsidR="00A46253">
        <w:rPr>
          <w:rFonts w:ascii="Arial" w:hAnsi="Arial" w:cs="Arial"/>
          <w:color w:val="000000" w:themeColor="text1"/>
          <w:sz w:val="22"/>
          <w:szCs w:val="22"/>
          <w:lang w:val="es-ES"/>
        </w:rPr>
        <w:t xml:space="preserve">emitir garantías para </w:t>
      </w:r>
      <w:r w:rsidRPr="008D6662" w:rsidR="00280C72">
        <w:rPr>
          <w:rFonts w:ascii="Arial" w:hAnsi="Arial" w:cs="Arial"/>
          <w:color w:val="000000" w:themeColor="text1"/>
          <w:sz w:val="22"/>
          <w:szCs w:val="22"/>
          <w:lang w:val="es-ES"/>
        </w:rPr>
        <w:t xml:space="preserve">proyectos de inversión en infraestructura </w:t>
      </w:r>
      <w:r w:rsidRPr="008D6662" w:rsidR="009C5B5D">
        <w:rPr>
          <w:rFonts w:ascii="Arial" w:hAnsi="Arial" w:cs="Arial"/>
          <w:color w:val="000000" w:themeColor="text1"/>
          <w:sz w:val="22"/>
          <w:szCs w:val="22"/>
          <w:lang w:val="es-ES"/>
        </w:rPr>
        <w:t xml:space="preserve">de corredores viales, un 20% destinado </w:t>
      </w:r>
      <w:r w:rsidRPr="008D6662" w:rsidR="009C5B5D">
        <w:rPr>
          <w:rFonts w:ascii="Arial" w:hAnsi="Arial" w:cs="Arial"/>
          <w:color w:val="000000" w:themeColor="text1"/>
          <w:sz w:val="22"/>
          <w:szCs w:val="22"/>
          <w:lang w:val="es-ES"/>
        </w:rPr>
        <w:lastRenderedPageBreak/>
        <w:t xml:space="preserve">a proyectos de líneas de transmisión, y el 10% restante a proyectos de generación </w:t>
      </w:r>
      <w:r w:rsidRPr="008D6662" w:rsidR="00314B37">
        <w:rPr>
          <w:rFonts w:ascii="Arial" w:hAnsi="Arial" w:cs="Arial"/>
          <w:color w:val="000000" w:themeColor="text1"/>
          <w:sz w:val="22"/>
          <w:szCs w:val="22"/>
          <w:lang w:val="es-ES"/>
        </w:rPr>
        <w:t>energética</w:t>
      </w:r>
      <w:r w:rsidRPr="008D6662" w:rsidR="009C5B5D">
        <w:rPr>
          <w:rFonts w:ascii="Arial" w:hAnsi="Arial" w:cs="Arial"/>
          <w:color w:val="000000" w:themeColor="text1"/>
          <w:sz w:val="22"/>
          <w:szCs w:val="22"/>
          <w:lang w:val="es-ES"/>
        </w:rPr>
        <w:t xml:space="preserve"> de fuentes renovables no convencionales</w:t>
      </w:r>
      <w:r w:rsidRPr="008D6662" w:rsidR="00FD0669">
        <w:rPr>
          <w:rFonts w:ascii="Arial" w:hAnsi="Arial" w:cs="Arial"/>
          <w:color w:val="000000" w:themeColor="text1"/>
          <w:sz w:val="22"/>
          <w:szCs w:val="22"/>
          <w:lang w:val="es-ES"/>
        </w:rPr>
        <w:t>.</w:t>
      </w:r>
    </w:p>
    <w:p w:rsidRPr="008D6662" w:rsidR="00F7734A" w:rsidP="559FA22C" w:rsidRDefault="00A46253" w14:paraId="09138A28" w14:textId="784F1722" w14:noSpellErr="1">
      <w:pPr>
        <w:pStyle w:val="Paragraph"/>
        <w:tabs>
          <w:tab w:val="num" w:pos="720"/>
        </w:tabs>
        <w:ind w:left="720" w:hanging="720"/>
        <w:rPr>
          <w:rFonts w:ascii="Arial" w:hAnsi="Arial" w:cs="Arial"/>
          <w:color w:val="000000" w:themeColor="text1" w:themeTint="FF" w:themeShade="FF"/>
          <w:sz w:val="22"/>
          <w:szCs w:val="22"/>
          <w:lang w:val="es-ES"/>
        </w:rPr>
      </w:pPr>
      <w:r w:rsidRPr="008D6662">
        <w:rPr>
          <w:rFonts w:ascii="Arial" w:hAnsi="Arial" w:cs="Arial"/>
          <w:color w:val="000000" w:themeColor="text1"/>
          <w:sz w:val="22"/>
          <w:szCs w:val="22"/>
          <w:lang w:val="es-ES"/>
        </w:rPr>
        <w:t xml:space="preserve">Las diferencias generadas por el destino de las inversiones se observan, para este </w:t>
      </w:r>
      <w:r w:rsidRPr="008D6662" w:rsidR="0020130A">
        <w:rPr>
          <w:rFonts w:ascii="Arial" w:hAnsi="Arial" w:cs="Arial"/>
          <w:color w:val="000000" w:themeColor="text1"/>
          <w:sz w:val="22"/>
          <w:szCs w:val="22"/>
          <w:lang w:val="es-ES"/>
        </w:rPr>
        <w:t xml:space="preserve">tipo de </w:t>
      </w:r>
      <w:r w:rsidRPr="008D6662">
        <w:rPr>
          <w:rFonts w:ascii="Arial" w:hAnsi="Arial" w:cs="Arial"/>
          <w:color w:val="000000" w:themeColor="text1"/>
          <w:sz w:val="22"/>
          <w:szCs w:val="22"/>
          <w:lang w:val="es-ES"/>
        </w:rPr>
        <w:t>análisis</w:t>
      </w:r>
      <w:r w:rsidRPr="008D6662" w:rsidR="0020130A">
        <w:rPr>
          <w:rFonts w:ascii="Arial" w:hAnsi="Arial" w:cs="Arial"/>
          <w:color w:val="000000" w:themeColor="text1"/>
          <w:sz w:val="22"/>
          <w:szCs w:val="22"/>
          <w:lang w:val="es-ES"/>
        </w:rPr>
        <w:t xml:space="preserve"> de costos de financiamiento</w:t>
      </w:r>
      <w:r w:rsidRPr="008D6662">
        <w:rPr>
          <w:rFonts w:ascii="Arial" w:hAnsi="Arial" w:cs="Arial"/>
          <w:color w:val="000000" w:themeColor="text1"/>
          <w:sz w:val="22"/>
          <w:szCs w:val="22"/>
          <w:lang w:val="es-ES"/>
        </w:rPr>
        <w:t>, en las distintas tasas</w:t>
      </w:r>
      <w:r w:rsidR="00D04D67">
        <w:rPr>
          <w:rFonts w:ascii="Arial" w:hAnsi="Arial" w:cs="Arial"/>
          <w:color w:val="000000" w:themeColor="text1"/>
          <w:sz w:val="22"/>
          <w:szCs w:val="22"/>
          <w:lang w:val="es-ES"/>
        </w:rPr>
        <w:t xml:space="preserve"> de financiamiento</w:t>
      </w:r>
      <w:r w:rsidRPr="008D6662">
        <w:rPr>
          <w:rFonts w:ascii="Arial" w:hAnsi="Arial" w:cs="Arial"/>
          <w:color w:val="000000" w:themeColor="text1"/>
          <w:sz w:val="22"/>
          <w:szCs w:val="22"/>
          <w:lang w:val="es-ES"/>
        </w:rPr>
        <w:t xml:space="preserve"> </w:t>
      </w:r>
      <w:r w:rsidRPr="008D6662" w:rsidR="0020130A">
        <w:rPr>
          <w:rFonts w:ascii="Arial" w:hAnsi="Arial" w:cs="Arial"/>
          <w:color w:val="000000" w:themeColor="text1"/>
          <w:sz w:val="22"/>
          <w:szCs w:val="22"/>
          <w:lang w:val="es-ES"/>
        </w:rPr>
        <w:t xml:space="preserve">ofrecidas por </w:t>
      </w:r>
      <w:r w:rsidRPr="008D6662">
        <w:rPr>
          <w:rFonts w:ascii="Arial" w:hAnsi="Arial" w:cs="Arial"/>
          <w:color w:val="000000" w:themeColor="text1"/>
          <w:sz w:val="22"/>
          <w:szCs w:val="22"/>
          <w:lang w:val="es-ES"/>
        </w:rPr>
        <w:t xml:space="preserve">el mercado dependiendo del sector al que </w:t>
      </w:r>
      <w:r w:rsidR="00D04D67">
        <w:rPr>
          <w:rFonts w:ascii="Arial" w:hAnsi="Arial" w:cs="Arial"/>
          <w:color w:val="000000" w:themeColor="text1"/>
          <w:sz w:val="22"/>
          <w:szCs w:val="22"/>
          <w:lang w:val="es-ES"/>
        </w:rPr>
        <w:t>se circunscriben</w:t>
      </w:r>
      <w:r w:rsidRPr="008D6662">
        <w:rPr>
          <w:rFonts w:ascii="Arial" w:hAnsi="Arial" w:cs="Arial"/>
          <w:color w:val="000000" w:themeColor="text1"/>
          <w:sz w:val="22"/>
          <w:szCs w:val="22"/>
          <w:lang w:val="es-ES"/>
        </w:rPr>
        <w:t xml:space="preserve"> los proyectos. Generalmente, el mercado aplica </w:t>
      </w:r>
      <w:r w:rsidRPr="008D6662" w:rsidR="0020130A">
        <w:rPr>
          <w:rFonts w:ascii="Arial" w:hAnsi="Arial" w:cs="Arial"/>
          <w:color w:val="000000" w:themeColor="text1"/>
          <w:sz w:val="22"/>
          <w:szCs w:val="22"/>
          <w:lang w:val="es-ES"/>
        </w:rPr>
        <w:t xml:space="preserve">en promedio </w:t>
      </w:r>
      <w:r w:rsidRPr="008D6662">
        <w:rPr>
          <w:rFonts w:ascii="Arial" w:hAnsi="Arial" w:cs="Arial"/>
          <w:color w:val="000000" w:themeColor="text1"/>
          <w:sz w:val="22"/>
          <w:szCs w:val="22"/>
          <w:lang w:val="es-ES"/>
        </w:rPr>
        <w:t xml:space="preserve">tasas diferentes </w:t>
      </w:r>
      <w:r w:rsidRPr="008D6662" w:rsidR="0020130A">
        <w:rPr>
          <w:rFonts w:ascii="Arial" w:hAnsi="Arial" w:cs="Arial"/>
          <w:color w:val="000000" w:themeColor="text1"/>
          <w:sz w:val="22"/>
          <w:szCs w:val="22"/>
          <w:lang w:val="es-ES"/>
        </w:rPr>
        <w:t>en cuya discriminación, más allá de las características propias de cada proyecto, tiene efecto el sector productivo de los mismos.</w:t>
      </w:r>
      <w:r w:rsidRPr="008D6662" w:rsidR="0020130A">
        <w:rPr>
          <w:rStyle w:val="FootnoteReference"/>
          <w:rFonts w:ascii="Arial" w:hAnsi="Arial" w:cs="Arial"/>
          <w:color w:val="000000" w:themeColor="text1"/>
          <w:sz w:val="22"/>
          <w:szCs w:val="22"/>
          <w:lang w:val="es-ES"/>
        </w:rPr>
        <w:footnoteReference w:id="32"/>
      </w:r>
      <w:r w:rsidRPr="008D6662" w:rsidR="0020130A">
        <w:rPr>
          <w:rFonts w:ascii="Arial" w:hAnsi="Arial" w:cs="Arial"/>
          <w:color w:val="000000" w:themeColor="text1"/>
          <w:sz w:val="22"/>
          <w:szCs w:val="22"/>
          <w:lang w:val="es-ES"/>
        </w:rPr>
        <w:t xml:space="preserve"> No obstante, como </w:t>
      </w:r>
      <w:r w:rsidRPr="008D6662" w:rsidR="002D3FE8">
        <w:rPr>
          <w:rFonts w:ascii="Arial" w:hAnsi="Arial" w:cs="Arial"/>
          <w:color w:val="000000" w:themeColor="text1"/>
          <w:sz w:val="22"/>
          <w:szCs w:val="22"/>
          <w:lang w:val="es-ES"/>
        </w:rPr>
        <w:t xml:space="preserve">se desarrollará en la siguiente sección, </w:t>
      </w:r>
      <w:r w:rsidRPr="008D6662" w:rsidR="0020130A">
        <w:rPr>
          <w:rFonts w:ascii="Arial" w:hAnsi="Arial" w:cs="Arial"/>
          <w:color w:val="000000" w:themeColor="text1"/>
          <w:sz w:val="22"/>
          <w:szCs w:val="22"/>
          <w:lang w:val="es-ES"/>
        </w:rPr>
        <w:t xml:space="preserve">estas tasas no tendrán efecto sobre el ejercicio de análisis </w:t>
      </w:r>
      <w:r w:rsidR="0045576D">
        <w:rPr>
          <w:rFonts w:ascii="Arial" w:hAnsi="Arial" w:cs="Arial"/>
          <w:color w:val="000000" w:themeColor="text1"/>
          <w:sz w:val="22"/>
          <w:szCs w:val="22"/>
          <w:lang w:val="es-ES"/>
        </w:rPr>
        <w:t>financiero</w:t>
      </w:r>
      <w:r w:rsidRPr="008D6662" w:rsidR="0020130A">
        <w:rPr>
          <w:rFonts w:ascii="Arial" w:hAnsi="Arial" w:cs="Arial"/>
          <w:color w:val="000000" w:themeColor="text1"/>
          <w:sz w:val="22"/>
          <w:szCs w:val="22"/>
          <w:lang w:val="es-ES"/>
        </w:rPr>
        <w:t xml:space="preserve"> aquí presentado puesto que por construcción </w:t>
      </w:r>
      <w:r w:rsidRPr="008D6662" w:rsidR="002D3FE8">
        <w:rPr>
          <w:rFonts w:ascii="Arial" w:hAnsi="Arial" w:cs="Arial"/>
          <w:color w:val="000000" w:themeColor="text1"/>
          <w:sz w:val="22"/>
          <w:szCs w:val="22"/>
          <w:lang w:val="es-ES"/>
        </w:rPr>
        <w:t>quedan anuladas</w:t>
      </w:r>
      <w:r w:rsidR="00D04D67">
        <w:rPr>
          <w:rFonts w:ascii="Arial" w:hAnsi="Arial" w:cs="Arial"/>
          <w:color w:val="000000" w:themeColor="text1"/>
          <w:sz w:val="22"/>
          <w:szCs w:val="22"/>
          <w:lang w:val="es-ES"/>
        </w:rPr>
        <w:t xml:space="preserve"> entre el </w:t>
      </w:r>
      <w:r w:rsidR="005673A2">
        <w:rPr>
          <w:rFonts w:ascii="Arial" w:hAnsi="Arial" w:cs="Arial"/>
          <w:color w:val="000000" w:themeColor="text1"/>
          <w:sz w:val="22"/>
          <w:szCs w:val="22"/>
          <w:lang w:val="es-ES"/>
        </w:rPr>
        <w:t>escenario central</w:t>
      </w:r>
      <w:r w:rsidR="00D04D67">
        <w:rPr>
          <w:rFonts w:ascii="Arial" w:hAnsi="Arial" w:cs="Arial"/>
          <w:color w:val="000000" w:themeColor="text1"/>
          <w:sz w:val="22"/>
          <w:szCs w:val="22"/>
          <w:lang w:val="es-ES"/>
        </w:rPr>
        <w:t xml:space="preserve"> y el contrafactual en el desarrollo del análisis</w:t>
      </w:r>
      <w:r w:rsidRPr="008D6662" w:rsidR="0020130A">
        <w:rPr>
          <w:rFonts w:ascii="Arial" w:hAnsi="Arial" w:cs="Arial"/>
          <w:color w:val="000000" w:themeColor="text1"/>
          <w:sz w:val="22"/>
          <w:szCs w:val="22"/>
          <w:lang w:val="es-ES"/>
        </w:rPr>
        <w:t>.</w:t>
      </w:r>
      <w:r w:rsidRPr="008D6662" w:rsidR="002D3FE8">
        <w:rPr>
          <w:rFonts w:ascii="Arial" w:hAnsi="Arial" w:cs="Arial"/>
          <w:color w:val="000000" w:themeColor="text1"/>
          <w:sz w:val="22"/>
          <w:szCs w:val="22"/>
          <w:lang w:val="es-ES"/>
        </w:rPr>
        <w:t xml:space="preserve"> </w:t>
      </w:r>
    </w:p>
    <w:bookmarkEnd w:id="11"/>
    <w:p w:rsidRPr="008D6662" w:rsidR="00F10FC6" w:rsidP="559FA22C" w:rsidRDefault="0074742C" w14:paraId="4DA7DC53" w14:textId="77777777" w14:noSpellErr="1">
      <w:pPr>
        <w:pStyle w:val="Paragraph"/>
        <w:tabs>
          <w:tab w:val="num" w:pos="720"/>
        </w:tabs>
        <w:ind w:left="720" w:hanging="720"/>
        <w:rPr>
          <w:rFonts w:ascii="Arial" w:hAnsi="Arial" w:cs="Arial"/>
          <w:color w:val="000000" w:themeColor="text1" w:themeTint="FF" w:themeShade="FF"/>
          <w:sz w:val="22"/>
          <w:szCs w:val="22"/>
          <w:lang w:val="es-ES"/>
        </w:rPr>
      </w:pPr>
      <w:r w:rsidRPr="559FA22C" w:rsidR="559FA22C">
        <w:rPr>
          <w:rFonts w:ascii="Arial" w:hAnsi="Arial" w:cs="Arial"/>
          <w:b w:val="1"/>
          <w:bCs w:val="1"/>
          <w:color w:val="000000" w:themeColor="text1" w:themeTint="FF" w:themeShade="FF"/>
          <w:sz w:val="22"/>
          <w:szCs w:val="22"/>
          <w:lang w:val="es-ES"/>
        </w:rPr>
        <w:t>Tasa de descuento y VPN total</w:t>
      </w:r>
      <w:r w:rsidRPr="559FA22C" w:rsidR="559FA22C">
        <w:rPr>
          <w:rFonts w:ascii="Arial" w:hAnsi="Arial" w:cs="Arial"/>
          <w:color w:val="000000" w:themeColor="text1" w:themeTint="FF" w:themeShade="FF"/>
          <w:sz w:val="22"/>
          <w:szCs w:val="22"/>
          <w:lang w:val="es-ES"/>
        </w:rPr>
        <w:t xml:space="preserve">. </w:t>
      </w:r>
      <w:r w:rsidRPr="559FA22C" w:rsidR="559FA22C">
        <w:rPr>
          <w:rFonts w:ascii="Arial" w:hAnsi="Arial" w:cs="Arial"/>
          <w:color w:val="000000" w:themeColor="text1" w:themeTint="FF" w:themeShade="FF"/>
          <w:sz w:val="22"/>
          <w:szCs w:val="22"/>
          <w:lang w:val="es-ES"/>
        </w:rPr>
        <w:t>Los flujos de ingresos y egresos atribuibles se descuentan</w:t>
      </w:r>
      <w:r w:rsidRPr="559FA22C" w:rsidR="559FA22C">
        <w:rPr>
          <w:rFonts w:ascii="Arial" w:hAnsi="Arial" w:cs="Arial"/>
          <w:color w:val="000000" w:themeColor="text1" w:themeTint="FF" w:themeShade="FF"/>
          <w:sz w:val="22"/>
          <w:szCs w:val="22"/>
          <w:lang w:val="es-ES"/>
        </w:rPr>
        <w:t xml:space="preserve"> a la tasa del 12% (</w:t>
      </w:r>
      <w:r w:rsidRPr="559FA22C" w:rsidR="559FA22C">
        <w:rPr>
          <w:rFonts w:ascii="Arial" w:hAnsi="Arial" w:cs="Arial"/>
          <w:color w:val="000000" w:themeColor="text1" w:themeTint="FF" w:themeShade="FF"/>
          <w:sz w:val="22"/>
          <w:szCs w:val="22"/>
          <w:lang w:val="es-ES"/>
        </w:rPr>
        <w:t>tasa prestablecida por el Banco para este tipo de evaluaciones</w:t>
      </w:r>
      <w:r w:rsidRPr="559FA22C" w:rsidR="559FA22C">
        <w:rPr>
          <w:rFonts w:ascii="Arial" w:hAnsi="Arial" w:cs="Arial"/>
          <w:color w:val="000000" w:themeColor="text1" w:themeTint="FF" w:themeShade="FF"/>
          <w:sz w:val="22"/>
          <w:szCs w:val="22"/>
          <w:lang w:val="es-ES"/>
        </w:rPr>
        <w:t xml:space="preserve">). </w:t>
      </w:r>
      <w:r w:rsidRPr="559FA22C" w:rsidR="559FA22C">
        <w:rPr>
          <w:rFonts w:ascii="Arial" w:hAnsi="Arial" w:cs="Arial"/>
          <w:color w:val="000000" w:themeColor="text1" w:themeTint="FF" w:themeShade="FF"/>
          <w:sz w:val="22"/>
          <w:szCs w:val="22"/>
          <w:lang w:val="es-ES"/>
        </w:rPr>
        <w:t xml:space="preserve">Luego de tener </w:t>
      </w:r>
      <w:r w:rsidRPr="559FA22C" w:rsidR="559FA22C">
        <w:rPr>
          <w:rFonts w:ascii="Arial" w:hAnsi="Arial" w:cs="Arial"/>
          <w:color w:val="000000" w:themeColor="text1" w:themeTint="FF" w:themeShade="FF"/>
          <w:sz w:val="22"/>
          <w:szCs w:val="22"/>
          <w:lang w:val="es-ES"/>
        </w:rPr>
        <w:t>en</w:t>
      </w:r>
      <w:r w:rsidRPr="559FA22C" w:rsidR="559FA22C">
        <w:rPr>
          <w:rFonts w:ascii="Arial" w:hAnsi="Arial" w:cs="Arial"/>
          <w:color w:val="000000" w:themeColor="text1" w:themeTint="FF" w:themeShade="FF"/>
          <w:sz w:val="22"/>
          <w:szCs w:val="22"/>
          <w:lang w:val="es-ES"/>
        </w:rPr>
        <w:t xml:space="preserve"> cuenta el perfil de</w:t>
      </w:r>
      <w:r w:rsidRPr="559FA22C" w:rsidR="559FA22C">
        <w:rPr>
          <w:rFonts w:ascii="Arial" w:hAnsi="Arial" w:cs="Arial"/>
          <w:color w:val="000000" w:themeColor="text1" w:themeTint="FF" w:themeShade="FF"/>
          <w:sz w:val="22"/>
          <w:szCs w:val="22"/>
          <w:lang w:val="es-ES"/>
        </w:rPr>
        <w:t xml:space="preserve"> desembolsos, se calcula el VPN</w:t>
      </w:r>
      <w:r w:rsidRPr="559FA22C" w:rsidR="559FA22C">
        <w:rPr>
          <w:rFonts w:ascii="Arial" w:hAnsi="Arial" w:cs="Arial"/>
          <w:color w:val="000000" w:themeColor="text1" w:themeTint="FF" w:themeShade="FF"/>
          <w:sz w:val="22"/>
          <w:szCs w:val="22"/>
          <w:lang w:val="es-ES"/>
        </w:rPr>
        <w:t xml:space="preserve"> (Valor Presente Neto)</w:t>
      </w:r>
      <w:r w:rsidRPr="559FA22C" w:rsidR="559FA22C">
        <w:rPr>
          <w:rFonts w:ascii="Arial" w:hAnsi="Arial" w:cs="Arial"/>
          <w:color w:val="000000" w:themeColor="text1" w:themeTint="FF" w:themeShade="FF"/>
          <w:sz w:val="22"/>
          <w:szCs w:val="22"/>
          <w:lang w:val="es-ES"/>
        </w:rPr>
        <w:t xml:space="preserve">, indicador </w:t>
      </w:r>
      <w:r w:rsidRPr="559FA22C" w:rsidR="559FA22C">
        <w:rPr>
          <w:rFonts w:ascii="Arial" w:hAnsi="Arial" w:cs="Arial"/>
          <w:color w:val="000000" w:themeColor="text1" w:themeTint="FF" w:themeShade="FF"/>
          <w:sz w:val="22"/>
          <w:szCs w:val="22"/>
          <w:lang w:val="es-ES"/>
        </w:rPr>
        <w:t>que determina si se espera que el programa genere beneficios o pérdidas para el país.</w:t>
      </w:r>
    </w:p>
    <w:p w:rsidRPr="008D6662" w:rsidR="007F5EA4" w:rsidP="559FA22C" w:rsidRDefault="00DB782F" w14:paraId="3BBC340B" w14:textId="32589C8D" w14:noSpellErr="1">
      <w:pPr>
        <w:pStyle w:val="Paragraph"/>
        <w:tabs>
          <w:tab w:val="num" w:pos="720"/>
        </w:tabs>
        <w:ind w:left="720" w:hanging="720"/>
        <w:rPr>
          <w:rFonts w:ascii="Arial" w:hAnsi="Arial" w:cs="Arial"/>
          <w:color w:val="000000" w:themeColor="text1" w:themeTint="FF" w:themeShade="FF"/>
          <w:sz w:val="22"/>
          <w:szCs w:val="22"/>
          <w:lang w:val="es-ES"/>
        </w:rPr>
      </w:pPr>
      <w:r w:rsidRPr="559FA22C" w:rsidR="559FA22C">
        <w:rPr>
          <w:rFonts w:ascii="Arial" w:hAnsi="Arial" w:cs="Arial"/>
          <w:b w:val="1"/>
          <w:bCs w:val="1"/>
          <w:color w:val="000000" w:themeColor="text1" w:themeTint="FF" w:themeShade="FF"/>
          <w:sz w:val="22"/>
          <w:szCs w:val="22"/>
          <w:lang w:val="es-ES"/>
        </w:rPr>
        <w:t xml:space="preserve">Lineamientos </w:t>
      </w:r>
      <w:r w:rsidRPr="559FA22C" w:rsidR="559FA22C">
        <w:rPr>
          <w:rFonts w:ascii="Arial" w:hAnsi="Arial" w:cs="Arial"/>
          <w:b w:val="1"/>
          <w:bCs w:val="1"/>
          <w:color w:val="000000" w:themeColor="text1" w:themeTint="FF" w:themeShade="FF"/>
          <w:sz w:val="22"/>
          <w:szCs w:val="22"/>
          <w:lang w:val="es-ES"/>
        </w:rPr>
        <w:t xml:space="preserve">de </w:t>
      </w:r>
      <w:r w:rsidRPr="559FA22C" w:rsidR="559FA22C">
        <w:rPr>
          <w:rFonts w:ascii="Arial" w:hAnsi="Arial" w:cs="Arial"/>
          <w:b w:val="1"/>
          <w:bCs w:val="1"/>
          <w:color w:val="000000" w:themeColor="text1" w:themeTint="FF" w:themeShade="FF"/>
          <w:sz w:val="22"/>
          <w:szCs w:val="22"/>
          <w:lang w:val="es-ES"/>
        </w:rPr>
        <w:t>sensibilización</w:t>
      </w:r>
      <w:r w:rsidRPr="559FA22C" w:rsidR="559FA22C">
        <w:rPr>
          <w:rFonts w:ascii="Arial" w:hAnsi="Arial" w:cs="Arial"/>
          <w:color w:val="000000" w:themeColor="text1" w:themeTint="FF" w:themeShade="FF"/>
          <w:sz w:val="22"/>
          <w:szCs w:val="22"/>
          <w:lang w:val="es-ES"/>
        </w:rPr>
        <w:t xml:space="preserve">. </w:t>
      </w:r>
      <w:r w:rsidRPr="559FA22C" w:rsidR="559FA22C">
        <w:rPr>
          <w:rFonts w:ascii="Arial" w:hAnsi="Arial" w:cs="Arial"/>
          <w:color w:val="000000" w:themeColor="text1" w:themeTint="FF" w:themeShade="FF"/>
          <w:sz w:val="22"/>
          <w:szCs w:val="22"/>
          <w:lang w:val="es-ES"/>
        </w:rPr>
        <w:t xml:space="preserve">Se realizan además ejercicios de sensibilidad para establecer la tolerancia del VPN </w:t>
      </w:r>
      <w:r w:rsidRPr="559FA22C" w:rsidR="559FA22C">
        <w:rPr>
          <w:rFonts w:ascii="Arial" w:hAnsi="Arial" w:cs="Arial"/>
          <w:color w:val="000000" w:themeColor="text1" w:themeTint="FF" w:themeShade="FF"/>
          <w:sz w:val="22"/>
          <w:szCs w:val="22"/>
          <w:lang w:val="es-ES"/>
        </w:rPr>
        <w:t xml:space="preserve">ante </w:t>
      </w:r>
      <w:r w:rsidRPr="559FA22C" w:rsidR="559FA22C">
        <w:rPr>
          <w:rFonts w:ascii="Arial" w:hAnsi="Arial" w:cs="Arial"/>
          <w:color w:val="000000" w:themeColor="text1" w:themeTint="FF" w:themeShade="FF"/>
          <w:sz w:val="22"/>
          <w:szCs w:val="22"/>
          <w:lang w:val="es-ES"/>
        </w:rPr>
        <w:t xml:space="preserve">cambios en las condiciones relevantes que </w:t>
      </w:r>
      <w:r w:rsidRPr="559FA22C" w:rsidR="559FA22C">
        <w:rPr>
          <w:rFonts w:ascii="Arial" w:hAnsi="Arial" w:cs="Arial"/>
          <w:color w:val="000000" w:themeColor="text1" w:themeTint="FF" w:themeShade="FF"/>
          <w:sz w:val="22"/>
          <w:szCs w:val="22"/>
          <w:lang w:val="es-ES"/>
        </w:rPr>
        <w:t xml:space="preserve">derivan </w:t>
      </w:r>
      <w:r w:rsidRPr="559FA22C" w:rsidR="559FA22C">
        <w:rPr>
          <w:rFonts w:ascii="Arial" w:hAnsi="Arial" w:cs="Arial"/>
          <w:color w:val="000000" w:themeColor="text1" w:themeTint="FF" w:themeShade="FF"/>
          <w:sz w:val="22"/>
          <w:szCs w:val="22"/>
          <w:lang w:val="es-ES"/>
        </w:rPr>
        <w:t xml:space="preserve">en el </w:t>
      </w:r>
      <w:r w:rsidRPr="559FA22C" w:rsidR="559FA22C">
        <w:rPr>
          <w:rFonts w:ascii="Arial" w:hAnsi="Arial" w:cs="Arial"/>
          <w:color w:val="000000" w:themeColor="text1" w:themeTint="FF" w:themeShade="FF"/>
          <w:sz w:val="22"/>
          <w:szCs w:val="22"/>
          <w:lang w:val="es-ES"/>
        </w:rPr>
        <w:t>escenario</w:t>
      </w:r>
      <w:r w:rsidRPr="559FA22C" w:rsidR="559FA22C">
        <w:rPr>
          <w:rFonts w:ascii="Arial" w:hAnsi="Arial" w:cs="Arial"/>
          <w:color w:val="000000" w:themeColor="text1" w:themeTint="FF" w:themeShade="FF"/>
          <w:sz w:val="22"/>
          <w:szCs w:val="22"/>
          <w:lang w:val="es-ES"/>
        </w:rPr>
        <w:t xml:space="preserve"> central. </w:t>
      </w:r>
      <w:r w:rsidRPr="559FA22C" w:rsidR="559FA22C">
        <w:rPr>
          <w:rFonts w:ascii="Arial" w:hAnsi="Arial" w:cs="Arial"/>
          <w:color w:val="000000" w:themeColor="text1" w:themeTint="FF" w:themeShade="FF"/>
          <w:sz w:val="22"/>
          <w:szCs w:val="22"/>
          <w:lang w:val="es-ES"/>
        </w:rPr>
        <w:t xml:space="preserve">En este caso los parámetros con efectos sobre el VPN son la tasa ahorro esperado en el financiamiento de los proyectos gracias a la emisión de una garantía bajo esta facilidad, el monto de inversión privada apalancado y el monto de garantía reclamada. Adicionalmente se ejercen variaciones sobre la tasa de financiamiento de mercado y el </w:t>
      </w:r>
      <w:r w:rsidRPr="559FA22C" w:rsidR="559FA22C">
        <w:rPr>
          <w:rFonts w:ascii="Arial" w:hAnsi="Arial" w:cs="Arial"/>
          <w:color w:val="000000" w:themeColor="text1" w:themeTint="FF" w:themeShade="FF"/>
          <w:sz w:val="22"/>
          <w:szCs w:val="22"/>
          <w:lang w:val="es-ES"/>
        </w:rPr>
        <w:t xml:space="preserve">calcula el punto de equilibrio en los parámetros relevantes. </w:t>
      </w:r>
    </w:p>
    <w:p w:rsidRPr="008D6662" w:rsidR="007F5EA4" w:rsidRDefault="007F5EA4" w14:paraId="3E25664F" w14:textId="77777777">
      <w:pPr>
        <w:rPr>
          <w:rFonts w:ascii="Arial" w:hAnsi="Arial" w:eastAsia="Times New Roman" w:cs="Arial"/>
          <w:color w:val="000000" w:themeColor="text1"/>
          <w:lang w:val="es-ES"/>
        </w:rPr>
      </w:pPr>
      <w:r w:rsidRPr="008D6662">
        <w:rPr>
          <w:rFonts w:ascii="Arial" w:hAnsi="Arial" w:cs="Arial"/>
          <w:color w:val="000000" w:themeColor="text1"/>
          <w:lang w:val="es-ES"/>
        </w:rPr>
        <w:br w:type="page"/>
      </w:r>
    </w:p>
    <w:p w:rsidRPr="008D6662" w:rsidR="007F5EA4" w:rsidP="559FA22C" w:rsidRDefault="007F5EA4" w14:paraId="1DA2944B" w14:textId="77777777" w14:noSpellErr="1">
      <w:pPr>
        <w:pStyle w:val="Chapter"/>
        <w:spacing w:before="120" w:after="120"/>
        <w:ind w:left="720"/>
        <w:rPr>
          <w:rFonts w:ascii="Arial" w:hAnsi="Arial" w:cs="Arial"/>
          <w:color w:val="000000" w:themeColor="text1" w:themeTint="FF" w:themeShade="FF"/>
          <w:lang w:val="es-ES"/>
        </w:rPr>
      </w:pPr>
      <w:r w:rsidRPr="559FA22C" w:rsidR="559FA22C">
        <w:rPr>
          <w:rFonts w:ascii="Arial" w:hAnsi="Arial" w:cs="Arial"/>
          <w:color w:val="000000" w:themeColor="text1" w:themeTint="FF" w:themeShade="FF"/>
          <w:lang w:val="es-ES"/>
        </w:rPr>
        <w:t>Valoración del Beneficio Económico</w:t>
      </w:r>
    </w:p>
    <w:p w:rsidRPr="008D6662" w:rsidR="00D2058D" w:rsidP="559FA22C" w:rsidRDefault="00D2058D" w14:paraId="011FB57A" w14:textId="03D667B6" w14:noSpellErr="1">
      <w:pPr>
        <w:pStyle w:val="Paragraph"/>
        <w:tabs>
          <w:tab w:val="num" w:pos="720"/>
        </w:tabs>
        <w:ind w:left="720" w:hanging="720"/>
        <w:rPr>
          <w:rFonts w:ascii="Arial" w:hAnsi="Arial" w:cs="Arial"/>
          <w:color w:val="000000" w:themeColor="text1" w:themeTint="FF" w:themeShade="FF"/>
          <w:sz w:val="22"/>
          <w:szCs w:val="22"/>
          <w:lang w:val="es-ES"/>
        </w:rPr>
      </w:pPr>
      <w:r w:rsidRPr="559FA22C">
        <w:rPr>
          <w:rFonts w:ascii="Arial" w:hAnsi="Arial" w:cs="Arial"/>
          <w:b w:val="1"/>
          <w:bCs w:val="1"/>
          <w:sz w:val="22"/>
          <w:szCs w:val="22"/>
          <w:lang w:val="es-ES"/>
        </w:rPr>
        <w:t>Caracterización de la intervención</w:t>
      </w:r>
      <w:r w:rsidRPr="008D6662">
        <w:rPr>
          <w:rFonts w:ascii="Arial" w:hAnsi="Arial" w:cs="Arial"/>
          <w:sz w:val="22"/>
          <w:szCs w:val="22"/>
          <w:lang w:val="es-ES"/>
        </w:rPr>
        <w:t xml:space="preserve">. El objetivo de la facilidad es servir de herramienta de mitigación de riesgos asociados a proyectos para contribuir a la mejora de las condiciones de financiamiento y el apalancamiento de recursos privados en inversión productiva. Como mejora de las condiciones de financiamiento se considera un ahorro en las tasas promedio de aplicación al financiamiento puesto que, </w:t>
      </w:r>
      <w:r w:rsidRPr="00590613">
        <w:rPr>
          <w:rFonts w:ascii="Arial" w:hAnsi="Arial" w:cs="Arial"/>
          <w:sz w:val="22"/>
          <w:szCs w:val="22"/>
          <w:lang w:val="es-ES"/>
        </w:rPr>
        <w:t xml:space="preserve">tanto la experiencia internacional </w:t>
      </w:r>
      <w:r w:rsidRPr="002210AF">
        <w:rPr>
          <w:rFonts w:ascii="Arial" w:hAnsi="Arial" w:cs="Arial"/>
          <w:sz w:val="22"/>
          <w:szCs w:val="22"/>
          <w:lang w:val="es-ES"/>
        </w:rPr>
        <w:t>(Banco Mundial</w:t>
      </w:r>
      <w:r w:rsidRPr="002210AF" w:rsidR="007A33D2">
        <w:rPr>
          <w:rFonts w:ascii="Arial" w:hAnsi="Arial" w:cs="Arial"/>
          <w:sz w:val="22"/>
          <w:szCs w:val="22"/>
          <w:lang w:val="es-ES"/>
        </w:rPr>
        <w:t>, 2009</w:t>
      </w:r>
      <w:r w:rsidRPr="002210AF">
        <w:rPr>
          <w:rFonts w:ascii="Arial" w:hAnsi="Arial" w:cs="Arial"/>
          <w:sz w:val="22"/>
          <w:szCs w:val="22"/>
          <w:lang w:val="es-ES"/>
        </w:rPr>
        <w:t>)</w:t>
      </w:r>
      <w:r w:rsidR="00590613">
        <w:rPr>
          <w:rStyle w:val="FootnoteReference"/>
          <w:rFonts w:ascii="Arial" w:hAnsi="Arial" w:cs="Arial"/>
          <w:sz w:val="22"/>
          <w:szCs w:val="22"/>
          <w:lang w:val="es-ES"/>
        </w:rPr>
        <w:footnoteReference w:id="33"/>
      </w:r>
      <w:r w:rsidRPr="008D6662">
        <w:rPr>
          <w:rFonts w:ascii="Arial" w:hAnsi="Arial" w:cs="Arial"/>
          <w:sz w:val="22"/>
          <w:szCs w:val="22"/>
          <w:lang w:val="es-ES"/>
        </w:rPr>
        <w:t xml:space="preserve"> como el sondeo de mercado realizado en la conformación de esta operación, sugieren que tanto por el tipo de proyectos como por las características de Argentina</w:t>
      </w:r>
      <w:r w:rsidR="0050104A">
        <w:rPr>
          <w:rFonts w:ascii="Arial" w:hAnsi="Arial" w:cs="Arial"/>
          <w:sz w:val="22"/>
          <w:szCs w:val="22"/>
          <w:lang w:val="es-ES"/>
        </w:rPr>
        <w:t xml:space="preserve"> </w:t>
      </w:r>
      <w:r w:rsidRPr="008D6662">
        <w:rPr>
          <w:rFonts w:ascii="Arial" w:hAnsi="Arial" w:cs="Arial"/>
          <w:sz w:val="22"/>
          <w:szCs w:val="22"/>
          <w:lang w:val="es-ES"/>
        </w:rPr>
        <w:t>los plazos del financiamiento no se espera que sean alterados.</w:t>
      </w:r>
    </w:p>
    <w:p w:rsidRPr="0050104A" w:rsidR="00D2058D" w:rsidP="559FA22C" w:rsidRDefault="00D2058D" w14:paraId="61ED2A09" w14:noSpellErr="1" w14:textId="45745A9A">
      <w:pPr>
        <w:pStyle w:val="Paragraph"/>
        <w:tabs>
          <w:tab w:val="num" w:pos="720"/>
        </w:tabs>
        <w:ind w:left="720" w:hanging="720"/>
        <w:rPr>
          <w:rFonts w:ascii="Arial" w:hAnsi="Arial" w:cs="Arial"/>
          <w:color w:val="000000" w:themeColor="text1" w:themeTint="FF" w:themeShade="FF"/>
          <w:sz w:val="22"/>
          <w:szCs w:val="22"/>
          <w:lang w:val="es-ES"/>
        </w:rPr>
      </w:pPr>
      <w:r w:rsidRPr="559FA22C" w:rsidR="559FA22C">
        <w:rPr>
          <w:rFonts w:ascii="Arial" w:hAnsi="Arial" w:cs="Arial"/>
          <w:b w:val="1"/>
          <w:bCs w:val="1"/>
          <w:noProof/>
          <w:color w:val="000000" w:themeColor="text1" w:themeTint="FF" w:themeShade="FF"/>
          <w:sz w:val="22"/>
          <w:szCs w:val="22"/>
          <w:lang w:val="es-ES"/>
        </w:rPr>
        <w:t xml:space="preserve">Siguiendo lo anterior, </w:t>
      </w:r>
      <w:r w:rsidRPr="559FA22C" w:rsidR="559FA22C">
        <w:rPr>
          <w:rFonts w:ascii="Arial" w:hAnsi="Arial" w:cs="Arial"/>
          <w:noProof/>
          <w:color w:val="000000" w:themeColor="text1" w:themeTint="FF" w:themeShade="FF"/>
          <w:sz w:val="22"/>
          <w:szCs w:val="22"/>
          <w:lang w:val="es-ES"/>
        </w:rPr>
        <w:t>e</w:t>
      </w:r>
      <w:r w:rsidRPr="559FA22C" w:rsidR="559FA22C">
        <w:rPr>
          <w:rFonts w:ascii="Arial" w:hAnsi="Arial" w:cs="Arial"/>
          <w:color w:val="000000" w:themeColor="text1" w:themeTint="FF" w:themeShade="FF"/>
          <w:sz w:val="22"/>
          <w:szCs w:val="22"/>
          <w:lang w:val="es-ES"/>
        </w:rPr>
        <w:t xml:space="preserve">l ejercicio de análisis de coste beneficio para este proyecto se basa en la determinación del ahorro en el financiamiento de proyectos de </w:t>
      </w:r>
      <w:r w:rsidRPr="559FA22C" w:rsidR="559FA22C">
        <w:rPr>
          <w:rFonts w:ascii="Arial" w:hAnsi="Arial" w:cs="Arial"/>
          <w:color w:val="000000" w:themeColor="text1" w:themeTint="FF" w:themeShade="FF"/>
          <w:sz w:val="22"/>
          <w:szCs w:val="22"/>
          <w:lang w:val="es-ES"/>
        </w:rPr>
        <w:t>inversión</w:t>
      </w:r>
      <w:r w:rsidRPr="559FA22C" w:rsidR="559FA22C">
        <w:rPr>
          <w:rFonts w:ascii="Arial" w:hAnsi="Arial" w:cs="Arial"/>
          <w:color w:val="000000" w:themeColor="text1" w:themeTint="FF" w:themeShade="FF"/>
          <w:sz w:val="22"/>
          <w:szCs w:val="22"/>
          <w:lang w:val="es-ES"/>
        </w:rPr>
        <w:t xml:space="preserve"> que cuenten con una </w:t>
      </w:r>
      <w:r w:rsidRPr="559FA22C" w:rsidR="559FA22C">
        <w:rPr>
          <w:rFonts w:ascii="Arial" w:hAnsi="Arial" w:cs="Arial"/>
          <w:color w:val="000000" w:themeColor="text1" w:themeTint="FF" w:themeShade="FF"/>
          <w:sz w:val="22"/>
          <w:szCs w:val="22"/>
          <w:lang w:val="es-ES"/>
        </w:rPr>
        <w:t>garantía</w:t>
      </w:r>
      <w:r w:rsidRPr="559FA22C" w:rsidR="559FA22C">
        <w:rPr>
          <w:rFonts w:ascii="Arial" w:hAnsi="Arial" w:cs="Arial"/>
          <w:color w:val="000000" w:themeColor="text1" w:themeTint="FF" w:themeShade="FF"/>
          <w:sz w:val="22"/>
          <w:szCs w:val="22"/>
          <w:lang w:val="es-ES"/>
        </w:rPr>
        <w:t xml:space="preserve"> emitida bajo esta facilidad</w:t>
      </w:r>
      <w:r w:rsidRPr="559FA22C" w:rsidR="559FA22C">
        <w:rPr>
          <w:rFonts w:ascii="Arial" w:hAnsi="Arial" w:cs="Arial"/>
          <w:color w:val="000000" w:themeColor="text1" w:themeTint="FF" w:themeShade="FF"/>
          <w:sz w:val="22"/>
          <w:szCs w:val="22"/>
          <w:lang w:val="es-ES"/>
        </w:rPr>
        <w:t>,</w:t>
      </w:r>
      <w:r w:rsidRPr="559FA22C" w:rsidR="559FA22C">
        <w:rPr>
          <w:rFonts w:ascii="Arial" w:hAnsi="Arial" w:cs="Arial"/>
          <w:color w:val="000000" w:themeColor="text1" w:themeTint="FF" w:themeShade="FF"/>
          <w:sz w:val="22"/>
          <w:szCs w:val="22"/>
          <w:lang w:val="es-ES"/>
        </w:rPr>
        <w:t xml:space="preserve"> en </w:t>
      </w:r>
      <w:r w:rsidRPr="559FA22C" w:rsidR="559FA22C">
        <w:rPr>
          <w:rFonts w:ascii="Arial" w:hAnsi="Arial" w:cs="Arial"/>
          <w:color w:val="000000" w:themeColor="text1" w:themeTint="FF" w:themeShade="FF"/>
          <w:sz w:val="22"/>
          <w:szCs w:val="22"/>
          <w:lang w:val="es-ES"/>
        </w:rPr>
        <w:t>contraposición</w:t>
      </w:r>
      <w:r w:rsidRPr="559FA22C" w:rsidR="559FA22C">
        <w:rPr>
          <w:rFonts w:ascii="Arial" w:hAnsi="Arial" w:cs="Arial"/>
          <w:color w:val="000000" w:themeColor="text1" w:themeTint="FF" w:themeShade="FF"/>
          <w:sz w:val="22"/>
          <w:szCs w:val="22"/>
          <w:lang w:val="es-ES"/>
        </w:rPr>
        <w:t xml:space="preserve"> a un </w:t>
      </w:r>
      <w:r w:rsidRPr="559FA22C" w:rsidR="559FA22C">
        <w:rPr>
          <w:rFonts w:ascii="Arial" w:hAnsi="Arial" w:cs="Arial"/>
          <w:color w:val="000000" w:themeColor="text1" w:themeTint="FF" w:themeShade="FF"/>
          <w:sz w:val="22"/>
          <w:szCs w:val="22"/>
          <w:lang w:val="es-ES"/>
        </w:rPr>
        <w:t xml:space="preserve">escenario de financiamiento privado donde no se cuenta con ninguna garantía emitida (escenario contrafactual). </w:t>
      </w:r>
      <w:r w:rsidRPr="559FA22C" w:rsidR="559FA22C">
        <w:rPr>
          <w:rFonts w:ascii="Arial" w:hAnsi="Arial" w:cs="Arial"/>
          <w:color w:val="000000" w:themeColor="text1" w:themeTint="FF" w:themeShade="FF"/>
          <w:sz w:val="22"/>
          <w:szCs w:val="22"/>
          <w:lang w:val="es-ES"/>
        </w:rPr>
        <w:t xml:space="preserve">Además, se considera el efecto de apalancamiento esperado a través de este programa, en línea con las experiencias internacionales del trabajo con garantías. Por otro lado, como flujo de costes se consideran los costes </w:t>
      </w:r>
      <w:r w:rsidRPr="559FA22C" w:rsidR="559FA22C">
        <w:rPr>
          <w:rFonts w:ascii="Arial" w:hAnsi="Arial" w:cs="Arial"/>
          <w:color w:val="000000" w:themeColor="text1" w:themeTint="FF" w:themeShade="FF"/>
          <w:sz w:val="22"/>
          <w:szCs w:val="22"/>
          <w:lang w:val="es-ES"/>
        </w:rPr>
        <w:t xml:space="preserve">especifico de la </w:t>
      </w:r>
      <w:r w:rsidRPr="559FA22C" w:rsidR="559FA22C">
        <w:rPr>
          <w:rFonts w:ascii="Arial" w:hAnsi="Arial" w:cs="Arial"/>
          <w:color w:val="000000" w:themeColor="text1" w:themeTint="FF" w:themeShade="FF"/>
          <w:sz w:val="22"/>
          <w:szCs w:val="22"/>
          <w:lang w:val="es-ES"/>
        </w:rPr>
        <w:t>FFMR</w:t>
      </w:r>
      <w:r w:rsidRPr="559FA22C" w:rsidR="559FA22C">
        <w:rPr>
          <w:rFonts w:ascii="Arial" w:hAnsi="Arial" w:cs="Arial"/>
          <w:color w:val="000000" w:themeColor="text1" w:themeTint="FF" w:themeShade="FF"/>
          <w:sz w:val="22"/>
          <w:szCs w:val="22"/>
          <w:lang w:val="es-ES"/>
        </w:rPr>
        <w:t xml:space="preserve">, </w:t>
      </w:r>
      <w:r w:rsidRPr="559FA22C" w:rsidR="559FA22C">
        <w:rPr>
          <w:rFonts w:ascii="Arial" w:hAnsi="Arial" w:cs="Arial"/>
          <w:color w:val="000000" w:themeColor="text1" w:themeTint="FF" w:themeShade="FF"/>
          <w:sz w:val="22"/>
          <w:szCs w:val="22"/>
          <w:lang w:val="es-ES"/>
        </w:rPr>
        <w:t>así</w:t>
      </w:r>
      <w:r w:rsidRPr="559FA22C" w:rsidR="559FA22C">
        <w:rPr>
          <w:rFonts w:ascii="Arial" w:hAnsi="Arial" w:cs="Arial"/>
          <w:color w:val="000000" w:themeColor="text1" w:themeTint="FF" w:themeShade="FF"/>
          <w:sz w:val="22"/>
          <w:szCs w:val="22"/>
          <w:lang w:val="es-ES"/>
        </w:rPr>
        <w:t xml:space="preserve"> como el efecto de ejecutar el monto garantizado. En la tabla a continuación se desarrolla el </w:t>
      </w:r>
      <w:r w:rsidRPr="559FA22C" w:rsidR="559FA22C">
        <w:rPr>
          <w:rFonts w:ascii="Arial" w:hAnsi="Arial" w:cs="Arial"/>
          <w:color w:val="000000" w:themeColor="text1" w:themeTint="FF" w:themeShade="FF"/>
          <w:sz w:val="22"/>
          <w:szCs w:val="22"/>
          <w:lang w:val="es-ES"/>
        </w:rPr>
        <w:t>esquema</w:t>
      </w:r>
      <w:r w:rsidRPr="559FA22C" w:rsidR="559FA22C">
        <w:rPr>
          <w:rFonts w:ascii="Arial" w:hAnsi="Arial" w:cs="Arial"/>
          <w:color w:val="000000" w:themeColor="text1" w:themeTint="FF" w:themeShade="FF"/>
          <w:sz w:val="22"/>
          <w:szCs w:val="22"/>
          <w:lang w:val="es-ES"/>
        </w:rPr>
        <w:t xml:space="preserve"> del análisis costo beneficio.</w:t>
      </w:r>
      <w:bookmarkStart w:name="_Ref360385447" w:id="12"/>
    </w:p>
    <w:p w:rsidR="00197CC3" w:rsidP="559FA22C" w:rsidRDefault="00197CC3" w14:paraId="627278B4" w14:textId="77777777" w14:noSpellErr="1">
      <w:pPr>
        <w:pStyle w:val="Paragraph"/>
        <w:numPr>
          <w:numId w:val="0"/>
        </w:numPr>
        <w:tabs>
          <w:tab w:val="num" w:pos="12096"/>
        </w:tabs>
        <w:ind w:left="720"/>
        <w:rPr>
          <w:rFonts w:ascii="Arial" w:hAnsi="Arial" w:cs="Arial"/>
          <w:b w:val="1"/>
          <w:bCs w:val="1"/>
          <w:sz w:val="22"/>
          <w:szCs w:val="22"/>
          <w:lang w:val="es-ES"/>
        </w:rPr>
      </w:pPr>
      <w:r w:rsidRPr="559FA22C" w:rsidR="559FA22C">
        <w:rPr>
          <w:rFonts w:ascii="Arial" w:hAnsi="Arial" w:cs="Arial"/>
          <w:b w:val="1"/>
          <w:bCs w:val="1"/>
          <w:sz w:val="22"/>
          <w:szCs w:val="22"/>
          <w:lang w:val="es-ES"/>
        </w:rPr>
        <w:t>Tabla 1</w:t>
      </w:r>
      <w:r w:rsidRPr="559FA22C" w:rsidR="559FA22C">
        <w:rPr>
          <w:rFonts w:ascii="Arial" w:hAnsi="Arial" w:cs="Arial"/>
          <w:sz w:val="22"/>
          <w:szCs w:val="22"/>
          <w:lang w:val="es-ES"/>
        </w:rPr>
        <w:t xml:space="preserve">. </w:t>
      </w:r>
      <w:r w:rsidRPr="559FA22C" w:rsidR="559FA22C">
        <w:rPr>
          <w:rFonts w:ascii="Arial" w:hAnsi="Arial" w:cs="Arial"/>
          <w:b w:val="1"/>
          <w:bCs w:val="1"/>
          <w:sz w:val="22"/>
          <w:szCs w:val="22"/>
          <w:lang w:val="es-ES"/>
        </w:rPr>
        <w:t>Desarrollo de los flujos de beneficios y costes del programa</w:t>
      </w:r>
    </w:p>
    <w:tbl>
      <w:tblPr>
        <w:tblW w:w="4114" w:type="pct"/>
        <w:jc w:val="center"/>
        <w:tblLayout w:type="fixed"/>
        <w:tblCellMar>
          <w:left w:w="70" w:type="dxa"/>
          <w:right w:w="70" w:type="dxa"/>
        </w:tblCellMar>
        <w:tblLook w:val="04A0" w:firstRow="1" w:lastRow="0" w:firstColumn="1" w:lastColumn="0" w:noHBand="0" w:noVBand="1"/>
      </w:tblPr>
      <w:tblGrid>
        <w:gridCol w:w="788"/>
        <w:gridCol w:w="6323"/>
      </w:tblGrid>
      <w:tr w:rsidRPr="006D1194" w:rsidR="00F85A38" w:rsidTr="559FA22C" w14:paraId="224A6EE2" w14:textId="77777777">
        <w:trPr>
          <w:trHeight w:val="333"/>
          <w:jc w:val="center"/>
        </w:trPr>
        <w:tc>
          <w:tcPr>
            <w:tcW w:w="5000" w:type="pct"/>
            <w:gridSpan w:val="2"/>
            <w:tcBorders>
              <w:top w:val="single" w:color="auto" w:sz="4" w:space="0"/>
              <w:left w:val="nil"/>
              <w:bottom w:val="single" w:color="auto" w:sz="8" w:space="0"/>
              <w:right w:val="nil"/>
            </w:tcBorders>
            <w:shd w:val="clear" w:color="auto" w:fill="B8CCE4" w:themeFill="accent1" w:themeFillTint="66"/>
            <w:noWrap/>
            <w:tcMar/>
            <w:vAlign w:val="center"/>
            <w:hideMark/>
          </w:tcPr>
          <w:p w:rsidRPr="002210AF" w:rsidR="00F85A38" w:rsidP="559FA22C" w:rsidRDefault="00F85A38" w14:paraId="3B40069C" w14:textId="5B4773F4" w14:noSpellErr="1">
            <w:pPr>
              <w:spacing w:after="0" w:line="240" w:lineRule="auto"/>
              <w:ind w:left="-46"/>
              <w:rPr>
                <w:rFonts w:ascii="Arial" w:hAnsi="Arial" w:eastAsia="Times New Roman" w:cs="Arial"/>
                <w:b w:val="1"/>
                <w:bCs w:val="1"/>
                <w:color w:val="000000" w:themeColor="text1" w:themeTint="FF" w:themeShade="FF"/>
                <w:sz w:val="14"/>
                <w:szCs w:val="14"/>
                <w:lang w:val="es-ES" w:eastAsia="es-ES"/>
              </w:rPr>
            </w:pPr>
            <w:r w:rsidRPr="559FA22C" w:rsidR="559FA22C">
              <w:rPr>
                <w:rFonts w:ascii="Arial" w:hAnsi="Arial" w:eastAsia="Times New Roman" w:cs="Arial"/>
                <w:b w:val="1"/>
                <w:bCs w:val="1"/>
                <w:color w:val="000000" w:themeColor="text1" w:themeTint="FF" w:themeShade="FF"/>
                <w:sz w:val="14"/>
                <w:szCs w:val="14"/>
                <w:lang w:val="es-ES" w:eastAsia="es-ES"/>
              </w:rPr>
              <w:t xml:space="preserve">Análisis </w:t>
            </w:r>
            <w:r w:rsidRPr="559FA22C" w:rsidR="559FA22C">
              <w:rPr>
                <w:rFonts w:ascii="Arial" w:hAnsi="Arial" w:eastAsia="Times New Roman" w:cs="Arial"/>
                <w:b w:val="1"/>
                <w:bCs w:val="1"/>
                <w:color w:val="000000" w:themeColor="text1" w:themeTint="FF" w:themeShade="FF"/>
                <w:sz w:val="14"/>
                <w:szCs w:val="14"/>
                <w:lang w:val="es-ES" w:eastAsia="es-ES"/>
              </w:rPr>
              <w:t>de Flujos</w:t>
            </w:r>
          </w:p>
        </w:tc>
      </w:tr>
      <w:tr w:rsidRPr="0016446D" w:rsidR="00F85A38" w:rsidTr="559FA22C" w14:paraId="5C67D903" w14:textId="77777777">
        <w:trPr>
          <w:trHeight w:val="285"/>
          <w:jc w:val="center"/>
        </w:trPr>
        <w:tc>
          <w:tcPr>
            <w:tcW w:w="554" w:type="pct"/>
            <w:tcBorders>
              <w:top w:val="nil"/>
              <w:left w:val="nil"/>
              <w:bottom w:val="nil"/>
              <w:right w:val="nil"/>
            </w:tcBorders>
            <w:shd w:val="clear" w:color="auto" w:fill="FFFFFF" w:themeFill="background1"/>
            <w:noWrap/>
            <w:tcMar/>
            <w:vAlign w:val="center"/>
            <w:hideMark/>
          </w:tcPr>
          <w:p w:rsidRPr="002210AF" w:rsidR="00F85A38" w:rsidP="559FA22C" w:rsidRDefault="00F85A38" w14:paraId="57877B6F" w14:textId="77777777" w14:noSpellErr="1">
            <w:pPr>
              <w:spacing w:after="0" w:line="240" w:lineRule="auto"/>
              <w:ind w:left="-46"/>
              <w:rPr>
                <w:rFonts w:ascii="Arial" w:hAnsi="Arial" w:eastAsia="Times New Roman" w:cs="Arial"/>
                <w:color w:val="000000" w:themeColor="text1" w:themeTint="FF" w:themeShade="FF"/>
                <w:sz w:val="14"/>
                <w:szCs w:val="14"/>
                <w:lang w:val="es-ES" w:eastAsia="es-ES"/>
              </w:rPr>
            </w:pPr>
            <w:r w:rsidRPr="559FA22C" w:rsidR="559FA22C">
              <w:rPr>
                <w:rFonts w:ascii="Arial" w:hAnsi="Arial" w:eastAsia="Times New Roman" w:cs="Arial"/>
                <w:color w:val="000000" w:themeColor="text1" w:themeTint="FF" w:themeShade="FF"/>
                <w:sz w:val="14"/>
                <w:szCs w:val="14"/>
                <w:lang w:val="es-ES" w:eastAsia="es-ES"/>
              </w:rPr>
              <w:t xml:space="preserve">Beneficio: </w:t>
            </w:r>
          </w:p>
        </w:tc>
        <w:tc>
          <w:tcPr>
            <w:tcW w:w="4446" w:type="pct"/>
            <w:tcBorders>
              <w:top w:val="nil"/>
              <w:left w:val="nil"/>
              <w:bottom w:val="nil"/>
              <w:right w:val="nil"/>
            </w:tcBorders>
            <w:shd w:val="clear" w:color="auto" w:fill="FFFFFF" w:themeFill="background1"/>
            <w:noWrap/>
            <w:tcMar/>
            <w:vAlign w:val="center"/>
            <w:hideMark/>
          </w:tcPr>
          <w:p w:rsidRPr="002210AF" w:rsidR="00F85A38" w:rsidP="559FA22C" w:rsidRDefault="00F85A38" w14:paraId="03973F66" w14:textId="77777777" w14:noSpellErr="1">
            <w:pPr>
              <w:spacing w:after="0" w:line="240" w:lineRule="auto"/>
              <w:ind w:left="-46"/>
              <w:rPr>
                <w:rFonts w:ascii="Arial" w:hAnsi="Arial" w:eastAsia="Times New Roman" w:cs="Arial"/>
                <w:color w:val="000000" w:themeColor="text1" w:themeTint="FF" w:themeShade="FF"/>
                <w:sz w:val="14"/>
                <w:szCs w:val="14"/>
                <w:lang w:val="es-ES" w:eastAsia="es-ES"/>
              </w:rPr>
            </w:pPr>
            <w:r w:rsidRPr="559FA22C" w:rsidR="559FA22C">
              <w:rPr>
                <w:rFonts w:ascii="Arial" w:hAnsi="Arial" w:eastAsia="Times New Roman" w:cs="Arial"/>
                <w:color w:val="000000" w:themeColor="text1" w:themeTint="FF" w:themeShade="FF"/>
                <w:sz w:val="14"/>
                <w:szCs w:val="14"/>
                <w:lang w:val="es-ES" w:eastAsia="es-ES"/>
              </w:rPr>
              <w:t xml:space="preserve">   Ahorros en el financiamiento de proyectos de </w:t>
            </w:r>
            <w:r w:rsidRPr="559FA22C" w:rsidR="559FA22C">
              <w:rPr>
                <w:rFonts w:ascii="Arial" w:hAnsi="Arial" w:eastAsia="Times New Roman" w:cs="Arial"/>
                <w:color w:val="000000" w:themeColor="text1" w:themeTint="FF" w:themeShade="FF"/>
                <w:sz w:val="14"/>
                <w:szCs w:val="14"/>
                <w:lang w:val="es-ES" w:eastAsia="es-ES"/>
              </w:rPr>
              <w:t>inversión</w:t>
            </w:r>
            <w:r w:rsidRPr="559FA22C" w:rsidR="559FA22C">
              <w:rPr>
                <w:rFonts w:ascii="Arial" w:hAnsi="Arial" w:eastAsia="Times New Roman" w:cs="Arial"/>
                <w:color w:val="000000" w:themeColor="text1" w:themeTint="FF" w:themeShade="FF"/>
                <w:sz w:val="14"/>
                <w:szCs w:val="14"/>
                <w:lang w:val="es-ES" w:eastAsia="es-ES"/>
              </w:rPr>
              <w:t xml:space="preserve"> productiva al contar con una </w:t>
            </w:r>
            <w:r w:rsidRPr="559FA22C" w:rsidR="559FA22C">
              <w:rPr>
                <w:rFonts w:ascii="Arial" w:hAnsi="Arial" w:eastAsia="Times New Roman" w:cs="Arial"/>
                <w:color w:val="000000" w:themeColor="text1" w:themeTint="FF" w:themeShade="FF"/>
                <w:sz w:val="14"/>
                <w:szCs w:val="14"/>
                <w:lang w:val="es-ES" w:eastAsia="es-ES"/>
              </w:rPr>
              <w:t>garantía</w:t>
            </w:r>
            <w:r w:rsidRPr="559FA22C" w:rsidR="559FA22C">
              <w:rPr>
                <w:rFonts w:ascii="Arial" w:hAnsi="Arial" w:eastAsia="Times New Roman" w:cs="Arial"/>
                <w:color w:val="000000" w:themeColor="text1" w:themeTint="FF" w:themeShade="FF"/>
                <w:sz w:val="14"/>
                <w:szCs w:val="14"/>
                <w:lang w:val="es-ES" w:eastAsia="es-ES"/>
              </w:rPr>
              <w:t xml:space="preserve"> BID</w:t>
            </w:r>
          </w:p>
        </w:tc>
      </w:tr>
      <w:tr w:rsidRPr="0016446D" w:rsidR="00F85A38" w:rsidTr="559FA22C" w14:paraId="106853A1" w14:textId="77777777">
        <w:trPr>
          <w:trHeight w:val="285"/>
          <w:jc w:val="center"/>
        </w:trPr>
        <w:tc>
          <w:tcPr>
            <w:tcW w:w="554" w:type="pct"/>
            <w:tcBorders>
              <w:top w:val="nil"/>
              <w:left w:val="nil"/>
              <w:bottom w:val="single" w:color="auto" w:sz="4" w:space="0"/>
              <w:right w:val="nil"/>
            </w:tcBorders>
            <w:shd w:val="clear" w:color="auto" w:fill="FFFFFF" w:themeFill="background1"/>
            <w:noWrap/>
            <w:tcMar/>
            <w:vAlign w:val="center"/>
            <w:hideMark/>
          </w:tcPr>
          <w:p w:rsidRPr="002210AF" w:rsidR="00F85A38" w:rsidP="559FA22C" w:rsidRDefault="00F85A38" w14:paraId="07F47A2C" w14:textId="77777777" w14:noSpellErr="1">
            <w:pPr>
              <w:spacing w:after="0" w:line="240" w:lineRule="auto"/>
              <w:ind w:left="-46"/>
              <w:rPr>
                <w:rFonts w:ascii="Arial" w:hAnsi="Arial" w:eastAsia="Times New Roman" w:cs="Arial"/>
                <w:color w:val="000000" w:themeColor="text1" w:themeTint="FF" w:themeShade="FF"/>
                <w:sz w:val="14"/>
                <w:szCs w:val="14"/>
                <w:lang w:val="es-ES" w:eastAsia="es-ES"/>
              </w:rPr>
            </w:pPr>
            <w:r w:rsidRPr="559FA22C" w:rsidR="559FA22C">
              <w:rPr>
                <w:rFonts w:ascii="Arial" w:hAnsi="Arial" w:eastAsia="Times New Roman" w:cs="Arial"/>
                <w:color w:val="000000" w:themeColor="text1" w:themeTint="FF" w:themeShade="FF"/>
                <w:sz w:val="14"/>
                <w:szCs w:val="14"/>
                <w:lang w:val="es-ES" w:eastAsia="es-ES"/>
              </w:rPr>
              <w:t xml:space="preserve">Costes: </w:t>
            </w:r>
          </w:p>
        </w:tc>
        <w:tc>
          <w:tcPr>
            <w:tcW w:w="4446" w:type="pct"/>
            <w:tcBorders>
              <w:top w:val="nil"/>
              <w:left w:val="nil"/>
              <w:bottom w:val="single" w:color="auto" w:sz="4" w:space="0"/>
              <w:right w:val="nil"/>
            </w:tcBorders>
            <w:shd w:val="clear" w:color="auto" w:fill="FFFFFF" w:themeFill="background1"/>
            <w:noWrap/>
            <w:tcMar/>
            <w:vAlign w:val="center"/>
            <w:hideMark/>
          </w:tcPr>
          <w:p w:rsidRPr="002210AF" w:rsidR="00F85A38" w:rsidP="559FA22C" w:rsidRDefault="00F85A38" w14:paraId="48FF979E" w14:noSpellErr="1" w14:textId="1341CB4A">
            <w:pPr>
              <w:spacing w:after="0" w:line="240" w:lineRule="auto"/>
              <w:ind w:left="-46"/>
              <w:rPr>
                <w:rFonts w:ascii="Arial" w:hAnsi="Arial" w:eastAsia="Times New Roman" w:cs="Arial"/>
                <w:color w:val="000000" w:themeColor="text1" w:themeTint="FF" w:themeShade="FF"/>
                <w:sz w:val="14"/>
                <w:szCs w:val="14"/>
                <w:lang w:val="es-ES" w:eastAsia="es-ES"/>
              </w:rPr>
            </w:pPr>
            <w:r w:rsidRPr="559FA22C" w:rsidR="559FA22C">
              <w:rPr>
                <w:rFonts w:ascii="Arial" w:hAnsi="Arial" w:eastAsia="Times New Roman" w:cs="Arial"/>
                <w:color w:val="000000" w:themeColor="text1" w:themeTint="FF" w:themeShade="FF"/>
                <w:sz w:val="14"/>
                <w:szCs w:val="14"/>
                <w:lang w:val="es-ES" w:eastAsia="es-ES"/>
              </w:rPr>
              <w:t xml:space="preserve">   Costes asociados a la </w:t>
            </w:r>
            <w:r w:rsidRPr="559FA22C" w:rsidR="559FA22C">
              <w:rPr>
                <w:rFonts w:ascii="Arial" w:hAnsi="Arial" w:eastAsia="Times New Roman" w:cs="Arial"/>
                <w:color w:val="000000" w:themeColor="text1" w:themeTint="FF" w:themeShade="FF"/>
                <w:sz w:val="14"/>
                <w:szCs w:val="14"/>
                <w:lang w:val="es-ES" w:eastAsia="es-ES"/>
              </w:rPr>
              <w:t>FFMR</w:t>
            </w:r>
            <w:r w:rsidRPr="559FA22C" w:rsidR="559FA22C">
              <w:rPr>
                <w:rFonts w:ascii="Arial" w:hAnsi="Arial" w:eastAsia="Times New Roman" w:cs="Arial"/>
                <w:color w:val="000000" w:themeColor="text1" w:themeTint="FF" w:themeShade="FF"/>
                <w:sz w:val="14"/>
                <w:szCs w:val="14"/>
                <w:lang w:val="es-ES" w:eastAsia="es-ES"/>
              </w:rPr>
              <w:t xml:space="preserve"> y el reclamo de las </w:t>
            </w:r>
            <w:r w:rsidRPr="559FA22C" w:rsidR="559FA22C">
              <w:rPr>
                <w:rFonts w:ascii="Arial" w:hAnsi="Arial" w:eastAsia="Times New Roman" w:cs="Arial"/>
                <w:color w:val="000000" w:themeColor="text1" w:themeTint="FF" w:themeShade="FF"/>
                <w:sz w:val="14"/>
                <w:szCs w:val="14"/>
                <w:lang w:val="es-ES" w:eastAsia="es-ES"/>
              </w:rPr>
              <w:t>garantías</w:t>
            </w:r>
            <w:r w:rsidRPr="559FA22C" w:rsidR="559FA22C">
              <w:rPr>
                <w:rFonts w:ascii="Arial" w:hAnsi="Arial" w:eastAsia="Times New Roman" w:cs="Arial"/>
                <w:color w:val="000000" w:themeColor="text1" w:themeTint="FF" w:themeShade="FF"/>
                <w:sz w:val="14"/>
                <w:szCs w:val="14"/>
                <w:lang w:val="es-ES" w:eastAsia="es-ES"/>
              </w:rPr>
              <w:t xml:space="preserve"> emitidas</w:t>
            </w:r>
          </w:p>
        </w:tc>
      </w:tr>
      <w:tr w:rsidRPr="0016446D" w:rsidR="00F85A38" w:rsidTr="559FA22C" w14:paraId="638A3634" w14:textId="77777777">
        <w:trPr>
          <w:trHeight w:val="285"/>
          <w:jc w:val="center"/>
        </w:trPr>
        <w:tc>
          <w:tcPr>
            <w:tcW w:w="554" w:type="pct"/>
            <w:tcBorders>
              <w:top w:val="nil"/>
              <w:left w:val="nil"/>
              <w:bottom w:val="nil"/>
              <w:right w:val="nil"/>
            </w:tcBorders>
            <w:shd w:val="clear" w:color="auto" w:fill="FFFFFF" w:themeFill="background1"/>
            <w:noWrap/>
            <w:tcMar/>
            <w:vAlign w:val="center"/>
            <w:hideMark/>
          </w:tcPr>
          <w:p w:rsidRPr="002210AF" w:rsidR="00F85A38" w:rsidP="559FA22C" w:rsidRDefault="00F85A38" w14:paraId="19A7CAEE" w14:textId="77777777" w14:noSpellErr="1">
            <w:pPr>
              <w:spacing w:after="0" w:line="240" w:lineRule="auto"/>
              <w:ind w:left="-46"/>
              <w:rPr>
                <w:rFonts w:ascii="Arial" w:hAnsi="Arial" w:eastAsia="Times New Roman" w:cs="Arial"/>
                <w:color w:val="000000" w:themeColor="text1" w:themeTint="FF" w:themeShade="FF"/>
                <w:sz w:val="14"/>
                <w:szCs w:val="14"/>
                <w:lang w:val="es-ES" w:eastAsia="es-ES"/>
              </w:rPr>
            </w:pPr>
            <w:r w:rsidRPr="559FA22C" w:rsidR="559FA22C">
              <w:rPr>
                <w:rFonts w:ascii="Arial" w:hAnsi="Arial" w:eastAsia="Times New Roman" w:cs="Arial"/>
                <w:color w:val="000000" w:themeColor="text1" w:themeTint="FF" w:themeShade="FF"/>
                <w:sz w:val="14"/>
                <w:szCs w:val="14"/>
                <w:lang w:val="es-ES" w:eastAsia="es-ES"/>
              </w:rPr>
              <w:t>Beneficios:</w:t>
            </w:r>
          </w:p>
        </w:tc>
        <w:tc>
          <w:tcPr>
            <w:tcW w:w="4446" w:type="pct"/>
            <w:tcBorders>
              <w:top w:val="nil"/>
              <w:left w:val="nil"/>
              <w:bottom w:val="nil"/>
              <w:right w:val="nil"/>
            </w:tcBorders>
            <w:shd w:val="clear" w:color="auto" w:fill="FFFFFF" w:themeFill="background1"/>
            <w:noWrap/>
            <w:tcMar/>
            <w:vAlign w:val="center"/>
            <w:hideMark/>
          </w:tcPr>
          <w:p w:rsidRPr="002210AF" w:rsidR="00F85A38" w:rsidP="559FA22C" w:rsidRDefault="00F85A38" w14:paraId="5520B9F1" w14:textId="29BDC25F" w14:noSpellErr="1">
            <w:pPr>
              <w:spacing w:after="0" w:line="240" w:lineRule="auto"/>
              <w:ind w:left="-46"/>
              <w:rPr>
                <w:rFonts w:ascii="Arial" w:hAnsi="Arial" w:eastAsia="Times New Roman" w:cs="Arial"/>
                <w:color w:val="000000" w:themeColor="text1" w:themeTint="FF" w:themeShade="FF"/>
                <w:sz w:val="14"/>
                <w:szCs w:val="14"/>
                <w:lang w:val="es-ES" w:eastAsia="es-ES"/>
              </w:rPr>
            </w:pPr>
            <w:r w:rsidRPr="559FA22C" w:rsidR="559FA22C">
              <w:rPr>
                <w:rFonts w:ascii="Arial" w:hAnsi="Arial" w:eastAsia="Times New Roman" w:cs="Arial"/>
                <w:color w:val="000000" w:themeColor="text1" w:themeTint="FF" w:themeShade="FF"/>
                <w:sz w:val="14"/>
                <w:szCs w:val="14"/>
                <w:lang w:val="es-ES" w:eastAsia="es-ES"/>
              </w:rPr>
              <w:t xml:space="preserve">   Apalancamiento esperado * ahorro de financiamiento esperado al contar con una </w:t>
            </w:r>
            <w:r w:rsidRPr="559FA22C" w:rsidR="559FA22C">
              <w:rPr>
                <w:rFonts w:ascii="Arial" w:hAnsi="Arial" w:eastAsia="Times New Roman" w:cs="Arial"/>
                <w:color w:val="000000" w:themeColor="text1" w:themeTint="FF" w:themeShade="FF"/>
                <w:sz w:val="14"/>
                <w:szCs w:val="14"/>
                <w:lang w:val="es-ES" w:eastAsia="es-ES"/>
              </w:rPr>
              <w:t>garantía</w:t>
            </w:r>
            <w:r w:rsidRPr="559FA22C" w:rsidR="559FA22C">
              <w:rPr>
                <w:rFonts w:ascii="Arial" w:hAnsi="Arial" w:eastAsia="Times New Roman" w:cs="Arial"/>
                <w:color w:val="000000" w:themeColor="text1" w:themeTint="FF" w:themeShade="FF"/>
                <w:sz w:val="14"/>
                <w:szCs w:val="14"/>
                <w:lang w:val="es-ES" w:eastAsia="es-ES"/>
              </w:rPr>
              <w:t xml:space="preserve"> emitida</w:t>
            </w:r>
          </w:p>
        </w:tc>
      </w:tr>
      <w:tr w:rsidRPr="0016446D" w:rsidR="00F85A38" w:rsidTr="559FA22C" w14:paraId="7ECCFDAD" w14:textId="77777777">
        <w:trPr>
          <w:trHeight w:val="285"/>
          <w:jc w:val="center"/>
        </w:trPr>
        <w:tc>
          <w:tcPr>
            <w:tcW w:w="554" w:type="pct"/>
            <w:tcBorders>
              <w:top w:val="nil"/>
              <w:left w:val="nil"/>
              <w:bottom w:val="nil"/>
              <w:right w:val="nil"/>
            </w:tcBorders>
            <w:shd w:val="clear" w:color="auto" w:fill="FFFFFF" w:themeFill="background1"/>
            <w:noWrap/>
            <w:tcMar/>
            <w:vAlign w:val="center"/>
            <w:hideMark/>
          </w:tcPr>
          <w:p w:rsidRPr="002210AF" w:rsidR="00F85A38" w:rsidP="559FA22C" w:rsidRDefault="00F85A38" w14:paraId="00BB6B12" w14:textId="77777777" w14:noSpellErr="1">
            <w:pPr>
              <w:spacing w:after="0" w:line="240" w:lineRule="auto"/>
              <w:ind w:left="-46"/>
              <w:rPr>
                <w:rFonts w:ascii="Arial" w:hAnsi="Arial" w:eastAsia="Times New Roman" w:cs="Arial"/>
                <w:color w:val="000000" w:themeColor="text1" w:themeTint="FF" w:themeShade="FF"/>
                <w:sz w:val="14"/>
                <w:szCs w:val="14"/>
                <w:lang w:val="es-ES" w:eastAsia="es-ES"/>
              </w:rPr>
            </w:pPr>
            <w:r w:rsidRPr="559FA22C" w:rsidR="559FA22C">
              <w:rPr>
                <w:rFonts w:ascii="Arial" w:hAnsi="Arial" w:eastAsia="Times New Roman" w:cs="Arial"/>
                <w:color w:val="000000" w:themeColor="text1" w:themeTint="FF" w:themeShade="FF"/>
                <w:sz w:val="14"/>
                <w:szCs w:val="14"/>
                <w:lang w:val="es-ES" w:eastAsia="es-ES"/>
              </w:rPr>
              <w:t>Costes:</w:t>
            </w:r>
          </w:p>
        </w:tc>
        <w:tc>
          <w:tcPr>
            <w:tcW w:w="4446" w:type="pct"/>
            <w:tcBorders>
              <w:top w:val="nil"/>
              <w:left w:val="nil"/>
              <w:bottom w:val="nil"/>
              <w:right w:val="nil"/>
            </w:tcBorders>
            <w:shd w:val="clear" w:color="auto" w:fill="FFFFFF" w:themeFill="background1"/>
            <w:noWrap/>
            <w:tcMar/>
            <w:vAlign w:val="center"/>
            <w:hideMark/>
          </w:tcPr>
          <w:p w:rsidRPr="002210AF" w:rsidR="00F85A38" w:rsidP="559FA22C" w:rsidRDefault="00F85A38" w14:paraId="3107441E" w14:noSpellErr="1" w14:textId="0B1E935A">
            <w:pPr>
              <w:spacing w:after="0" w:line="240" w:lineRule="auto"/>
              <w:ind w:left="-46"/>
              <w:rPr>
                <w:rFonts w:ascii="Arial" w:hAnsi="Arial" w:eastAsia="Times New Roman" w:cs="Arial"/>
                <w:color w:val="000000" w:themeColor="text1" w:themeTint="FF" w:themeShade="FF"/>
                <w:sz w:val="14"/>
                <w:szCs w:val="14"/>
                <w:lang w:val="es-ES" w:eastAsia="es-ES"/>
              </w:rPr>
            </w:pPr>
            <w:r w:rsidRPr="559FA22C" w:rsidR="559FA22C">
              <w:rPr>
                <w:rFonts w:ascii="Arial" w:hAnsi="Arial" w:eastAsia="Times New Roman" w:cs="Arial"/>
                <w:color w:val="000000" w:themeColor="text1" w:themeTint="FF" w:themeShade="FF"/>
                <w:sz w:val="14"/>
                <w:szCs w:val="14"/>
                <w:lang w:val="es-ES" w:eastAsia="es-ES"/>
              </w:rPr>
              <w:t xml:space="preserve">   Monto garantizado </w:t>
            </w:r>
            <w:r w:rsidRPr="559FA22C" w:rsidR="559FA22C">
              <w:rPr>
                <w:rFonts w:ascii="Arial" w:hAnsi="Arial" w:eastAsia="Times New Roman" w:cs="Arial"/>
                <w:color w:val="000000" w:themeColor="text1" w:themeTint="FF" w:themeShade="FF"/>
                <w:sz w:val="14"/>
                <w:szCs w:val="14"/>
                <w:lang w:val="es-ES" w:eastAsia="es-ES"/>
              </w:rPr>
              <w:t>sin reclamar</w:t>
            </w:r>
            <w:r w:rsidRPr="559FA22C" w:rsidR="559FA22C">
              <w:rPr>
                <w:rFonts w:ascii="Arial" w:hAnsi="Arial" w:eastAsia="Times New Roman" w:cs="Arial"/>
                <w:color w:val="000000" w:themeColor="text1" w:themeTint="FF" w:themeShade="FF"/>
                <w:sz w:val="14"/>
                <w:szCs w:val="14"/>
                <w:lang w:val="es-ES" w:eastAsia="es-ES"/>
              </w:rPr>
              <w:t xml:space="preserve">* tasa BID para monto de la </w:t>
            </w:r>
            <w:r w:rsidRPr="559FA22C" w:rsidR="559FA22C">
              <w:rPr>
                <w:rFonts w:ascii="Arial" w:hAnsi="Arial" w:eastAsia="Times New Roman" w:cs="Arial"/>
                <w:color w:val="000000" w:themeColor="text1" w:themeTint="FF" w:themeShade="FF"/>
                <w:sz w:val="14"/>
                <w:szCs w:val="14"/>
                <w:lang w:val="es-ES" w:eastAsia="es-ES"/>
              </w:rPr>
              <w:t>FFMR</w:t>
            </w:r>
            <w:r w:rsidRPr="559FA22C" w:rsidR="559FA22C">
              <w:rPr>
                <w:rFonts w:ascii="Arial" w:hAnsi="Arial" w:eastAsia="Times New Roman" w:cs="Arial"/>
                <w:color w:val="000000" w:themeColor="text1" w:themeTint="FF" w:themeShade="FF"/>
                <w:sz w:val="14"/>
                <w:szCs w:val="14"/>
                <w:lang w:val="es-ES" w:eastAsia="es-ES"/>
              </w:rPr>
              <w:t xml:space="preserve"> con </w:t>
            </w:r>
            <w:r w:rsidRPr="559FA22C" w:rsidR="559FA22C">
              <w:rPr>
                <w:rFonts w:ascii="Arial" w:hAnsi="Arial" w:eastAsia="Times New Roman" w:cs="Arial"/>
                <w:color w:val="000000" w:themeColor="text1" w:themeTint="FF" w:themeShade="FF"/>
                <w:sz w:val="14"/>
                <w:szCs w:val="14"/>
                <w:lang w:val="es-ES" w:eastAsia="es-ES"/>
              </w:rPr>
              <w:t>garantía</w:t>
            </w:r>
            <w:r w:rsidRPr="559FA22C" w:rsidR="559FA22C">
              <w:rPr>
                <w:rFonts w:ascii="Arial" w:hAnsi="Arial" w:eastAsia="Times New Roman" w:cs="Arial"/>
                <w:color w:val="000000" w:themeColor="text1" w:themeTint="FF" w:themeShade="FF"/>
                <w:sz w:val="14"/>
                <w:szCs w:val="14"/>
                <w:lang w:val="es-ES" w:eastAsia="es-ES"/>
              </w:rPr>
              <w:t xml:space="preserve"> emitida</w:t>
            </w:r>
          </w:p>
        </w:tc>
      </w:tr>
      <w:tr w:rsidRPr="0016446D" w:rsidR="00F85A38" w:rsidTr="559FA22C" w14:paraId="7F5E5CCA" w14:textId="77777777">
        <w:trPr>
          <w:trHeight w:val="285"/>
          <w:jc w:val="center"/>
        </w:trPr>
        <w:tc>
          <w:tcPr>
            <w:tcW w:w="554" w:type="pct"/>
            <w:tcBorders>
              <w:top w:val="nil"/>
              <w:left w:val="nil"/>
              <w:bottom w:val="nil"/>
              <w:right w:val="nil"/>
            </w:tcBorders>
            <w:shd w:val="clear" w:color="auto" w:fill="FFFFFF" w:themeFill="background1"/>
            <w:noWrap/>
            <w:tcMar/>
            <w:vAlign w:val="center"/>
            <w:hideMark/>
          </w:tcPr>
          <w:p w:rsidRPr="002210AF" w:rsidR="00F85A38" w:rsidP="559FA22C" w:rsidRDefault="00F85A38" w14:paraId="65AE2E81" w14:textId="77777777">
            <w:pPr>
              <w:spacing w:after="0" w:line="240" w:lineRule="auto"/>
              <w:ind w:left="-46"/>
              <w:rPr>
                <w:rFonts w:ascii="Arial" w:hAnsi="Arial" w:eastAsia="Times New Roman" w:cs="Arial"/>
                <w:color w:val="000000" w:themeColor="text1" w:themeTint="FF" w:themeShade="FF"/>
                <w:sz w:val="14"/>
                <w:szCs w:val="14"/>
                <w:lang w:val="es-ES" w:eastAsia="es-ES"/>
              </w:rPr>
            </w:pPr>
            <w:r w:rsidRPr="559FA22C" w:rsidR="559FA22C">
              <w:rPr>
                <w:rFonts w:ascii="Arial" w:hAnsi="Arial" w:eastAsia="Times New Roman" w:cs="Arial"/>
                <w:color w:val="000000" w:themeColor="text1" w:themeTint="FF" w:themeShade="FF"/>
                <w:sz w:val="14"/>
                <w:szCs w:val="14"/>
                <w:lang w:val="es-ES" w:eastAsia="es-ES"/>
              </w:rPr>
              <w:t> </w:t>
            </w:r>
          </w:p>
        </w:tc>
        <w:tc>
          <w:tcPr>
            <w:tcW w:w="4446" w:type="pct"/>
            <w:tcBorders>
              <w:top w:val="nil"/>
              <w:left w:val="nil"/>
              <w:bottom w:val="nil"/>
              <w:right w:val="nil"/>
            </w:tcBorders>
            <w:shd w:val="clear" w:color="auto" w:fill="FFFFFF" w:themeFill="background1"/>
            <w:noWrap/>
            <w:tcMar/>
            <w:vAlign w:val="center"/>
            <w:hideMark/>
          </w:tcPr>
          <w:p w:rsidRPr="002210AF" w:rsidR="00F85A38" w:rsidP="559FA22C" w:rsidRDefault="00F85A38" w14:paraId="663AF88E" w14:noSpellErr="1" w14:textId="1209FE9A">
            <w:pPr>
              <w:spacing w:after="0" w:line="240" w:lineRule="auto"/>
              <w:ind w:left="-46"/>
              <w:rPr>
                <w:rFonts w:ascii="Arial" w:hAnsi="Arial" w:eastAsia="Times New Roman" w:cs="Arial"/>
                <w:color w:val="000000" w:themeColor="text1" w:themeTint="FF" w:themeShade="FF"/>
                <w:sz w:val="14"/>
                <w:szCs w:val="14"/>
                <w:lang w:val="es-ES" w:eastAsia="es-ES"/>
              </w:rPr>
            </w:pPr>
            <w:r w:rsidRPr="559FA22C" w:rsidR="559FA22C">
              <w:rPr>
                <w:rFonts w:ascii="Arial" w:hAnsi="Arial" w:eastAsia="Times New Roman" w:cs="Arial"/>
                <w:color w:val="000000" w:themeColor="text1" w:themeTint="FF" w:themeShade="FF"/>
                <w:sz w:val="14"/>
                <w:szCs w:val="14"/>
                <w:lang w:val="es-ES" w:eastAsia="es-ES"/>
              </w:rPr>
              <w:t xml:space="preserve">+ Monto no garantizado * tasa BID para monto de la </w:t>
            </w:r>
            <w:r w:rsidRPr="559FA22C" w:rsidR="559FA22C">
              <w:rPr>
                <w:rFonts w:ascii="Arial" w:hAnsi="Arial" w:eastAsia="Times New Roman" w:cs="Arial"/>
                <w:color w:val="000000" w:themeColor="text1" w:themeTint="FF" w:themeShade="FF"/>
                <w:sz w:val="14"/>
                <w:szCs w:val="14"/>
                <w:lang w:val="es-ES" w:eastAsia="es-ES"/>
              </w:rPr>
              <w:t>FFMR</w:t>
            </w:r>
            <w:r w:rsidRPr="559FA22C" w:rsidR="559FA22C">
              <w:rPr>
                <w:rFonts w:ascii="Arial" w:hAnsi="Arial" w:eastAsia="Times New Roman" w:cs="Arial"/>
                <w:color w:val="000000" w:themeColor="text1" w:themeTint="FF" w:themeShade="FF"/>
                <w:sz w:val="14"/>
                <w:szCs w:val="14"/>
                <w:lang w:val="es-ES" w:eastAsia="es-ES"/>
              </w:rPr>
              <w:t xml:space="preserve"> sin </w:t>
            </w:r>
            <w:r w:rsidRPr="559FA22C" w:rsidR="559FA22C">
              <w:rPr>
                <w:rFonts w:ascii="Arial" w:hAnsi="Arial" w:eastAsia="Times New Roman" w:cs="Arial"/>
                <w:color w:val="000000" w:themeColor="text1" w:themeTint="FF" w:themeShade="FF"/>
                <w:sz w:val="14"/>
                <w:szCs w:val="14"/>
                <w:lang w:val="es-ES" w:eastAsia="es-ES"/>
              </w:rPr>
              <w:t>garantía</w:t>
            </w:r>
            <w:r w:rsidRPr="559FA22C" w:rsidR="559FA22C">
              <w:rPr>
                <w:rFonts w:ascii="Arial" w:hAnsi="Arial" w:eastAsia="Times New Roman" w:cs="Arial"/>
                <w:color w:val="000000" w:themeColor="text1" w:themeTint="FF" w:themeShade="FF"/>
                <w:sz w:val="14"/>
                <w:szCs w:val="14"/>
                <w:lang w:val="es-ES" w:eastAsia="es-ES"/>
              </w:rPr>
              <w:t xml:space="preserve"> emitida</w:t>
            </w:r>
          </w:p>
        </w:tc>
      </w:tr>
      <w:tr w:rsidRPr="006D1194" w:rsidR="00F85A38" w:rsidTr="559FA22C" w14:paraId="3695F5A2" w14:textId="77777777">
        <w:trPr>
          <w:trHeight w:val="300"/>
          <w:jc w:val="center"/>
        </w:trPr>
        <w:tc>
          <w:tcPr>
            <w:tcW w:w="554" w:type="pct"/>
            <w:tcBorders>
              <w:top w:val="nil"/>
              <w:left w:val="nil"/>
              <w:bottom w:val="double" w:color="auto" w:sz="4" w:space="0"/>
              <w:right w:val="nil"/>
            </w:tcBorders>
            <w:shd w:val="clear" w:color="auto" w:fill="FFFFFF" w:themeFill="background1"/>
            <w:noWrap/>
            <w:tcMar/>
            <w:vAlign w:val="center"/>
            <w:hideMark/>
          </w:tcPr>
          <w:p w:rsidRPr="002210AF" w:rsidR="00F85A38" w:rsidP="559FA22C" w:rsidRDefault="00F85A38" w14:paraId="325B5900" w14:textId="77777777">
            <w:pPr>
              <w:spacing w:after="0" w:line="240" w:lineRule="auto"/>
              <w:ind w:left="-46"/>
              <w:rPr>
                <w:rFonts w:ascii="Arial" w:hAnsi="Arial" w:eastAsia="Times New Roman" w:cs="Arial"/>
                <w:color w:val="000000" w:themeColor="text1" w:themeTint="FF" w:themeShade="FF"/>
                <w:sz w:val="14"/>
                <w:szCs w:val="14"/>
                <w:lang w:val="es-ES" w:eastAsia="es-ES"/>
              </w:rPr>
            </w:pPr>
            <w:r w:rsidRPr="559FA22C" w:rsidR="559FA22C">
              <w:rPr>
                <w:rFonts w:ascii="Arial" w:hAnsi="Arial" w:eastAsia="Times New Roman" w:cs="Arial"/>
                <w:color w:val="000000" w:themeColor="text1" w:themeTint="FF" w:themeShade="FF"/>
                <w:sz w:val="14"/>
                <w:szCs w:val="14"/>
                <w:lang w:val="es-ES" w:eastAsia="es-ES"/>
              </w:rPr>
              <w:t> </w:t>
            </w:r>
          </w:p>
        </w:tc>
        <w:tc>
          <w:tcPr>
            <w:tcW w:w="4446" w:type="pct"/>
            <w:tcBorders>
              <w:top w:val="nil"/>
              <w:left w:val="nil"/>
              <w:bottom w:val="double" w:color="auto" w:sz="4" w:space="0"/>
              <w:right w:val="nil"/>
            </w:tcBorders>
            <w:shd w:val="clear" w:color="auto" w:fill="FFFFFF" w:themeFill="background1"/>
            <w:noWrap/>
            <w:tcMar/>
            <w:vAlign w:val="center"/>
            <w:hideMark/>
          </w:tcPr>
          <w:p w:rsidRPr="002210AF" w:rsidR="00F85A38" w:rsidP="559FA22C" w:rsidRDefault="00F85A38" w14:paraId="7572222C" w14:textId="77777777" w14:noSpellErr="1">
            <w:pPr>
              <w:spacing w:after="0" w:line="240" w:lineRule="auto"/>
              <w:ind w:left="-46"/>
              <w:rPr>
                <w:rFonts w:ascii="Arial" w:hAnsi="Arial" w:eastAsia="Times New Roman" w:cs="Arial"/>
                <w:color w:val="000000" w:themeColor="text1" w:themeTint="FF" w:themeShade="FF"/>
                <w:sz w:val="14"/>
                <w:szCs w:val="14"/>
                <w:lang w:val="es-ES" w:eastAsia="es-ES"/>
              </w:rPr>
            </w:pPr>
            <w:r w:rsidRPr="559FA22C" w:rsidR="559FA22C">
              <w:rPr>
                <w:rFonts w:ascii="Arial" w:hAnsi="Arial" w:eastAsia="Times New Roman" w:cs="Arial"/>
                <w:color w:val="000000" w:themeColor="text1" w:themeTint="FF" w:themeShade="FF"/>
                <w:sz w:val="14"/>
                <w:szCs w:val="14"/>
                <w:lang w:val="es-ES" w:eastAsia="es-ES"/>
              </w:rPr>
              <w:t xml:space="preserve">+ Monto garantizado reclamado * (LIBOR + tasa de </w:t>
            </w:r>
            <w:r w:rsidRPr="559FA22C" w:rsidR="559FA22C">
              <w:rPr>
                <w:rFonts w:ascii="Arial" w:hAnsi="Arial" w:eastAsia="Times New Roman" w:cs="Arial"/>
                <w:color w:val="000000" w:themeColor="text1" w:themeTint="FF" w:themeShade="FF"/>
                <w:sz w:val="14"/>
                <w:szCs w:val="14"/>
                <w:lang w:val="es-ES" w:eastAsia="es-ES"/>
              </w:rPr>
              <w:t>préstamo</w:t>
            </w:r>
            <w:r w:rsidRPr="559FA22C" w:rsidR="559FA22C">
              <w:rPr>
                <w:rFonts w:ascii="Arial" w:hAnsi="Arial" w:eastAsia="Times New Roman" w:cs="Arial"/>
                <w:color w:val="000000" w:themeColor="text1" w:themeTint="FF" w:themeShade="FF"/>
                <w:sz w:val="14"/>
                <w:szCs w:val="14"/>
                <w:lang w:val="es-ES" w:eastAsia="es-ES"/>
              </w:rPr>
              <w:t xml:space="preserve"> BID)</w:t>
            </w:r>
          </w:p>
        </w:tc>
      </w:tr>
    </w:tbl>
    <w:p w:rsidRPr="008D6662" w:rsidR="007F5EA4" w:rsidP="559FA22C" w:rsidRDefault="000F7387" w14:paraId="31FD273D" w14:textId="721D3917" w14:noSpellErr="1">
      <w:pPr>
        <w:pStyle w:val="Paragraph"/>
        <w:tabs>
          <w:tab w:val="num" w:pos="720"/>
        </w:tabs>
        <w:ind w:left="720" w:hanging="720"/>
        <w:rPr>
          <w:rFonts w:ascii="Arial" w:hAnsi="Arial" w:cs="Arial"/>
          <w:color w:val="000000" w:themeColor="text1" w:themeTint="FF" w:themeShade="FF"/>
          <w:sz w:val="22"/>
          <w:szCs w:val="22"/>
          <w:lang w:val="es-ES"/>
        </w:rPr>
      </w:pPr>
      <w:r w:rsidRPr="559FA22C" w:rsidR="559FA22C">
        <w:rPr>
          <w:rFonts w:ascii="Arial" w:hAnsi="Arial" w:cs="Arial"/>
          <w:sz w:val="22"/>
          <w:szCs w:val="22"/>
          <w:lang w:val="es-ES"/>
        </w:rPr>
        <w:t>Como</w:t>
      </w:r>
      <w:r w:rsidRPr="559FA22C" w:rsidR="559FA22C">
        <w:rPr>
          <w:rFonts w:ascii="Arial" w:hAnsi="Arial" w:cs="Arial"/>
          <w:sz w:val="22"/>
          <w:szCs w:val="22"/>
          <w:lang w:val="es-ES"/>
        </w:rPr>
        <w:t xml:space="preserve"> se mencionaba anteriormente, si bien las tasas de </w:t>
      </w:r>
      <w:r w:rsidRPr="559FA22C" w:rsidR="559FA22C">
        <w:rPr>
          <w:rFonts w:ascii="Arial" w:hAnsi="Arial" w:cs="Arial"/>
          <w:sz w:val="22"/>
          <w:szCs w:val="22"/>
          <w:lang w:val="es-ES"/>
        </w:rPr>
        <w:t>financiamiento</w:t>
      </w:r>
      <w:r w:rsidRPr="559FA22C" w:rsidR="559FA22C">
        <w:rPr>
          <w:rFonts w:ascii="Arial" w:hAnsi="Arial" w:cs="Arial"/>
          <w:sz w:val="22"/>
          <w:szCs w:val="22"/>
          <w:lang w:val="es-ES"/>
        </w:rPr>
        <w:t xml:space="preserve"> promedio del mercado pueden verse afectadas, entre otros, por el sector al que pertenezca el proyecto a financiar, en el desarrollo presentado en la Tabla 1 se observa como esas tasas se anulan para el </w:t>
      </w:r>
      <w:r w:rsidRPr="559FA22C" w:rsidR="559FA22C">
        <w:rPr>
          <w:rFonts w:ascii="Arial" w:hAnsi="Arial" w:cs="Arial"/>
          <w:sz w:val="22"/>
          <w:szCs w:val="22"/>
          <w:lang w:val="es-ES"/>
        </w:rPr>
        <w:t>cálculo</w:t>
      </w:r>
      <w:r w:rsidRPr="559FA22C" w:rsidR="559FA22C">
        <w:rPr>
          <w:rFonts w:ascii="Arial" w:hAnsi="Arial" w:cs="Arial"/>
          <w:sz w:val="22"/>
          <w:szCs w:val="22"/>
          <w:lang w:val="es-ES"/>
        </w:rPr>
        <w:t xml:space="preserve"> del beneficio y, por tanto, no repercuten en el resultado del VPN. No obstante, en la siguiente sección se procede a estresar este parámetro para comprobación de este </w:t>
      </w:r>
      <w:r w:rsidRPr="559FA22C" w:rsidR="559FA22C">
        <w:rPr>
          <w:rFonts w:ascii="Arial" w:hAnsi="Arial" w:cs="Arial"/>
          <w:sz w:val="22"/>
          <w:szCs w:val="22"/>
          <w:lang w:val="es-ES"/>
        </w:rPr>
        <w:t>fenómeno.</w:t>
      </w:r>
      <w:r w:rsidRPr="559FA22C" w:rsidR="559FA22C">
        <w:rPr>
          <w:rFonts w:ascii="Arial" w:hAnsi="Arial" w:cs="Arial"/>
          <w:color w:val="000000" w:themeColor="text1" w:themeTint="FF" w:themeShade="FF"/>
          <w:sz w:val="22"/>
          <w:szCs w:val="22"/>
          <w:lang w:val="es-ES"/>
        </w:rPr>
        <w:t xml:space="preserve"> </w:t>
      </w:r>
    </w:p>
    <w:p w:rsidRPr="008D6662" w:rsidR="00AA1F92" w:rsidP="559FA22C" w:rsidRDefault="007F5EA4" w14:paraId="7BBA2CA3" w14:textId="77777777" w14:noSpellErr="1">
      <w:pPr>
        <w:pStyle w:val="Paragraph"/>
        <w:tabs>
          <w:tab w:val="num" w:pos="720"/>
        </w:tabs>
        <w:ind w:left="720" w:hanging="720"/>
        <w:rPr>
          <w:rFonts w:ascii="Arial" w:hAnsi="Arial" w:cs="Arial"/>
          <w:sz w:val="22"/>
          <w:szCs w:val="22"/>
          <w:lang w:val="es-ES"/>
        </w:rPr>
      </w:pPr>
      <w:r w:rsidRPr="559FA22C" w:rsidR="559FA22C">
        <w:rPr>
          <w:rFonts w:ascii="Arial" w:hAnsi="Arial" w:cs="Arial"/>
          <w:sz w:val="22"/>
          <w:szCs w:val="22"/>
          <w:lang w:val="es-ES"/>
        </w:rPr>
        <w:t>Los cálculos realizados para este análisis de costo beneficio se basan en las siguientes informaciones (datos) y supuestos</w:t>
      </w:r>
      <w:r w:rsidRPr="559FA22C" w:rsidR="559FA22C">
        <w:rPr>
          <w:rFonts w:ascii="Arial" w:hAnsi="Arial" w:cs="Arial"/>
          <w:sz w:val="22"/>
          <w:szCs w:val="22"/>
          <w:lang w:val="es-ES"/>
        </w:rPr>
        <w:t>:</w:t>
      </w:r>
    </w:p>
    <w:p w:rsidRPr="002210AF" w:rsidR="00CE7B05" w:rsidP="559FA22C" w:rsidRDefault="00CE7B05" w14:paraId="4DFA311D" w14:textId="54B692C1" w14:noSpellErr="1">
      <w:pPr>
        <w:pStyle w:val="SubHeading1"/>
        <w:numPr>
          <w:ilvl w:val="2"/>
          <w:numId w:val="4"/>
        </w:numPr>
        <w:tabs>
          <w:tab w:val="clear" w:pos="2304"/>
          <w:tab w:val="num" w:pos="1872"/>
        </w:tabs>
        <w:ind w:left="1276"/>
        <w:jc w:val="both"/>
        <w:rPr>
          <w:rFonts w:ascii="Arial" w:hAnsi="Arial" w:cs="Arial"/>
          <w:b w:val="0"/>
          <w:bCs w:val="0"/>
          <w:sz w:val="22"/>
          <w:szCs w:val="22"/>
          <w:lang w:val="es-ES"/>
        </w:rPr>
      </w:pPr>
      <w:bookmarkStart w:name="_Toc389817803" w:id="13"/>
      <w:bookmarkStart w:name="_Toc389817804" w:id="14"/>
      <w:bookmarkStart w:name="_Toc389817805" w:id="15"/>
      <w:bookmarkStart w:name="_Toc389817806" w:id="16"/>
      <w:bookmarkStart w:name="_Toc389817807" w:id="17"/>
      <w:bookmarkStart w:name="_Toc389817808" w:id="18"/>
      <w:bookmarkStart w:name="_Toc389817809" w:id="19"/>
      <w:bookmarkStart w:name="_Toc389817810" w:id="20"/>
      <w:bookmarkStart w:name="_Toc389817811" w:id="21"/>
      <w:bookmarkStart w:name="_Toc389817812" w:id="22"/>
      <w:bookmarkStart w:name="_Toc389817813" w:id="23"/>
      <w:bookmarkStart w:name="_Toc389817814" w:id="24"/>
      <w:bookmarkStart w:name="_Toc389817815" w:id="25"/>
      <w:bookmarkStart w:name="_Toc389817816" w:id="26"/>
      <w:bookmarkStart w:name="_Ref389817664" w:id="27"/>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559FA22C" w:rsidR="559FA22C">
        <w:rPr>
          <w:rFonts w:ascii="Arial" w:hAnsi="Arial" w:cs="Arial"/>
          <w:sz w:val="22"/>
          <w:szCs w:val="22"/>
          <w:lang w:val="es-ES"/>
        </w:rPr>
        <w:t xml:space="preserve">Escenario contrafactual. </w:t>
      </w:r>
      <w:r w:rsidRPr="559FA22C" w:rsidR="559FA22C">
        <w:rPr>
          <w:rFonts w:ascii="Arial" w:hAnsi="Arial" w:cs="Arial"/>
          <w:b w:val="0"/>
          <w:bCs w:val="0"/>
          <w:sz w:val="22"/>
          <w:szCs w:val="22"/>
          <w:lang w:val="es-ES"/>
        </w:rPr>
        <w:t xml:space="preserve">El escenario alternativo sin proyecto se considera aquel </w:t>
      </w:r>
      <w:r w:rsidRPr="559FA22C" w:rsidR="559FA22C">
        <w:rPr>
          <w:rFonts w:ascii="Arial" w:hAnsi="Arial" w:cs="Arial"/>
          <w:b w:val="0"/>
          <w:bCs w:val="0"/>
          <w:sz w:val="22"/>
          <w:szCs w:val="22"/>
          <w:lang w:val="es-ES"/>
        </w:rPr>
        <w:t xml:space="preserve">en el que se recurre a financiar el monto total de los proyectos de </w:t>
      </w:r>
      <w:r w:rsidRPr="559FA22C" w:rsidR="559FA22C">
        <w:rPr>
          <w:rFonts w:ascii="Arial" w:hAnsi="Arial" w:cs="Arial"/>
          <w:b w:val="0"/>
          <w:bCs w:val="0"/>
          <w:sz w:val="22"/>
          <w:szCs w:val="22"/>
          <w:lang w:val="es-ES"/>
        </w:rPr>
        <w:t>inversión recurriendo al mercado de financiamiento sin contar con ninguna garantía emitida que mitigue los posibles riesgos asociados a la inversión.</w:t>
      </w:r>
      <w:r w:rsidRPr="559FA22C" w:rsidR="559FA22C">
        <w:rPr>
          <w:rFonts w:ascii="Arial" w:hAnsi="Arial" w:cs="Arial"/>
          <w:b w:val="0"/>
          <w:bCs w:val="0"/>
          <w:sz w:val="22"/>
          <w:szCs w:val="22"/>
          <w:lang w:val="es-ES"/>
        </w:rPr>
        <w:t xml:space="preserve"> </w:t>
      </w:r>
    </w:p>
    <w:p w:rsidRPr="002210AF" w:rsidR="008D6662" w:rsidP="559FA22C" w:rsidRDefault="00A105B6" w14:paraId="123B11BC" w14:noSpellErr="1" w14:textId="6D6A92E1">
      <w:pPr>
        <w:pStyle w:val="SubHeading1"/>
        <w:numPr>
          <w:ilvl w:val="2"/>
          <w:numId w:val="4"/>
        </w:numPr>
        <w:tabs>
          <w:tab w:val="clear" w:pos="2304"/>
          <w:tab w:val="num" w:pos="1872"/>
        </w:tabs>
        <w:ind w:left="1276"/>
        <w:jc w:val="both"/>
        <w:rPr>
          <w:rFonts w:ascii="Arial" w:hAnsi="Arial" w:cs="Arial"/>
          <w:b w:val="0"/>
          <w:bCs w:val="0"/>
          <w:sz w:val="22"/>
          <w:szCs w:val="22"/>
          <w:lang w:val="es-ES"/>
        </w:rPr>
      </w:pPr>
      <w:r w:rsidRPr="002210AF">
        <w:rPr>
          <w:rFonts w:ascii="Arial" w:hAnsi="Arial" w:cs="Arial"/>
          <w:sz w:val="22"/>
          <w:szCs w:val="22"/>
          <w:lang w:val="es-ES"/>
        </w:rPr>
        <w:t>Beneficios del proyecto</w:t>
      </w:r>
      <w:r w:rsidRPr="002210AF">
        <w:rPr>
          <w:rFonts w:ascii="Arial" w:hAnsi="Arial" w:cs="Arial"/>
          <w:b w:val="0"/>
          <w:bCs w:val="0"/>
          <w:sz w:val="22"/>
          <w:szCs w:val="22"/>
          <w:lang w:val="es-ES"/>
        </w:rPr>
        <w:t xml:space="preserve">. </w:t>
      </w:r>
      <w:r w:rsidRPr="002210AF" w:rsidR="00F14EA9">
        <w:rPr>
          <w:rFonts w:ascii="Arial" w:hAnsi="Arial" w:cs="Arial"/>
          <w:b w:val="0"/>
          <w:bCs w:val="0"/>
          <w:sz w:val="22"/>
          <w:szCs w:val="22"/>
          <w:lang w:val="es-ES"/>
        </w:rPr>
        <w:t xml:space="preserve">Los beneficios esperados para este programa </w:t>
      </w:r>
      <w:r w:rsidR="00A84B88">
        <w:rPr>
          <w:rFonts w:ascii="Arial" w:hAnsi="Arial" w:cs="Arial"/>
          <w:b w:val="0"/>
          <w:bCs w:val="0"/>
          <w:sz w:val="22"/>
          <w:szCs w:val="22"/>
          <w:lang w:val="es-ES"/>
        </w:rPr>
        <w:t xml:space="preserve">se determinan como </w:t>
      </w:r>
      <w:r w:rsidRPr="002210AF" w:rsidR="00F14EA9">
        <w:rPr>
          <w:rFonts w:ascii="Arial" w:hAnsi="Arial" w:cs="Arial"/>
          <w:b w:val="0"/>
          <w:bCs w:val="0"/>
          <w:sz w:val="22"/>
          <w:szCs w:val="22"/>
          <w:lang w:val="es-ES"/>
        </w:rPr>
        <w:t>el ahorro en el financiamiento de la inversión productiva</w:t>
      </w:r>
      <w:r w:rsidR="006941A9">
        <w:rPr>
          <w:rFonts w:ascii="Arial" w:hAnsi="Arial" w:cs="Arial"/>
          <w:b w:val="0"/>
          <w:bCs w:val="0"/>
          <w:sz w:val="22"/>
          <w:szCs w:val="22"/>
          <w:lang w:val="es-ES"/>
        </w:rPr>
        <w:t xml:space="preserve"> por un plazo promedio de 20 años</w:t>
      </w:r>
      <w:r w:rsidRPr="002210AF" w:rsidR="00F14EA9">
        <w:rPr>
          <w:rFonts w:ascii="Arial" w:hAnsi="Arial" w:cs="Arial"/>
          <w:b w:val="0"/>
          <w:bCs w:val="0"/>
          <w:sz w:val="22"/>
          <w:szCs w:val="22"/>
          <w:lang w:val="es-ES"/>
        </w:rPr>
        <w:t xml:space="preserve">. </w:t>
      </w:r>
      <w:r w:rsidR="00A84B88">
        <w:rPr>
          <w:rFonts w:ascii="Arial" w:hAnsi="Arial" w:cs="Arial"/>
          <w:b w:val="0"/>
          <w:bCs w:val="0"/>
          <w:sz w:val="22"/>
          <w:szCs w:val="22"/>
          <w:lang w:val="es-ES"/>
        </w:rPr>
        <w:t>Como recoge la experiencia internacional, c</w:t>
      </w:r>
      <w:r w:rsidRPr="002210AF" w:rsidR="00F14EA9">
        <w:rPr>
          <w:rFonts w:ascii="Arial" w:hAnsi="Arial" w:cs="Arial"/>
          <w:b w:val="0"/>
          <w:bCs w:val="0"/>
          <w:sz w:val="22"/>
          <w:szCs w:val="22"/>
          <w:lang w:val="es-ES"/>
        </w:rPr>
        <w:t xml:space="preserve">on la ayuda de la herramienta de la </w:t>
      </w:r>
      <w:r w:rsidRPr="002210AF" w:rsidR="00F14EA9">
        <w:rPr>
          <w:rFonts w:ascii="Arial" w:hAnsi="Arial" w:cs="Arial"/>
          <w:b w:val="0"/>
          <w:bCs w:val="0"/>
          <w:sz w:val="22"/>
          <w:szCs w:val="22"/>
          <w:lang w:val="es-ES"/>
        </w:rPr>
        <w:t xml:space="preserve">FFMR</w:t>
      </w:r>
      <w:r w:rsidRPr="002210AF" w:rsidR="00F14EA9">
        <w:rPr>
          <w:rFonts w:ascii="Arial" w:hAnsi="Arial" w:cs="Arial"/>
          <w:b w:val="0"/>
          <w:bCs w:val="0"/>
          <w:sz w:val="22"/>
          <w:szCs w:val="22"/>
          <w:lang w:val="es-ES"/>
        </w:rPr>
        <w:t xml:space="preserve"> se espera que, al garantizar hasta un máximo del </w:t>
      </w:r>
      <w:r w:rsidR="00234508">
        <w:rPr>
          <w:rFonts w:ascii="Arial" w:hAnsi="Arial" w:cs="Arial"/>
          <w:b w:val="0"/>
          <w:bCs w:val="0"/>
          <w:sz w:val="22"/>
          <w:szCs w:val="22"/>
          <w:lang w:val="es-ES"/>
        </w:rPr>
        <w:t>70</w:t>
      </w:r>
      <w:r w:rsidRPr="002210AF" w:rsidR="00F14EA9">
        <w:rPr>
          <w:rFonts w:ascii="Arial" w:hAnsi="Arial" w:cs="Arial"/>
          <w:b w:val="0"/>
          <w:bCs w:val="0"/>
          <w:sz w:val="22"/>
          <w:szCs w:val="22"/>
          <w:lang w:val="es-ES"/>
        </w:rPr>
        <w:t>% del monto total de la inversión en un proyecto, se eleve su categoría crediticia (Banco Mundial</w:t>
      </w:r>
      <w:r w:rsidRPr="002210AF" w:rsidR="00BC3B81">
        <w:rPr>
          <w:rFonts w:ascii="Arial" w:hAnsi="Arial" w:cs="Arial"/>
          <w:b w:val="0"/>
          <w:bCs w:val="0"/>
          <w:sz w:val="22"/>
          <w:szCs w:val="22"/>
          <w:lang w:val="es-ES"/>
        </w:rPr>
        <w:t>, 2009</w:t>
      </w:r>
      <w:r w:rsidRPr="002210AF" w:rsidR="00F14EA9">
        <w:rPr>
          <w:rFonts w:ascii="Arial" w:hAnsi="Arial" w:cs="Arial"/>
          <w:b w:val="0"/>
          <w:bCs w:val="0"/>
          <w:sz w:val="22"/>
          <w:szCs w:val="22"/>
          <w:lang w:val="es-ES"/>
        </w:rPr>
        <w:t>). Se considera que gracias a este cambio se verán mejoradas las tasas aplicables al financiamiento y por tanto se cons</w:t>
      </w:r>
      <w:r w:rsidRPr="002210AF" w:rsidR="00A84B88">
        <w:rPr>
          <w:rFonts w:ascii="Arial" w:hAnsi="Arial" w:cs="Arial"/>
          <w:b w:val="0"/>
          <w:bCs w:val="0"/>
          <w:sz w:val="22"/>
          <w:szCs w:val="22"/>
          <w:lang w:val="es-ES"/>
        </w:rPr>
        <w:t>eguirá</w:t>
      </w:r>
      <w:r w:rsidRPr="002210AF" w:rsidR="00F14EA9">
        <w:rPr>
          <w:rFonts w:ascii="Arial" w:hAnsi="Arial" w:cs="Arial"/>
          <w:b w:val="0"/>
          <w:bCs w:val="0"/>
          <w:sz w:val="22"/>
          <w:szCs w:val="22"/>
          <w:lang w:val="es-ES"/>
        </w:rPr>
        <w:t xml:space="preserve"> un ahorro frente al caso de financiamiento sin garantía.</w:t>
      </w:r>
      <w:r w:rsidR="00234508">
        <w:rPr>
          <w:rStyle w:val="FootnoteReference"/>
          <w:rFonts w:ascii="Arial" w:hAnsi="Arial" w:cs="Arial"/>
          <w:b w:val="0"/>
          <w:bCs w:val="0"/>
          <w:sz w:val="22"/>
          <w:szCs w:val="22"/>
          <w:lang w:val="es-ES"/>
        </w:rPr>
        <w:footnoteReference w:id="34"/>
      </w:r>
      <w:r w:rsidR="00234508">
        <w:rPr>
          <w:rFonts w:ascii="Arial" w:hAnsi="Arial" w:cs="Arial"/>
          <w:b w:val="0"/>
          <w:bCs w:val="0"/>
          <w:sz w:val="22"/>
          <w:szCs w:val="22"/>
          <w:lang w:val="es-ES"/>
        </w:rPr>
        <w:t xml:space="preserve"> </w:t>
      </w:r>
      <w:r w:rsidR="00A84B88">
        <w:rPr>
          <w:rFonts w:ascii="Arial" w:hAnsi="Arial" w:cs="Arial"/>
          <w:b w:val="0"/>
          <w:bCs w:val="0"/>
          <w:sz w:val="22"/>
          <w:szCs w:val="22"/>
          <w:lang w:val="es-ES"/>
        </w:rPr>
        <w:t>Así</w:t>
      </w:r>
      <w:r w:rsidR="00DC4E4C">
        <w:rPr>
          <w:rFonts w:ascii="Arial" w:hAnsi="Arial" w:cs="Arial"/>
          <w:b w:val="0"/>
          <w:bCs w:val="0"/>
          <w:sz w:val="22"/>
          <w:szCs w:val="22"/>
          <w:lang w:val="es-ES"/>
        </w:rPr>
        <w:t xml:space="preserve">, el </w:t>
      </w:r>
      <w:r w:rsidR="00F673C5">
        <w:rPr>
          <w:rFonts w:ascii="Arial" w:hAnsi="Arial" w:cs="Arial"/>
          <w:b w:val="0"/>
          <w:bCs w:val="0"/>
          <w:sz w:val="22"/>
          <w:szCs w:val="22"/>
          <w:lang w:val="es-ES"/>
        </w:rPr>
        <w:t>beneficio</w:t>
      </w:r>
      <w:r w:rsidR="00DC4E4C">
        <w:rPr>
          <w:rFonts w:ascii="Arial" w:hAnsi="Arial" w:cs="Arial"/>
          <w:b w:val="0"/>
          <w:bCs w:val="0"/>
          <w:sz w:val="22"/>
          <w:szCs w:val="22"/>
          <w:lang w:val="es-ES"/>
        </w:rPr>
        <w:t xml:space="preserve"> queda expresado como la diferencia entre el coste promedio del financiamiento privado de la </w:t>
      </w:r>
      <w:r w:rsidR="00F673C5">
        <w:rPr>
          <w:rFonts w:ascii="Arial" w:hAnsi="Arial" w:cs="Arial"/>
          <w:b w:val="0"/>
          <w:bCs w:val="0"/>
          <w:sz w:val="22"/>
          <w:szCs w:val="22"/>
          <w:lang w:val="es-ES"/>
        </w:rPr>
        <w:t>inversión</w:t>
      </w:r>
      <w:r w:rsidR="00DC4E4C">
        <w:rPr>
          <w:rFonts w:ascii="Arial" w:hAnsi="Arial" w:cs="Arial"/>
          <w:b w:val="0"/>
          <w:bCs w:val="0"/>
          <w:sz w:val="22"/>
          <w:szCs w:val="22"/>
          <w:lang w:val="es-ES"/>
        </w:rPr>
        <w:t xml:space="preserve"> sin </w:t>
      </w:r>
      <w:r w:rsidR="00F673C5">
        <w:rPr>
          <w:rFonts w:ascii="Arial" w:hAnsi="Arial" w:cs="Arial"/>
          <w:b w:val="0"/>
          <w:bCs w:val="0"/>
          <w:sz w:val="22"/>
          <w:szCs w:val="22"/>
          <w:lang w:val="es-ES"/>
        </w:rPr>
        <w:t>garantía</w:t>
      </w:r>
      <w:r w:rsidR="00DC4E4C">
        <w:rPr>
          <w:rFonts w:ascii="Arial" w:hAnsi="Arial" w:cs="Arial"/>
          <w:b w:val="0"/>
          <w:bCs w:val="0"/>
          <w:sz w:val="22"/>
          <w:szCs w:val="22"/>
          <w:lang w:val="es-ES"/>
        </w:rPr>
        <w:t xml:space="preserve"> y el coste promedio del financiamiento privado de la </w:t>
      </w:r>
      <w:r w:rsidR="00F673C5">
        <w:rPr>
          <w:rFonts w:ascii="Arial" w:hAnsi="Arial" w:cs="Arial"/>
          <w:b w:val="0"/>
          <w:bCs w:val="0"/>
          <w:sz w:val="22"/>
          <w:szCs w:val="22"/>
          <w:lang w:val="es-ES"/>
        </w:rPr>
        <w:t>inversión</w:t>
      </w:r>
      <w:r w:rsidR="00DC4E4C">
        <w:rPr>
          <w:rFonts w:ascii="Arial" w:hAnsi="Arial" w:cs="Arial"/>
          <w:b w:val="0"/>
          <w:bCs w:val="0"/>
          <w:sz w:val="22"/>
          <w:szCs w:val="22"/>
          <w:lang w:val="es-ES"/>
        </w:rPr>
        <w:t xml:space="preserve"> con </w:t>
      </w:r>
      <w:r w:rsidR="00F673C5">
        <w:rPr>
          <w:rFonts w:ascii="Arial" w:hAnsi="Arial" w:cs="Arial"/>
          <w:b w:val="0"/>
          <w:bCs w:val="0"/>
          <w:sz w:val="22"/>
          <w:szCs w:val="22"/>
          <w:lang w:val="es-ES"/>
        </w:rPr>
        <w:t>garantía</w:t>
      </w:r>
      <w:r w:rsidR="00DC4E4C">
        <w:rPr>
          <w:rFonts w:ascii="Arial" w:hAnsi="Arial" w:cs="Arial"/>
          <w:b w:val="0"/>
          <w:bCs w:val="0"/>
          <w:sz w:val="22"/>
          <w:szCs w:val="22"/>
          <w:lang w:val="es-ES"/>
        </w:rPr>
        <w:t xml:space="preserve"> </w:t>
      </w:r>
      <w:r w:rsidR="00A84B88">
        <w:rPr>
          <w:rFonts w:ascii="Arial" w:hAnsi="Arial" w:cs="Arial"/>
          <w:b w:val="0"/>
          <w:bCs w:val="0"/>
          <w:sz w:val="22"/>
          <w:szCs w:val="22"/>
          <w:lang w:val="es-ES"/>
        </w:rPr>
        <w:t>-</w:t>
      </w:r>
      <w:r w:rsidR="00DC4E4C">
        <w:rPr>
          <w:rFonts w:ascii="Arial" w:hAnsi="Arial" w:cs="Arial"/>
          <w:b w:val="0"/>
          <w:bCs w:val="0"/>
          <w:sz w:val="22"/>
          <w:szCs w:val="22"/>
          <w:lang w:val="es-ES"/>
        </w:rPr>
        <w:t>que recibe una tasa menor gracias al efecto mitigador de riesgos que eleva su categoría crediticia. Los parámetros relevantes de este flujo se detallan a continuación.</w:t>
      </w:r>
    </w:p>
    <w:p w:rsidRPr="002210AF" w:rsidR="008D6662" w:rsidP="559FA22C" w:rsidRDefault="008D6662" w14:paraId="7F2417DC" w14:textId="07AF7408" w14:noSpellErr="1">
      <w:pPr>
        <w:pStyle w:val="SubHeading1"/>
        <w:numPr>
          <w:numId w:val="0"/>
        </w:numPr>
        <w:ind w:left="1276"/>
        <w:jc w:val="both"/>
        <w:rPr>
          <w:rFonts w:ascii="Arial" w:hAnsi="Arial" w:cs="Arial"/>
          <w:b w:val="0"/>
          <w:bCs w:val="0"/>
          <w:sz w:val="22"/>
          <w:szCs w:val="22"/>
          <w:lang w:val="es-ES"/>
        </w:rPr>
      </w:pPr>
      <w:r w:rsidRPr="559FA22C" w:rsidR="559FA22C">
        <w:rPr>
          <w:rFonts w:ascii="Arial" w:hAnsi="Arial" w:cs="Arial"/>
          <w:b w:val="0"/>
          <w:bCs w:val="0"/>
          <w:sz w:val="22"/>
          <w:szCs w:val="22"/>
          <w:u w:val="single"/>
          <w:lang w:val="es-ES"/>
        </w:rPr>
        <w:t>Inversión</w:t>
      </w:r>
      <w:r w:rsidRPr="559FA22C" w:rsidR="559FA22C">
        <w:rPr>
          <w:rFonts w:ascii="Arial" w:hAnsi="Arial" w:cs="Arial"/>
          <w:sz w:val="22"/>
          <w:szCs w:val="22"/>
          <w:lang w:val="es-ES"/>
        </w:rPr>
        <w:t xml:space="preserve">. </w:t>
      </w:r>
      <w:r w:rsidRPr="559FA22C" w:rsidR="559FA22C">
        <w:rPr>
          <w:rFonts w:ascii="Arial" w:hAnsi="Arial" w:cs="Arial"/>
          <w:b w:val="0"/>
          <w:bCs w:val="0"/>
          <w:sz w:val="22"/>
          <w:szCs w:val="22"/>
          <w:lang w:val="es-ES"/>
        </w:rPr>
        <w:t xml:space="preserve">La inversión total que sirve de referencia es el total esperado de recursos apalancados a través de esta facilidad. Se entiende que </w:t>
      </w:r>
      <w:r w:rsidRPr="559FA22C" w:rsidR="559FA22C">
        <w:rPr>
          <w:rFonts w:ascii="Arial" w:hAnsi="Arial" w:cs="Arial"/>
          <w:b w:val="0"/>
          <w:bCs w:val="0"/>
          <w:sz w:val="22"/>
          <w:szCs w:val="22"/>
          <w:lang w:val="es-ES"/>
        </w:rPr>
        <w:t xml:space="preserve">el </w:t>
      </w:r>
      <w:r w:rsidRPr="559FA22C" w:rsidR="559FA22C">
        <w:rPr>
          <w:rFonts w:ascii="Arial" w:hAnsi="Arial" w:cs="Arial"/>
          <w:b w:val="0"/>
          <w:bCs w:val="0"/>
          <w:sz w:val="22"/>
          <w:szCs w:val="22"/>
          <w:lang w:val="es-ES"/>
        </w:rPr>
        <w:t>escenario central</w:t>
      </w:r>
      <w:r w:rsidRPr="559FA22C" w:rsidR="559FA22C">
        <w:rPr>
          <w:rFonts w:ascii="Arial" w:hAnsi="Arial" w:cs="Arial"/>
          <w:b w:val="0"/>
          <w:bCs w:val="0"/>
          <w:sz w:val="22"/>
          <w:szCs w:val="22"/>
          <w:lang w:val="es-ES"/>
        </w:rPr>
        <w:t xml:space="preserve"> y su contrafactual</w:t>
      </w:r>
      <w:r w:rsidRPr="559FA22C" w:rsidR="559FA22C">
        <w:rPr>
          <w:rFonts w:ascii="Arial" w:hAnsi="Arial" w:cs="Arial"/>
          <w:b w:val="0"/>
          <w:bCs w:val="0"/>
          <w:sz w:val="22"/>
          <w:szCs w:val="22"/>
          <w:lang w:val="es-ES"/>
        </w:rPr>
        <w:t xml:space="preserve"> enfrentan un mismo nivel de inversión a las tasas de mercado para su financiamiento. </w:t>
      </w:r>
    </w:p>
    <w:p w:rsidR="001E6B69" w:rsidP="559FA22C" w:rsidRDefault="008D6662" w14:paraId="26B44677" w14:noSpellErr="1" w14:textId="6DEBC160">
      <w:pPr>
        <w:pStyle w:val="SubHeading1"/>
        <w:numPr>
          <w:numId w:val="0"/>
        </w:numPr>
        <w:ind w:left="1276"/>
        <w:jc w:val="both"/>
        <w:rPr>
          <w:rFonts w:ascii="Arial" w:hAnsi="Arial" w:cs="Arial"/>
          <w:sz w:val="22"/>
          <w:szCs w:val="22"/>
          <w:lang w:val="es-ES"/>
        </w:rPr>
      </w:pPr>
      <w:r w:rsidRPr="002210AF">
        <w:rPr>
          <w:rFonts w:ascii="Arial" w:hAnsi="Arial" w:cs="Arial"/>
          <w:b w:val="0"/>
          <w:bCs w:val="0"/>
          <w:sz w:val="22"/>
          <w:szCs w:val="22"/>
          <w:u w:val="single"/>
          <w:lang w:val="es-ES"/>
        </w:rPr>
        <w:t>Apalancamiento.</w:t>
      </w:r>
      <w:r w:rsidRPr="002210AF">
        <w:rPr>
          <w:rFonts w:ascii="Arial" w:hAnsi="Arial" w:cs="Arial"/>
          <w:b w:val="0"/>
          <w:bCs w:val="0"/>
          <w:sz w:val="22"/>
          <w:szCs w:val="22"/>
          <w:lang w:val="es-ES"/>
        </w:rPr>
        <w:t xml:space="preserve"> De acuerdo con las experie</w:t>
      </w:r>
      <w:r w:rsidR="007F766B">
        <w:rPr>
          <w:rFonts w:ascii="Arial" w:hAnsi="Arial" w:cs="Arial"/>
          <w:b w:val="0"/>
          <w:bCs w:val="0"/>
          <w:sz w:val="22"/>
          <w:szCs w:val="22"/>
          <w:lang w:val="es-ES"/>
        </w:rPr>
        <w:t>ncias internacionales (Banco Mundial y OCDE)</w:t>
      </w:r>
      <w:r w:rsidRPr="002210AF">
        <w:rPr>
          <w:rStyle w:val="FootnoteReference"/>
          <w:rFonts w:ascii="Arial" w:hAnsi="Arial" w:cs="Arial"/>
          <w:b w:val="0"/>
          <w:bCs w:val="0"/>
          <w:sz w:val="22"/>
          <w:szCs w:val="22"/>
          <w:lang w:val="es-ES"/>
        </w:rPr>
        <w:footnoteReference w:id="35"/>
      </w:r>
      <w:r w:rsidRPr="002210AF">
        <w:rPr>
          <w:rFonts w:ascii="Arial" w:hAnsi="Arial" w:cs="Arial"/>
          <w:b w:val="0"/>
          <w:bCs w:val="0"/>
          <w:sz w:val="22"/>
          <w:szCs w:val="22"/>
          <w:lang w:val="es-ES"/>
        </w:rPr>
        <w:t xml:space="preserve"> para Argentina como </w:t>
      </w:r>
      <w:r w:rsidR="00E60650">
        <w:rPr>
          <w:rFonts w:ascii="Arial" w:hAnsi="Arial" w:cs="Arial"/>
          <w:b w:val="0"/>
          <w:bCs w:val="0"/>
          <w:sz w:val="22"/>
          <w:szCs w:val="22"/>
          <w:lang w:val="es-ES"/>
        </w:rPr>
        <w:t>con lo observado</w:t>
      </w:r>
      <w:r w:rsidRPr="002210AF">
        <w:rPr>
          <w:rFonts w:ascii="Arial" w:hAnsi="Arial" w:cs="Arial"/>
          <w:b w:val="0"/>
          <w:bCs w:val="0"/>
          <w:sz w:val="22"/>
          <w:szCs w:val="22"/>
          <w:lang w:val="es-ES"/>
        </w:rPr>
        <w:t xml:space="preserve"> en otros países, el apalancamiento esperado de esta operación </w:t>
      </w:r>
      <w:r w:rsidRPr="002210AF" w:rsidR="00DC4E4C">
        <w:rPr>
          <w:rFonts w:ascii="Arial" w:hAnsi="Arial" w:cs="Arial"/>
          <w:b w:val="0"/>
          <w:bCs w:val="0"/>
          <w:sz w:val="22"/>
          <w:szCs w:val="22"/>
          <w:lang w:val="es-ES"/>
        </w:rPr>
        <w:t>sitúa</w:t>
      </w:r>
      <w:r w:rsidRPr="002210AF">
        <w:rPr>
          <w:rFonts w:ascii="Arial" w:hAnsi="Arial" w:cs="Arial"/>
          <w:b w:val="0"/>
          <w:bCs w:val="0"/>
          <w:sz w:val="22"/>
          <w:szCs w:val="22"/>
          <w:lang w:val="es-ES"/>
        </w:rPr>
        <w:t xml:space="preserve"> el multiplicador de movilización en torno a un 3. </w:t>
      </w:r>
      <w:r w:rsidR="00E60650">
        <w:rPr>
          <w:rFonts w:ascii="Arial" w:hAnsi="Arial" w:cs="Arial"/>
          <w:b w:val="0"/>
          <w:bCs w:val="0"/>
          <w:sz w:val="22"/>
          <w:szCs w:val="22"/>
          <w:lang w:val="es-ES"/>
        </w:rPr>
        <w:t xml:space="preserve">En este escenario central, teniendo en cuenta que la </w:t>
      </w:r>
      <w:r w:rsidR="00E60650">
        <w:rPr>
          <w:rFonts w:ascii="Arial" w:hAnsi="Arial" w:cs="Arial"/>
          <w:b w:val="0"/>
          <w:bCs w:val="0"/>
          <w:sz w:val="22"/>
          <w:szCs w:val="22"/>
          <w:lang w:val="es-ES"/>
        </w:rPr>
        <w:t xml:space="preserve">FFMR</w:t>
      </w:r>
      <w:r w:rsidR="00E60650">
        <w:rPr>
          <w:rFonts w:ascii="Arial" w:hAnsi="Arial" w:cs="Arial"/>
          <w:b w:val="0"/>
          <w:bCs w:val="0"/>
          <w:sz w:val="22"/>
          <w:szCs w:val="22"/>
          <w:lang w:val="es-ES"/>
        </w:rPr>
        <w:t xml:space="preserve"> se </w:t>
      </w:r>
      <w:r w:rsidR="00DC4E4C">
        <w:rPr>
          <w:rFonts w:ascii="Arial" w:hAnsi="Arial" w:cs="Arial"/>
          <w:b w:val="0"/>
          <w:bCs w:val="0"/>
          <w:sz w:val="22"/>
          <w:szCs w:val="22"/>
          <w:lang w:val="es-ES"/>
        </w:rPr>
        <w:t xml:space="preserve">hará </w:t>
      </w:r>
      <w:r w:rsidR="00E60650">
        <w:rPr>
          <w:rFonts w:ascii="Arial" w:hAnsi="Arial" w:cs="Arial"/>
          <w:b w:val="0"/>
          <w:bCs w:val="0"/>
          <w:sz w:val="22"/>
          <w:szCs w:val="22"/>
          <w:lang w:val="es-ES"/>
        </w:rPr>
        <w:t>por un monto de hasta US$4</w:t>
      </w:r>
      <w:r w:rsidR="00E524F8">
        <w:rPr>
          <w:rFonts w:ascii="Arial" w:hAnsi="Arial" w:cs="Arial"/>
          <w:b w:val="0"/>
          <w:bCs w:val="0"/>
          <w:sz w:val="22"/>
          <w:szCs w:val="22"/>
          <w:lang w:val="es-ES"/>
        </w:rPr>
        <w:t>9</w:t>
      </w:r>
      <w:r w:rsidR="00E60650">
        <w:rPr>
          <w:rFonts w:ascii="Arial" w:hAnsi="Arial" w:cs="Arial"/>
          <w:b w:val="0"/>
          <w:bCs w:val="0"/>
          <w:sz w:val="22"/>
          <w:szCs w:val="22"/>
          <w:lang w:val="es-ES"/>
        </w:rPr>
        <w:t>0 millones, el apalancamiento esperado es de US$1.4</w:t>
      </w:r>
      <w:r w:rsidR="00F85A38">
        <w:rPr>
          <w:rFonts w:ascii="Arial" w:hAnsi="Arial" w:cs="Arial"/>
          <w:b w:val="0"/>
          <w:bCs w:val="0"/>
          <w:sz w:val="22"/>
          <w:szCs w:val="22"/>
          <w:lang w:val="es-ES"/>
        </w:rPr>
        <w:t>7</w:t>
      </w:r>
      <w:r w:rsidR="00E60650">
        <w:rPr>
          <w:rFonts w:ascii="Arial" w:hAnsi="Arial" w:cs="Arial"/>
          <w:b w:val="0"/>
          <w:bCs w:val="0"/>
          <w:sz w:val="22"/>
          <w:szCs w:val="22"/>
          <w:lang w:val="es-ES"/>
        </w:rPr>
        <w:t>0 millones. Este apal</w:t>
      </w:r>
      <w:r w:rsidR="00DC4E4C">
        <w:rPr>
          <w:rFonts w:ascii="Arial" w:hAnsi="Arial" w:cs="Arial"/>
          <w:b w:val="0"/>
          <w:bCs w:val="0"/>
          <w:sz w:val="22"/>
          <w:szCs w:val="22"/>
          <w:lang w:val="es-ES"/>
        </w:rPr>
        <w:t>a</w:t>
      </w:r>
      <w:r w:rsidR="00E60650">
        <w:rPr>
          <w:rFonts w:ascii="Arial" w:hAnsi="Arial" w:cs="Arial"/>
          <w:b w:val="0"/>
          <w:bCs w:val="0"/>
          <w:sz w:val="22"/>
          <w:szCs w:val="22"/>
          <w:lang w:val="es-ES"/>
        </w:rPr>
        <w:t xml:space="preserve">ncamiento se considera, en línea con la estrategia de </w:t>
      </w:r>
      <w:r w:rsidR="00DC4E4C">
        <w:rPr>
          <w:rFonts w:ascii="Arial" w:hAnsi="Arial" w:cs="Arial"/>
          <w:b w:val="0"/>
          <w:bCs w:val="0"/>
          <w:sz w:val="22"/>
          <w:szCs w:val="22"/>
          <w:lang w:val="es-ES"/>
        </w:rPr>
        <w:t>inversión</w:t>
      </w:r>
      <w:r w:rsidR="00E60650">
        <w:rPr>
          <w:rFonts w:ascii="Arial" w:hAnsi="Arial" w:cs="Arial"/>
          <w:b w:val="0"/>
          <w:bCs w:val="0"/>
          <w:sz w:val="22"/>
          <w:szCs w:val="22"/>
          <w:lang w:val="es-ES"/>
        </w:rPr>
        <w:t xml:space="preserve"> en infraestructura del gobierno de Argentina, </w:t>
      </w:r>
      <w:r w:rsidR="00DC4E4C">
        <w:rPr>
          <w:rFonts w:ascii="Arial" w:hAnsi="Arial" w:cs="Arial"/>
          <w:b w:val="0"/>
          <w:bCs w:val="0"/>
          <w:sz w:val="22"/>
          <w:szCs w:val="22"/>
          <w:lang w:val="es-ES"/>
        </w:rPr>
        <w:t xml:space="preserve">que se generará a lo largo de los 5 años siguientes a la puesta en marcha de la </w:t>
      </w:r>
      <w:r w:rsidR="00DC4E4C">
        <w:rPr>
          <w:rFonts w:ascii="Arial" w:hAnsi="Arial" w:cs="Arial"/>
          <w:b w:val="0"/>
          <w:bCs w:val="0"/>
          <w:sz w:val="22"/>
          <w:szCs w:val="22"/>
          <w:lang w:val="es-ES"/>
        </w:rPr>
        <w:t>FFMR</w:t>
      </w:r>
      <w:r w:rsidR="00DC4E4C">
        <w:rPr>
          <w:rFonts w:ascii="Arial" w:hAnsi="Arial" w:cs="Arial"/>
          <w:b w:val="0"/>
          <w:bCs w:val="0"/>
          <w:sz w:val="22"/>
          <w:szCs w:val="22"/>
          <w:lang w:val="es-ES"/>
        </w:rPr>
        <w:t xml:space="preserve"> y que se distribuirá de forma igual durante ese periodo.</w:t>
      </w:r>
    </w:p>
    <w:p w:rsidR="00DC4E4C" w:rsidP="559FA22C" w:rsidRDefault="00DC4E4C" w14:paraId="6CFFFA4D" w14:textId="77777777" w14:noSpellErr="1">
      <w:pPr>
        <w:pStyle w:val="SubHeading1"/>
        <w:numPr>
          <w:numId w:val="0"/>
        </w:numPr>
        <w:ind w:left="1276"/>
        <w:jc w:val="both"/>
        <w:rPr>
          <w:rFonts w:ascii="Arial" w:hAnsi="Arial" w:cs="Arial"/>
          <w:sz w:val="22"/>
          <w:szCs w:val="22"/>
          <w:lang w:val="es-ES"/>
        </w:rPr>
      </w:pPr>
      <w:r w:rsidRPr="559FA22C" w:rsidR="559FA22C">
        <w:rPr>
          <w:rFonts w:ascii="Arial" w:hAnsi="Arial" w:cs="Arial"/>
          <w:b w:val="0"/>
          <w:bCs w:val="0"/>
          <w:sz w:val="22"/>
          <w:szCs w:val="22"/>
          <w:u w:val="single"/>
          <w:lang w:val="es-ES"/>
        </w:rPr>
        <w:t xml:space="preserve">Coste del financiamiento sin </w:t>
      </w:r>
      <w:r w:rsidRPr="559FA22C" w:rsidR="559FA22C">
        <w:rPr>
          <w:rFonts w:ascii="Arial" w:hAnsi="Arial" w:cs="Arial"/>
          <w:b w:val="0"/>
          <w:bCs w:val="0"/>
          <w:sz w:val="22"/>
          <w:szCs w:val="22"/>
          <w:u w:val="single"/>
          <w:lang w:val="es-ES"/>
        </w:rPr>
        <w:t>garantía</w:t>
      </w:r>
      <w:r w:rsidRPr="559FA22C" w:rsidR="559FA22C">
        <w:rPr>
          <w:rFonts w:ascii="Arial" w:hAnsi="Arial" w:cs="Arial"/>
          <w:b w:val="0"/>
          <w:bCs w:val="0"/>
          <w:sz w:val="22"/>
          <w:szCs w:val="22"/>
          <w:u w:val="single"/>
          <w:lang w:val="es-ES"/>
        </w:rPr>
        <w:t xml:space="preserve">. </w:t>
      </w:r>
      <w:r w:rsidRPr="559FA22C" w:rsidR="559FA22C">
        <w:rPr>
          <w:rFonts w:ascii="Arial" w:hAnsi="Arial" w:cs="Arial"/>
          <w:b w:val="0"/>
          <w:bCs w:val="0"/>
          <w:sz w:val="22"/>
          <w:szCs w:val="22"/>
          <w:lang w:val="es-ES"/>
        </w:rPr>
        <w:t xml:space="preserve">Es la tasa de mercado medida como LIBOR + X puntos base. Se trata pues de una formula estándar para valorar activos </w:t>
      </w:r>
      <w:r w:rsidRPr="559FA22C" w:rsidR="559FA22C">
        <w:rPr>
          <w:rFonts w:ascii="Arial" w:hAnsi="Arial" w:cs="Arial"/>
          <w:b w:val="0"/>
          <w:bCs w:val="0"/>
          <w:sz w:val="22"/>
          <w:szCs w:val="22"/>
          <w:lang w:val="es-ES"/>
        </w:rPr>
        <w:t>financieros</w:t>
      </w:r>
      <w:r w:rsidRPr="559FA22C" w:rsidR="559FA22C">
        <w:rPr>
          <w:rFonts w:ascii="Arial" w:hAnsi="Arial" w:cs="Arial"/>
          <w:b w:val="0"/>
          <w:bCs w:val="0"/>
          <w:sz w:val="22"/>
          <w:szCs w:val="22"/>
          <w:lang w:val="es-ES"/>
        </w:rPr>
        <w:t xml:space="preserve"> a precio de mercado.</w:t>
      </w:r>
      <w:r w:rsidRPr="559FA22C" w:rsidR="559FA22C">
        <w:rPr>
          <w:rFonts w:ascii="Arial" w:hAnsi="Arial" w:cs="Arial"/>
          <w:b w:val="0"/>
          <w:bCs w:val="0"/>
          <w:sz w:val="22"/>
          <w:szCs w:val="22"/>
          <w:lang w:val="es-ES"/>
        </w:rPr>
        <w:t xml:space="preserve"> </w:t>
      </w:r>
    </w:p>
    <w:p w:rsidR="00800598" w:rsidP="559FA22C" w:rsidRDefault="00800598" w14:paraId="33324938" w14:textId="77777777" w14:noSpellErr="1">
      <w:pPr>
        <w:pStyle w:val="SubHeading1"/>
        <w:numPr>
          <w:numId w:val="0"/>
        </w:numPr>
        <w:ind w:left="1276"/>
        <w:jc w:val="both"/>
        <w:rPr>
          <w:rFonts w:ascii="Arial" w:hAnsi="Arial" w:cs="Arial"/>
          <w:sz w:val="22"/>
          <w:szCs w:val="22"/>
          <w:lang w:val="es-ES"/>
        </w:rPr>
      </w:pPr>
      <w:r w:rsidRPr="559FA22C" w:rsidR="559FA22C">
        <w:rPr>
          <w:rFonts w:ascii="Arial" w:hAnsi="Arial" w:cs="Arial"/>
          <w:b w:val="0"/>
          <w:bCs w:val="0"/>
          <w:sz w:val="22"/>
          <w:szCs w:val="22"/>
          <w:u w:val="single"/>
          <w:lang w:val="es-ES"/>
        </w:rPr>
        <w:t xml:space="preserve">Coste del financiamiento con </w:t>
      </w:r>
      <w:r w:rsidRPr="559FA22C" w:rsidR="559FA22C">
        <w:rPr>
          <w:rFonts w:ascii="Arial" w:hAnsi="Arial" w:cs="Arial"/>
          <w:b w:val="0"/>
          <w:bCs w:val="0"/>
          <w:sz w:val="22"/>
          <w:szCs w:val="22"/>
          <w:u w:val="single"/>
          <w:lang w:val="es-ES"/>
        </w:rPr>
        <w:t>garantía</w:t>
      </w:r>
      <w:r w:rsidRPr="559FA22C" w:rsidR="559FA22C">
        <w:rPr>
          <w:rFonts w:ascii="Arial" w:hAnsi="Arial" w:cs="Arial"/>
          <w:b w:val="0"/>
          <w:bCs w:val="0"/>
          <w:sz w:val="22"/>
          <w:szCs w:val="22"/>
          <w:u w:val="single"/>
          <w:lang w:val="es-ES"/>
        </w:rPr>
        <w:t>.</w:t>
      </w:r>
      <w:r w:rsidRPr="559FA22C" w:rsidR="559FA22C">
        <w:rPr>
          <w:rFonts w:ascii="Arial" w:hAnsi="Arial" w:cs="Arial"/>
          <w:b w:val="0"/>
          <w:bCs w:val="0"/>
          <w:sz w:val="22"/>
          <w:szCs w:val="22"/>
          <w:lang w:val="es-ES"/>
        </w:rPr>
        <w:t xml:space="preserve"> </w:t>
      </w:r>
      <w:r w:rsidRPr="559FA22C" w:rsidR="559FA22C">
        <w:rPr>
          <w:rFonts w:ascii="Arial" w:hAnsi="Arial" w:cs="Arial"/>
          <w:b w:val="0"/>
          <w:bCs w:val="0"/>
          <w:sz w:val="22"/>
          <w:szCs w:val="22"/>
          <w:lang w:val="es-ES"/>
        </w:rPr>
        <w:t xml:space="preserve">Queda expresada como el parámetro anterior </w:t>
      </w:r>
      <w:r w:rsidRPr="559FA22C" w:rsidR="559FA22C">
        <w:rPr>
          <w:rFonts w:ascii="Arial" w:hAnsi="Arial" w:cs="Arial"/>
          <w:b w:val="0"/>
          <w:bCs w:val="0"/>
          <w:sz w:val="22"/>
          <w:szCs w:val="22"/>
          <w:lang w:val="es-ES"/>
        </w:rPr>
        <w:t>aplicándole</w:t>
      </w:r>
      <w:r w:rsidRPr="559FA22C" w:rsidR="559FA22C">
        <w:rPr>
          <w:rFonts w:ascii="Arial" w:hAnsi="Arial" w:cs="Arial"/>
          <w:b w:val="0"/>
          <w:bCs w:val="0"/>
          <w:sz w:val="22"/>
          <w:szCs w:val="22"/>
          <w:lang w:val="es-ES"/>
        </w:rPr>
        <w:t xml:space="preserve"> una tasa de ahorro promedio. Se comporta </w:t>
      </w:r>
      <w:r w:rsidRPr="559FA22C" w:rsidR="559FA22C">
        <w:rPr>
          <w:rFonts w:ascii="Arial" w:hAnsi="Arial" w:cs="Arial"/>
          <w:b w:val="0"/>
          <w:bCs w:val="0"/>
          <w:sz w:val="22"/>
          <w:szCs w:val="22"/>
          <w:lang w:val="es-ES"/>
        </w:rPr>
        <w:t xml:space="preserve">idénticamente al coste </w:t>
      </w:r>
      <w:r w:rsidRPr="559FA22C" w:rsidR="559FA22C">
        <w:rPr>
          <w:rFonts w:ascii="Arial" w:hAnsi="Arial" w:cs="Arial"/>
          <w:b w:val="0"/>
          <w:bCs w:val="0"/>
          <w:sz w:val="22"/>
          <w:szCs w:val="22"/>
          <w:lang w:val="es-ES"/>
        </w:rPr>
        <w:t>de financiamiento</w:t>
      </w:r>
      <w:r w:rsidRPr="559FA22C" w:rsidR="559FA22C">
        <w:rPr>
          <w:rFonts w:ascii="Arial" w:hAnsi="Arial" w:cs="Arial"/>
          <w:b w:val="0"/>
          <w:bCs w:val="0"/>
          <w:sz w:val="22"/>
          <w:szCs w:val="22"/>
          <w:lang w:val="es-ES"/>
        </w:rPr>
        <w:t xml:space="preserve"> sin </w:t>
      </w:r>
      <w:r w:rsidRPr="559FA22C" w:rsidR="559FA22C">
        <w:rPr>
          <w:rFonts w:ascii="Arial" w:hAnsi="Arial" w:cs="Arial"/>
          <w:b w:val="0"/>
          <w:bCs w:val="0"/>
          <w:sz w:val="22"/>
          <w:szCs w:val="22"/>
          <w:lang w:val="es-ES"/>
        </w:rPr>
        <w:t>garantía</w:t>
      </w:r>
      <w:r w:rsidRPr="559FA22C" w:rsidR="559FA22C">
        <w:rPr>
          <w:rFonts w:ascii="Arial" w:hAnsi="Arial" w:cs="Arial"/>
          <w:b w:val="0"/>
          <w:bCs w:val="0"/>
          <w:sz w:val="22"/>
          <w:szCs w:val="22"/>
          <w:lang w:val="es-ES"/>
        </w:rPr>
        <w:t xml:space="preserve"> a lo largo de la vida establecida del proyecto.</w:t>
      </w:r>
    </w:p>
    <w:p w:rsidRPr="002210AF" w:rsidR="006941A9" w:rsidP="559FA22C" w:rsidRDefault="006941A9" w14:paraId="2B2FBCE4" w14:textId="1EAE5BCA">
      <w:pPr>
        <w:pStyle w:val="SubHeading1"/>
        <w:numPr>
          <w:numId w:val="0"/>
        </w:numPr>
        <w:ind w:left="1276"/>
        <w:jc w:val="both"/>
        <w:rPr>
          <w:rFonts w:ascii="Arial" w:hAnsi="Arial" w:cs="Arial"/>
          <w:sz w:val="22"/>
          <w:szCs w:val="22"/>
          <w:lang w:val="es-ES"/>
        </w:rPr>
      </w:pPr>
      <w:r>
        <w:rPr>
          <w:rFonts w:ascii="Arial" w:hAnsi="Arial" w:cs="Arial"/>
          <w:b w:val="0"/>
          <w:bCs w:val="0"/>
          <w:sz w:val="22"/>
          <w:szCs w:val="22"/>
          <w:u w:val="single"/>
          <w:lang w:val="es-ES"/>
        </w:rPr>
        <w:t>Tasa de ahorro.</w:t>
      </w:r>
      <w:r>
        <w:rPr>
          <w:rFonts w:ascii="Arial" w:hAnsi="Arial" w:cs="Arial"/>
          <w:b w:val="0"/>
          <w:bCs w:val="0"/>
          <w:sz w:val="22"/>
          <w:szCs w:val="22"/>
          <w:lang w:val="es-ES"/>
        </w:rPr>
        <w:t xml:space="preserve"> De acuerdo con los resultados de la experiencia </w:t>
      </w:r>
      <w:r w:rsidRPr="002210AF">
        <w:rPr>
          <w:rFonts w:ascii="Arial" w:hAnsi="Arial" w:cs="Arial"/>
          <w:b w:val="0"/>
          <w:bCs w:val="0"/>
          <w:sz w:val="22"/>
          <w:szCs w:val="22"/>
          <w:lang w:val="es-ES"/>
        </w:rPr>
        <w:t>internacional (B</w:t>
      </w:r>
      <w:r w:rsidRPr="002210AF" w:rsidR="0025178A">
        <w:rPr>
          <w:rFonts w:ascii="Arial" w:hAnsi="Arial" w:cs="Arial"/>
          <w:b w:val="0"/>
          <w:bCs w:val="0"/>
          <w:sz w:val="22"/>
          <w:szCs w:val="22"/>
          <w:lang w:val="es-ES"/>
        </w:rPr>
        <w:t xml:space="preserve">anco </w:t>
      </w:r>
      <w:r w:rsidRPr="002210AF">
        <w:rPr>
          <w:rFonts w:ascii="Arial" w:hAnsi="Arial" w:cs="Arial"/>
          <w:b w:val="0"/>
          <w:bCs w:val="0"/>
          <w:sz w:val="22"/>
          <w:szCs w:val="22"/>
          <w:lang w:val="es-ES"/>
        </w:rPr>
        <w:t>M</w:t>
      </w:r>
      <w:r w:rsidRPr="002210AF" w:rsidR="0025178A">
        <w:rPr>
          <w:rFonts w:ascii="Arial" w:hAnsi="Arial" w:cs="Arial"/>
          <w:b w:val="0"/>
          <w:bCs w:val="0"/>
          <w:sz w:val="22"/>
          <w:szCs w:val="22"/>
          <w:lang w:val="es-ES"/>
        </w:rPr>
        <w:t>undial, 2017</w:t>
      </w:r>
      <w:r w:rsidR="007F766B">
        <w:rPr>
          <w:rFonts w:ascii="Arial" w:hAnsi="Arial" w:cs="Arial"/>
          <w:b w:val="0"/>
          <w:bCs w:val="0"/>
          <w:sz w:val="22"/>
          <w:szCs w:val="22"/>
          <w:lang w:val="es-ES"/>
        </w:rPr>
        <w:t xml:space="preserve">; </w:t>
      </w:r>
      <w:proofErr w:type="spellStart"/>
      <w:r w:rsidR="007F766B">
        <w:rPr>
          <w:rFonts w:ascii="Arial" w:hAnsi="Arial" w:cs="Arial"/>
          <w:b w:val="0"/>
          <w:bCs w:val="0"/>
          <w:sz w:val="22"/>
          <w:szCs w:val="22"/>
          <w:lang w:val="es-ES"/>
        </w:rPr>
        <w:t>Benn</w:t>
      </w:r>
      <w:proofErr w:type="spellEnd"/>
      <w:r w:rsidR="007F766B">
        <w:rPr>
          <w:rFonts w:ascii="Arial" w:hAnsi="Arial" w:cs="Arial"/>
          <w:b w:val="0"/>
          <w:bCs w:val="0"/>
          <w:sz w:val="22"/>
          <w:szCs w:val="22"/>
          <w:lang w:val="es-ES"/>
        </w:rPr>
        <w:t xml:space="preserve"> et al., 2017</w:t>
      </w:r>
      <w:r w:rsidRPr="002210AF">
        <w:rPr>
          <w:rFonts w:ascii="Arial" w:hAnsi="Arial" w:cs="Arial"/>
          <w:b w:val="0"/>
          <w:bCs w:val="0"/>
          <w:sz w:val="22"/>
          <w:szCs w:val="22"/>
          <w:lang w:val="es-ES"/>
        </w:rPr>
        <w:t>) se</w:t>
      </w:r>
      <w:r>
        <w:rPr>
          <w:rFonts w:ascii="Arial" w:hAnsi="Arial" w:cs="Arial"/>
          <w:b w:val="0"/>
          <w:bCs w:val="0"/>
          <w:sz w:val="22"/>
          <w:szCs w:val="22"/>
          <w:lang w:val="es-ES"/>
        </w:rPr>
        <w:t xml:space="preserve"> considera razonable esperar una reducción de 150 puntos básicos en el coste del financiamiento para el tipo de proyectos considerados.</w:t>
      </w:r>
      <w:r w:rsidR="00021A85">
        <w:rPr>
          <w:rStyle w:val="FootnoteReference"/>
          <w:rFonts w:ascii="Arial" w:hAnsi="Arial" w:cs="Arial"/>
          <w:b w:val="0"/>
          <w:bCs w:val="0"/>
          <w:sz w:val="22"/>
          <w:szCs w:val="22"/>
          <w:lang w:val="es-ES"/>
        </w:rPr>
        <w:footnoteReference w:id="36"/>
      </w:r>
      <w:r>
        <w:rPr>
          <w:rFonts w:ascii="Arial" w:hAnsi="Arial" w:cs="Arial"/>
          <w:b w:val="0"/>
          <w:bCs w:val="0"/>
          <w:sz w:val="22"/>
          <w:szCs w:val="22"/>
          <w:lang w:val="es-ES"/>
        </w:rPr>
        <w:t xml:space="preserve"> </w:t>
      </w:r>
    </w:p>
    <w:p w:rsidRPr="002210AF" w:rsidR="00A105B6" w:rsidP="559FA22C" w:rsidRDefault="00A105B6" w14:paraId="616E3E9C" w14:noSpellErr="1" w14:textId="7D494A1D">
      <w:pPr>
        <w:pStyle w:val="SubHeading1"/>
        <w:numPr>
          <w:ilvl w:val="2"/>
          <w:numId w:val="4"/>
        </w:numPr>
        <w:tabs>
          <w:tab w:val="clear" w:pos="2304"/>
          <w:tab w:val="num" w:pos="1872"/>
        </w:tabs>
        <w:ind w:left="1276"/>
        <w:jc w:val="both"/>
        <w:rPr>
          <w:rFonts w:ascii="Arial" w:hAnsi="Arial" w:cs="Arial"/>
          <w:b w:val="0"/>
          <w:bCs w:val="0"/>
          <w:sz w:val="22"/>
          <w:szCs w:val="22"/>
          <w:lang w:val="es-ES"/>
        </w:rPr>
      </w:pPr>
      <w:r w:rsidRPr="559FA22C" w:rsidR="559FA22C">
        <w:rPr>
          <w:rFonts w:ascii="Arial" w:hAnsi="Arial" w:cs="Arial"/>
          <w:sz w:val="22"/>
          <w:szCs w:val="22"/>
          <w:lang w:val="es-ES"/>
        </w:rPr>
        <w:t xml:space="preserve">Costes del Proyecto. </w:t>
      </w:r>
      <w:r w:rsidRPr="559FA22C" w:rsidR="559FA22C">
        <w:rPr>
          <w:rFonts w:ascii="Arial" w:hAnsi="Arial" w:cs="Arial"/>
          <w:b w:val="0"/>
          <w:bCs w:val="0"/>
          <w:sz w:val="22"/>
          <w:szCs w:val="22"/>
          <w:lang w:val="es-ES"/>
        </w:rPr>
        <w:t xml:space="preserve">El flujo de costes asociado al programa </w:t>
      </w:r>
      <w:r w:rsidRPr="559FA22C" w:rsidR="559FA22C">
        <w:rPr>
          <w:rFonts w:ascii="Arial" w:hAnsi="Arial" w:cs="Arial"/>
          <w:b w:val="0"/>
          <w:bCs w:val="0"/>
          <w:sz w:val="22"/>
          <w:szCs w:val="22"/>
          <w:lang w:val="es-ES"/>
        </w:rPr>
        <w:t>está</w:t>
      </w:r>
      <w:r w:rsidRPr="559FA22C" w:rsidR="559FA22C">
        <w:rPr>
          <w:rFonts w:ascii="Arial" w:hAnsi="Arial" w:cs="Arial"/>
          <w:b w:val="0"/>
          <w:bCs w:val="0"/>
          <w:sz w:val="22"/>
          <w:szCs w:val="22"/>
          <w:lang w:val="es-ES"/>
        </w:rPr>
        <w:t xml:space="preserve"> compuesto por los costes de la </w:t>
      </w:r>
      <w:r w:rsidRPr="559FA22C" w:rsidR="559FA22C">
        <w:rPr>
          <w:rFonts w:ascii="Arial" w:hAnsi="Arial" w:cs="Arial"/>
          <w:b w:val="0"/>
          <w:bCs w:val="0"/>
          <w:sz w:val="22"/>
          <w:szCs w:val="22"/>
          <w:lang w:val="es-ES"/>
        </w:rPr>
        <w:t>FFMR</w:t>
      </w:r>
      <w:r w:rsidRPr="559FA22C" w:rsidR="559FA22C">
        <w:rPr>
          <w:rFonts w:ascii="Arial" w:hAnsi="Arial" w:cs="Arial"/>
          <w:b w:val="0"/>
          <w:bCs w:val="0"/>
          <w:sz w:val="22"/>
          <w:szCs w:val="22"/>
          <w:lang w:val="es-ES"/>
        </w:rPr>
        <w:t>,</w:t>
      </w:r>
      <w:r w:rsidRPr="559FA22C" w:rsidR="559FA22C">
        <w:rPr>
          <w:rFonts w:ascii="Arial" w:hAnsi="Arial" w:cs="Arial"/>
          <w:b w:val="0"/>
          <w:bCs w:val="0"/>
          <w:sz w:val="22"/>
          <w:szCs w:val="22"/>
          <w:lang w:val="es-ES"/>
        </w:rPr>
        <w:t xml:space="preserve"> </w:t>
      </w:r>
      <w:r w:rsidRPr="559FA22C" w:rsidR="559FA22C">
        <w:rPr>
          <w:rFonts w:ascii="Arial" w:hAnsi="Arial" w:cs="Arial"/>
          <w:b w:val="0"/>
          <w:bCs w:val="0"/>
          <w:sz w:val="22"/>
          <w:szCs w:val="22"/>
          <w:lang w:val="es-ES"/>
        </w:rPr>
        <w:t>así</w:t>
      </w:r>
      <w:r w:rsidRPr="559FA22C" w:rsidR="559FA22C">
        <w:rPr>
          <w:rFonts w:ascii="Arial" w:hAnsi="Arial" w:cs="Arial"/>
          <w:b w:val="0"/>
          <w:bCs w:val="0"/>
          <w:sz w:val="22"/>
          <w:szCs w:val="22"/>
          <w:lang w:val="es-ES"/>
        </w:rPr>
        <w:t xml:space="preserve"> como el posible el posible reclamo y ejecución de la </w:t>
      </w:r>
      <w:r w:rsidRPr="559FA22C" w:rsidR="559FA22C">
        <w:rPr>
          <w:rFonts w:ascii="Arial" w:hAnsi="Arial" w:cs="Arial"/>
          <w:b w:val="0"/>
          <w:bCs w:val="0"/>
          <w:sz w:val="22"/>
          <w:szCs w:val="22"/>
          <w:lang w:val="es-ES"/>
        </w:rPr>
        <w:t>garantía</w:t>
      </w:r>
      <w:r w:rsidRPr="559FA22C" w:rsidR="559FA22C">
        <w:rPr>
          <w:rFonts w:ascii="Arial" w:hAnsi="Arial" w:cs="Arial"/>
          <w:b w:val="0"/>
          <w:bCs w:val="0"/>
          <w:sz w:val="22"/>
          <w:szCs w:val="22"/>
          <w:lang w:val="es-ES"/>
        </w:rPr>
        <w:t xml:space="preserve">. </w:t>
      </w:r>
      <w:r w:rsidRPr="559FA22C" w:rsidR="559FA22C">
        <w:rPr>
          <w:rFonts w:ascii="Arial" w:hAnsi="Arial" w:cs="Arial"/>
          <w:b w:val="0"/>
          <w:bCs w:val="0"/>
          <w:color w:val="000000" w:themeColor="text1" w:themeTint="FF" w:themeShade="FF"/>
          <w:sz w:val="22"/>
          <w:szCs w:val="22"/>
          <w:lang w:val="es-ES"/>
        </w:rPr>
        <w:t xml:space="preserve">En atención a </w:t>
      </w:r>
      <w:r w:rsidRPr="559FA22C" w:rsidR="559FA22C">
        <w:rPr>
          <w:rFonts w:ascii="Arial" w:hAnsi="Arial" w:cs="Arial"/>
          <w:b w:val="0"/>
          <w:bCs w:val="0"/>
          <w:sz w:val="22"/>
          <w:szCs w:val="22"/>
          <w:lang w:val="es-ES"/>
        </w:rPr>
        <w:t xml:space="preserve">las Directrices Operativas del Instrumento de Garantías para Operaciones con Garantía Soberna (GN-2729-2(9/13)), que determinan el procesamiento y operacionalización de este programa, se consideran los costes asociados al establecimiento de la </w:t>
      </w:r>
      <w:r w:rsidRPr="559FA22C" w:rsidR="559FA22C">
        <w:rPr>
          <w:rFonts w:ascii="Arial" w:hAnsi="Arial" w:cs="Arial"/>
          <w:b w:val="0"/>
          <w:bCs w:val="0"/>
          <w:sz w:val="22"/>
          <w:szCs w:val="22"/>
          <w:lang w:val="es-ES"/>
        </w:rPr>
        <w:t>FFMR</w:t>
      </w:r>
      <w:r w:rsidRPr="559FA22C" w:rsidR="559FA22C">
        <w:rPr>
          <w:rFonts w:ascii="Arial" w:hAnsi="Arial" w:cs="Arial"/>
          <w:b w:val="0"/>
          <w:bCs w:val="0"/>
          <w:sz w:val="22"/>
          <w:szCs w:val="22"/>
          <w:lang w:val="es-ES"/>
        </w:rPr>
        <w:t xml:space="preserve"> distinguiendo entre los costes de</w:t>
      </w:r>
      <w:r w:rsidRPr="559FA22C" w:rsidR="559FA22C">
        <w:rPr>
          <w:rFonts w:ascii="Arial" w:hAnsi="Arial" w:cs="Arial"/>
          <w:b w:val="0"/>
          <w:bCs w:val="0"/>
          <w:sz w:val="22"/>
          <w:szCs w:val="22"/>
          <w:lang w:val="es-ES"/>
        </w:rPr>
        <w:t>l</w:t>
      </w:r>
      <w:r w:rsidRPr="559FA22C" w:rsidR="559FA22C">
        <w:rPr>
          <w:rFonts w:ascii="Arial" w:hAnsi="Arial" w:cs="Arial"/>
          <w:b w:val="0"/>
          <w:bCs w:val="0"/>
          <w:sz w:val="22"/>
          <w:szCs w:val="22"/>
          <w:lang w:val="es-ES"/>
        </w:rPr>
        <w:t xml:space="preserve"> monto garantizado</w:t>
      </w:r>
      <w:r w:rsidRPr="559FA22C" w:rsidR="559FA22C">
        <w:rPr>
          <w:rFonts w:ascii="Arial" w:hAnsi="Arial" w:cs="Arial"/>
          <w:b w:val="0"/>
          <w:bCs w:val="0"/>
          <w:sz w:val="22"/>
          <w:szCs w:val="22"/>
          <w:lang w:val="es-ES"/>
        </w:rPr>
        <w:t xml:space="preserve"> y el coste del monto comprometido, pero no garantizado. </w:t>
      </w:r>
      <w:r w:rsidRPr="559FA22C" w:rsidR="559FA22C">
        <w:rPr>
          <w:rFonts w:ascii="Arial" w:hAnsi="Arial" w:cs="Arial"/>
          <w:b w:val="0"/>
          <w:bCs w:val="0"/>
          <w:sz w:val="22"/>
          <w:szCs w:val="22"/>
          <w:lang w:val="es-ES"/>
        </w:rPr>
        <w:t>Asimismo,</w:t>
      </w:r>
      <w:r w:rsidRPr="559FA22C" w:rsidR="559FA22C">
        <w:rPr>
          <w:rFonts w:ascii="Arial" w:hAnsi="Arial" w:cs="Arial"/>
          <w:b w:val="0"/>
          <w:bCs w:val="0"/>
          <w:sz w:val="22"/>
          <w:szCs w:val="22"/>
          <w:lang w:val="es-ES"/>
        </w:rPr>
        <w:t xml:space="preserve"> se establece en estas directrices que, de ser ejecutada una </w:t>
      </w:r>
      <w:r w:rsidRPr="559FA22C" w:rsidR="559FA22C">
        <w:rPr>
          <w:rFonts w:ascii="Arial" w:hAnsi="Arial" w:cs="Arial"/>
          <w:b w:val="0"/>
          <w:bCs w:val="0"/>
          <w:sz w:val="22"/>
          <w:szCs w:val="22"/>
          <w:lang w:val="es-ES"/>
        </w:rPr>
        <w:t>garantía</w:t>
      </w:r>
      <w:r w:rsidRPr="559FA22C" w:rsidR="559FA22C">
        <w:rPr>
          <w:rFonts w:ascii="Arial" w:hAnsi="Arial" w:cs="Arial"/>
          <w:b w:val="0"/>
          <w:bCs w:val="0"/>
          <w:sz w:val="22"/>
          <w:szCs w:val="22"/>
          <w:lang w:val="es-ES"/>
        </w:rPr>
        <w:t>, el monto desembolsado pasaría a</w:t>
      </w:r>
      <w:r w:rsidRPr="559FA22C" w:rsidR="559FA22C">
        <w:rPr>
          <w:rFonts w:ascii="Arial" w:hAnsi="Arial" w:cs="Arial"/>
          <w:b w:val="0"/>
          <w:bCs w:val="0"/>
          <w:sz w:val="22"/>
          <w:szCs w:val="22"/>
          <w:lang w:val="es-ES"/>
        </w:rPr>
        <w:t xml:space="preserve"> ostentar las condiciones </w:t>
      </w:r>
      <w:r w:rsidRPr="559FA22C" w:rsidR="559FA22C">
        <w:rPr>
          <w:rFonts w:ascii="Arial" w:hAnsi="Arial" w:cs="Arial"/>
          <w:b w:val="0"/>
          <w:bCs w:val="0"/>
          <w:sz w:val="22"/>
          <w:szCs w:val="22"/>
          <w:lang w:val="es-ES"/>
        </w:rPr>
        <w:t>propias de un préstamo BID de garantía soberana</w:t>
      </w:r>
      <w:r w:rsidRPr="559FA22C" w:rsidR="559FA22C">
        <w:rPr>
          <w:rFonts w:ascii="Arial" w:hAnsi="Arial" w:cs="Arial"/>
          <w:b w:val="0"/>
          <w:bCs w:val="0"/>
          <w:sz w:val="22"/>
          <w:szCs w:val="22"/>
          <w:lang w:val="es-ES"/>
        </w:rPr>
        <w:t xml:space="preserve">. </w:t>
      </w:r>
    </w:p>
    <w:p w:rsidR="0094533C" w:rsidP="559FA22C" w:rsidRDefault="009E452E" w14:paraId="434E3773" w14:textId="54455087" w14:noSpellErr="1">
      <w:pPr>
        <w:pStyle w:val="Paragraph"/>
        <w:tabs>
          <w:tab w:val="num" w:pos="720"/>
        </w:tabs>
        <w:ind w:left="720" w:hanging="720"/>
        <w:rPr>
          <w:rFonts w:ascii="Arial" w:hAnsi="Arial" w:cs="Arial"/>
          <w:sz w:val="22"/>
          <w:szCs w:val="22"/>
          <w:lang w:val="es-ES"/>
        </w:rPr>
        <w:sectPr w:rsidR="0094533C" w:rsidSect="00B9250C">
          <w:pgSz w:w="12242" w:h="15842" w:orient="portrait" w:code="1"/>
          <w:pgMar w:top="1440" w:right="1800" w:bottom="1440" w:left="1800" w:header="720" w:footer="720" w:gutter="0"/>
          <w:cols w:space="708"/>
          <w:docGrid w:linePitch="360"/>
        </w:sectPr>
      </w:pPr>
      <w:r w:rsidRPr="559FA22C" w:rsidR="559FA22C">
        <w:rPr>
          <w:rFonts w:ascii="Arial" w:hAnsi="Arial" w:cs="Arial"/>
          <w:sz w:val="22"/>
          <w:szCs w:val="22"/>
          <w:lang w:val="es-ES"/>
        </w:rPr>
        <w:t>A partir de estos flujos, se calcula el flujo neto período a período, que luego se descuenta para obtener el VPN del proyecto.</w:t>
      </w:r>
      <w:r w:rsidRPr="559FA22C" w:rsidR="559FA22C">
        <w:rPr>
          <w:rFonts w:ascii="Arial" w:hAnsi="Arial" w:cs="Arial"/>
          <w:sz w:val="22"/>
          <w:szCs w:val="22"/>
          <w:lang w:val="es-ES"/>
        </w:rPr>
        <w:t xml:space="preserve"> A continuación se adjunta el resultado del análisis bajo el escenario central descrito:</w:t>
      </w:r>
    </w:p>
    <w:p w:rsidR="00E1564F" w:rsidP="002210AF" w:rsidRDefault="00EF5F18" w14:paraId="201B4A10" w14:textId="08AF507A">
      <w:pPr>
        <w:pStyle w:val="Paragraph"/>
        <w:numPr>
          <w:ilvl w:val="0"/>
          <w:numId w:val="0"/>
        </w:numPr>
        <w:tabs>
          <w:tab w:val="num" w:pos="12096"/>
        </w:tabs>
        <w:ind w:left="720"/>
        <w:jc w:val="center"/>
        <w:rPr>
          <w:rFonts w:ascii="Arial" w:hAnsi="Arial" w:cs="Arial"/>
          <w:sz w:val="22"/>
          <w:szCs w:val="22"/>
          <w:lang w:val="es-ES"/>
        </w:rPr>
      </w:pPr>
      <w:r>
        <w:rPr>
          <w:noProof/>
        </w:rPr>
        <w:lastRenderedPageBreak/>
        <w:drawing>
          <wp:anchor distT="0" distB="0" distL="114300" distR="114300" simplePos="0" relativeHeight="251665408" behindDoc="0" locked="0" layoutInCell="1" allowOverlap="1" wp14:anchorId="4820F761" wp14:editId="5E38727B">
            <wp:simplePos x="0" y="0"/>
            <wp:positionH relativeFrom="margin">
              <wp:align>left</wp:align>
            </wp:positionH>
            <wp:positionV relativeFrom="paragraph">
              <wp:posOffset>7620</wp:posOffset>
            </wp:positionV>
            <wp:extent cx="8600440" cy="2697480"/>
            <wp:effectExtent l="0" t="0" r="0" b="762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600440" cy="2697480"/>
                    </a:xfrm>
                    <a:prstGeom prst="rect">
                      <a:avLst/>
                    </a:prstGeom>
                  </pic:spPr>
                </pic:pic>
              </a:graphicData>
            </a:graphic>
            <wp14:sizeRelV relativeFrom="margin">
              <wp14:pctHeight>0</wp14:pctHeight>
            </wp14:sizeRelV>
          </wp:anchor>
        </w:drawing>
      </w:r>
    </w:p>
    <w:p w:rsidR="00E1564F" w:rsidP="002210AF" w:rsidRDefault="00E1564F" w14:paraId="51F50494" w14:textId="77777777">
      <w:pPr>
        <w:pStyle w:val="Paragraph"/>
        <w:numPr>
          <w:ilvl w:val="0"/>
          <w:numId w:val="0"/>
        </w:numPr>
        <w:tabs>
          <w:tab w:val="num" w:pos="12096"/>
        </w:tabs>
        <w:ind w:left="720"/>
        <w:jc w:val="center"/>
        <w:rPr>
          <w:rFonts w:ascii="Arial" w:hAnsi="Arial" w:cs="Arial"/>
          <w:sz w:val="22"/>
          <w:szCs w:val="22"/>
          <w:lang w:val="es-ES"/>
        </w:rPr>
      </w:pPr>
    </w:p>
    <w:p w:rsidR="00E1564F" w:rsidP="002210AF" w:rsidRDefault="00E1564F" w14:paraId="3FBD8785" w14:textId="77777777">
      <w:pPr>
        <w:pStyle w:val="Paragraph"/>
        <w:numPr>
          <w:ilvl w:val="0"/>
          <w:numId w:val="0"/>
        </w:numPr>
        <w:tabs>
          <w:tab w:val="num" w:pos="12096"/>
        </w:tabs>
        <w:ind w:left="720"/>
        <w:jc w:val="center"/>
        <w:rPr>
          <w:rFonts w:ascii="Arial" w:hAnsi="Arial" w:cs="Arial"/>
          <w:sz w:val="22"/>
          <w:szCs w:val="22"/>
          <w:lang w:val="es-ES"/>
        </w:rPr>
      </w:pPr>
    </w:p>
    <w:p w:rsidRPr="002210AF" w:rsidR="00933AE7" w:rsidP="002210AF" w:rsidRDefault="00933AE7" w14:paraId="6504C66A" w14:textId="77777777">
      <w:pPr>
        <w:pStyle w:val="Paragraph"/>
        <w:numPr>
          <w:ilvl w:val="0"/>
          <w:numId w:val="0"/>
        </w:numPr>
        <w:tabs>
          <w:tab w:val="num" w:pos="12096"/>
        </w:tabs>
        <w:ind w:left="720"/>
        <w:rPr>
          <w:rFonts w:ascii="Arial" w:hAnsi="Arial" w:cs="Arial"/>
          <w:sz w:val="22"/>
          <w:szCs w:val="22"/>
          <w:lang w:val="es-ES"/>
        </w:rPr>
      </w:pPr>
    </w:p>
    <w:p w:rsidR="0094533C" w:rsidP="009E452E" w:rsidRDefault="0094533C" w14:paraId="033CCD31" w14:textId="79B9DF52">
      <w:pPr>
        <w:pStyle w:val="Paragraph"/>
        <w:numPr>
          <w:ilvl w:val="0"/>
          <w:numId w:val="0"/>
        </w:numPr>
        <w:tabs>
          <w:tab w:val="num" w:pos="12096"/>
        </w:tabs>
        <w:ind w:left="12096" w:hanging="1296"/>
        <w:rPr>
          <w:rFonts w:ascii="Arial" w:hAnsi="Arial" w:cs="Arial"/>
          <w:smallCaps/>
          <w:sz w:val="22"/>
          <w:szCs w:val="22"/>
          <w:lang w:val="es-ES"/>
        </w:rPr>
        <w:sectPr w:rsidR="0094533C" w:rsidSect="0094533C">
          <w:pgSz w:w="15842" w:h="12242" w:orient="landscape" w:code="1"/>
          <w:pgMar w:top="1800" w:right="1440" w:bottom="1800" w:left="1440" w:header="720" w:footer="720" w:gutter="0"/>
          <w:cols w:space="708"/>
          <w:docGrid w:linePitch="360"/>
        </w:sectPr>
      </w:pPr>
      <w:bookmarkStart w:name="_Toc498007215" w:id="28"/>
    </w:p>
    <w:bookmarkEnd w:id="28"/>
    <w:p w:rsidRPr="002210AF" w:rsidR="009E452E" w:rsidP="009E452E" w:rsidRDefault="009E452E" w14:paraId="4D8758EA" w14:textId="77777777">
      <w:pPr>
        <w:pStyle w:val="Paragraph"/>
        <w:numPr>
          <w:ilvl w:val="0"/>
          <w:numId w:val="0"/>
        </w:numPr>
        <w:tabs>
          <w:tab w:val="num" w:pos="12096"/>
        </w:tabs>
        <w:ind w:left="12096" w:hanging="1296"/>
        <w:rPr>
          <w:rFonts w:ascii="Arial" w:hAnsi="Arial" w:cs="Arial"/>
          <w:sz w:val="22"/>
          <w:szCs w:val="22"/>
          <w:lang w:val="es-ES"/>
        </w:rPr>
      </w:pPr>
    </w:p>
    <w:p w:rsidRPr="008D6662" w:rsidR="008738E1" w:rsidP="559FA22C" w:rsidRDefault="008738E1" w14:paraId="5C6ADCA0" w14:textId="77777777" w14:noSpellErr="1">
      <w:pPr>
        <w:pStyle w:val="Chapter"/>
        <w:spacing w:before="120" w:after="120"/>
        <w:ind w:left="720"/>
        <w:rPr>
          <w:rFonts w:ascii="Arial" w:hAnsi="Arial" w:cs="Arial"/>
          <w:color w:val="000000" w:themeColor="text1" w:themeTint="FF" w:themeShade="FF"/>
          <w:lang w:val="es-ES"/>
        </w:rPr>
      </w:pPr>
      <w:bookmarkStart w:name="_Toc498007216" w:id="29"/>
      <w:r w:rsidRPr="559FA22C" w:rsidR="559FA22C">
        <w:rPr>
          <w:rFonts w:ascii="Arial" w:hAnsi="Arial" w:cs="Arial"/>
          <w:color w:val="000000" w:themeColor="text1" w:themeTint="FF" w:themeShade="FF"/>
          <w:lang w:val="es-ES"/>
        </w:rPr>
        <w:t>Análisis de Sensibilidad</w:t>
      </w:r>
      <w:bookmarkEnd w:id="29"/>
    </w:p>
    <w:p w:rsidRPr="008D6662" w:rsidR="001E6B69" w:rsidP="559FA22C" w:rsidRDefault="008233D1" w14:paraId="0A9EDB3E" w14:textId="6AE31839" w14:noSpellErr="1">
      <w:pPr>
        <w:pStyle w:val="Paragraph"/>
        <w:tabs>
          <w:tab w:val="num" w:pos="720"/>
        </w:tabs>
        <w:ind w:left="720" w:hanging="720"/>
        <w:rPr>
          <w:rFonts w:ascii="Arial" w:hAnsi="Arial" w:cs="Arial"/>
          <w:sz w:val="22"/>
          <w:szCs w:val="22"/>
          <w:lang w:val="es-ES"/>
        </w:rPr>
      </w:pPr>
      <w:bookmarkStart w:name="_Toc388249755" w:id="30"/>
      <w:bookmarkStart w:name="_Ref388349433" w:id="31"/>
      <w:bookmarkEnd w:id="27"/>
      <w:r w:rsidRPr="559FA22C" w:rsidR="559FA22C">
        <w:rPr>
          <w:rFonts w:ascii="Arial" w:hAnsi="Arial" w:cs="Arial"/>
          <w:sz w:val="22"/>
          <w:szCs w:val="22"/>
          <w:lang w:val="es-ES"/>
        </w:rPr>
        <w:t xml:space="preserve">El escenario anterior se sensibiliza a continuación </w:t>
      </w:r>
      <w:r w:rsidRPr="559FA22C" w:rsidR="559FA22C">
        <w:rPr>
          <w:rFonts w:ascii="Arial" w:hAnsi="Arial" w:cs="Arial"/>
          <w:sz w:val="22"/>
          <w:szCs w:val="22"/>
          <w:lang w:val="es-ES"/>
        </w:rPr>
        <w:t xml:space="preserve">estresando los parámetros </w:t>
      </w:r>
      <w:r w:rsidRPr="559FA22C" w:rsidR="559FA22C">
        <w:rPr>
          <w:rFonts w:ascii="Arial" w:hAnsi="Arial" w:cs="Arial"/>
          <w:sz w:val="22"/>
          <w:szCs w:val="22"/>
          <w:lang w:val="es-ES"/>
        </w:rPr>
        <w:t>a los que el VPN ha mostrado sensibilidad</w:t>
      </w:r>
      <w:r w:rsidRPr="559FA22C" w:rsidR="559FA22C">
        <w:rPr>
          <w:rFonts w:ascii="Arial" w:hAnsi="Arial" w:cs="Arial"/>
          <w:sz w:val="22"/>
          <w:szCs w:val="22"/>
          <w:lang w:val="es-ES"/>
        </w:rPr>
        <w:t>.</w:t>
      </w:r>
    </w:p>
    <w:p w:rsidRPr="002210AF" w:rsidR="008801CD" w:rsidP="559FA22C" w:rsidRDefault="00BD76D3" w14:paraId="3D914AE4" w14:textId="04DE394D" w14:noSpellErr="1">
      <w:pPr>
        <w:pStyle w:val="Heading8"/>
        <w:ind w:left="1276"/>
        <w:jc w:val="both"/>
        <w:rPr>
          <w:rFonts w:ascii="Arial" w:hAnsi="Arial" w:cs="Arial"/>
          <w:sz w:val="22"/>
          <w:szCs w:val="22"/>
          <w:lang w:val="es-ES"/>
        </w:rPr>
      </w:pPr>
      <w:r w:rsidRPr="559FA22C" w:rsidR="559FA22C">
        <w:rPr>
          <w:rFonts w:ascii="Arial" w:hAnsi="Arial" w:cs="Arial"/>
          <w:b w:val="1"/>
          <w:bCs w:val="1"/>
          <w:color w:val="auto"/>
          <w:sz w:val="22"/>
          <w:szCs w:val="22"/>
          <w:lang w:val="es-ES"/>
        </w:rPr>
        <w:t>Ahorros esperados en la financiación sobre el monto garantizado</w:t>
      </w:r>
      <w:r w:rsidRPr="559FA22C" w:rsidR="559FA22C">
        <w:rPr>
          <w:rFonts w:ascii="Arial" w:hAnsi="Arial" w:cs="Arial"/>
          <w:color w:val="auto"/>
          <w:sz w:val="22"/>
          <w:szCs w:val="22"/>
          <w:lang w:val="es-ES"/>
        </w:rPr>
        <w:t xml:space="preserve">. </w:t>
      </w:r>
      <w:r w:rsidRPr="559FA22C" w:rsidR="559FA22C">
        <w:rPr>
          <w:rFonts w:ascii="Arial" w:hAnsi="Arial" w:cs="Arial"/>
          <w:color w:val="auto"/>
          <w:sz w:val="22"/>
          <w:szCs w:val="22"/>
          <w:lang w:val="es-ES"/>
        </w:rPr>
        <w:t xml:space="preserve">En primer lugar, se presentan como escenarios alternativos al </w:t>
      </w:r>
      <w:r w:rsidRPr="559FA22C" w:rsidR="559FA22C">
        <w:rPr>
          <w:rFonts w:ascii="Arial" w:hAnsi="Arial" w:cs="Arial"/>
          <w:color w:val="auto"/>
          <w:sz w:val="22"/>
          <w:szCs w:val="22"/>
          <w:lang w:val="es-ES"/>
        </w:rPr>
        <w:t>escenario central</w:t>
      </w:r>
      <w:r w:rsidRPr="559FA22C" w:rsidR="559FA22C">
        <w:rPr>
          <w:rFonts w:ascii="Arial" w:hAnsi="Arial" w:cs="Arial"/>
          <w:color w:val="auto"/>
          <w:sz w:val="22"/>
          <w:szCs w:val="22"/>
          <w:lang w:val="es-ES"/>
        </w:rPr>
        <w:t xml:space="preserve"> unas variaciones de los ahorros esperados de </w:t>
      </w:r>
      <w:r w:rsidRPr="559FA22C" w:rsidR="559FA22C">
        <w:rPr>
          <w:rFonts w:ascii="Arial" w:hAnsi="Arial" w:cs="Arial"/>
          <w:color w:val="auto"/>
          <w:sz w:val="22"/>
          <w:szCs w:val="22"/>
          <w:lang w:val="es-ES"/>
        </w:rPr>
        <w:t>-33%</w:t>
      </w:r>
      <w:r w:rsidRPr="559FA22C" w:rsidR="559FA22C">
        <w:rPr>
          <w:rFonts w:ascii="Arial" w:hAnsi="Arial" w:cs="Arial"/>
          <w:color w:val="auto"/>
          <w:sz w:val="22"/>
          <w:szCs w:val="22"/>
          <w:lang w:val="es-ES"/>
        </w:rPr>
        <w:t xml:space="preserve"> y -</w:t>
      </w:r>
      <w:r w:rsidRPr="559FA22C" w:rsidR="559FA22C">
        <w:rPr>
          <w:rFonts w:ascii="Arial" w:hAnsi="Arial" w:cs="Arial"/>
          <w:color w:val="auto"/>
          <w:sz w:val="22"/>
          <w:szCs w:val="22"/>
          <w:lang w:val="es-ES"/>
        </w:rPr>
        <w:t>6</w:t>
      </w:r>
      <w:r w:rsidRPr="559FA22C" w:rsidR="559FA22C">
        <w:rPr>
          <w:rFonts w:ascii="Arial" w:hAnsi="Arial" w:cs="Arial"/>
          <w:color w:val="auto"/>
          <w:sz w:val="22"/>
          <w:szCs w:val="22"/>
          <w:lang w:val="es-ES"/>
        </w:rPr>
        <w:t>0</w:t>
      </w:r>
      <w:r w:rsidRPr="559FA22C" w:rsidR="559FA22C">
        <w:rPr>
          <w:rFonts w:ascii="Arial" w:hAnsi="Arial" w:cs="Arial"/>
          <w:color w:val="auto"/>
          <w:sz w:val="22"/>
          <w:szCs w:val="22"/>
          <w:lang w:val="es-ES"/>
        </w:rPr>
        <w:t xml:space="preserve">%. De acuerdo con las experiencias </w:t>
      </w:r>
      <w:r w:rsidRPr="559FA22C" w:rsidR="559FA22C">
        <w:rPr>
          <w:rFonts w:ascii="Arial" w:hAnsi="Arial" w:cs="Arial"/>
          <w:color w:val="auto"/>
          <w:sz w:val="22"/>
          <w:szCs w:val="22"/>
          <w:lang w:val="es-ES"/>
        </w:rPr>
        <w:t xml:space="preserve">previas de los organismos multilaterales, y atendiendo a las tasas de financiación observadas en Argentina, </w:t>
      </w:r>
      <w:r w:rsidRPr="559FA22C" w:rsidR="559FA22C">
        <w:rPr>
          <w:rFonts w:ascii="Arial" w:hAnsi="Arial" w:cs="Arial"/>
          <w:color w:val="auto"/>
          <w:sz w:val="22"/>
          <w:szCs w:val="22"/>
          <w:lang w:val="es-ES"/>
        </w:rPr>
        <w:t>se apunta</w:t>
      </w:r>
      <w:r w:rsidRPr="559FA22C" w:rsidR="559FA22C">
        <w:rPr>
          <w:rFonts w:ascii="Arial" w:hAnsi="Arial" w:cs="Arial"/>
          <w:color w:val="auto"/>
          <w:sz w:val="22"/>
          <w:szCs w:val="22"/>
          <w:lang w:val="es-ES"/>
        </w:rPr>
        <w:t xml:space="preserve"> </w:t>
      </w:r>
      <w:r w:rsidRPr="559FA22C" w:rsidR="559FA22C">
        <w:rPr>
          <w:rFonts w:ascii="Arial" w:hAnsi="Arial" w:cs="Arial"/>
          <w:color w:val="auto"/>
          <w:sz w:val="22"/>
          <w:szCs w:val="22"/>
          <w:lang w:val="es-ES"/>
        </w:rPr>
        <w:t xml:space="preserve">que no sería probable encontrar menores cifras de ahorro en la tasa de financiamiento al mejorar la calificación crediticia de los activos financieros. </w:t>
      </w:r>
      <w:r w:rsidRPr="559FA22C" w:rsidR="559FA22C">
        <w:rPr>
          <w:rFonts w:ascii="Arial" w:hAnsi="Arial" w:cs="Arial"/>
          <w:color w:val="auto"/>
          <w:sz w:val="22"/>
          <w:szCs w:val="22"/>
          <w:lang w:val="es-ES"/>
        </w:rPr>
        <w:t xml:space="preserve"> </w:t>
      </w:r>
    </w:p>
    <w:p w:rsidRPr="002210AF" w:rsidR="001E6B69" w:rsidP="559FA22C" w:rsidRDefault="008801CD" w14:paraId="6996329D" w14:textId="6024A143" w14:noSpellErr="1">
      <w:pPr>
        <w:pStyle w:val="Heading8"/>
        <w:ind w:left="1276"/>
        <w:jc w:val="both"/>
        <w:rPr>
          <w:rFonts w:ascii="Arial" w:hAnsi="Arial" w:cs="Arial"/>
          <w:sz w:val="22"/>
          <w:szCs w:val="22"/>
          <w:lang w:val="es-ES"/>
        </w:rPr>
      </w:pPr>
      <w:r w:rsidRPr="559FA22C" w:rsidR="559FA22C">
        <w:rPr>
          <w:rFonts w:ascii="Arial" w:hAnsi="Arial" w:cs="Arial"/>
          <w:b w:val="1"/>
          <w:bCs w:val="1"/>
          <w:color w:val="auto"/>
          <w:sz w:val="22"/>
          <w:szCs w:val="22"/>
          <w:lang w:val="es-ES"/>
        </w:rPr>
        <w:t>Monto garantizado reclamado</w:t>
      </w:r>
      <w:r w:rsidRPr="559FA22C" w:rsidR="559FA22C">
        <w:rPr>
          <w:rFonts w:ascii="Arial" w:hAnsi="Arial" w:cs="Arial"/>
          <w:color w:val="auto"/>
          <w:sz w:val="22"/>
          <w:szCs w:val="22"/>
          <w:lang w:val="es-ES"/>
        </w:rPr>
        <w:t xml:space="preserve">. </w:t>
      </w:r>
      <w:r w:rsidRPr="559FA22C" w:rsidR="559FA22C">
        <w:rPr>
          <w:rFonts w:ascii="Arial" w:hAnsi="Arial" w:cs="Arial"/>
          <w:color w:val="auto"/>
          <w:sz w:val="22"/>
          <w:szCs w:val="22"/>
          <w:lang w:val="es-ES"/>
        </w:rPr>
        <w:t xml:space="preserve">Se busca ahora someter a estrés distintos el porcentaje de reclamo de la garantía sobre el total garantizado. En este caso se somete a un aumento del 20% y el 30% sobre el </w:t>
      </w:r>
      <w:r w:rsidRPr="559FA22C" w:rsidR="559FA22C">
        <w:rPr>
          <w:rFonts w:ascii="Arial" w:hAnsi="Arial" w:cs="Arial"/>
          <w:color w:val="auto"/>
          <w:sz w:val="22"/>
          <w:szCs w:val="22"/>
          <w:lang w:val="es-ES"/>
        </w:rPr>
        <w:t>escenario central</w:t>
      </w:r>
      <w:r w:rsidRPr="559FA22C" w:rsidR="559FA22C">
        <w:rPr>
          <w:rFonts w:ascii="Arial" w:hAnsi="Arial" w:cs="Arial"/>
          <w:color w:val="auto"/>
          <w:sz w:val="22"/>
          <w:szCs w:val="22"/>
          <w:lang w:val="es-ES"/>
        </w:rPr>
        <w:t>.</w:t>
      </w:r>
    </w:p>
    <w:p w:rsidRPr="00A94718" w:rsidR="001E6B69" w:rsidP="559FA22C" w:rsidRDefault="000D1766" w14:paraId="7AFD05AD" w14:textId="10524C32" w14:noSpellErr="1">
      <w:pPr>
        <w:pStyle w:val="Heading8"/>
        <w:ind w:left="1276"/>
        <w:jc w:val="both"/>
        <w:rPr>
          <w:rFonts w:ascii="Arial" w:hAnsi="Arial" w:cs="Arial"/>
          <w:sz w:val="22"/>
          <w:szCs w:val="22"/>
          <w:lang w:val="es-ES"/>
        </w:rPr>
      </w:pPr>
      <w:r w:rsidRPr="559FA22C">
        <w:rPr>
          <w:rFonts w:ascii="Arial" w:hAnsi="Arial" w:cs="Arial"/>
          <w:b w:val="1"/>
          <w:bCs w:val="1"/>
          <w:color w:val="auto"/>
          <w:sz w:val="22"/>
          <w:szCs w:val="22"/>
          <w:lang w:val="es-ES"/>
        </w:rPr>
        <w:t>Apalancamiento</w:t>
      </w:r>
      <w:r w:rsidRPr="002210AF">
        <w:rPr>
          <w:rFonts w:ascii="Arial" w:hAnsi="Arial" w:cs="Arial"/>
          <w:color w:val="auto"/>
          <w:sz w:val="22"/>
          <w:szCs w:val="22"/>
          <w:lang w:val="es-ES"/>
        </w:rPr>
        <w:t xml:space="preserve">. </w:t>
      </w:r>
      <w:r w:rsidRPr="002210AF" w:rsidR="001B4591">
        <w:rPr>
          <w:rFonts w:ascii="Arial" w:hAnsi="Arial" w:cs="Arial"/>
          <w:color w:val="auto"/>
          <w:sz w:val="22"/>
          <w:szCs w:val="22"/>
          <w:lang w:val="es-ES"/>
        </w:rPr>
        <w:t xml:space="preserve">Se procede a continuación a plantear escenarios donde se consigue un menor apalancamiento del esperado en el </w:t>
      </w:r>
      <w:r w:rsidR="005673A2">
        <w:rPr>
          <w:rFonts w:ascii="Arial" w:hAnsi="Arial" w:cs="Arial"/>
          <w:color w:val="auto"/>
          <w:sz w:val="22"/>
          <w:szCs w:val="22"/>
          <w:lang w:val="es-ES"/>
        </w:rPr>
        <w:t>escenario central</w:t>
      </w:r>
      <w:r w:rsidRPr="002210AF" w:rsidR="001B4591">
        <w:rPr>
          <w:rFonts w:ascii="Arial" w:hAnsi="Arial" w:cs="Arial"/>
          <w:color w:val="auto"/>
          <w:sz w:val="22"/>
          <w:szCs w:val="22"/>
          <w:lang w:val="es-ES"/>
        </w:rPr>
        <w:t xml:space="preserve">. </w:t>
      </w:r>
      <w:r w:rsidR="00D9664B">
        <w:rPr>
          <w:rFonts w:ascii="Arial" w:hAnsi="Arial" w:cs="Arial"/>
          <w:color w:val="auto"/>
          <w:sz w:val="22"/>
          <w:szCs w:val="22"/>
          <w:lang w:val="es-ES"/>
        </w:rPr>
        <w:t>S</w:t>
      </w:r>
      <w:r w:rsidRPr="002210AF" w:rsidR="001B4591">
        <w:rPr>
          <w:rFonts w:ascii="Arial" w:hAnsi="Arial" w:cs="Arial"/>
          <w:color w:val="auto"/>
          <w:sz w:val="22"/>
          <w:szCs w:val="22"/>
          <w:lang w:val="es-ES"/>
        </w:rPr>
        <w:t xml:space="preserve">e consideran como escenarios </w:t>
      </w:r>
      <w:r w:rsidRPr="002210AF" w:rsidR="00DF29C6">
        <w:rPr>
          <w:rFonts w:ascii="Arial" w:hAnsi="Arial" w:cs="Arial"/>
          <w:color w:val="auto"/>
          <w:sz w:val="22"/>
          <w:szCs w:val="22"/>
          <w:lang w:val="es-ES"/>
        </w:rPr>
        <w:t>alternativos</w:t>
      </w:r>
      <w:r w:rsidR="00D9664B">
        <w:rPr>
          <w:rFonts w:ascii="Arial" w:hAnsi="Arial" w:cs="Arial"/>
          <w:color w:val="auto"/>
          <w:sz w:val="22"/>
          <w:szCs w:val="22"/>
          <w:lang w:val="es-ES"/>
        </w:rPr>
        <w:t xml:space="preserve"> nuevamente unas variaciones del apalancamiento de</w:t>
      </w:r>
      <w:r w:rsidRPr="002210AF" w:rsidR="00DF29C6">
        <w:rPr>
          <w:rFonts w:ascii="Arial" w:hAnsi="Arial" w:cs="Arial"/>
          <w:color w:val="auto"/>
          <w:sz w:val="22"/>
          <w:szCs w:val="22"/>
          <w:lang w:val="es-ES"/>
        </w:rPr>
        <w:t xml:space="preserve"> -3</w:t>
      </w:r>
      <w:r w:rsidR="007B54CA">
        <w:rPr>
          <w:rFonts w:ascii="Arial" w:hAnsi="Arial" w:cs="Arial"/>
          <w:color w:val="auto"/>
          <w:sz w:val="22"/>
          <w:szCs w:val="22"/>
          <w:lang w:val="es-ES"/>
        </w:rPr>
        <w:t>3</w:t>
      </w:r>
      <w:r w:rsidRPr="002210AF" w:rsidR="00DF29C6">
        <w:rPr>
          <w:rFonts w:ascii="Arial" w:hAnsi="Arial" w:cs="Arial"/>
          <w:color w:val="auto"/>
          <w:sz w:val="22"/>
          <w:szCs w:val="22"/>
          <w:lang w:val="es-ES"/>
        </w:rPr>
        <w:t>% y -</w:t>
      </w:r>
      <w:r w:rsidR="00D9664B">
        <w:rPr>
          <w:rFonts w:ascii="Arial" w:hAnsi="Arial" w:cs="Arial"/>
          <w:color w:val="auto"/>
          <w:sz w:val="22"/>
          <w:szCs w:val="22"/>
          <w:lang w:val="es-ES"/>
        </w:rPr>
        <w:t>6</w:t>
      </w:r>
      <w:r w:rsidR="007B54CA">
        <w:rPr>
          <w:rFonts w:ascii="Arial" w:hAnsi="Arial" w:cs="Arial"/>
          <w:color w:val="auto"/>
          <w:sz w:val="22"/>
          <w:szCs w:val="22"/>
          <w:lang w:val="es-ES"/>
        </w:rPr>
        <w:t>0</w:t>
      </w:r>
      <w:r w:rsidRPr="002210AF" w:rsidR="00DF29C6">
        <w:rPr>
          <w:rFonts w:ascii="Arial" w:hAnsi="Arial" w:cs="Arial"/>
          <w:color w:val="auto"/>
          <w:sz w:val="22"/>
          <w:szCs w:val="22"/>
          <w:lang w:val="es-ES"/>
        </w:rPr>
        <w:t xml:space="preserve">%. </w:t>
      </w:r>
      <w:r w:rsidR="006A10EC">
        <w:rPr>
          <w:rFonts w:ascii="Arial" w:hAnsi="Arial" w:cs="Arial"/>
          <w:color w:val="auto"/>
          <w:sz w:val="22"/>
          <w:szCs w:val="22"/>
          <w:lang w:val="es-ES"/>
        </w:rPr>
        <w:t>Con una disminución del 6</w:t>
      </w:r>
      <w:r w:rsidR="00157FEC">
        <w:rPr>
          <w:rFonts w:ascii="Arial" w:hAnsi="Arial" w:cs="Arial"/>
          <w:color w:val="auto"/>
          <w:sz w:val="22"/>
          <w:szCs w:val="22"/>
          <w:lang w:val="es-ES"/>
        </w:rPr>
        <w:t>0</w:t>
      </w:r>
      <w:r w:rsidR="006A10EC">
        <w:rPr>
          <w:rFonts w:ascii="Arial" w:hAnsi="Arial" w:cs="Arial"/>
          <w:color w:val="auto"/>
          <w:sz w:val="22"/>
          <w:szCs w:val="22"/>
          <w:lang w:val="es-ES"/>
        </w:rPr>
        <w:t xml:space="preserve">% en el apalancamiento esperado se estaría llegando a </w:t>
      </w:r>
      <w:r w:rsidR="00341133">
        <w:rPr>
          <w:rFonts w:ascii="Arial" w:hAnsi="Arial" w:cs="Arial"/>
          <w:color w:val="auto"/>
          <w:sz w:val="22"/>
          <w:szCs w:val="22"/>
          <w:lang w:val="es-ES"/>
        </w:rPr>
        <w:t xml:space="preserve">una movilización de recursos </w:t>
      </w:r>
      <w:r w:rsidR="00D9664B">
        <w:rPr>
          <w:rFonts w:ascii="Arial" w:hAnsi="Arial" w:cs="Arial"/>
          <w:color w:val="auto"/>
          <w:sz w:val="22"/>
          <w:szCs w:val="22"/>
          <w:lang w:val="es-ES"/>
        </w:rPr>
        <w:t>con efecto multiplicador de 1</w:t>
      </w:r>
      <w:r w:rsidR="00157FEC">
        <w:rPr>
          <w:rFonts w:ascii="Arial" w:hAnsi="Arial" w:cs="Arial"/>
          <w:color w:val="auto"/>
          <w:sz w:val="22"/>
          <w:szCs w:val="22"/>
          <w:lang w:val="es-ES"/>
        </w:rPr>
        <w:t>,2</w:t>
      </w:r>
      <w:r w:rsidRPr="002210AF" w:rsidR="00DF29C6">
        <w:rPr>
          <w:rFonts w:ascii="Arial" w:hAnsi="Arial" w:cs="Arial"/>
          <w:color w:val="auto"/>
          <w:sz w:val="22"/>
          <w:szCs w:val="22"/>
          <w:lang w:val="es-ES"/>
        </w:rPr>
        <w:t>.</w:t>
      </w:r>
      <w:r w:rsidR="00D9664B">
        <w:rPr>
          <w:rFonts w:ascii="Arial" w:hAnsi="Arial" w:cs="Arial"/>
          <w:color w:val="auto"/>
          <w:sz w:val="22"/>
          <w:szCs w:val="22"/>
          <w:lang w:val="es-ES"/>
        </w:rPr>
        <w:t xml:space="preserve"> Pese a no ser el escenario más probable para el caso de Argentina,</w:t>
      </w:r>
      <w:r w:rsidR="00341133">
        <w:rPr>
          <w:rFonts w:ascii="Arial" w:hAnsi="Arial" w:cs="Arial"/>
          <w:color w:val="auto"/>
          <w:sz w:val="22"/>
          <w:szCs w:val="22"/>
          <w:lang w:val="es-ES"/>
        </w:rPr>
        <w:t xml:space="preserve"> se trata </w:t>
      </w:r>
      <w:r w:rsidR="00BB7B63">
        <w:rPr>
          <w:rFonts w:ascii="Arial" w:hAnsi="Arial" w:cs="Arial"/>
          <w:color w:val="auto"/>
          <w:sz w:val="22"/>
          <w:szCs w:val="22"/>
          <w:lang w:val="es-ES"/>
        </w:rPr>
        <w:t>de unas cifras próximas al</w:t>
      </w:r>
      <w:r w:rsidR="00341133">
        <w:rPr>
          <w:rFonts w:ascii="Arial" w:hAnsi="Arial" w:cs="Arial"/>
          <w:color w:val="auto"/>
          <w:sz w:val="22"/>
          <w:szCs w:val="22"/>
          <w:lang w:val="es-ES"/>
        </w:rPr>
        <w:t xml:space="preserve"> menor apalancamiento observado en la experiencia internacional en el origen del uso de facilidades de garantía</w:t>
      </w:r>
      <w:r w:rsidR="00BB7B63">
        <w:rPr>
          <w:rFonts w:ascii="Arial" w:hAnsi="Arial" w:cs="Arial"/>
          <w:color w:val="auto"/>
          <w:sz w:val="22"/>
          <w:szCs w:val="22"/>
          <w:lang w:val="es-ES"/>
        </w:rPr>
        <w:t xml:space="preserve"> -</w:t>
      </w:r>
      <w:r w:rsidR="001D0F1A">
        <w:rPr>
          <w:rFonts w:ascii="Arial" w:hAnsi="Arial" w:cs="Arial"/>
          <w:color w:val="auto"/>
          <w:sz w:val="22"/>
          <w:szCs w:val="22"/>
          <w:lang w:val="es-ES"/>
        </w:rPr>
        <w:t>más</w:t>
      </w:r>
      <w:r w:rsidR="00341133">
        <w:rPr>
          <w:rFonts w:ascii="Arial" w:hAnsi="Arial" w:cs="Arial"/>
          <w:color w:val="auto"/>
          <w:sz w:val="22"/>
          <w:szCs w:val="22"/>
          <w:lang w:val="es-ES"/>
        </w:rPr>
        <w:t xml:space="preserve"> concretamente, en la experiencia </w:t>
      </w:r>
      <w:r w:rsidR="001D0F1A">
        <w:rPr>
          <w:rFonts w:ascii="Arial" w:hAnsi="Arial" w:cs="Arial"/>
          <w:color w:val="auto"/>
          <w:sz w:val="22"/>
          <w:szCs w:val="22"/>
          <w:lang w:val="es-ES"/>
        </w:rPr>
        <w:t xml:space="preserve">del Banco Mundial </w:t>
      </w:r>
      <w:r w:rsidR="00341133">
        <w:rPr>
          <w:rFonts w:ascii="Arial" w:hAnsi="Arial" w:cs="Arial"/>
          <w:color w:val="auto"/>
          <w:sz w:val="22"/>
          <w:szCs w:val="22"/>
          <w:lang w:val="es-ES"/>
        </w:rPr>
        <w:t xml:space="preserve">desarrollada en </w:t>
      </w:r>
      <w:r w:rsidR="001D0F1A">
        <w:rPr>
          <w:rFonts w:ascii="Arial" w:hAnsi="Arial" w:cs="Arial"/>
          <w:color w:val="auto"/>
          <w:sz w:val="22"/>
          <w:szCs w:val="22"/>
          <w:lang w:val="es-ES"/>
        </w:rPr>
        <w:t>Ghana bajo el primer programa de estabilidad macroeconómica para la competitividad y el fomento de la política de desarrollo del crecimiento</w:t>
      </w:r>
      <w:r w:rsidR="00D9664B">
        <w:rPr>
          <w:rFonts w:ascii="Arial" w:hAnsi="Arial" w:cs="Arial"/>
          <w:color w:val="auto"/>
          <w:sz w:val="22"/>
          <w:szCs w:val="22"/>
          <w:lang w:val="es-ES"/>
        </w:rPr>
        <w:t>.</w:t>
      </w:r>
      <w:r w:rsidR="001D0F1A">
        <w:rPr>
          <w:rStyle w:val="FootnoteReference"/>
          <w:rFonts w:ascii="Arial" w:hAnsi="Arial" w:cs="Arial"/>
          <w:color w:val="auto"/>
          <w:sz w:val="22"/>
          <w:szCs w:val="22"/>
          <w:lang w:val="es-ES"/>
        </w:rPr>
        <w:footnoteReference w:id="37"/>
      </w:r>
      <w:r w:rsidR="00D9664B">
        <w:rPr>
          <w:rFonts w:ascii="Arial" w:hAnsi="Arial" w:cs="Arial"/>
          <w:color w:val="auto"/>
          <w:sz w:val="22"/>
          <w:szCs w:val="22"/>
          <w:lang w:val="es-ES"/>
        </w:rPr>
        <w:t xml:space="preserve"> </w:t>
      </w:r>
    </w:p>
    <w:p w:rsidRPr="002210AF" w:rsidR="008233D1" w:rsidP="559FA22C" w:rsidRDefault="00D9664B" w14:paraId="30A4EA41" w14:textId="3034EBF9" w14:noSpellErr="1">
      <w:pPr>
        <w:pStyle w:val="Heading8"/>
        <w:ind w:left="1276"/>
        <w:jc w:val="both"/>
        <w:rPr>
          <w:rFonts w:ascii="Arial" w:hAnsi="Arial" w:cs="Arial"/>
          <w:b w:val="1"/>
          <w:bCs w:val="1"/>
          <w:sz w:val="22"/>
          <w:szCs w:val="22"/>
          <w:lang w:val="es-ES"/>
        </w:rPr>
      </w:pPr>
      <w:r w:rsidRPr="559FA22C" w:rsidR="559FA22C">
        <w:rPr>
          <w:rFonts w:ascii="Arial" w:hAnsi="Arial" w:cs="Arial"/>
          <w:b w:val="1"/>
          <w:bCs w:val="1"/>
          <w:color w:val="auto"/>
          <w:sz w:val="22"/>
          <w:szCs w:val="22"/>
          <w:lang w:val="es-ES"/>
        </w:rPr>
        <w:t>Escenario multivariante</w:t>
      </w:r>
      <w:r w:rsidRPr="559FA22C" w:rsidR="559FA22C">
        <w:rPr>
          <w:rFonts w:ascii="Arial" w:hAnsi="Arial" w:cs="Arial"/>
          <w:color w:val="auto"/>
          <w:sz w:val="22"/>
          <w:szCs w:val="22"/>
          <w:lang w:val="es-ES"/>
        </w:rPr>
        <w:t xml:space="preserve">. Por </w:t>
      </w:r>
      <w:r w:rsidRPr="559FA22C" w:rsidR="559FA22C">
        <w:rPr>
          <w:rFonts w:ascii="Arial" w:hAnsi="Arial" w:cs="Arial"/>
          <w:color w:val="auto"/>
          <w:sz w:val="22"/>
          <w:szCs w:val="22"/>
          <w:lang w:val="es-ES"/>
        </w:rPr>
        <w:t>último,</w:t>
      </w:r>
      <w:r w:rsidRPr="559FA22C" w:rsidR="559FA22C">
        <w:rPr>
          <w:rFonts w:ascii="Arial" w:hAnsi="Arial" w:cs="Arial"/>
          <w:color w:val="auto"/>
          <w:sz w:val="22"/>
          <w:szCs w:val="22"/>
          <w:lang w:val="es-ES"/>
        </w:rPr>
        <w:t xml:space="preserve"> se plantea un escenario donde los tres </w:t>
      </w:r>
      <w:r w:rsidRPr="559FA22C" w:rsidR="559FA22C">
        <w:rPr>
          <w:rFonts w:ascii="Arial" w:hAnsi="Arial" w:cs="Arial"/>
          <w:color w:val="auto"/>
          <w:sz w:val="22"/>
          <w:szCs w:val="22"/>
          <w:lang w:val="es-ES"/>
        </w:rPr>
        <w:t>parámetros sufren</w:t>
      </w:r>
      <w:r w:rsidRPr="559FA22C" w:rsidR="559FA22C">
        <w:rPr>
          <w:rFonts w:ascii="Arial" w:hAnsi="Arial" w:cs="Arial"/>
          <w:color w:val="auto"/>
          <w:sz w:val="22"/>
          <w:szCs w:val="22"/>
          <w:lang w:val="es-ES"/>
        </w:rPr>
        <w:t xml:space="preserve"> variaciones en contra de un resultado de VPN positivo -</w:t>
      </w:r>
      <w:r w:rsidRPr="559FA22C" w:rsidR="559FA22C">
        <w:rPr>
          <w:rFonts w:ascii="Arial" w:hAnsi="Arial" w:cs="Arial"/>
          <w:color w:val="auto"/>
          <w:sz w:val="22"/>
          <w:szCs w:val="22"/>
          <w:lang w:val="es-ES"/>
        </w:rPr>
        <w:t>reducción</w:t>
      </w:r>
      <w:r w:rsidRPr="559FA22C" w:rsidR="559FA22C">
        <w:rPr>
          <w:rFonts w:ascii="Arial" w:hAnsi="Arial" w:cs="Arial"/>
          <w:color w:val="auto"/>
          <w:sz w:val="22"/>
          <w:szCs w:val="22"/>
          <w:lang w:val="es-ES"/>
        </w:rPr>
        <w:t xml:space="preserve"> de ahorro o aumento de costes-. El </w:t>
      </w:r>
      <w:r w:rsidRPr="559FA22C" w:rsidR="559FA22C">
        <w:rPr>
          <w:rFonts w:ascii="Arial" w:hAnsi="Arial" w:cs="Arial"/>
          <w:color w:val="auto"/>
          <w:sz w:val="22"/>
          <w:szCs w:val="22"/>
          <w:lang w:val="es-ES"/>
        </w:rPr>
        <w:t>esc</w:t>
      </w:r>
      <w:r w:rsidRPr="559FA22C" w:rsidR="559FA22C">
        <w:rPr>
          <w:rFonts w:ascii="Arial" w:hAnsi="Arial" w:cs="Arial"/>
          <w:color w:val="auto"/>
          <w:sz w:val="22"/>
          <w:szCs w:val="22"/>
          <w:lang w:val="es-ES"/>
        </w:rPr>
        <w:t>e</w:t>
      </w:r>
      <w:r w:rsidRPr="559FA22C" w:rsidR="559FA22C">
        <w:rPr>
          <w:rFonts w:ascii="Arial" w:hAnsi="Arial" w:cs="Arial"/>
          <w:color w:val="auto"/>
          <w:sz w:val="22"/>
          <w:szCs w:val="22"/>
          <w:lang w:val="es-ES"/>
        </w:rPr>
        <w:t>nario</w:t>
      </w:r>
      <w:r w:rsidRPr="559FA22C" w:rsidR="559FA22C">
        <w:rPr>
          <w:rFonts w:ascii="Arial" w:hAnsi="Arial" w:cs="Arial"/>
          <w:color w:val="auto"/>
          <w:sz w:val="22"/>
          <w:szCs w:val="22"/>
          <w:lang w:val="es-ES"/>
        </w:rPr>
        <w:t xml:space="preserve"> propuesto plantea una disminución del ahorro esperado del </w:t>
      </w:r>
      <w:r w:rsidRPr="559FA22C" w:rsidR="559FA22C">
        <w:rPr>
          <w:rFonts w:ascii="Arial" w:hAnsi="Arial" w:cs="Arial"/>
          <w:color w:val="auto"/>
          <w:sz w:val="22"/>
          <w:szCs w:val="22"/>
          <w:lang w:val="es-ES"/>
        </w:rPr>
        <w:t>17</w:t>
      </w:r>
      <w:r w:rsidRPr="559FA22C" w:rsidR="559FA22C">
        <w:rPr>
          <w:rFonts w:ascii="Arial" w:hAnsi="Arial" w:cs="Arial"/>
          <w:color w:val="auto"/>
          <w:sz w:val="22"/>
          <w:szCs w:val="22"/>
          <w:lang w:val="es-ES"/>
        </w:rPr>
        <w:t xml:space="preserve">% combinado con una disminución del apalancamiento del </w:t>
      </w:r>
      <w:r w:rsidRPr="559FA22C" w:rsidR="559FA22C">
        <w:rPr>
          <w:rFonts w:ascii="Arial" w:hAnsi="Arial" w:cs="Arial"/>
          <w:color w:val="auto"/>
          <w:sz w:val="22"/>
          <w:szCs w:val="22"/>
          <w:lang w:val="es-ES"/>
        </w:rPr>
        <w:t>17</w:t>
      </w:r>
      <w:r w:rsidRPr="559FA22C" w:rsidR="559FA22C">
        <w:rPr>
          <w:rFonts w:ascii="Arial" w:hAnsi="Arial" w:cs="Arial"/>
          <w:color w:val="auto"/>
          <w:sz w:val="22"/>
          <w:szCs w:val="22"/>
          <w:lang w:val="es-ES"/>
        </w:rPr>
        <w:t>% y un</w:t>
      </w:r>
      <w:r w:rsidRPr="559FA22C" w:rsidR="559FA22C">
        <w:rPr>
          <w:rFonts w:ascii="Arial" w:hAnsi="Arial" w:cs="Arial"/>
          <w:color w:val="auto"/>
          <w:sz w:val="22"/>
          <w:szCs w:val="22"/>
          <w:lang w:val="es-ES"/>
        </w:rPr>
        <w:t xml:space="preserve"> </w:t>
      </w:r>
      <w:r w:rsidRPr="559FA22C" w:rsidR="559FA22C">
        <w:rPr>
          <w:rFonts w:ascii="Arial" w:hAnsi="Arial" w:cs="Arial"/>
          <w:color w:val="auto"/>
          <w:sz w:val="22"/>
          <w:szCs w:val="22"/>
          <w:lang w:val="es-ES"/>
        </w:rPr>
        <w:t xml:space="preserve">aumento del monto reclamado a ejecutar del </w:t>
      </w:r>
      <w:r w:rsidRPr="559FA22C" w:rsidR="559FA22C">
        <w:rPr>
          <w:rFonts w:ascii="Arial" w:hAnsi="Arial" w:cs="Arial"/>
          <w:color w:val="auto"/>
          <w:sz w:val="22"/>
          <w:szCs w:val="22"/>
          <w:lang w:val="es-ES"/>
        </w:rPr>
        <w:t>6,5</w:t>
      </w:r>
      <w:r w:rsidRPr="559FA22C" w:rsidR="559FA22C">
        <w:rPr>
          <w:rFonts w:ascii="Arial" w:hAnsi="Arial" w:cs="Arial"/>
          <w:color w:val="auto"/>
          <w:sz w:val="22"/>
          <w:szCs w:val="22"/>
          <w:lang w:val="es-ES"/>
        </w:rPr>
        <w:t>%</w:t>
      </w:r>
      <w:r w:rsidRPr="559FA22C" w:rsidR="559FA22C">
        <w:rPr>
          <w:rFonts w:ascii="Arial" w:hAnsi="Arial" w:cs="Arial"/>
          <w:color w:val="auto"/>
          <w:sz w:val="22"/>
          <w:szCs w:val="22"/>
          <w:lang w:val="es-ES"/>
        </w:rPr>
        <w:t xml:space="preserve"> sobre el escenario central</w:t>
      </w:r>
      <w:r w:rsidRPr="559FA22C" w:rsidR="559FA22C">
        <w:rPr>
          <w:rFonts w:ascii="Arial" w:hAnsi="Arial" w:cs="Arial"/>
          <w:color w:val="auto"/>
          <w:sz w:val="22"/>
          <w:szCs w:val="22"/>
          <w:lang w:val="es-ES"/>
        </w:rPr>
        <w:t>.</w:t>
      </w:r>
    </w:p>
    <w:p w:rsidR="0035279C" w:rsidP="559FA22C" w:rsidRDefault="0035279C" w14:paraId="46430C60" w14:textId="42E86383" w14:noSpellErr="1">
      <w:pPr>
        <w:pStyle w:val="Paragraph"/>
        <w:tabs>
          <w:tab w:val="num" w:pos="720"/>
        </w:tabs>
        <w:ind w:left="720" w:hanging="720"/>
        <w:rPr>
          <w:rFonts w:ascii="Arial" w:hAnsi="Arial" w:cs="Arial"/>
          <w:sz w:val="22"/>
          <w:szCs w:val="22"/>
          <w:lang w:val="es-ES"/>
        </w:rPr>
      </w:pPr>
      <w:r w:rsidRPr="559FA22C" w:rsidR="559FA22C">
        <w:rPr>
          <w:rFonts w:ascii="Arial" w:hAnsi="Arial" w:cs="Arial"/>
          <w:sz w:val="22"/>
          <w:szCs w:val="22"/>
          <w:lang w:val="es-ES"/>
        </w:rPr>
        <w:t xml:space="preserve">La Tabla 2 a continuación resume los </w:t>
      </w:r>
      <w:r w:rsidRPr="559FA22C" w:rsidR="559FA22C">
        <w:rPr>
          <w:rFonts w:ascii="Arial" w:hAnsi="Arial" w:cs="Arial"/>
          <w:sz w:val="22"/>
          <w:szCs w:val="22"/>
          <w:lang w:val="es-ES"/>
        </w:rPr>
        <w:t xml:space="preserve">supuestos en base a los cuales se ha calculado el VAN para cada uno de los escenarios considerados a lo largo de este ejercicio de análisis costo beneficio financiero (desde el escenario I como escenario central al escenario VIII como último ejercicio de sensibilización) para que sirvan de guía en la lectura e interpretación de este documento.  </w:t>
      </w:r>
      <w:r w:rsidRPr="559FA22C" w:rsidR="559FA22C">
        <w:rPr>
          <w:rFonts w:ascii="Arial" w:hAnsi="Arial" w:cs="Arial"/>
          <w:sz w:val="22"/>
          <w:szCs w:val="22"/>
          <w:lang w:val="es-ES"/>
        </w:rPr>
        <w:t xml:space="preserve"> </w:t>
      </w:r>
    </w:p>
    <w:p w:rsidR="00652141" w:rsidP="559FA22C" w:rsidRDefault="00652141" w14:paraId="5707F230" w14:textId="701BA5EB" w14:noSpellErr="1">
      <w:pPr>
        <w:pStyle w:val="Paragraph"/>
        <w:numPr>
          <w:numId w:val="0"/>
        </w:numPr>
        <w:spacing w:after="0"/>
        <w:jc w:val="center"/>
        <w:rPr>
          <w:rFonts w:ascii="Arial" w:hAnsi="Arial" w:cs="Arial"/>
          <w:b w:val="1"/>
          <w:bCs w:val="1"/>
          <w:sz w:val="22"/>
          <w:szCs w:val="22"/>
          <w:lang w:val="es-ES"/>
        </w:rPr>
      </w:pPr>
      <w:r w:rsidRPr="559FA22C" w:rsidR="559FA22C">
        <w:rPr>
          <w:rFonts w:ascii="Arial" w:hAnsi="Arial" w:cs="Arial"/>
          <w:b w:val="1"/>
          <w:bCs w:val="1"/>
          <w:sz w:val="22"/>
          <w:szCs w:val="22"/>
          <w:lang w:val="es-ES"/>
        </w:rPr>
        <w:t xml:space="preserve">Tabla </w:t>
      </w:r>
      <w:r w:rsidRPr="559FA22C" w:rsidR="559FA22C">
        <w:rPr>
          <w:rFonts w:ascii="Arial" w:hAnsi="Arial" w:cs="Arial"/>
          <w:b w:val="1"/>
          <w:bCs w:val="1"/>
          <w:sz w:val="22"/>
          <w:szCs w:val="22"/>
          <w:lang w:val="es-ES"/>
        </w:rPr>
        <w:t>2</w:t>
      </w:r>
      <w:r w:rsidRPr="559FA22C" w:rsidR="559FA22C">
        <w:rPr>
          <w:rFonts w:ascii="Arial" w:hAnsi="Arial" w:cs="Arial"/>
          <w:b w:val="1"/>
          <w:bCs w:val="1"/>
          <w:sz w:val="22"/>
          <w:szCs w:val="22"/>
          <w:lang w:val="es-ES"/>
        </w:rPr>
        <w:t xml:space="preserve">. </w:t>
      </w:r>
      <w:r w:rsidRPr="559FA22C" w:rsidR="559FA22C">
        <w:rPr>
          <w:rFonts w:ascii="Arial" w:hAnsi="Arial" w:cs="Arial"/>
          <w:b w:val="1"/>
          <w:bCs w:val="1"/>
          <w:sz w:val="22"/>
          <w:szCs w:val="22"/>
          <w:lang w:val="es-ES"/>
        </w:rPr>
        <w:t>Supuestos y escenarios de cálculo del VPN</w:t>
      </w:r>
      <w:r w:rsidRPr="559FA22C" w:rsidR="559FA22C">
        <w:rPr>
          <w:rFonts w:ascii="Arial" w:hAnsi="Arial" w:cs="Arial"/>
          <w:b w:val="1"/>
          <w:bCs w:val="1"/>
          <w:sz w:val="22"/>
          <w:szCs w:val="22"/>
          <w:lang w:val="es-ES"/>
        </w:rPr>
        <w:t xml:space="preserve"> </w:t>
      </w:r>
    </w:p>
    <w:tbl>
      <w:tblPr>
        <w:tblW w:w="9319" w:type="dxa"/>
        <w:tblLook w:val="04A0" w:firstRow="1" w:lastRow="0" w:firstColumn="1" w:lastColumn="0" w:noHBand="0" w:noVBand="1"/>
      </w:tblPr>
      <w:tblGrid>
        <w:gridCol w:w="1530"/>
        <w:gridCol w:w="1440"/>
        <w:gridCol w:w="907"/>
        <w:gridCol w:w="907"/>
        <w:gridCol w:w="907"/>
        <w:gridCol w:w="907"/>
        <w:gridCol w:w="907"/>
        <w:gridCol w:w="907"/>
        <w:gridCol w:w="907"/>
      </w:tblGrid>
      <w:tr w:rsidRPr="00D16A82" w:rsidR="00DC4F69" w:rsidTr="559FA22C" w14:paraId="7B402C35" w14:textId="77777777">
        <w:trPr>
          <w:trHeight w:val="312"/>
        </w:trPr>
        <w:tc>
          <w:tcPr>
            <w:tcW w:w="1530" w:type="dxa"/>
            <w:tcBorders>
              <w:top w:val="nil"/>
              <w:left w:val="nil"/>
              <w:bottom w:val="nil"/>
              <w:right w:val="nil"/>
            </w:tcBorders>
            <w:shd w:val="clear" w:color="auto" w:fill="B4C6E7"/>
            <w:tcMar/>
            <w:vAlign w:val="center"/>
            <w:hideMark/>
          </w:tcPr>
          <w:p w:rsidRPr="002210AF" w:rsidR="00DC4F69" w:rsidP="559FA22C" w:rsidRDefault="00DC4F69" w14:paraId="68D53B38" w14:textId="77777777">
            <w:pPr>
              <w:spacing w:after="0" w:line="240" w:lineRule="auto"/>
              <w:rPr>
                <w:rFonts w:ascii="Arial" w:hAnsi="Arial" w:eastAsia="Times New Roman" w:cs="Arial"/>
                <w:b w:val="1"/>
                <w:bCs w:val="1"/>
                <w:color w:val="000000" w:themeColor="text1" w:themeTint="FF" w:themeShade="FF"/>
                <w:sz w:val="14"/>
                <w:szCs w:val="14"/>
                <w:lang w:val="es-ES" w:eastAsia="en-US"/>
              </w:rPr>
            </w:pPr>
            <w:r w:rsidRPr="559FA22C" w:rsidR="559FA22C">
              <w:rPr>
                <w:rFonts w:ascii="Arial" w:hAnsi="Arial" w:eastAsia="Times New Roman" w:cs="Arial"/>
                <w:b w:val="1"/>
                <w:bCs w:val="1"/>
                <w:color w:val="000000" w:themeColor="text1" w:themeTint="FF" w:themeShade="FF"/>
                <w:sz w:val="14"/>
                <w:szCs w:val="14"/>
                <w:lang w:val="es-ES" w:eastAsia="en-US"/>
              </w:rPr>
              <w:t> </w:t>
            </w:r>
          </w:p>
        </w:tc>
        <w:tc>
          <w:tcPr>
            <w:tcW w:w="1440" w:type="dxa"/>
            <w:tcBorders>
              <w:top w:val="nil"/>
              <w:left w:val="nil"/>
              <w:bottom w:val="nil"/>
              <w:right w:val="nil"/>
            </w:tcBorders>
            <w:shd w:val="clear" w:color="auto" w:fill="B4C6E7"/>
            <w:tcMar/>
            <w:vAlign w:val="center"/>
            <w:hideMark/>
          </w:tcPr>
          <w:p w:rsidRPr="002210AF" w:rsidR="00DC4F69" w:rsidP="559FA22C" w:rsidRDefault="00DC4F69" w14:paraId="574DD33F" w14:textId="77777777" w14:noSpellErr="1">
            <w:pPr>
              <w:spacing w:after="0" w:line="240" w:lineRule="auto"/>
              <w:jc w:val="center"/>
              <w:rPr>
                <w:rFonts w:ascii="Arial" w:hAnsi="Arial" w:eastAsia="Times New Roman" w:cs="Arial"/>
                <w:b w:val="1"/>
                <w:bCs w:val="1"/>
                <w:color w:val="000000" w:themeColor="text1" w:themeTint="FF" w:themeShade="FF"/>
                <w:sz w:val="14"/>
                <w:szCs w:val="14"/>
                <w:lang w:val="es-ES" w:eastAsia="en-US"/>
              </w:rPr>
            </w:pPr>
            <w:r w:rsidRPr="559FA22C" w:rsidR="559FA22C">
              <w:rPr>
                <w:rFonts w:ascii="Arial" w:hAnsi="Arial" w:eastAsia="Times New Roman" w:cs="Arial"/>
                <w:b w:val="1"/>
                <w:bCs w:val="1"/>
                <w:color w:val="000000" w:themeColor="text1" w:themeTint="FF" w:themeShade="FF"/>
                <w:sz w:val="14"/>
                <w:szCs w:val="14"/>
                <w:lang w:val="es-ES" w:eastAsia="en-US"/>
              </w:rPr>
              <w:t>Escenario I:</w:t>
            </w:r>
            <w:r>
              <w:br/>
            </w:r>
            <w:r w:rsidRPr="559FA22C" w:rsidR="559FA22C">
              <w:rPr>
                <w:rFonts w:ascii="Arial" w:hAnsi="Arial" w:eastAsia="Times New Roman" w:cs="Arial"/>
                <w:b w:val="1"/>
                <w:bCs w:val="1"/>
                <w:color w:val="000000" w:themeColor="text1" w:themeTint="FF" w:themeShade="FF"/>
                <w:sz w:val="14"/>
                <w:szCs w:val="14"/>
                <w:lang w:val="es-ES" w:eastAsia="en-US"/>
              </w:rPr>
              <w:t>Escenario Central</w:t>
            </w:r>
          </w:p>
        </w:tc>
        <w:tc>
          <w:tcPr>
            <w:tcW w:w="907" w:type="dxa"/>
            <w:tcBorders>
              <w:top w:val="nil"/>
              <w:left w:val="nil"/>
              <w:bottom w:val="nil"/>
              <w:right w:val="nil"/>
            </w:tcBorders>
            <w:shd w:val="clear" w:color="auto" w:fill="B4C6E7"/>
            <w:tcMar/>
            <w:vAlign w:val="center"/>
            <w:hideMark/>
          </w:tcPr>
          <w:p w:rsidRPr="002210AF" w:rsidR="00DC4F69" w:rsidP="559FA22C" w:rsidRDefault="00DC4F69" w14:paraId="5FADF40C" w14:textId="77777777" w14:noSpellErr="1">
            <w:pPr>
              <w:spacing w:after="0" w:line="240" w:lineRule="auto"/>
              <w:jc w:val="center"/>
              <w:rPr>
                <w:rFonts w:ascii="Arial" w:hAnsi="Arial" w:eastAsia="Times New Roman" w:cs="Arial"/>
                <w:b w:val="1"/>
                <w:bCs w:val="1"/>
                <w:color w:val="000000" w:themeColor="text1" w:themeTint="FF" w:themeShade="FF"/>
                <w:sz w:val="14"/>
                <w:szCs w:val="14"/>
                <w:lang w:val="es-ES" w:eastAsia="en-US"/>
              </w:rPr>
            </w:pPr>
            <w:r w:rsidRPr="559FA22C" w:rsidR="559FA22C">
              <w:rPr>
                <w:rFonts w:ascii="Arial" w:hAnsi="Arial" w:eastAsia="Times New Roman" w:cs="Arial"/>
                <w:b w:val="1"/>
                <w:bCs w:val="1"/>
                <w:color w:val="000000" w:themeColor="text1" w:themeTint="FF" w:themeShade="FF"/>
                <w:sz w:val="14"/>
                <w:szCs w:val="14"/>
                <w:lang w:val="es-ES" w:eastAsia="en-US"/>
              </w:rPr>
              <w:t>Escenario II</w:t>
            </w:r>
          </w:p>
        </w:tc>
        <w:tc>
          <w:tcPr>
            <w:tcW w:w="907" w:type="dxa"/>
            <w:tcBorders>
              <w:top w:val="nil"/>
              <w:left w:val="nil"/>
              <w:bottom w:val="nil"/>
              <w:right w:val="nil"/>
            </w:tcBorders>
            <w:shd w:val="clear" w:color="auto" w:fill="B4C6E7"/>
            <w:tcMar/>
            <w:vAlign w:val="center"/>
            <w:hideMark/>
          </w:tcPr>
          <w:p w:rsidRPr="002210AF" w:rsidR="00DC4F69" w:rsidP="559FA22C" w:rsidRDefault="00DC4F69" w14:paraId="2F785A3C" w14:textId="77777777" w14:noSpellErr="1">
            <w:pPr>
              <w:spacing w:after="0" w:line="240" w:lineRule="auto"/>
              <w:jc w:val="center"/>
              <w:rPr>
                <w:rFonts w:ascii="Arial" w:hAnsi="Arial" w:eastAsia="Times New Roman" w:cs="Arial"/>
                <w:b w:val="1"/>
                <w:bCs w:val="1"/>
                <w:color w:val="000000" w:themeColor="text1" w:themeTint="FF" w:themeShade="FF"/>
                <w:sz w:val="14"/>
                <w:szCs w:val="14"/>
                <w:lang w:val="es-ES" w:eastAsia="en-US"/>
              </w:rPr>
            </w:pPr>
            <w:r w:rsidRPr="559FA22C" w:rsidR="559FA22C">
              <w:rPr>
                <w:rFonts w:ascii="Arial" w:hAnsi="Arial" w:eastAsia="Times New Roman" w:cs="Arial"/>
                <w:b w:val="1"/>
                <w:bCs w:val="1"/>
                <w:color w:val="000000" w:themeColor="text1" w:themeTint="FF" w:themeShade="FF"/>
                <w:sz w:val="14"/>
                <w:szCs w:val="14"/>
                <w:lang w:val="es-ES" w:eastAsia="en-US"/>
              </w:rPr>
              <w:t>Escenario III</w:t>
            </w:r>
          </w:p>
        </w:tc>
        <w:tc>
          <w:tcPr>
            <w:tcW w:w="907" w:type="dxa"/>
            <w:tcBorders>
              <w:top w:val="nil"/>
              <w:left w:val="nil"/>
              <w:bottom w:val="nil"/>
              <w:right w:val="nil"/>
            </w:tcBorders>
            <w:shd w:val="clear" w:color="auto" w:fill="B4C6E7"/>
            <w:tcMar/>
            <w:vAlign w:val="center"/>
            <w:hideMark/>
          </w:tcPr>
          <w:p w:rsidRPr="002210AF" w:rsidR="00DC4F69" w:rsidP="559FA22C" w:rsidRDefault="00DC4F69" w14:paraId="372A7C86" w14:textId="77777777" w14:noSpellErr="1">
            <w:pPr>
              <w:spacing w:after="0" w:line="240" w:lineRule="auto"/>
              <w:jc w:val="center"/>
              <w:rPr>
                <w:rFonts w:ascii="Arial" w:hAnsi="Arial" w:eastAsia="Times New Roman" w:cs="Arial"/>
                <w:b w:val="1"/>
                <w:bCs w:val="1"/>
                <w:color w:val="000000" w:themeColor="text1" w:themeTint="FF" w:themeShade="FF"/>
                <w:sz w:val="14"/>
                <w:szCs w:val="14"/>
                <w:lang w:val="es-ES" w:eastAsia="en-US"/>
              </w:rPr>
            </w:pPr>
            <w:r w:rsidRPr="559FA22C" w:rsidR="559FA22C">
              <w:rPr>
                <w:rFonts w:ascii="Arial" w:hAnsi="Arial" w:eastAsia="Times New Roman" w:cs="Arial"/>
                <w:b w:val="1"/>
                <w:bCs w:val="1"/>
                <w:color w:val="000000" w:themeColor="text1" w:themeTint="FF" w:themeShade="FF"/>
                <w:sz w:val="14"/>
                <w:szCs w:val="14"/>
                <w:lang w:val="es-ES" w:eastAsia="en-US"/>
              </w:rPr>
              <w:t>Escenario IV</w:t>
            </w:r>
          </w:p>
        </w:tc>
        <w:tc>
          <w:tcPr>
            <w:tcW w:w="907" w:type="dxa"/>
            <w:tcBorders>
              <w:top w:val="nil"/>
              <w:left w:val="nil"/>
              <w:bottom w:val="nil"/>
              <w:right w:val="nil"/>
            </w:tcBorders>
            <w:shd w:val="clear" w:color="auto" w:fill="B4C6E7"/>
            <w:tcMar/>
            <w:vAlign w:val="center"/>
            <w:hideMark/>
          </w:tcPr>
          <w:p w:rsidRPr="002210AF" w:rsidR="00DC4F69" w:rsidP="559FA22C" w:rsidRDefault="00DC4F69" w14:paraId="73F7FA84" w14:textId="77777777" w14:noSpellErr="1">
            <w:pPr>
              <w:spacing w:after="0" w:line="240" w:lineRule="auto"/>
              <w:jc w:val="center"/>
              <w:rPr>
                <w:rFonts w:ascii="Arial" w:hAnsi="Arial" w:eastAsia="Times New Roman" w:cs="Arial"/>
                <w:b w:val="1"/>
                <w:bCs w:val="1"/>
                <w:color w:val="000000" w:themeColor="text1" w:themeTint="FF" w:themeShade="FF"/>
                <w:sz w:val="14"/>
                <w:szCs w:val="14"/>
                <w:lang w:val="es-ES" w:eastAsia="en-US"/>
              </w:rPr>
            </w:pPr>
            <w:r w:rsidRPr="559FA22C" w:rsidR="559FA22C">
              <w:rPr>
                <w:rFonts w:ascii="Arial" w:hAnsi="Arial" w:eastAsia="Times New Roman" w:cs="Arial"/>
                <w:b w:val="1"/>
                <w:bCs w:val="1"/>
                <w:color w:val="000000" w:themeColor="text1" w:themeTint="FF" w:themeShade="FF"/>
                <w:sz w:val="14"/>
                <w:szCs w:val="14"/>
                <w:lang w:val="es-ES" w:eastAsia="en-US"/>
              </w:rPr>
              <w:t>Escenario V</w:t>
            </w:r>
          </w:p>
        </w:tc>
        <w:tc>
          <w:tcPr>
            <w:tcW w:w="907" w:type="dxa"/>
            <w:tcBorders>
              <w:top w:val="nil"/>
              <w:left w:val="nil"/>
              <w:bottom w:val="nil"/>
              <w:right w:val="nil"/>
            </w:tcBorders>
            <w:shd w:val="clear" w:color="auto" w:fill="B4C6E7"/>
            <w:tcMar/>
            <w:vAlign w:val="center"/>
            <w:hideMark/>
          </w:tcPr>
          <w:p w:rsidRPr="002210AF" w:rsidR="00DC4F69" w:rsidP="559FA22C" w:rsidRDefault="00DC4F69" w14:paraId="0B5291FE" w14:textId="77777777" w14:noSpellErr="1">
            <w:pPr>
              <w:spacing w:after="0" w:line="240" w:lineRule="auto"/>
              <w:jc w:val="center"/>
              <w:rPr>
                <w:rFonts w:ascii="Arial" w:hAnsi="Arial" w:eastAsia="Times New Roman" w:cs="Arial"/>
                <w:b w:val="1"/>
                <w:bCs w:val="1"/>
                <w:color w:val="000000" w:themeColor="text1" w:themeTint="FF" w:themeShade="FF"/>
                <w:sz w:val="14"/>
                <w:szCs w:val="14"/>
                <w:lang w:val="es-ES" w:eastAsia="en-US"/>
              </w:rPr>
            </w:pPr>
            <w:r w:rsidRPr="559FA22C" w:rsidR="559FA22C">
              <w:rPr>
                <w:rFonts w:ascii="Arial" w:hAnsi="Arial" w:eastAsia="Times New Roman" w:cs="Arial"/>
                <w:b w:val="1"/>
                <w:bCs w:val="1"/>
                <w:color w:val="000000" w:themeColor="text1" w:themeTint="FF" w:themeShade="FF"/>
                <w:sz w:val="14"/>
                <w:szCs w:val="14"/>
                <w:lang w:val="es-ES" w:eastAsia="en-US"/>
              </w:rPr>
              <w:t>Escenario VI</w:t>
            </w:r>
          </w:p>
        </w:tc>
        <w:tc>
          <w:tcPr>
            <w:tcW w:w="907" w:type="dxa"/>
            <w:tcBorders>
              <w:top w:val="nil"/>
              <w:left w:val="nil"/>
              <w:bottom w:val="nil"/>
              <w:right w:val="nil"/>
            </w:tcBorders>
            <w:shd w:val="clear" w:color="auto" w:fill="B4C6E7"/>
            <w:tcMar/>
            <w:vAlign w:val="center"/>
            <w:hideMark/>
          </w:tcPr>
          <w:p w:rsidRPr="002210AF" w:rsidR="00DC4F69" w:rsidP="559FA22C" w:rsidRDefault="00DC4F69" w14:paraId="79B77072" w14:textId="77777777" w14:noSpellErr="1">
            <w:pPr>
              <w:spacing w:after="0" w:line="240" w:lineRule="auto"/>
              <w:jc w:val="center"/>
              <w:rPr>
                <w:rFonts w:ascii="Arial" w:hAnsi="Arial" w:eastAsia="Times New Roman" w:cs="Arial"/>
                <w:b w:val="1"/>
                <w:bCs w:val="1"/>
                <w:color w:val="000000" w:themeColor="text1" w:themeTint="FF" w:themeShade="FF"/>
                <w:sz w:val="14"/>
                <w:szCs w:val="14"/>
                <w:lang w:val="es-ES" w:eastAsia="en-US"/>
              </w:rPr>
            </w:pPr>
            <w:r w:rsidRPr="559FA22C" w:rsidR="559FA22C">
              <w:rPr>
                <w:rFonts w:ascii="Arial" w:hAnsi="Arial" w:eastAsia="Times New Roman" w:cs="Arial"/>
                <w:b w:val="1"/>
                <w:bCs w:val="1"/>
                <w:color w:val="000000" w:themeColor="text1" w:themeTint="FF" w:themeShade="FF"/>
                <w:sz w:val="14"/>
                <w:szCs w:val="14"/>
                <w:lang w:val="es-ES" w:eastAsia="en-US"/>
              </w:rPr>
              <w:t>Escenario VII</w:t>
            </w:r>
          </w:p>
        </w:tc>
        <w:tc>
          <w:tcPr>
            <w:tcW w:w="907" w:type="dxa"/>
            <w:tcBorders>
              <w:top w:val="nil"/>
              <w:left w:val="nil"/>
              <w:bottom w:val="nil"/>
              <w:right w:val="nil"/>
            </w:tcBorders>
            <w:shd w:val="clear" w:color="auto" w:fill="B4C6E7"/>
            <w:tcMar/>
            <w:vAlign w:val="center"/>
            <w:hideMark/>
          </w:tcPr>
          <w:p w:rsidRPr="002210AF" w:rsidR="00DC4F69" w:rsidP="559FA22C" w:rsidRDefault="00DC4F69" w14:paraId="0D61C7F1" w14:textId="77777777" w14:noSpellErr="1">
            <w:pPr>
              <w:spacing w:after="0" w:line="240" w:lineRule="auto"/>
              <w:jc w:val="center"/>
              <w:rPr>
                <w:rFonts w:ascii="Arial" w:hAnsi="Arial" w:eastAsia="Times New Roman" w:cs="Arial"/>
                <w:b w:val="1"/>
                <w:bCs w:val="1"/>
                <w:color w:val="000000" w:themeColor="text1" w:themeTint="FF" w:themeShade="FF"/>
                <w:sz w:val="14"/>
                <w:szCs w:val="14"/>
                <w:lang w:val="es-ES" w:eastAsia="en-US"/>
              </w:rPr>
            </w:pPr>
            <w:r w:rsidRPr="559FA22C" w:rsidR="559FA22C">
              <w:rPr>
                <w:rFonts w:ascii="Arial" w:hAnsi="Arial" w:eastAsia="Times New Roman" w:cs="Arial"/>
                <w:b w:val="1"/>
                <w:bCs w:val="1"/>
                <w:color w:val="000000" w:themeColor="text1" w:themeTint="FF" w:themeShade="FF"/>
                <w:sz w:val="14"/>
                <w:szCs w:val="14"/>
                <w:lang w:val="es-ES" w:eastAsia="en-US"/>
              </w:rPr>
              <w:t>Escenario VIII</w:t>
            </w:r>
          </w:p>
        </w:tc>
      </w:tr>
      <w:tr w:rsidRPr="00D16A82" w:rsidR="00DC4F69" w:rsidTr="559FA22C" w14:paraId="310AA3D5" w14:textId="77777777">
        <w:trPr>
          <w:trHeight w:val="600"/>
        </w:trPr>
        <w:tc>
          <w:tcPr>
            <w:tcW w:w="1530" w:type="dxa"/>
            <w:tcBorders>
              <w:top w:val="single" w:color="auto" w:sz="4" w:space="0"/>
              <w:left w:val="nil"/>
              <w:bottom w:val="single" w:color="auto" w:sz="4" w:space="0"/>
              <w:right w:val="nil"/>
            </w:tcBorders>
            <w:shd w:val="clear" w:color="auto" w:fill="B4C6E7"/>
            <w:tcMar/>
            <w:vAlign w:val="center"/>
            <w:hideMark/>
          </w:tcPr>
          <w:p w:rsidRPr="002210AF" w:rsidR="00DC4F69" w:rsidP="559FA22C" w:rsidRDefault="00DC4F69" w14:paraId="67ECEE47" w14:noSpellErr="1" w14:textId="20CE1DD2">
            <w:pPr>
              <w:spacing w:after="0" w:line="240" w:lineRule="auto"/>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 xml:space="preserve">Monto de la </w:t>
            </w:r>
            <w:r w:rsidRPr="559FA22C" w:rsidR="559FA22C">
              <w:rPr>
                <w:rFonts w:ascii="Arial" w:hAnsi="Arial" w:eastAsia="Times New Roman" w:cs="Arial"/>
                <w:color w:val="000000" w:themeColor="text1" w:themeTint="FF" w:themeShade="FF"/>
                <w:sz w:val="14"/>
                <w:szCs w:val="14"/>
                <w:lang w:val="es-ES" w:eastAsia="en-US"/>
              </w:rPr>
              <w:t>FFMR</w:t>
            </w:r>
          </w:p>
        </w:tc>
        <w:tc>
          <w:tcPr>
            <w:tcW w:w="1440" w:type="dxa"/>
            <w:tcBorders>
              <w:top w:val="single" w:color="auto" w:sz="4" w:space="0"/>
              <w:left w:val="nil"/>
              <w:bottom w:val="single" w:color="auto" w:sz="4" w:space="0"/>
              <w:right w:val="nil"/>
            </w:tcBorders>
            <w:shd w:val="clear" w:color="auto" w:fill="EAF1DD" w:themeFill="accent3" w:themeFillTint="33"/>
            <w:tcMar/>
            <w:vAlign w:val="center"/>
            <w:hideMark/>
          </w:tcPr>
          <w:p w:rsidRPr="002210AF" w:rsidR="00DC4F69" w:rsidP="559FA22C" w:rsidRDefault="00DC4F69" w14:paraId="077E11E8" w14:textId="77777777" w14:noSpellErr="1">
            <w:pPr>
              <w:spacing w:after="0" w:line="240" w:lineRule="auto"/>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US$ 490 millones</w:t>
            </w:r>
          </w:p>
        </w:tc>
        <w:tc>
          <w:tcPr>
            <w:tcW w:w="907" w:type="dxa"/>
            <w:tcBorders>
              <w:top w:val="single" w:color="auto" w:sz="4" w:space="0"/>
              <w:left w:val="nil"/>
              <w:bottom w:val="single" w:color="auto" w:sz="4" w:space="0"/>
              <w:right w:val="nil"/>
            </w:tcBorders>
            <w:shd w:val="clear" w:color="auto" w:fill="auto"/>
            <w:tcMar/>
            <w:vAlign w:val="center"/>
            <w:hideMark/>
          </w:tcPr>
          <w:p w:rsidRPr="002210AF" w:rsidR="00DC4F69" w:rsidP="559FA22C" w:rsidRDefault="00DC4F69" w14:paraId="0A81AB48" w14:textId="77777777" w14:noSpellErr="1">
            <w:pPr>
              <w:spacing w:after="0" w:line="240" w:lineRule="auto"/>
              <w:ind w:left="-24"/>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single" w:color="auto" w:sz="4" w:space="0"/>
              <w:left w:val="nil"/>
              <w:bottom w:val="single" w:color="auto" w:sz="4" w:space="0"/>
              <w:right w:val="nil"/>
            </w:tcBorders>
            <w:shd w:val="clear" w:color="auto" w:fill="auto"/>
            <w:tcMar/>
            <w:vAlign w:val="center"/>
            <w:hideMark/>
          </w:tcPr>
          <w:p w:rsidRPr="002210AF" w:rsidR="00DC4F69" w:rsidP="559FA22C" w:rsidRDefault="00DC4F69" w14:paraId="2B948CE6" w14:textId="77777777" w14:noSpellErr="1">
            <w:pPr>
              <w:spacing w:after="0" w:line="240" w:lineRule="auto"/>
              <w:ind w:left="-114"/>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single" w:color="auto" w:sz="4" w:space="0"/>
              <w:left w:val="nil"/>
              <w:bottom w:val="single" w:color="auto" w:sz="4" w:space="0"/>
              <w:right w:val="nil"/>
            </w:tcBorders>
            <w:shd w:val="clear" w:color="auto" w:fill="auto"/>
            <w:tcMar/>
            <w:vAlign w:val="center"/>
            <w:hideMark/>
          </w:tcPr>
          <w:p w:rsidRPr="002210AF" w:rsidR="00DC4F69" w:rsidP="559FA22C" w:rsidRDefault="00DC4F69" w14:paraId="7CEE1FAE" w14:textId="77777777" w14:noSpellErr="1">
            <w:pPr>
              <w:spacing w:after="0" w:line="240" w:lineRule="auto"/>
              <w:ind w:left="-36"/>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single" w:color="auto" w:sz="4" w:space="0"/>
              <w:left w:val="nil"/>
              <w:bottom w:val="single" w:color="auto" w:sz="4" w:space="0"/>
              <w:right w:val="nil"/>
            </w:tcBorders>
            <w:shd w:val="clear" w:color="auto" w:fill="auto"/>
            <w:tcMar/>
            <w:vAlign w:val="center"/>
            <w:hideMark/>
          </w:tcPr>
          <w:p w:rsidRPr="002210AF" w:rsidR="00DC4F69" w:rsidP="559FA22C" w:rsidRDefault="00DC4F69" w14:paraId="56424507" w14:textId="77777777" w14:noSpellErr="1">
            <w:pPr>
              <w:spacing w:after="0" w:line="240" w:lineRule="auto"/>
              <w:ind w:left="-36"/>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single" w:color="auto" w:sz="4" w:space="0"/>
              <w:left w:val="nil"/>
              <w:bottom w:val="single" w:color="auto" w:sz="4" w:space="0"/>
              <w:right w:val="nil"/>
            </w:tcBorders>
            <w:shd w:val="clear" w:color="auto" w:fill="auto"/>
            <w:tcMar/>
            <w:vAlign w:val="center"/>
            <w:hideMark/>
          </w:tcPr>
          <w:p w:rsidRPr="002210AF" w:rsidR="00DC4F69" w:rsidP="559FA22C" w:rsidRDefault="00DC4F69" w14:paraId="475F1042" w14:textId="77777777" w14:noSpellErr="1">
            <w:pPr>
              <w:spacing w:after="0" w:line="240" w:lineRule="auto"/>
              <w:ind w:left="-48"/>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single" w:color="auto" w:sz="4" w:space="0"/>
              <w:left w:val="nil"/>
              <w:bottom w:val="single" w:color="auto" w:sz="4" w:space="0"/>
              <w:right w:val="nil"/>
            </w:tcBorders>
            <w:shd w:val="clear" w:color="auto" w:fill="auto"/>
            <w:tcMar/>
            <w:vAlign w:val="center"/>
            <w:hideMark/>
          </w:tcPr>
          <w:p w:rsidRPr="002210AF" w:rsidR="00DC4F69" w:rsidP="559FA22C" w:rsidRDefault="00DC4F69" w14:paraId="24FF9157" w14:textId="77777777" w14:noSpellErr="1">
            <w:pPr>
              <w:spacing w:after="0" w:line="240" w:lineRule="auto"/>
              <w:ind w:left="-48"/>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single" w:color="auto" w:sz="4" w:space="0"/>
              <w:left w:val="nil"/>
              <w:bottom w:val="single" w:color="auto" w:sz="4" w:space="0"/>
              <w:right w:val="nil"/>
            </w:tcBorders>
            <w:shd w:val="clear" w:color="auto" w:fill="auto"/>
            <w:tcMar/>
            <w:vAlign w:val="center"/>
            <w:hideMark/>
          </w:tcPr>
          <w:p w:rsidRPr="002210AF" w:rsidR="00DC4F69" w:rsidP="559FA22C" w:rsidRDefault="00DC4F69" w14:paraId="7B777684" w14:textId="77777777" w14:noSpellErr="1">
            <w:pPr>
              <w:spacing w:after="0" w:line="240" w:lineRule="auto"/>
              <w:ind w:left="-60"/>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r>
      <w:tr w:rsidRPr="00D16A82" w:rsidR="00DC4F69" w:rsidTr="559FA22C" w14:paraId="0A6C91BB" w14:textId="77777777">
        <w:trPr>
          <w:trHeight w:val="600"/>
        </w:trPr>
        <w:tc>
          <w:tcPr>
            <w:tcW w:w="1530" w:type="dxa"/>
            <w:tcBorders>
              <w:top w:val="nil"/>
              <w:left w:val="nil"/>
              <w:bottom w:val="single" w:color="auto" w:sz="4" w:space="0"/>
              <w:right w:val="nil"/>
            </w:tcBorders>
            <w:shd w:val="clear" w:color="auto" w:fill="B4C6E7"/>
            <w:tcMar/>
            <w:vAlign w:val="center"/>
            <w:hideMark/>
          </w:tcPr>
          <w:p w:rsidRPr="002210AF" w:rsidR="00DC4F69" w:rsidP="559FA22C" w:rsidRDefault="00DC4F69" w14:paraId="003C0237" w14:noSpellErr="1" w14:textId="49DC334D">
            <w:pPr>
              <w:spacing w:after="0" w:line="240" w:lineRule="auto"/>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 xml:space="preserve">Costos operativos de la </w:t>
            </w:r>
            <w:r w:rsidRPr="559FA22C" w:rsidR="559FA22C">
              <w:rPr>
                <w:rFonts w:ascii="Arial" w:hAnsi="Arial" w:eastAsia="Times New Roman" w:cs="Arial"/>
                <w:color w:val="000000" w:themeColor="text1" w:themeTint="FF" w:themeShade="FF"/>
                <w:sz w:val="14"/>
                <w:szCs w:val="14"/>
                <w:lang w:val="es-ES" w:eastAsia="en-US"/>
              </w:rPr>
              <w:t>FFMR</w:t>
            </w:r>
          </w:p>
        </w:tc>
        <w:tc>
          <w:tcPr>
            <w:tcW w:w="1440" w:type="dxa"/>
            <w:tcBorders>
              <w:top w:val="nil"/>
              <w:left w:val="nil"/>
              <w:bottom w:val="single" w:color="auto" w:sz="4" w:space="0"/>
              <w:right w:val="nil"/>
            </w:tcBorders>
            <w:shd w:val="clear" w:color="auto" w:fill="EAF1DD" w:themeFill="accent3" w:themeFillTint="33"/>
            <w:tcMar/>
            <w:vAlign w:val="center"/>
            <w:hideMark/>
          </w:tcPr>
          <w:p w:rsidRPr="002210AF" w:rsidR="00DC4F69" w:rsidP="559FA22C" w:rsidRDefault="00DC4F69" w14:paraId="192DB7AC" w14:textId="77777777" w14:noSpellErr="1">
            <w:pPr>
              <w:spacing w:after="0" w:line="240" w:lineRule="auto"/>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US$ 10 millones (imputados al 1er año)</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09EC041A" w14:textId="77777777" w14:noSpellErr="1">
            <w:pPr>
              <w:spacing w:after="0" w:line="240" w:lineRule="auto"/>
              <w:ind w:left="-24"/>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3E660748" w14:textId="77777777" w14:noSpellErr="1">
            <w:pPr>
              <w:spacing w:after="0" w:line="240" w:lineRule="auto"/>
              <w:ind w:left="-114"/>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6B323D23" w14:textId="77777777" w14:noSpellErr="1">
            <w:pPr>
              <w:spacing w:after="0" w:line="240" w:lineRule="auto"/>
              <w:ind w:left="-36"/>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01604DEC" w14:textId="77777777" w14:noSpellErr="1">
            <w:pPr>
              <w:spacing w:after="0" w:line="240" w:lineRule="auto"/>
              <w:ind w:left="-36"/>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669A00EB" w14:textId="77777777" w14:noSpellErr="1">
            <w:pPr>
              <w:spacing w:after="0" w:line="240" w:lineRule="auto"/>
              <w:ind w:left="-48"/>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3D221B54" w14:textId="77777777" w14:noSpellErr="1">
            <w:pPr>
              <w:spacing w:after="0" w:line="240" w:lineRule="auto"/>
              <w:ind w:left="-48"/>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607F304B" w14:textId="77777777" w14:noSpellErr="1">
            <w:pPr>
              <w:spacing w:after="0" w:line="240" w:lineRule="auto"/>
              <w:ind w:left="-60"/>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r>
      <w:tr w:rsidRPr="00D16A82" w:rsidR="00DC4F69" w:rsidTr="559FA22C" w14:paraId="003FE60E" w14:textId="77777777">
        <w:trPr>
          <w:trHeight w:val="600"/>
        </w:trPr>
        <w:tc>
          <w:tcPr>
            <w:tcW w:w="1530" w:type="dxa"/>
            <w:tcBorders>
              <w:top w:val="nil"/>
              <w:left w:val="nil"/>
              <w:bottom w:val="single" w:color="auto" w:sz="4" w:space="0"/>
              <w:right w:val="nil"/>
            </w:tcBorders>
            <w:shd w:val="clear" w:color="auto" w:fill="B4C6E7"/>
            <w:tcMar/>
            <w:vAlign w:val="center"/>
            <w:hideMark/>
          </w:tcPr>
          <w:p w:rsidRPr="002210AF" w:rsidR="00DC4F69" w:rsidP="559FA22C" w:rsidRDefault="00D16A82" w14:paraId="021F564E" w14:noSpellErr="1" w14:textId="4783BCD2">
            <w:pPr>
              <w:spacing w:after="0" w:line="240" w:lineRule="auto"/>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 garantizado</w:t>
            </w:r>
            <w:r w:rsidRPr="559FA22C" w:rsidR="559FA22C">
              <w:rPr>
                <w:rFonts w:ascii="Arial" w:hAnsi="Arial" w:eastAsia="Times New Roman" w:cs="Arial"/>
                <w:color w:val="000000" w:themeColor="text1" w:themeTint="FF" w:themeShade="FF"/>
                <w:sz w:val="14"/>
                <w:szCs w:val="14"/>
                <w:lang w:val="es-ES" w:eastAsia="en-US"/>
              </w:rPr>
              <w:t xml:space="preserve"> sobre el total de la </w:t>
            </w:r>
            <w:r w:rsidRPr="559FA22C" w:rsidR="559FA22C">
              <w:rPr>
                <w:rFonts w:ascii="Arial" w:hAnsi="Arial" w:eastAsia="Times New Roman" w:cs="Arial"/>
                <w:color w:val="000000" w:themeColor="text1" w:themeTint="FF" w:themeShade="FF"/>
                <w:sz w:val="14"/>
                <w:szCs w:val="14"/>
                <w:lang w:val="es-ES" w:eastAsia="en-US"/>
              </w:rPr>
              <w:t>FFMR</w:t>
            </w:r>
          </w:p>
        </w:tc>
        <w:tc>
          <w:tcPr>
            <w:tcW w:w="1440" w:type="dxa"/>
            <w:tcBorders>
              <w:top w:val="nil"/>
              <w:left w:val="nil"/>
              <w:bottom w:val="single" w:color="auto" w:sz="4" w:space="0"/>
              <w:right w:val="nil"/>
            </w:tcBorders>
            <w:shd w:val="clear" w:color="auto" w:fill="EAF1DD" w:themeFill="accent3" w:themeFillTint="33"/>
            <w:tcMar/>
            <w:vAlign w:val="center"/>
            <w:hideMark/>
          </w:tcPr>
          <w:p w:rsidRPr="002210AF" w:rsidR="00DC4F69" w:rsidP="559FA22C" w:rsidRDefault="00DC4F69" w14:paraId="073E97A0" w14:textId="77777777" w14:noSpellErr="1">
            <w:pPr>
              <w:spacing w:after="0" w:line="240" w:lineRule="auto"/>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100% (imputado a lo largo de los 5 primeros años, en igual monto)</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074B8BD4" w14:textId="77777777" w14:noSpellErr="1">
            <w:pPr>
              <w:spacing w:after="0" w:line="240" w:lineRule="auto"/>
              <w:ind w:left="-24"/>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783FFF0C" w14:textId="77777777" w14:noSpellErr="1">
            <w:pPr>
              <w:spacing w:after="0" w:line="240" w:lineRule="auto"/>
              <w:ind w:left="-114"/>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4A286566" w14:textId="77777777" w14:noSpellErr="1">
            <w:pPr>
              <w:spacing w:after="0" w:line="240" w:lineRule="auto"/>
              <w:ind w:left="-36"/>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0AC6DE89" w14:textId="77777777" w14:noSpellErr="1">
            <w:pPr>
              <w:spacing w:after="0" w:line="240" w:lineRule="auto"/>
              <w:ind w:left="-36"/>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0A53F781" w14:textId="77777777" w14:noSpellErr="1">
            <w:pPr>
              <w:spacing w:after="0" w:line="240" w:lineRule="auto"/>
              <w:ind w:left="-48"/>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524AB926" w14:textId="77777777" w14:noSpellErr="1">
            <w:pPr>
              <w:spacing w:after="0" w:line="240" w:lineRule="auto"/>
              <w:ind w:left="-48"/>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17ADC3DE" w14:textId="77777777" w14:noSpellErr="1">
            <w:pPr>
              <w:spacing w:after="0" w:line="240" w:lineRule="auto"/>
              <w:ind w:left="-60"/>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r>
      <w:tr w:rsidRPr="00D16A82" w:rsidR="00DC4F69" w:rsidTr="559FA22C" w14:paraId="0A8F93F3" w14:textId="77777777">
        <w:trPr>
          <w:trHeight w:val="600"/>
        </w:trPr>
        <w:tc>
          <w:tcPr>
            <w:tcW w:w="1530" w:type="dxa"/>
            <w:tcBorders>
              <w:top w:val="nil"/>
              <w:left w:val="nil"/>
              <w:bottom w:val="single" w:color="auto" w:sz="4" w:space="0"/>
              <w:right w:val="nil"/>
            </w:tcBorders>
            <w:shd w:val="clear" w:color="auto" w:fill="B4C6E7"/>
            <w:tcMar/>
            <w:vAlign w:val="center"/>
            <w:hideMark/>
          </w:tcPr>
          <w:p w:rsidRPr="002210AF" w:rsidR="00DC4F69" w:rsidP="559FA22C" w:rsidRDefault="00DC4F69" w14:paraId="2E6968B9" w14:noSpellErr="1" w14:textId="20A9221F">
            <w:pPr>
              <w:spacing w:after="0" w:line="240" w:lineRule="auto"/>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 xml:space="preserve">Costo del monto de la </w:t>
            </w:r>
            <w:r w:rsidRPr="559FA22C" w:rsidR="559FA22C">
              <w:rPr>
                <w:rFonts w:ascii="Arial" w:hAnsi="Arial" w:eastAsia="Times New Roman" w:cs="Arial"/>
                <w:color w:val="000000" w:themeColor="text1" w:themeTint="FF" w:themeShade="FF"/>
                <w:sz w:val="14"/>
                <w:szCs w:val="14"/>
                <w:lang w:val="es-ES" w:eastAsia="en-US"/>
              </w:rPr>
              <w:t>FFMR</w:t>
            </w:r>
            <w:r w:rsidRPr="559FA22C" w:rsidR="559FA22C">
              <w:rPr>
                <w:rFonts w:ascii="Arial" w:hAnsi="Arial" w:eastAsia="Times New Roman" w:cs="Arial"/>
                <w:color w:val="000000" w:themeColor="text1" w:themeTint="FF" w:themeShade="FF"/>
                <w:sz w:val="14"/>
                <w:szCs w:val="14"/>
                <w:lang w:val="es-ES" w:eastAsia="en-US"/>
              </w:rPr>
              <w:t xml:space="preserve"> sin garantía emitida</w:t>
            </w:r>
          </w:p>
        </w:tc>
        <w:tc>
          <w:tcPr>
            <w:tcW w:w="1440" w:type="dxa"/>
            <w:tcBorders>
              <w:top w:val="nil"/>
              <w:left w:val="nil"/>
              <w:bottom w:val="single" w:color="auto" w:sz="4" w:space="0"/>
              <w:right w:val="nil"/>
            </w:tcBorders>
            <w:shd w:val="clear" w:color="auto" w:fill="EAF1DD" w:themeFill="accent3" w:themeFillTint="33"/>
            <w:tcMar/>
            <w:vAlign w:val="center"/>
            <w:hideMark/>
          </w:tcPr>
          <w:p w:rsidRPr="002210AF" w:rsidR="00DC4F69" w:rsidP="559FA22C" w:rsidRDefault="00DC4F69" w14:paraId="1CE35F8C" w14:textId="0761EB09" w14:noSpellErr="1">
            <w:pPr>
              <w:spacing w:after="0" w:line="240" w:lineRule="auto"/>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 xml:space="preserve">50 puntos </w:t>
            </w:r>
            <w:r w:rsidRPr="559FA22C" w:rsidR="559FA22C">
              <w:rPr>
                <w:rFonts w:ascii="Arial" w:hAnsi="Arial" w:eastAsia="Times New Roman" w:cs="Arial"/>
                <w:color w:val="000000" w:themeColor="text1" w:themeTint="FF" w:themeShade="FF"/>
                <w:sz w:val="14"/>
                <w:szCs w:val="14"/>
                <w:lang w:val="es-ES" w:eastAsia="en-US"/>
              </w:rPr>
              <w:t>básicos</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59D533A8" w14:textId="77777777" w14:noSpellErr="1">
            <w:pPr>
              <w:spacing w:after="0" w:line="240" w:lineRule="auto"/>
              <w:ind w:left="-24"/>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632B9DE7" w14:textId="77777777" w14:noSpellErr="1">
            <w:pPr>
              <w:spacing w:after="0" w:line="240" w:lineRule="auto"/>
              <w:ind w:left="-114"/>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1B559A03" w14:textId="77777777" w14:noSpellErr="1">
            <w:pPr>
              <w:spacing w:after="0" w:line="240" w:lineRule="auto"/>
              <w:ind w:left="-36"/>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3E021891" w14:textId="77777777" w14:noSpellErr="1">
            <w:pPr>
              <w:spacing w:after="0" w:line="240" w:lineRule="auto"/>
              <w:ind w:left="-36"/>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71754458" w14:textId="77777777" w14:noSpellErr="1">
            <w:pPr>
              <w:spacing w:after="0" w:line="240" w:lineRule="auto"/>
              <w:ind w:left="-48"/>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3ACBE3B9" w14:textId="77777777" w14:noSpellErr="1">
            <w:pPr>
              <w:spacing w:after="0" w:line="240" w:lineRule="auto"/>
              <w:ind w:left="-48"/>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3AEBFE82" w14:textId="77777777" w14:noSpellErr="1">
            <w:pPr>
              <w:spacing w:after="0" w:line="240" w:lineRule="auto"/>
              <w:ind w:left="-60"/>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r>
      <w:tr w:rsidRPr="00D16A82" w:rsidR="00DC4F69" w:rsidTr="559FA22C" w14:paraId="35636060" w14:textId="77777777">
        <w:trPr>
          <w:trHeight w:val="600"/>
        </w:trPr>
        <w:tc>
          <w:tcPr>
            <w:tcW w:w="1530" w:type="dxa"/>
            <w:tcBorders>
              <w:top w:val="nil"/>
              <w:left w:val="nil"/>
              <w:bottom w:val="single" w:color="auto" w:sz="4" w:space="0"/>
              <w:right w:val="nil"/>
            </w:tcBorders>
            <w:shd w:val="clear" w:color="auto" w:fill="B4C6E7"/>
            <w:tcMar/>
            <w:vAlign w:val="center"/>
            <w:hideMark/>
          </w:tcPr>
          <w:p w:rsidRPr="002210AF" w:rsidR="00DC4F69" w:rsidP="559FA22C" w:rsidRDefault="00DC4F69" w14:paraId="412B9922" w14:noSpellErr="1" w14:textId="0DCAC9DF">
            <w:pPr>
              <w:spacing w:after="0" w:line="240" w:lineRule="auto"/>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 xml:space="preserve">Costo del monto de la </w:t>
            </w:r>
            <w:r w:rsidRPr="559FA22C" w:rsidR="559FA22C">
              <w:rPr>
                <w:rFonts w:ascii="Arial" w:hAnsi="Arial" w:eastAsia="Times New Roman" w:cs="Arial"/>
                <w:color w:val="000000" w:themeColor="text1" w:themeTint="FF" w:themeShade="FF"/>
                <w:sz w:val="14"/>
                <w:szCs w:val="14"/>
                <w:lang w:val="es-ES" w:eastAsia="en-US"/>
              </w:rPr>
              <w:t>FFMR</w:t>
            </w:r>
            <w:r w:rsidRPr="559FA22C" w:rsidR="559FA22C">
              <w:rPr>
                <w:rFonts w:ascii="Arial" w:hAnsi="Arial" w:eastAsia="Times New Roman" w:cs="Arial"/>
                <w:color w:val="000000" w:themeColor="text1" w:themeTint="FF" w:themeShade="FF"/>
                <w:sz w:val="14"/>
                <w:szCs w:val="14"/>
                <w:lang w:val="es-ES" w:eastAsia="en-US"/>
              </w:rPr>
              <w:t xml:space="preserve"> con garantía emitida y sin reclamar</w:t>
            </w:r>
          </w:p>
        </w:tc>
        <w:tc>
          <w:tcPr>
            <w:tcW w:w="1440" w:type="dxa"/>
            <w:tcBorders>
              <w:top w:val="nil"/>
              <w:left w:val="nil"/>
              <w:bottom w:val="single" w:color="auto" w:sz="4" w:space="0"/>
              <w:right w:val="nil"/>
            </w:tcBorders>
            <w:shd w:val="clear" w:color="auto" w:fill="EAF1DD" w:themeFill="accent3" w:themeFillTint="33"/>
            <w:tcMar/>
            <w:vAlign w:val="center"/>
            <w:hideMark/>
          </w:tcPr>
          <w:p w:rsidRPr="002210AF" w:rsidR="00DC4F69" w:rsidP="559FA22C" w:rsidRDefault="00DC4F69" w14:paraId="409E8E9C" w14:textId="275782FB" w14:noSpellErr="1">
            <w:pPr>
              <w:spacing w:after="0" w:line="240" w:lineRule="auto"/>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 xml:space="preserve">85 puntos </w:t>
            </w:r>
            <w:r w:rsidRPr="559FA22C" w:rsidR="559FA22C">
              <w:rPr>
                <w:rFonts w:ascii="Arial" w:hAnsi="Arial" w:eastAsia="Times New Roman" w:cs="Arial"/>
                <w:color w:val="000000" w:themeColor="text1" w:themeTint="FF" w:themeShade="FF"/>
                <w:sz w:val="14"/>
                <w:szCs w:val="14"/>
                <w:lang w:val="es-ES" w:eastAsia="en-US"/>
              </w:rPr>
              <w:t>básicos</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1DD1C7AC" w14:textId="77777777" w14:noSpellErr="1">
            <w:pPr>
              <w:spacing w:after="0" w:line="240" w:lineRule="auto"/>
              <w:ind w:left="-24"/>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13E5D286" w14:textId="77777777" w14:noSpellErr="1">
            <w:pPr>
              <w:spacing w:after="0" w:line="240" w:lineRule="auto"/>
              <w:ind w:left="-114"/>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72CA2BA1" w14:textId="77777777" w14:noSpellErr="1">
            <w:pPr>
              <w:spacing w:after="0" w:line="240" w:lineRule="auto"/>
              <w:ind w:left="-36"/>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50F8AE3B" w14:textId="77777777" w14:noSpellErr="1">
            <w:pPr>
              <w:spacing w:after="0" w:line="240" w:lineRule="auto"/>
              <w:ind w:left="-36"/>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6F40F941" w14:textId="77777777" w14:noSpellErr="1">
            <w:pPr>
              <w:spacing w:after="0" w:line="240" w:lineRule="auto"/>
              <w:ind w:left="-48"/>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2AA71B11" w14:textId="77777777" w14:noSpellErr="1">
            <w:pPr>
              <w:spacing w:after="0" w:line="240" w:lineRule="auto"/>
              <w:ind w:left="-48"/>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67C616BE" w14:textId="77777777" w14:noSpellErr="1">
            <w:pPr>
              <w:spacing w:after="0" w:line="240" w:lineRule="auto"/>
              <w:ind w:left="-60"/>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r>
      <w:tr w:rsidRPr="00D16A82" w:rsidR="00DC4F69" w:rsidTr="559FA22C" w14:paraId="38DE34C1" w14:textId="77777777">
        <w:trPr>
          <w:trHeight w:val="600"/>
        </w:trPr>
        <w:tc>
          <w:tcPr>
            <w:tcW w:w="1530" w:type="dxa"/>
            <w:tcBorders>
              <w:top w:val="nil"/>
              <w:left w:val="nil"/>
              <w:bottom w:val="single" w:color="auto" w:sz="4" w:space="0"/>
              <w:right w:val="nil"/>
            </w:tcBorders>
            <w:shd w:val="clear" w:color="auto" w:fill="B4C6E7"/>
            <w:tcMar/>
            <w:vAlign w:val="center"/>
            <w:hideMark/>
          </w:tcPr>
          <w:p w:rsidRPr="002210AF" w:rsidR="00DC4F69" w:rsidP="559FA22C" w:rsidRDefault="00DC4F69" w14:paraId="40750530" w14:textId="77777777" w14:noSpellErr="1">
            <w:pPr>
              <w:spacing w:after="0" w:line="240" w:lineRule="auto"/>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Costo del monto con garantía emitida y reclamada</w:t>
            </w:r>
          </w:p>
        </w:tc>
        <w:tc>
          <w:tcPr>
            <w:tcW w:w="1440" w:type="dxa"/>
            <w:tcBorders>
              <w:top w:val="nil"/>
              <w:left w:val="nil"/>
              <w:bottom w:val="single" w:color="auto" w:sz="4" w:space="0"/>
              <w:right w:val="nil"/>
            </w:tcBorders>
            <w:shd w:val="clear" w:color="auto" w:fill="EAF1DD" w:themeFill="accent3" w:themeFillTint="33"/>
            <w:tcMar/>
            <w:vAlign w:val="center"/>
            <w:hideMark/>
          </w:tcPr>
          <w:p w:rsidRPr="002210AF" w:rsidR="00DC4F69" w:rsidP="559FA22C" w:rsidRDefault="00DC4F69" w14:paraId="6454D2C2" w14:textId="48372CD3" w14:noSpellErr="1">
            <w:pPr>
              <w:spacing w:after="0" w:line="240" w:lineRule="auto"/>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 xml:space="preserve">LIBOR + 85 puntos </w:t>
            </w:r>
            <w:r w:rsidRPr="559FA22C" w:rsidR="559FA22C">
              <w:rPr>
                <w:rFonts w:ascii="Arial" w:hAnsi="Arial" w:eastAsia="Times New Roman" w:cs="Arial"/>
                <w:color w:val="000000" w:themeColor="text1" w:themeTint="FF" w:themeShade="FF"/>
                <w:sz w:val="14"/>
                <w:szCs w:val="14"/>
                <w:lang w:val="es-ES" w:eastAsia="en-US"/>
              </w:rPr>
              <w:t>básicos</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252651E4" w14:textId="77777777" w14:noSpellErr="1">
            <w:pPr>
              <w:spacing w:after="0" w:line="240" w:lineRule="auto"/>
              <w:ind w:left="-24"/>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4A206381" w14:textId="77777777" w14:noSpellErr="1">
            <w:pPr>
              <w:spacing w:after="0" w:line="240" w:lineRule="auto"/>
              <w:ind w:left="-114"/>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5796373C" w14:textId="77777777" w14:noSpellErr="1">
            <w:pPr>
              <w:spacing w:after="0" w:line="240" w:lineRule="auto"/>
              <w:ind w:left="-36"/>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38D1DDCD" w14:textId="77777777" w14:noSpellErr="1">
            <w:pPr>
              <w:spacing w:after="0" w:line="240" w:lineRule="auto"/>
              <w:ind w:left="-36"/>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6636D59D" w14:textId="77777777" w14:noSpellErr="1">
            <w:pPr>
              <w:spacing w:after="0" w:line="240" w:lineRule="auto"/>
              <w:ind w:left="-48"/>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60ADE790" w14:textId="77777777" w14:noSpellErr="1">
            <w:pPr>
              <w:spacing w:after="0" w:line="240" w:lineRule="auto"/>
              <w:ind w:left="-48"/>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0A995F00" w14:textId="77777777" w14:noSpellErr="1">
            <w:pPr>
              <w:spacing w:after="0" w:line="240" w:lineRule="auto"/>
              <w:ind w:left="-60"/>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r>
      <w:tr w:rsidRPr="00D16A82" w:rsidR="00DC4F69" w:rsidTr="559FA22C" w14:paraId="265071BC" w14:textId="77777777">
        <w:trPr>
          <w:trHeight w:val="600"/>
        </w:trPr>
        <w:tc>
          <w:tcPr>
            <w:tcW w:w="1530" w:type="dxa"/>
            <w:tcBorders>
              <w:top w:val="nil"/>
              <w:left w:val="nil"/>
              <w:bottom w:val="single" w:color="auto" w:sz="4" w:space="0"/>
              <w:right w:val="nil"/>
            </w:tcBorders>
            <w:shd w:val="clear" w:color="auto" w:fill="B4C6E7"/>
            <w:tcMar/>
            <w:vAlign w:val="center"/>
            <w:hideMark/>
          </w:tcPr>
          <w:p w:rsidRPr="002210AF" w:rsidR="00DC4F69" w:rsidP="559FA22C" w:rsidRDefault="00DC4F69" w14:paraId="3F9A9AF8" w14:textId="77777777" w14:noSpellErr="1">
            <w:pPr>
              <w:spacing w:after="0" w:line="240" w:lineRule="auto"/>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 reclamado sobre el monto total garantizado</w:t>
            </w:r>
          </w:p>
        </w:tc>
        <w:tc>
          <w:tcPr>
            <w:tcW w:w="1440" w:type="dxa"/>
            <w:tcBorders>
              <w:top w:val="nil"/>
              <w:left w:val="nil"/>
              <w:bottom w:val="single" w:color="auto" w:sz="4" w:space="0"/>
              <w:right w:val="nil"/>
            </w:tcBorders>
            <w:shd w:val="clear" w:color="auto" w:fill="EAF1DD" w:themeFill="accent3" w:themeFillTint="33"/>
            <w:tcMar/>
            <w:vAlign w:val="center"/>
            <w:hideMark/>
          </w:tcPr>
          <w:p w:rsidRPr="002210AF" w:rsidR="00DC4F69" w:rsidP="559FA22C" w:rsidRDefault="00DC4F69" w14:paraId="2937E12E" w14:textId="77777777" w14:noSpellErr="1">
            <w:pPr>
              <w:spacing w:after="0" w:line="240" w:lineRule="auto"/>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10%</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5FC66751" w14:textId="77777777" w14:noSpellErr="1">
            <w:pPr>
              <w:spacing w:after="0" w:line="240" w:lineRule="auto"/>
              <w:ind w:left="-24"/>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597684D0" w14:textId="77777777" w14:noSpellErr="1">
            <w:pPr>
              <w:spacing w:after="0" w:line="240" w:lineRule="auto"/>
              <w:ind w:left="-114"/>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32D1F91A" w14:textId="77777777" w14:noSpellErr="1">
            <w:pPr>
              <w:spacing w:after="0" w:line="240" w:lineRule="auto"/>
              <w:ind w:left="-36"/>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3C4E369C" w14:textId="77777777" w14:noSpellErr="1">
            <w:pPr>
              <w:spacing w:after="0" w:line="240" w:lineRule="auto"/>
              <w:ind w:left="-36"/>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EAF1DD" w:themeFill="accent3" w:themeFillTint="33"/>
            <w:tcMar/>
            <w:vAlign w:val="center"/>
            <w:hideMark/>
          </w:tcPr>
          <w:p w:rsidRPr="002210AF" w:rsidR="00DC4F69" w:rsidP="559FA22C" w:rsidRDefault="00423D5E" w14:paraId="1F91C22F" w14:textId="3286A9EE" w14:noSpellErr="1">
            <w:pPr>
              <w:spacing w:after="0" w:line="240" w:lineRule="auto"/>
              <w:ind w:left="-48"/>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20</w:t>
            </w:r>
            <w:r w:rsidRPr="559FA22C" w:rsidR="559FA22C">
              <w:rPr>
                <w:rFonts w:ascii="Arial" w:hAnsi="Arial" w:eastAsia="Times New Roman" w:cs="Arial"/>
                <w:color w:val="000000" w:themeColor="text1" w:themeTint="FF" w:themeShade="FF"/>
                <w:sz w:val="14"/>
                <w:szCs w:val="14"/>
                <w:lang w:val="es-ES" w:eastAsia="en-US"/>
              </w:rPr>
              <w:t>%</w:t>
            </w:r>
          </w:p>
        </w:tc>
        <w:tc>
          <w:tcPr>
            <w:tcW w:w="907" w:type="dxa"/>
            <w:tcBorders>
              <w:top w:val="nil"/>
              <w:left w:val="nil"/>
              <w:bottom w:val="single" w:color="auto" w:sz="4" w:space="0"/>
              <w:right w:val="nil"/>
            </w:tcBorders>
            <w:shd w:val="clear" w:color="auto" w:fill="EAF1DD" w:themeFill="accent3" w:themeFillTint="33"/>
            <w:tcMar/>
            <w:vAlign w:val="center"/>
            <w:hideMark/>
          </w:tcPr>
          <w:p w:rsidRPr="002210AF" w:rsidR="00DC4F69" w:rsidP="559FA22C" w:rsidRDefault="00423D5E" w14:paraId="35D351CD" w14:textId="72295F08" w14:noSpellErr="1">
            <w:pPr>
              <w:spacing w:after="0" w:line="240" w:lineRule="auto"/>
              <w:ind w:left="-48"/>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30</w:t>
            </w:r>
            <w:r w:rsidRPr="559FA22C" w:rsidR="559FA22C">
              <w:rPr>
                <w:rFonts w:ascii="Arial" w:hAnsi="Arial" w:eastAsia="Times New Roman" w:cs="Arial"/>
                <w:color w:val="000000" w:themeColor="text1" w:themeTint="FF" w:themeShade="FF"/>
                <w:sz w:val="14"/>
                <w:szCs w:val="14"/>
                <w:lang w:val="es-ES" w:eastAsia="en-US"/>
              </w:rPr>
              <w:t>%</w:t>
            </w:r>
          </w:p>
        </w:tc>
        <w:tc>
          <w:tcPr>
            <w:tcW w:w="907" w:type="dxa"/>
            <w:tcBorders>
              <w:top w:val="nil"/>
              <w:left w:val="nil"/>
              <w:bottom w:val="single" w:color="auto" w:sz="4" w:space="0"/>
              <w:right w:val="nil"/>
            </w:tcBorders>
            <w:shd w:val="clear" w:color="auto" w:fill="EAF1DD" w:themeFill="accent3" w:themeFillTint="33"/>
            <w:tcMar/>
            <w:vAlign w:val="center"/>
            <w:hideMark/>
          </w:tcPr>
          <w:p w:rsidRPr="002210AF" w:rsidR="00DC4F69" w:rsidP="559FA22C" w:rsidRDefault="00423D5E" w14:paraId="06F5FF51" w14:textId="58C3C5BA" w14:noSpellErr="1">
            <w:pPr>
              <w:spacing w:after="0" w:line="240" w:lineRule="auto"/>
              <w:ind w:left="-60"/>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16,5</w:t>
            </w:r>
            <w:r w:rsidRPr="559FA22C" w:rsidR="559FA22C">
              <w:rPr>
                <w:rFonts w:ascii="Arial" w:hAnsi="Arial" w:eastAsia="Times New Roman" w:cs="Arial"/>
                <w:color w:val="000000" w:themeColor="text1" w:themeTint="FF" w:themeShade="FF"/>
                <w:sz w:val="14"/>
                <w:szCs w:val="14"/>
                <w:lang w:val="es-ES" w:eastAsia="en-US"/>
              </w:rPr>
              <w:t>%</w:t>
            </w:r>
          </w:p>
        </w:tc>
      </w:tr>
      <w:tr w:rsidRPr="00D16A82" w:rsidR="00DC4F69" w:rsidTr="559FA22C" w14:paraId="48A6A9EA" w14:textId="77777777">
        <w:trPr>
          <w:trHeight w:val="600"/>
        </w:trPr>
        <w:tc>
          <w:tcPr>
            <w:tcW w:w="1530" w:type="dxa"/>
            <w:tcBorders>
              <w:top w:val="nil"/>
              <w:left w:val="nil"/>
              <w:bottom w:val="single" w:color="auto" w:sz="4" w:space="0"/>
              <w:right w:val="nil"/>
            </w:tcBorders>
            <w:shd w:val="clear" w:color="auto" w:fill="B4C6E7"/>
            <w:tcMar/>
            <w:vAlign w:val="center"/>
            <w:hideMark/>
          </w:tcPr>
          <w:p w:rsidRPr="002210AF" w:rsidR="00DC4F69" w:rsidP="559FA22C" w:rsidRDefault="00DC4F69" w14:paraId="772812AF" w14:textId="77777777" w14:noSpellErr="1">
            <w:pPr>
              <w:spacing w:after="0" w:line="240" w:lineRule="auto"/>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Apalancamiento de recursos: factor multiplicador</w:t>
            </w:r>
          </w:p>
        </w:tc>
        <w:tc>
          <w:tcPr>
            <w:tcW w:w="1440" w:type="dxa"/>
            <w:tcBorders>
              <w:top w:val="nil"/>
              <w:left w:val="nil"/>
              <w:bottom w:val="single" w:color="auto" w:sz="4" w:space="0"/>
              <w:right w:val="nil"/>
            </w:tcBorders>
            <w:shd w:val="clear" w:color="auto" w:fill="EAF1DD" w:themeFill="accent3" w:themeFillTint="33"/>
            <w:tcMar/>
            <w:vAlign w:val="center"/>
            <w:hideMark/>
          </w:tcPr>
          <w:p w:rsidRPr="002210AF" w:rsidR="00DC4F69" w:rsidP="559FA22C" w:rsidRDefault="00DC4F69" w14:paraId="5761B829" w14:textId="77777777">
            <w:pPr>
              <w:spacing w:after="0" w:line="240" w:lineRule="auto"/>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3</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5AE2EF02" w14:textId="77777777" w14:noSpellErr="1">
            <w:pPr>
              <w:spacing w:after="0" w:line="240" w:lineRule="auto"/>
              <w:ind w:left="-24"/>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4EF81211" w14:textId="77777777" w14:noSpellErr="1">
            <w:pPr>
              <w:spacing w:after="0" w:line="240" w:lineRule="auto"/>
              <w:ind w:left="-114"/>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EAF1DD" w:themeFill="accent3" w:themeFillTint="33"/>
            <w:tcMar/>
            <w:vAlign w:val="center"/>
            <w:hideMark/>
          </w:tcPr>
          <w:p w:rsidRPr="002210AF" w:rsidR="00DC4F69" w:rsidP="559FA22C" w:rsidRDefault="00DC4F69" w14:paraId="1DD9F70F" w14:textId="77777777">
            <w:pPr>
              <w:spacing w:after="0" w:line="240" w:lineRule="auto"/>
              <w:ind w:left="-36"/>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2</w:t>
            </w:r>
          </w:p>
        </w:tc>
        <w:tc>
          <w:tcPr>
            <w:tcW w:w="907" w:type="dxa"/>
            <w:tcBorders>
              <w:top w:val="nil"/>
              <w:left w:val="nil"/>
              <w:bottom w:val="single" w:color="auto" w:sz="4" w:space="0"/>
              <w:right w:val="nil"/>
            </w:tcBorders>
            <w:shd w:val="clear" w:color="auto" w:fill="EAF1DD" w:themeFill="accent3" w:themeFillTint="33"/>
            <w:tcMar/>
            <w:vAlign w:val="center"/>
            <w:hideMark/>
          </w:tcPr>
          <w:p w:rsidRPr="002210AF" w:rsidR="00DC4F69" w:rsidP="559FA22C" w:rsidRDefault="00DC4F69" w14:paraId="4DE7CEF8" w14:textId="77777777">
            <w:pPr>
              <w:spacing w:after="0" w:line="240" w:lineRule="auto"/>
              <w:ind w:left="-36"/>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1,2</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50FBD5BC" w14:textId="77777777" w14:noSpellErr="1">
            <w:pPr>
              <w:spacing w:after="0" w:line="240" w:lineRule="auto"/>
              <w:ind w:left="-48"/>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auto"/>
            <w:tcMar/>
            <w:vAlign w:val="center"/>
            <w:hideMark/>
          </w:tcPr>
          <w:p w:rsidRPr="002210AF" w:rsidR="00DC4F69" w:rsidP="559FA22C" w:rsidRDefault="00DC4F69" w14:paraId="68437EBC" w14:textId="77777777" w14:noSpellErr="1">
            <w:pPr>
              <w:spacing w:after="0" w:line="240" w:lineRule="auto"/>
              <w:ind w:left="-48"/>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single" w:color="auto" w:sz="4" w:space="0"/>
              <w:right w:val="nil"/>
            </w:tcBorders>
            <w:shd w:val="clear" w:color="auto" w:fill="EAF1DD" w:themeFill="accent3" w:themeFillTint="33"/>
            <w:tcMar/>
            <w:vAlign w:val="center"/>
            <w:hideMark/>
          </w:tcPr>
          <w:p w:rsidRPr="002210AF" w:rsidR="00DC4F69" w:rsidP="559FA22C" w:rsidRDefault="00DC4F69" w14:paraId="0061F2A7" w14:textId="2550E47C">
            <w:pPr>
              <w:spacing w:after="0" w:line="240" w:lineRule="auto"/>
              <w:ind w:left="-60"/>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2,</w:t>
            </w:r>
            <w:r w:rsidRPr="559FA22C" w:rsidR="559FA22C">
              <w:rPr>
                <w:rFonts w:ascii="Arial" w:hAnsi="Arial" w:eastAsia="Times New Roman" w:cs="Arial"/>
                <w:color w:val="000000" w:themeColor="text1" w:themeTint="FF" w:themeShade="FF"/>
                <w:sz w:val="14"/>
                <w:szCs w:val="14"/>
                <w:lang w:val="es-ES" w:eastAsia="en-US"/>
              </w:rPr>
              <w:t>49</w:t>
            </w:r>
          </w:p>
        </w:tc>
      </w:tr>
      <w:tr w:rsidRPr="00D16A82" w:rsidR="00DC4F69" w:rsidTr="559FA22C" w14:paraId="4FE1DBAB" w14:textId="77777777">
        <w:trPr>
          <w:trHeight w:val="908"/>
        </w:trPr>
        <w:tc>
          <w:tcPr>
            <w:tcW w:w="1530" w:type="dxa"/>
            <w:tcBorders>
              <w:top w:val="nil"/>
              <w:left w:val="nil"/>
              <w:bottom w:val="double" w:color="auto" w:sz="6" w:space="0"/>
              <w:right w:val="nil"/>
            </w:tcBorders>
            <w:shd w:val="clear" w:color="auto" w:fill="B4C6E7"/>
            <w:tcMar/>
            <w:vAlign w:val="center"/>
            <w:hideMark/>
          </w:tcPr>
          <w:p w:rsidRPr="002210AF" w:rsidR="00DC4F69" w:rsidP="559FA22C" w:rsidRDefault="00DC4F69" w14:paraId="3CD14728" w14:textId="46C910EA" w14:noSpellErr="1">
            <w:pPr>
              <w:spacing w:after="0" w:line="240" w:lineRule="auto"/>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 xml:space="preserve">Costo del </w:t>
            </w:r>
            <w:r w:rsidRPr="559FA22C" w:rsidR="559FA22C">
              <w:rPr>
                <w:rFonts w:ascii="Arial" w:hAnsi="Arial" w:eastAsia="Times New Roman" w:cs="Arial"/>
                <w:color w:val="000000" w:themeColor="text1" w:themeTint="FF" w:themeShade="FF"/>
                <w:sz w:val="14"/>
                <w:szCs w:val="14"/>
                <w:lang w:val="es-ES" w:eastAsia="en-US"/>
              </w:rPr>
              <w:t>financiamiento</w:t>
            </w:r>
            <w:r w:rsidRPr="559FA22C" w:rsidR="559FA22C">
              <w:rPr>
                <w:rFonts w:ascii="Arial" w:hAnsi="Arial" w:eastAsia="Times New Roman" w:cs="Arial"/>
                <w:color w:val="000000" w:themeColor="text1" w:themeTint="FF" w:themeShade="FF"/>
                <w:sz w:val="14"/>
                <w:szCs w:val="14"/>
                <w:lang w:val="es-ES" w:eastAsia="en-US"/>
              </w:rPr>
              <w:t xml:space="preserve"> total de las inversiones (incluye monto apalancado)</w:t>
            </w:r>
          </w:p>
        </w:tc>
        <w:tc>
          <w:tcPr>
            <w:tcW w:w="1440" w:type="dxa"/>
            <w:tcBorders>
              <w:top w:val="nil"/>
              <w:left w:val="nil"/>
              <w:bottom w:val="double" w:color="auto" w:sz="6" w:space="0"/>
              <w:right w:val="nil"/>
            </w:tcBorders>
            <w:shd w:val="clear" w:color="auto" w:fill="EAF1DD" w:themeFill="accent3" w:themeFillTint="33"/>
            <w:tcMar/>
            <w:vAlign w:val="center"/>
            <w:hideMark/>
          </w:tcPr>
          <w:p w:rsidRPr="002210AF" w:rsidR="00DC4F69" w:rsidP="559FA22C" w:rsidRDefault="00DC4F69" w14:paraId="43A3A6E4" w14:textId="5AEA535E" w14:noSpellErr="1">
            <w:pPr>
              <w:spacing w:after="0" w:line="240" w:lineRule="auto"/>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 xml:space="preserve">Tasa del mercado (LIBOR+X) - 150 puntos </w:t>
            </w:r>
            <w:r w:rsidRPr="559FA22C" w:rsidR="559FA22C">
              <w:rPr>
                <w:rFonts w:ascii="Arial" w:hAnsi="Arial" w:eastAsia="Times New Roman" w:cs="Arial"/>
                <w:color w:val="000000" w:themeColor="text1" w:themeTint="FF" w:themeShade="FF"/>
                <w:sz w:val="14"/>
                <w:szCs w:val="14"/>
                <w:lang w:val="es-ES" w:eastAsia="en-US"/>
              </w:rPr>
              <w:t>básicos</w:t>
            </w:r>
          </w:p>
        </w:tc>
        <w:tc>
          <w:tcPr>
            <w:tcW w:w="907" w:type="dxa"/>
            <w:tcBorders>
              <w:top w:val="nil"/>
              <w:left w:val="nil"/>
              <w:bottom w:val="double" w:color="auto" w:sz="6" w:space="0"/>
              <w:right w:val="nil"/>
            </w:tcBorders>
            <w:shd w:val="clear" w:color="auto" w:fill="EAF1DD" w:themeFill="accent3" w:themeFillTint="33"/>
            <w:tcMar/>
            <w:vAlign w:val="center"/>
            <w:hideMark/>
          </w:tcPr>
          <w:p w:rsidRPr="002210AF" w:rsidR="00DC4F69" w:rsidP="559FA22C" w:rsidRDefault="00DC4F69" w14:paraId="78465F1A" w14:textId="6D49AE6C" w14:noSpellErr="1">
            <w:pPr>
              <w:spacing w:after="0" w:line="240" w:lineRule="auto"/>
              <w:ind w:left="-24"/>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 xml:space="preserve">Tasa del mercado (LIBOR+X) - </w:t>
            </w:r>
            <w:r w:rsidRPr="559FA22C" w:rsidR="559FA22C">
              <w:rPr>
                <w:rFonts w:ascii="Arial" w:hAnsi="Arial" w:eastAsia="Times New Roman" w:cs="Arial"/>
                <w:color w:val="000000" w:themeColor="text1" w:themeTint="FF" w:themeShade="FF"/>
                <w:sz w:val="14"/>
                <w:szCs w:val="14"/>
                <w:lang w:val="es-ES" w:eastAsia="en-US"/>
              </w:rPr>
              <w:t>10</w:t>
            </w:r>
            <w:r w:rsidRPr="559FA22C" w:rsidR="559FA22C">
              <w:rPr>
                <w:rFonts w:ascii="Arial" w:hAnsi="Arial" w:eastAsia="Times New Roman" w:cs="Arial"/>
                <w:color w:val="000000" w:themeColor="text1" w:themeTint="FF" w:themeShade="FF"/>
                <w:sz w:val="14"/>
                <w:szCs w:val="14"/>
                <w:lang w:val="es-ES" w:eastAsia="en-US"/>
              </w:rPr>
              <w:t xml:space="preserve">0 puntos </w:t>
            </w:r>
            <w:r w:rsidRPr="559FA22C" w:rsidR="559FA22C">
              <w:rPr>
                <w:rFonts w:ascii="Arial" w:hAnsi="Arial" w:eastAsia="Times New Roman" w:cs="Arial"/>
                <w:color w:val="000000" w:themeColor="text1" w:themeTint="FF" w:themeShade="FF"/>
                <w:sz w:val="14"/>
                <w:szCs w:val="14"/>
                <w:lang w:val="es-ES" w:eastAsia="en-US"/>
              </w:rPr>
              <w:t>básicos</w:t>
            </w:r>
          </w:p>
        </w:tc>
        <w:tc>
          <w:tcPr>
            <w:tcW w:w="907" w:type="dxa"/>
            <w:tcBorders>
              <w:top w:val="nil"/>
              <w:left w:val="nil"/>
              <w:bottom w:val="double" w:color="auto" w:sz="6" w:space="0"/>
              <w:right w:val="nil"/>
            </w:tcBorders>
            <w:shd w:val="clear" w:color="auto" w:fill="EAF1DD" w:themeFill="accent3" w:themeFillTint="33"/>
            <w:tcMar/>
            <w:vAlign w:val="center"/>
            <w:hideMark/>
          </w:tcPr>
          <w:p w:rsidRPr="002210AF" w:rsidR="00DC4F69" w:rsidP="559FA22C" w:rsidRDefault="00DC4F69" w14:paraId="3EBB6653" w14:textId="1F36875B" w14:noSpellErr="1">
            <w:pPr>
              <w:spacing w:after="0" w:line="240" w:lineRule="auto"/>
              <w:ind w:left="-114"/>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 xml:space="preserve">Tasa del mercado (LIBOR+X) - </w:t>
            </w:r>
            <w:r w:rsidRPr="559FA22C" w:rsidR="559FA22C">
              <w:rPr>
                <w:rFonts w:ascii="Arial" w:hAnsi="Arial" w:eastAsia="Times New Roman" w:cs="Arial"/>
                <w:color w:val="000000" w:themeColor="text1" w:themeTint="FF" w:themeShade="FF"/>
                <w:sz w:val="14"/>
                <w:szCs w:val="14"/>
                <w:lang w:val="es-ES" w:eastAsia="en-US"/>
              </w:rPr>
              <w:t>60</w:t>
            </w:r>
            <w:r w:rsidRPr="559FA22C" w:rsidR="559FA22C">
              <w:rPr>
                <w:rFonts w:ascii="Arial" w:hAnsi="Arial" w:eastAsia="Times New Roman" w:cs="Arial"/>
                <w:color w:val="000000" w:themeColor="text1" w:themeTint="FF" w:themeShade="FF"/>
                <w:sz w:val="14"/>
                <w:szCs w:val="14"/>
                <w:lang w:val="es-ES" w:eastAsia="en-US"/>
              </w:rPr>
              <w:t xml:space="preserve"> puntos </w:t>
            </w:r>
            <w:r w:rsidRPr="559FA22C" w:rsidR="559FA22C">
              <w:rPr>
                <w:rFonts w:ascii="Arial" w:hAnsi="Arial" w:eastAsia="Times New Roman" w:cs="Arial"/>
                <w:color w:val="000000" w:themeColor="text1" w:themeTint="FF" w:themeShade="FF"/>
                <w:sz w:val="14"/>
                <w:szCs w:val="14"/>
                <w:lang w:val="es-ES" w:eastAsia="en-US"/>
              </w:rPr>
              <w:t>básicos</w:t>
            </w:r>
          </w:p>
        </w:tc>
        <w:tc>
          <w:tcPr>
            <w:tcW w:w="907" w:type="dxa"/>
            <w:tcBorders>
              <w:top w:val="nil"/>
              <w:left w:val="nil"/>
              <w:bottom w:val="double" w:color="auto" w:sz="6" w:space="0"/>
              <w:right w:val="nil"/>
            </w:tcBorders>
            <w:shd w:val="clear" w:color="auto" w:fill="auto"/>
            <w:tcMar/>
            <w:vAlign w:val="center"/>
            <w:hideMark/>
          </w:tcPr>
          <w:p w:rsidRPr="002210AF" w:rsidR="00DC4F69" w:rsidP="559FA22C" w:rsidRDefault="00DC4F69" w14:paraId="36515DFD" w14:textId="77777777" w14:noSpellErr="1">
            <w:pPr>
              <w:spacing w:after="0" w:line="240" w:lineRule="auto"/>
              <w:ind w:left="-36"/>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double" w:color="auto" w:sz="6" w:space="0"/>
              <w:right w:val="nil"/>
            </w:tcBorders>
            <w:shd w:val="clear" w:color="auto" w:fill="auto"/>
            <w:tcMar/>
            <w:vAlign w:val="center"/>
            <w:hideMark/>
          </w:tcPr>
          <w:p w:rsidRPr="002210AF" w:rsidR="00DC4F69" w:rsidP="559FA22C" w:rsidRDefault="00DC4F69" w14:paraId="6A8F7299" w14:textId="77777777" w14:noSpellErr="1">
            <w:pPr>
              <w:spacing w:after="0" w:line="240" w:lineRule="auto"/>
              <w:ind w:left="-36"/>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double" w:color="auto" w:sz="6" w:space="0"/>
              <w:right w:val="nil"/>
            </w:tcBorders>
            <w:shd w:val="clear" w:color="auto" w:fill="auto"/>
            <w:tcMar/>
            <w:vAlign w:val="center"/>
            <w:hideMark/>
          </w:tcPr>
          <w:p w:rsidRPr="002210AF" w:rsidR="00DC4F69" w:rsidP="559FA22C" w:rsidRDefault="00DC4F69" w14:paraId="1C2C408F" w14:textId="77777777" w14:noSpellErr="1">
            <w:pPr>
              <w:spacing w:after="0" w:line="240" w:lineRule="auto"/>
              <w:ind w:left="-48"/>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double" w:color="auto" w:sz="6" w:space="0"/>
              <w:right w:val="nil"/>
            </w:tcBorders>
            <w:shd w:val="clear" w:color="auto" w:fill="auto"/>
            <w:tcMar/>
            <w:vAlign w:val="center"/>
            <w:hideMark/>
          </w:tcPr>
          <w:p w:rsidRPr="002210AF" w:rsidR="00DC4F69" w:rsidP="559FA22C" w:rsidRDefault="00DC4F69" w14:paraId="68B573C8" w14:textId="77777777" w14:noSpellErr="1">
            <w:pPr>
              <w:spacing w:after="0" w:line="240" w:lineRule="auto"/>
              <w:ind w:left="-48"/>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Ídem Escenario I</w:t>
            </w:r>
          </w:p>
        </w:tc>
        <w:tc>
          <w:tcPr>
            <w:tcW w:w="907" w:type="dxa"/>
            <w:tcBorders>
              <w:top w:val="nil"/>
              <w:left w:val="nil"/>
              <w:bottom w:val="double" w:color="auto" w:sz="6" w:space="0"/>
              <w:right w:val="nil"/>
            </w:tcBorders>
            <w:shd w:val="clear" w:color="auto" w:fill="EAF1DD" w:themeFill="accent3" w:themeFillTint="33"/>
            <w:tcMar/>
            <w:vAlign w:val="center"/>
            <w:hideMark/>
          </w:tcPr>
          <w:p w:rsidRPr="002210AF" w:rsidR="00DC4F69" w:rsidP="559FA22C" w:rsidRDefault="00DC4F69" w14:paraId="1427A496" w14:textId="705C90A0" w14:noSpellErr="1">
            <w:pPr>
              <w:spacing w:after="0" w:line="240" w:lineRule="auto"/>
              <w:ind w:left="-60"/>
              <w:jc w:val="center"/>
              <w:rPr>
                <w:rFonts w:ascii="Arial" w:hAnsi="Arial" w:eastAsia="Times New Roman" w:cs="Arial"/>
                <w:color w:val="000000" w:themeColor="text1" w:themeTint="FF" w:themeShade="FF"/>
                <w:sz w:val="14"/>
                <w:szCs w:val="14"/>
                <w:lang w:val="es-ES" w:eastAsia="en-US"/>
              </w:rPr>
            </w:pPr>
            <w:r w:rsidRPr="559FA22C" w:rsidR="559FA22C">
              <w:rPr>
                <w:rFonts w:ascii="Arial" w:hAnsi="Arial" w:eastAsia="Times New Roman" w:cs="Arial"/>
                <w:color w:val="000000" w:themeColor="text1" w:themeTint="FF" w:themeShade="FF"/>
                <w:sz w:val="14"/>
                <w:szCs w:val="14"/>
                <w:lang w:val="es-ES" w:eastAsia="en-US"/>
              </w:rPr>
              <w:t>Tasa del mercado (LIBOR+X) - 1</w:t>
            </w:r>
            <w:r w:rsidRPr="559FA22C" w:rsidR="559FA22C">
              <w:rPr>
                <w:rFonts w:ascii="Arial" w:hAnsi="Arial" w:eastAsia="Times New Roman" w:cs="Arial"/>
                <w:color w:val="000000" w:themeColor="text1" w:themeTint="FF" w:themeShade="FF"/>
                <w:sz w:val="14"/>
                <w:szCs w:val="14"/>
                <w:lang w:val="es-ES" w:eastAsia="en-US"/>
              </w:rPr>
              <w:t>24</w:t>
            </w:r>
            <w:r w:rsidRPr="559FA22C" w:rsidR="559FA22C">
              <w:rPr>
                <w:rFonts w:ascii="Arial" w:hAnsi="Arial" w:eastAsia="Times New Roman" w:cs="Arial"/>
                <w:color w:val="000000" w:themeColor="text1" w:themeTint="FF" w:themeShade="FF"/>
                <w:sz w:val="14"/>
                <w:szCs w:val="14"/>
                <w:lang w:val="es-ES" w:eastAsia="en-US"/>
              </w:rPr>
              <w:t xml:space="preserve">,5 puntos </w:t>
            </w:r>
            <w:r w:rsidRPr="559FA22C" w:rsidR="559FA22C">
              <w:rPr>
                <w:rFonts w:ascii="Arial" w:hAnsi="Arial" w:eastAsia="Times New Roman" w:cs="Arial"/>
                <w:color w:val="000000" w:themeColor="text1" w:themeTint="FF" w:themeShade="FF"/>
                <w:sz w:val="14"/>
                <w:szCs w:val="14"/>
                <w:lang w:val="es-ES" w:eastAsia="en-US"/>
              </w:rPr>
              <w:t>básicos</w:t>
            </w:r>
          </w:p>
        </w:tc>
      </w:tr>
    </w:tbl>
    <w:p w:rsidRPr="00646A83" w:rsidR="008233D1" w:rsidP="559FA22C" w:rsidRDefault="0035279C" w14:paraId="41BB806D" w14:textId="3B1B2A04" w14:noSpellErr="1">
      <w:pPr>
        <w:pStyle w:val="Paragraph"/>
        <w:tabs>
          <w:tab w:val="num" w:pos="720"/>
        </w:tabs>
        <w:spacing w:before="240"/>
        <w:ind w:left="720" w:hanging="720"/>
        <w:rPr>
          <w:rFonts w:ascii="Arial" w:hAnsi="Arial" w:cs="Arial"/>
          <w:sz w:val="22"/>
          <w:szCs w:val="22"/>
          <w:lang w:val="es-ES"/>
        </w:rPr>
      </w:pPr>
      <w:r w:rsidRPr="559FA22C" w:rsidR="559FA22C">
        <w:rPr>
          <w:rFonts w:ascii="Arial" w:hAnsi="Arial" w:cs="Arial"/>
          <w:sz w:val="22"/>
          <w:szCs w:val="22"/>
          <w:lang w:val="es-ES"/>
        </w:rPr>
        <w:t>L</w:t>
      </w:r>
      <w:r w:rsidRPr="559FA22C" w:rsidR="559FA22C">
        <w:rPr>
          <w:rFonts w:ascii="Arial" w:hAnsi="Arial" w:cs="Arial"/>
          <w:sz w:val="22"/>
          <w:szCs w:val="22"/>
          <w:lang w:val="es-ES"/>
        </w:rPr>
        <w:t xml:space="preserve">os resultados aparecen más sensibles para el flujo de beneficios frente al efecto potencial de un aumento en los costes. </w:t>
      </w:r>
      <w:r w:rsidRPr="559FA22C" w:rsidR="559FA22C">
        <w:rPr>
          <w:rFonts w:ascii="Arial" w:hAnsi="Arial" w:cs="Arial"/>
          <w:sz w:val="22"/>
          <w:szCs w:val="22"/>
          <w:lang w:val="es-ES"/>
        </w:rPr>
        <w:t xml:space="preserve">Se destaca que en todo momento el VPN se mantiene positivo. </w:t>
      </w:r>
      <w:r w:rsidRPr="559FA22C" w:rsidR="559FA22C">
        <w:rPr>
          <w:rFonts w:ascii="Arial" w:hAnsi="Arial" w:cs="Arial"/>
          <w:sz w:val="22"/>
          <w:szCs w:val="22"/>
          <w:lang w:val="es-ES"/>
        </w:rPr>
        <w:t xml:space="preserve">La Tabla 3 recoge los valores del VPN en los diferentes ejercicios de sensibilización. </w:t>
      </w:r>
      <w:r w:rsidRPr="559FA22C" w:rsidR="559FA22C">
        <w:rPr>
          <w:rFonts w:ascii="Arial" w:hAnsi="Arial" w:cs="Arial"/>
          <w:sz w:val="22"/>
          <w:szCs w:val="22"/>
          <w:lang w:val="es-ES"/>
        </w:rPr>
        <w:t>El detalle de los ejercicios se recoge en el Anexo</w:t>
      </w:r>
      <w:r w:rsidRPr="559FA22C" w:rsidR="559FA22C">
        <w:rPr>
          <w:rFonts w:ascii="Arial" w:hAnsi="Arial" w:cs="Arial"/>
          <w:sz w:val="22"/>
          <w:szCs w:val="22"/>
          <w:lang w:val="es-ES"/>
        </w:rPr>
        <w:t xml:space="preserve"> I</w:t>
      </w:r>
      <w:r w:rsidRPr="559FA22C" w:rsidR="559FA22C">
        <w:rPr>
          <w:rFonts w:ascii="Arial" w:hAnsi="Arial" w:cs="Arial"/>
          <w:sz w:val="22"/>
          <w:szCs w:val="22"/>
          <w:lang w:val="es-ES"/>
        </w:rPr>
        <w:t>.</w:t>
      </w:r>
    </w:p>
    <w:p w:rsidR="00D83F08" w:rsidP="559FA22C" w:rsidRDefault="008233D1" w14:paraId="4A7C7828" w14:textId="3996B91A" w14:noSpellErr="1">
      <w:pPr>
        <w:pStyle w:val="Paragraph"/>
        <w:numPr>
          <w:numId w:val="0"/>
        </w:numPr>
        <w:spacing w:after="0"/>
        <w:jc w:val="center"/>
        <w:rPr>
          <w:rFonts w:ascii="Arial" w:hAnsi="Arial" w:cs="Arial"/>
          <w:b w:val="1"/>
          <w:bCs w:val="1"/>
          <w:sz w:val="22"/>
          <w:szCs w:val="22"/>
          <w:lang w:val="es-ES"/>
        </w:rPr>
      </w:pPr>
      <w:r w:rsidRPr="559FA22C" w:rsidR="559FA22C">
        <w:rPr>
          <w:rFonts w:ascii="Arial" w:hAnsi="Arial" w:cs="Arial"/>
          <w:b w:val="1"/>
          <w:bCs w:val="1"/>
          <w:sz w:val="22"/>
          <w:szCs w:val="22"/>
          <w:lang w:val="es-ES"/>
        </w:rPr>
        <w:t xml:space="preserve">Tabla </w:t>
      </w:r>
      <w:r w:rsidRPr="559FA22C" w:rsidR="559FA22C">
        <w:rPr>
          <w:rFonts w:ascii="Arial" w:hAnsi="Arial" w:cs="Arial"/>
          <w:b w:val="1"/>
          <w:bCs w:val="1"/>
          <w:sz w:val="22"/>
          <w:szCs w:val="22"/>
          <w:lang w:val="es-ES"/>
        </w:rPr>
        <w:t>3</w:t>
      </w:r>
      <w:r w:rsidRPr="559FA22C" w:rsidR="559FA22C">
        <w:rPr>
          <w:rFonts w:ascii="Arial" w:hAnsi="Arial" w:cs="Arial"/>
          <w:sz w:val="22"/>
          <w:szCs w:val="22"/>
          <w:lang w:val="es-ES"/>
        </w:rPr>
        <w:t xml:space="preserve">. </w:t>
      </w:r>
      <w:r w:rsidRPr="559FA22C" w:rsidR="559FA22C">
        <w:rPr>
          <w:rFonts w:ascii="Arial" w:hAnsi="Arial" w:cs="Arial"/>
          <w:b w:val="1"/>
          <w:bCs w:val="1"/>
          <w:sz w:val="22"/>
          <w:szCs w:val="22"/>
          <w:lang w:val="es-ES"/>
        </w:rPr>
        <w:t xml:space="preserve">Análisis de sensibilidad </w:t>
      </w:r>
    </w:p>
    <w:tbl>
      <w:tblPr>
        <w:tblW w:w="5000" w:type="pct"/>
        <w:tblLook w:val="04A0" w:firstRow="1" w:lastRow="0" w:firstColumn="1" w:lastColumn="0" w:noHBand="0" w:noVBand="1"/>
      </w:tblPr>
      <w:tblGrid>
        <w:gridCol w:w="1667"/>
        <w:gridCol w:w="1017"/>
        <w:gridCol w:w="981"/>
        <w:gridCol w:w="1017"/>
        <w:gridCol w:w="981"/>
        <w:gridCol w:w="1017"/>
        <w:gridCol w:w="981"/>
        <w:gridCol w:w="981"/>
      </w:tblGrid>
      <w:tr w:rsidRPr="00D83F08" w:rsidR="00D83F08" w:rsidTr="559FA22C" w14:paraId="6445EDA7" w14:textId="77777777">
        <w:trPr>
          <w:trHeight w:val="240"/>
        </w:trPr>
        <w:tc>
          <w:tcPr>
            <w:tcW w:w="5000" w:type="pct"/>
            <w:gridSpan w:val="8"/>
            <w:tcBorders>
              <w:top w:val="nil"/>
              <w:left w:val="nil"/>
              <w:bottom w:val="single" w:color="auto" w:sz="8" w:space="0"/>
              <w:right w:val="nil"/>
            </w:tcBorders>
            <w:shd w:val="clear" w:color="auto" w:fill="B4C6E7"/>
            <w:tcMar/>
            <w:vAlign w:val="center"/>
            <w:hideMark/>
          </w:tcPr>
          <w:p w:rsidRPr="002210AF" w:rsidR="00D83F08" w:rsidP="559FA22C" w:rsidRDefault="00D83F08" w14:paraId="34881978" w14:textId="77777777" w14:noSpellErr="1">
            <w:pPr>
              <w:spacing w:after="0" w:line="240" w:lineRule="auto"/>
              <w:jc w:val="center"/>
              <w:rPr>
                <w:rFonts w:ascii="Arial" w:hAnsi="Arial" w:eastAsia="Times New Roman" w:cs="Arial"/>
                <w:b w:val="1"/>
                <w:bCs w:val="1"/>
                <w:color w:val="000000" w:themeColor="text1" w:themeTint="FF" w:themeShade="FF"/>
                <w:sz w:val="16"/>
                <w:szCs w:val="16"/>
                <w:lang w:val="es-ES" w:eastAsia="en-US"/>
              </w:rPr>
            </w:pPr>
            <w:r w:rsidRPr="559FA22C" w:rsidR="559FA22C">
              <w:rPr>
                <w:rFonts w:ascii="Arial" w:hAnsi="Arial" w:eastAsia="Times New Roman" w:cs="Arial"/>
                <w:b w:val="1"/>
                <w:bCs w:val="1"/>
                <w:color w:val="000000" w:themeColor="text1" w:themeTint="FF" w:themeShade="FF"/>
                <w:sz w:val="16"/>
                <w:szCs w:val="16"/>
                <w:lang w:val="es-ES" w:eastAsia="en-US"/>
              </w:rPr>
              <w:t>VPN bajo los diferentes escenarios planteados</w:t>
            </w:r>
          </w:p>
        </w:tc>
      </w:tr>
      <w:tr w:rsidRPr="00D83F08" w:rsidR="00D83F08" w:rsidTr="559FA22C" w14:paraId="4A640D51" w14:textId="77777777">
        <w:trPr>
          <w:trHeight w:val="648"/>
        </w:trPr>
        <w:tc>
          <w:tcPr>
            <w:tcW w:w="2575" w:type="pct"/>
            <w:tcBorders>
              <w:top w:val="nil"/>
              <w:left w:val="nil"/>
              <w:bottom w:val="nil"/>
              <w:right w:val="nil"/>
            </w:tcBorders>
            <w:shd w:val="clear" w:color="auto" w:fill="B4C6E7"/>
            <w:tcMar/>
            <w:vAlign w:val="center"/>
            <w:hideMark/>
          </w:tcPr>
          <w:p w:rsidRPr="00D83F08" w:rsidR="00D83F08" w:rsidP="559FA22C" w:rsidRDefault="00D83F08" w14:paraId="69BB106F" w14:textId="77777777" w14:noSpellErr="1">
            <w:pPr>
              <w:spacing w:after="0" w:line="240" w:lineRule="auto"/>
              <w:jc w:val="center"/>
              <w:rPr>
                <w:rFonts w:ascii="Arial" w:hAnsi="Arial" w:eastAsia="Times New Roman" w:cs="Arial"/>
                <w:b w:val="1"/>
                <w:bCs w:val="1"/>
                <w:color w:val="000000" w:themeColor="text1" w:themeTint="FF" w:themeShade="FF"/>
                <w:sz w:val="16"/>
                <w:szCs w:val="16"/>
                <w:lang w:val="en-US" w:eastAsia="en-US"/>
              </w:rPr>
            </w:pPr>
            <w:r w:rsidRPr="559FA22C" w:rsidR="559FA22C">
              <w:rPr>
                <w:rFonts w:ascii="Arial" w:hAnsi="Arial" w:eastAsia="Times New Roman" w:cs="Arial"/>
                <w:b w:val="1"/>
                <w:bCs w:val="1"/>
                <w:color w:val="000000" w:themeColor="text1" w:themeTint="FF" w:themeShade="FF"/>
                <w:sz w:val="16"/>
                <w:szCs w:val="16"/>
                <w:lang w:val="es-ES" w:eastAsia="en-US"/>
              </w:rPr>
              <w:t>Escenario I: Escenario Central</w:t>
            </w:r>
          </w:p>
        </w:tc>
        <w:tc>
          <w:tcPr>
            <w:tcW w:w="354" w:type="pct"/>
            <w:tcBorders>
              <w:top w:val="nil"/>
              <w:left w:val="nil"/>
              <w:bottom w:val="nil"/>
              <w:right w:val="nil"/>
            </w:tcBorders>
            <w:shd w:val="clear" w:color="auto" w:fill="B4C6E7"/>
            <w:tcMar/>
            <w:vAlign w:val="center"/>
            <w:hideMark/>
          </w:tcPr>
          <w:p w:rsidRPr="002210AF" w:rsidR="00D83F08" w:rsidP="559FA22C" w:rsidRDefault="00D83F08" w14:paraId="48725A53" w14:textId="77777777" w14:noSpellErr="1">
            <w:pPr>
              <w:spacing w:after="0" w:line="240" w:lineRule="auto"/>
              <w:jc w:val="center"/>
              <w:rPr>
                <w:rFonts w:ascii="Arial" w:hAnsi="Arial" w:eastAsia="Times New Roman" w:cs="Arial"/>
                <w:b w:val="1"/>
                <w:bCs w:val="1"/>
                <w:color w:val="000000" w:themeColor="text1" w:themeTint="FF" w:themeShade="FF"/>
                <w:sz w:val="16"/>
                <w:szCs w:val="16"/>
                <w:lang w:val="es-ES" w:eastAsia="en-US"/>
              </w:rPr>
            </w:pPr>
            <w:r w:rsidRPr="559FA22C" w:rsidR="559FA22C">
              <w:rPr>
                <w:rFonts w:ascii="Arial" w:hAnsi="Arial" w:eastAsia="Times New Roman" w:cs="Arial"/>
                <w:b w:val="1"/>
                <w:bCs w:val="1"/>
                <w:color w:val="000000" w:themeColor="text1" w:themeTint="FF" w:themeShade="FF"/>
                <w:sz w:val="16"/>
                <w:szCs w:val="16"/>
                <w:lang w:val="es-ES" w:eastAsia="en-US"/>
              </w:rPr>
              <w:t>Escenario II</w:t>
            </w:r>
          </w:p>
        </w:tc>
        <w:tc>
          <w:tcPr>
            <w:tcW w:w="341" w:type="pct"/>
            <w:tcBorders>
              <w:top w:val="nil"/>
              <w:left w:val="nil"/>
              <w:bottom w:val="nil"/>
              <w:right w:val="nil"/>
            </w:tcBorders>
            <w:shd w:val="clear" w:color="auto" w:fill="B4C6E7"/>
            <w:tcMar/>
            <w:vAlign w:val="center"/>
            <w:hideMark/>
          </w:tcPr>
          <w:p w:rsidRPr="002210AF" w:rsidR="00D83F08" w:rsidP="559FA22C" w:rsidRDefault="00D83F08" w14:paraId="6600007C" w14:textId="77777777" w14:noSpellErr="1">
            <w:pPr>
              <w:spacing w:after="0" w:line="240" w:lineRule="auto"/>
              <w:jc w:val="center"/>
              <w:rPr>
                <w:rFonts w:ascii="Arial" w:hAnsi="Arial" w:eastAsia="Times New Roman" w:cs="Arial"/>
                <w:b w:val="1"/>
                <w:bCs w:val="1"/>
                <w:color w:val="000000" w:themeColor="text1" w:themeTint="FF" w:themeShade="FF"/>
                <w:sz w:val="16"/>
                <w:szCs w:val="16"/>
                <w:lang w:val="es-ES" w:eastAsia="en-US"/>
              </w:rPr>
            </w:pPr>
            <w:r w:rsidRPr="559FA22C" w:rsidR="559FA22C">
              <w:rPr>
                <w:rFonts w:ascii="Arial" w:hAnsi="Arial" w:eastAsia="Times New Roman" w:cs="Arial"/>
                <w:b w:val="1"/>
                <w:bCs w:val="1"/>
                <w:color w:val="000000" w:themeColor="text1" w:themeTint="FF" w:themeShade="FF"/>
                <w:sz w:val="16"/>
                <w:szCs w:val="16"/>
                <w:lang w:val="es-ES" w:eastAsia="en-US"/>
              </w:rPr>
              <w:t>Escenario III</w:t>
            </w:r>
          </w:p>
        </w:tc>
        <w:tc>
          <w:tcPr>
            <w:tcW w:w="354" w:type="pct"/>
            <w:tcBorders>
              <w:top w:val="nil"/>
              <w:left w:val="nil"/>
              <w:bottom w:val="nil"/>
              <w:right w:val="nil"/>
            </w:tcBorders>
            <w:shd w:val="clear" w:color="auto" w:fill="B4C6E7"/>
            <w:tcMar/>
            <w:vAlign w:val="center"/>
            <w:hideMark/>
          </w:tcPr>
          <w:p w:rsidRPr="002210AF" w:rsidR="00D83F08" w:rsidP="559FA22C" w:rsidRDefault="00D83F08" w14:paraId="291F8930" w14:textId="77777777" w14:noSpellErr="1">
            <w:pPr>
              <w:spacing w:after="0" w:line="240" w:lineRule="auto"/>
              <w:jc w:val="center"/>
              <w:rPr>
                <w:rFonts w:ascii="Arial" w:hAnsi="Arial" w:eastAsia="Times New Roman" w:cs="Arial"/>
                <w:b w:val="1"/>
                <w:bCs w:val="1"/>
                <w:color w:val="000000" w:themeColor="text1" w:themeTint="FF" w:themeShade="FF"/>
                <w:sz w:val="16"/>
                <w:szCs w:val="16"/>
                <w:lang w:val="es-ES" w:eastAsia="en-US"/>
              </w:rPr>
            </w:pPr>
            <w:r w:rsidRPr="559FA22C" w:rsidR="559FA22C">
              <w:rPr>
                <w:rFonts w:ascii="Arial" w:hAnsi="Arial" w:eastAsia="Times New Roman" w:cs="Arial"/>
                <w:b w:val="1"/>
                <w:bCs w:val="1"/>
                <w:color w:val="000000" w:themeColor="text1" w:themeTint="FF" w:themeShade="FF"/>
                <w:sz w:val="16"/>
                <w:szCs w:val="16"/>
                <w:lang w:val="es-ES" w:eastAsia="en-US"/>
              </w:rPr>
              <w:t>Escenario IV</w:t>
            </w:r>
          </w:p>
        </w:tc>
        <w:tc>
          <w:tcPr>
            <w:tcW w:w="341" w:type="pct"/>
            <w:tcBorders>
              <w:top w:val="nil"/>
              <w:left w:val="nil"/>
              <w:bottom w:val="nil"/>
              <w:right w:val="nil"/>
            </w:tcBorders>
            <w:shd w:val="clear" w:color="auto" w:fill="B4C6E7"/>
            <w:tcMar/>
            <w:vAlign w:val="center"/>
            <w:hideMark/>
          </w:tcPr>
          <w:p w:rsidRPr="002210AF" w:rsidR="00D83F08" w:rsidP="559FA22C" w:rsidRDefault="00D83F08" w14:paraId="39DEBEBE" w14:textId="77777777" w14:noSpellErr="1">
            <w:pPr>
              <w:spacing w:after="0" w:line="240" w:lineRule="auto"/>
              <w:jc w:val="center"/>
              <w:rPr>
                <w:rFonts w:ascii="Arial" w:hAnsi="Arial" w:eastAsia="Times New Roman" w:cs="Arial"/>
                <w:b w:val="1"/>
                <w:bCs w:val="1"/>
                <w:color w:val="000000" w:themeColor="text1" w:themeTint="FF" w:themeShade="FF"/>
                <w:sz w:val="16"/>
                <w:szCs w:val="16"/>
                <w:lang w:val="es-ES" w:eastAsia="en-US"/>
              </w:rPr>
            </w:pPr>
            <w:r w:rsidRPr="559FA22C" w:rsidR="559FA22C">
              <w:rPr>
                <w:rFonts w:ascii="Arial" w:hAnsi="Arial" w:eastAsia="Times New Roman" w:cs="Arial"/>
                <w:b w:val="1"/>
                <w:bCs w:val="1"/>
                <w:color w:val="000000" w:themeColor="text1" w:themeTint="FF" w:themeShade="FF"/>
                <w:sz w:val="16"/>
                <w:szCs w:val="16"/>
                <w:lang w:val="es-ES" w:eastAsia="en-US"/>
              </w:rPr>
              <w:t>Escenario V</w:t>
            </w:r>
          </w:p>
        </w:tc>
        <w:tc>
          <w:tcPr>
            <w:tcW w:w="354" w:type="pct"/>
            <w:tcBorders>
              <w:top w:val="nil"/>
              <w:left w:val="nil"/>
              <w:bottom w:val="nil"/>
              <w:right w:val="nil"/>
            </w:tcBorders>
            <w:shd w:val="clear" w:color="auto" w:fill="B4C6E7"/>
            <w:tcMar/>
            <w:vAlign w:val="center"/>
            <w:hideMark/>
          </w:tcPr>
          <w:p w:rsidRPr="002210AF" w:rsidR="00D83F08" w:rsidP="559FA22C" w:rsidRDefault="00D83F08" w14:paraId="314863BA" w14:textId="77777777" w14:noSpellErr="1">
            <w:pPr>
              <w:spacing w:after="0" w:line="240" w:lineRule="auto"/>
              <w:jc w:val="center"/>
              <w:rPr>
                <w:rFonts w:ascii="Arial" w:hAnsi="Arial" w:eastAsia="Times New Roman" w:cs="Arial"/>
                <w:b w:val="1"/>
                <w:bCs w:val="1"/>
                <w:color w:val="000000" w:themeColor="text1" w:themeTint="FF" w:themeShade="FF"/>
                <w:sz w:val="16"/>
                <w:szCs w:val="16"/>
                <w:lang w:val="es-ES" w:eastAsia="en-US"/>
              </w:rPr>
            </w:pPr>
            <w:r w:rsidRPr="559FA22C" w:rsidR="559FA22C">
              <w:rPr>
                <w:rFonts w:ascii="Arial" w:hAnsi="Arial" w:eastAsia="Times New Roman" w:cs="Arial"/>
                <w:b w:val="1"/>
                <w:bCs w:val="1"/>
                <w:color w:val="000000" w:themeColor="text1" w:themeTint="FF" w:themeShade="FF"/>
                <w:sz w:val="16"/>
                <w:szCs w:val="16"/>
                <w:lang w:val="es-ES" w:eastAsia="en-US"/>
              </w:rPr>
              <w:t>Escenario VI</w:t>
            </w:r>
          </w:p>
        </w:tc>
        <w:tc>
          <w:tcPr>
            <w:tcW w:w="341" w:type="pct"/>
            <w:tcBorders>
              <w:top w:val="nil"/>
              <w:left w:val="nil"/>
              <w:bottom w:val="nil"/>
              <w:right w:val="nil"/>
            </w:tcBorders>
            <w:shd w:val="clear" w:color="auto" w:fill="B4C6E7"/>
            <w:tcMar/>
            <w:vAlign w:val="center"/>
            <w:hideMark/>
          </w:tcPr>
          <w:p w:rsidRPr="002210AF" w:rsidR="00D83F08" w:rsidP="559FA22C" w:rsidRDefault="00D83F08" w14:paraId="4126B534" w14:textId="77777777" w14:noSpellErr="1">
            <w:pPr>
              <w:spacing w:after="0" w:line="240" w:lineRule="auto"/>
              <w:jc w:val="center"/>
              <w:rPr>
                <w:rFonts w:ascii="Arial" w:hAnsi="Arial" w:eastAsia="Times New Roman" w:cs="Arial"/>
                <w:b w:val="1"/>
                <w:bCs w:val="1"/>
                <w:color w:val="000000" w:themeColor="text1" w:themeTint="FF" w:themeShade="FF"/>
                <w:sz w:val="16"/>
                <w:szCs w:val="16"/>
                <w:lang w:val="es-ES" w:eastAsia="en-US"/>
              </w:rPr>
            </w:pPr>
            <w:r w:rsidRPr="559FA22C" w:rsidR="559FA22C">
              <w:rPr>
                <w:rFonts w:ascii="Arial" w:hAnsi="Arial" w:eastAsia="Times New Roman" w:cs="Arial"/>
                <w:b w:val="1"/>
                <w:bCs w:val="1"/>
                <w:color w:val="000000" w:themeColor="text1" w:themeTint="FF" w:themeShade="FF"/>
                <w:sz w:val="16"/>
                <w:szCs w:val="16"/>
                <w:lang w:val="es-ES" w:eastAsia="en-US"/>
              </w:rPr>
              <w:t>Escenario VII</w:t>
            </w:r>
          </w:p>
        </w:tc>
        <w:tc>
          <w:tcPr>
            <w:tcW w:w="341" w:type="pct"/>
            <w:tcBorders>
              <w:top w:val="nil"/>
              <w:left w:val="nil"/>
              <w:bottom w:val="nil"/>
              <w:right w:val="nil"/>
            </w:tcBorders>
            <w:shd w:val="clear" w:color="auto" w:fill="B4C6E7"/>
            <w:tcMar/>
            <w:vAlign w:val="center"/>
            <w:hideMark/>
          </w:tcPr>
          <w:p w:rsidRPr="002210AF" w:rsidR="00D83F08" w:rsidP="559FA22C" w:rsidRDefault="00D83F08" w14:paraId="0502758B" w14:textId="32F39AB5" w14:noSpellErr="1">
            <w:pPr>
              <w:spacing w:after="0" w:line="240" w:lineRule="auto"/>
              <w:jc w:val="center"/>
              <w:rPr>
                <w:rFonts w:ascii="Arial" w:hAnsi="Arial" w:eastAsia="Times New Roman" w:cs="Arial"/>
                <w:b w:val="1"/>
                <w:bCs w:val="1"/>
                <w:color w:val="000000" w:themeColor="text1" w:themeTint="FF" w:themeShade="FF"/>
                <w:sz w:val="16"/>
                <w:szCs w:val="16"/>
                <w:lang w:val="es-ES" w:eastAsia="en-US"/>
              </w:rPr>
            </w:pPr>
            <w:r w:rsidRPr="559FA22C" w:rsidR="559FA22C">
              <w:rPr>
                <w:rFonts w:ascii="Arial" w:hAnsi="Arial" w:eastAsia="Times New Roman" w:cs="Arial"/>
                <w:b w:val="1"/>
                <w:bCs w:val="1"/>
                <w:color w:val="000000" w:themeColor="text1" w:themeTint="FF" w:themeShade="FF"/>
                <w:sz w:val="16"/>
                <w:szCs w:val="16"/>
                <w:lang w:val="es-ES" w:eastAsia="en-US"/>
              </w:rPr>
              <w:t>Escenario VII</w:t>
            </w:r>
            <w:r w:rsidRPr="559FA22C" w:rsidR="559FA22C">
              <w:rPr>
                <w:rFonts w:ascii="Arial" w:hAnsi="Arial" w:eastAsia="Times New Roman" w:cs="Arial"/>
                <w:b w:val="1"/>
                <w:bCs w:val="1"/>
                <w:color w:val="000000" w:themeColor="text1" w:themeTint="FF" w:themeShade="FF"/>
                <w:sz w:val="16"/>
                <w:szCs w:val="16"/>
                <w:lang w:val="es-ES" w:eastAsia="en-US"/>
              </w:rPr>
              <w:t>I</w:t>
            </w:r>
          </w:p>
        </w:tc>
      </w:tr>
      <w:tr w:rsidRPr="00D83F08" w:rsidR="00D83F08" w:rsidTr="559FA22C" w14:paraId="0F9EA1FD" w14:textId="77777777">
        <w:trPr>
          <w:trHeight w:val="420"/>
        </w:trPr>
        <w:tc>
          <w:tcPr>
            <w:tcW w:w="2575" w:type="pct"/>
            <w:tcBorders>
              <w:top w:val="nil"/>
              <w:left w:val="nil"/>
              <w:bottom w:val="double" w:color="auto" w:sz="6" w:space="0"/>
              <w:right w:val="nil"/>
            </w:tcBorders>
            <w:shd w:val="clear" w:color="auto" w:fill="B4C6E7"/>
            <w:tcMar/>
            <w:vAlign w:val="center"/>
            <w:hideMark/>
          </w:tcPr>
          <w:p w:rsidRPr="002210AF" w:rsidR="00D83F08" w:rsidP="559FA22C" w:rsidRDefault="00B351F1" w14:paraId="7B5FC2A0" w14:textId="56D32915">
            <w:pPr>
              <w:spacing w:after="0" w:line="240" w:lineRule="auto"/>
              <w:jc w:val="center"/>
              <w:rPr>
                <w:rFonts w:ascii="Arial" w:hAnsi="Arial" w:eastAsia="Times New Roman" w:cs="Arial"/>
                <w:color w:val="000000" w:themeColor="text1" w:themeTint="FF" w:themeShade="FF"/>
                <w:sz w:val="16"/>
                <w:szCs w:val="16"/>
                <w:lang w:val="es-ES" w:eastAsia="en-US"/>
              </w:rPr>
            </w:pPr>
            <w:r w:rsidRPr="559FA22C" w:rsidR="559FA22C">
              <w:rPr>
                <w:rFonts w:ascii="Arial" w:hAnsi="Arial" w:eastAsia="Times New Roman" w:cs="Arial"/>
                <w:color w:val="000000" w:themeColor="text1" w:themeTint="FF" w:themeShade="FF"/>
                <w:sz w:val="16"/>
                <w:szCs w:val="16"/>
                <w:lang w:val="es-ES" w:eastAsia="en-US"/>
              </w:rPr>
              <w:t>53</w:t>
            </w:r>
            <w:r w:rsidRPr="559FA22C" w:rsidR="559FA22C">
              <w:rPr>
                <w:rFonts w:ascii="Arial" w:hAnsi="Arial" w:eastAsia="Times New Roman" w:cs="Arial"/>
                <w:color w:val="000000" w:themeColor="text1" w:themeTint="FF" w:themeShade="FF"/>
                <w:sz w:val="16"/>
                <w:szCs w:val="16"/>
                <w:lang w:val="es-ES" w:eastAsia="en-US"/>
              </w:rPr>
              <w:t>.5</w:t>
            </w:r>
            <w:r w:rsidRPr="559FA22C" w:rsidR="559FA22C">
              <w:rPr>
                <w:rFonts w:ascii="Arial" w:hAnsi="Arial" w:eastAsia="Times New Roman" w:cs="Arial"/>
                <w:color w:val="000000" w:themeColor="text1" w:themeTint="FF" w:themeShade="FF"/>
                <w:sz w:val="16"/>
                <w:szCs w:val="16"/>
                <w:lang w:val="es-ES" w:eastAsia="en-US"/>
              </w:rPr>
              <w:t>81</w:t>
            </w:r>
            <w:r w:rsidRPr="559FA22C" w:rsidR="559FA22C">
              <w:rPr>
                <w:rFonts w:ascii="Arial" w:hAnsi="Arial" w:eastAsia="Times New Roman" w:cs="Arial"/>
                <w:color w:val="000000" w:themeColor="text1" w:themeTint="FF" w:themeShade="FF"/>
                <w:sz w:val="16"/>
                <w:szCs w:val="16"/>
                <w:lang w:val="es-ES" w:eastAsia="en-US"/>
              </w:rPr>
              <w:t>.</w:t>
            </w:r>
            <w:r w:rsidRPr="559FA22C" w:rsidR="559FA22C">
              <w:rPr>
                <w:rFonts w:ascii="Arial" w:hAnsi="Arial" w:eastAsia="Times New Roman" w:cs="Arial"/>
                <w:color w:val="000000" w:themeColor="text1" w:themeTint="FF" w:themeShade="FF"/>
                <w:sz w:val="16"/>
                <w:szCs w:val="16"/>
                <w:lang w:val="es-ES" w:eastAsia="en-US"/>
              </w:rPr>
              <w:t>802</w:t>
            </w:r>
          </w:p>
        </w:tc>
        <w:tc>
          <w:tcPr>
            <w:tcW w:w="354" w:type="pct"/>
            <w:tcBorders>
              <w:top w:val="nil"/>
              <w:left w:val="nil"/>
              <w:bottom w:val="double" w:color="auto" w:sz="6" w:space="0"/>
              <w:right w:val="nil"/>
            </w:tcBorders>
            <w:shd w:val="clear" w:color="auto" w:fill="auto"/>
            <w:tcMar/>
            <w:vAlign w:val="center"/>
            <w:hideMark/>
          </w:tcPr>
          <w:p w:rsidRPr="00D83F08" w:rsidR="00D83F08" w:rsidP="559FA22C" w:rsidRDefault="005673A2" w14:paraId="23BA6B0A" w14:textId="36982112">
            <w:pPr>
              <w:spacing w:after="0" w:line="240" w:lineRule="auto"/>
              <w:jc w:val="center"/>
              <w:rPr>
                <w:rFonts w:ascii="Arial" w:hAnsi="Arial" w:eastAsia="Times New Roman" w:cs="Arial"/>
                <w:color w:val="000000" w:themeColor="text1" w:themeTint="FF" w:themeShade="FF"/>
                <w:sz w:val="16"/>
                <w:szCs w:val="16"/>
                <w:lang w:val="en-US" w:eastAsia="en-US"/>
              </w:rPr>
            </w:pPr>
            <w:r w:rsidRPr="559FA22C" w:rsidR="559FA22C">
              <w:rPr>
                <w:rFonts w:ascii="Arial" w:hAnsi="Arial" w:eastAsia="Times New Roman" w:cs="Arial"/>
                <w:color w:val="000000" w:themeColor="text1" w:themeTint="FF" w:themeShade="FF"/>
                <w:sz w:val="16"/>
                <w:szCs w:val="16"/>
                <w:lang w:val="es-ES" w:eastAsia="en-US"/>
              </w:rPr>
              <w:t>39.322.911</w:t>
            </w:r>
          </w:p>
        </w:tc>
        <w:tc>
          <w:tcPr>
            <w:tcW w:w="341" w:type="pct"/>
            <w:tcBorders>
              <w:top w:val="nil"/>
              <w:left w:val="nil"/>
              <w:bottom w:val="double" w:color="auto" w:sz="6" w:space="0"/>
              <w:right w:val="nil"/>
            </w:tcBorders>
            <w:shd w:val="clear" w:color="auto" w:fill="auto"/>
            <w:tcMar/>
            <w:vAlign w:val="center"/>
            <w:hideMark/>
          </w:tcPr>
          <w:p w:rsidRPr="00D83F08" w:rsidR="00D83F08" w:rsidP="559FA22C" w:rsidRDefault="005673A2" w14:paraId="41A91C4D" w14:textId="1A694FFC">
            <w:pPr>
              <w:spacing w:after="0" w:line="240" w:lineRule="auto"/>
              <w:jc w:val="center"/>
              <w:rPr>
                <w:rFonts w:ascii="Arial" w:hAnsi="Arial" w:eastAsia="Times New Roman" w:cs="Arial"/>
                <w:color w:val="000000" w:themeColor="text1" w:themeTint="FF" w:themeShade="FF"/>
                <w:sz w:val="16"/>
                <w:szCs w:val="16"/>
                <w:lang w:val="en-US" w:eastAsia="en-US"/>
              </w:rPr>
            </w:pPr>
            <w:r w:rsidRPr="559FA22C" w:rsidR="559FA22C">
              <w:rPr>
                <w:rFonts w:ascii="Arial" w:hAnsi="Arial" w:eastAsia="Times New Roman" w:cs="Arial"/>
                <w:color w:val="000000" w:themeColor="text1" w:themeTint="FF" w:themeShade="FF"/>
                <w:sz w:val="16"/>
                <w:szCs w:val="16"/>
                <w:lang w:val="es-ES" w:eastAsia="en-US"/>
              </w:rPr>
              <w:t>8.709.004</w:t>
            </w:r>
          </w:p>
        </w:tc>
        <w:tc>
          <w:tcPr>
            <w:tcW w:w="354" w:type="pct"/>
            <w:tcBorders>
              <w:top w:val="nil"/>
              <w:left w:val="nil"/>
              <w:bottom w:val="double" w:color="auto" w:sz="6" w:space="0"/>
              <w:right w:val="nil"/>
            </w:tcBorders>
            <w:shd w:val="clear" w:color="auto" w:fill="auto"/>
            <w:tcMar/>
            <w:vAlign w:val="center"/>
            <w:hideMark/>
          </w:tcPr>
          <w:p w:rsidRPr="00D83F08" w:rsidR="00D83F08" w:rsidP="559FA22C" w:rsidRDefault="005673A2" w14:paraId="0FAF7C42" w14:textId="23E9E267">
            <w:pPr>
              <w:spacing w:after="0" w:line="240" w:lineRule="auto"/>
              <w:jc w:val="center"/>
              <w:rPr>
                <w:rFonts w:ascii="Arial" w:hAnsi="Arial" w:eastAsia="Times New Roman" w:cs="Arial"/>
                <w:color w:val="000000" w:themeColor="text1" w:themeTint="FF" w:themeShade="FF"/>
                <w:sz w:val="16"/>
                <w:szCs w:val="16"/>
                <w:lang w:val="en-US" w:eastAsia="en-US"/>
              </w:rPr>
            </w:pPr>
            <w:r w:rsidRPr="559FA22C" w:rsidR="559FA22C">
              <w:rPr>
                <w:rFonts w:ascii="Arial" w:hAnsi="Arial" w:eastAsia="Times New Roman" w:cs="Arial"/>
                <w:color w:val="000000" w:themeColor="text1" w:themeTint="FF" w:themeShade="FF"/>
                <w:sz w:val="16"/>
                <w:szCs w:val="16"/>
                <w:lang w:val="es-ES" w:eastAsia="en-US"/>
              </w:rPr>
              <w:t>39.322.911</w:t>
            </w:r>
          </w:p>
        </w:tc>
        <w:tc>
          <w:tcPr>
            <w:tcW w:w="341" w:type="pct"/>
            <w:tcBorders>
              <w:top w:val="nil"/>
              <w:left w:val="nil"/>
              <w:bottom w:val="double" w:color="auto" w:sz="6" w:space="0"/>
              <w:right w:val="nil"/>
            </w:tcBorders>
            <w:shd w:val="clear" w:color="auto" w:fill="auto"/>
            <w:tcMar/>
            <w:vAlign w:val="center"/>
            <w:hideMark/>
          </w:tcPr>
          <w:p w:rsidRPr="00D83F08" w:rsidR="00D83F08" w:rsidP="559FA22C" w:rsidRDefault="005673A2" w14:paraId="5A3EB1FD" w14:textId="3CDB9F7E">
            <w:pPr>
              <w:spacing w:after="0" w:line="240" w:lineRule="auto"/>
              <w:jc w:val="center"/>
              <w:rPr>
                <w:rFonts w:ascii="Arial" w:hAnsi="Arial" w:eastAsia="Times New Roman" w:cs="Arial"/>
                <w:color w:val="000000" w:themeColor="text1" w:themeTint="FF" w:themeShade="FF"/>
                <w:sz w:val="16"/>
                <w:szCs w:val="16"/>
                <w:lang w:val="en-US" w:eastAsia="en-US"/>
              </w:rPr>
            </w:pPr>
            <w:r w:rsidRPr="559FA22C" w:rsidR="559FA22C">
              <w:rPr>
                <w:rFonts w:ascii="Arial" w:hAnsi="Arial" w:eastAsia="Times New Roman" w:cs="Arial"/>
                <w:color w:val="000000" w:themeColor="text1" w:themeTint="FF" w:themeShade="FF"/>
                <w:sz w:val="16"/>
                <w:szCs w:val="16"/>
                <w:lang w:val="es-ES" w:eastAsia="en-US"/>
              </w:rPr>
              <w:t>8.709.004</w:t>
            </w:r>
          </w:p>
        </w:tc>
        <w:tc>
          <w:tcPr>
            <w:tcW w:w="354" w:type="pct"/>
            <w:tcBorders>
              <w:top w:val="nil"/>
              <w:left w:val="nil"/>
              <w:bottom w:val="double" w:color="auto" w:sz="6" w:space="0"/>
              <w:right w:val="nil"/>
            </w:tcBorders>
            <w:shd w:val="clear" w:color="auto" w:fill="auto"/>
            <w:tcMar/>
            <w:vAlign w:val="center"/>
            <w:hideMark/>
          </w:tcPr>
          <w:p w:rsidRPr="00D83F08" w:rsidR="00D83F08" w:rsidP="559FA22C" w:rsidRDefault="005673A2" w14:paraId="323F11B9" w14:textId="702E5C16">
            <w:pPr>
              <w:spacing w:after="0" w:line="240" w:lineRule="auto"/>
              <w:jc w:val="center"/>
              <w:rPr>
                <w:rFonts w:ascii="Arial" w:hAnsi="Arial" w:eastAsia="Times New Roman" w:cs="Arial"/>
                <w:color w:val="000000" w:themeColor="text1" w:themeTint="FF" w:themeShade="FF"/>
                <w:sz w:val="16"/>
                <w:szCs w:val="16"/>
                <w:lang w:val="en-US" w:eastAsia="en-US"/>
              </w:rPr>
            </w:pPr>
            <w:r w:rsidRPr="559FA22C" w:rsidR="559FA22C">
              <w:rPr>
                <w:rFonts w:ascii="Arial" w:hAnsi="Arial" w:eastAsia="Times New Roman" w:cs="Arial"/>
                <w:color w:val="000000" w:themeColor="text1" w:themeTint="FF" w:themeShade="FF"/>
                <w:sz w:val="16"/>
                <w:szCs w:val="16"/>
                <w:lang w:val="es-ES" w:eastAsia="en-US"/>
              </w:rPr>
              <w:t>26.905.698</w:t>
            </w:r>
          </w:p>
        </w:tc>
        <w:tc>
          <w:tcPr>
            <w:tcW w:w="341" w:type="pct"/>
            <w:tcBorders>
              <w:top w:val="nil"/>
              <w:left w:val="nil"/>
              <w:bottom w:val="double" w:color="auto" w:sz="6" w:space="0"/>
              <w:right w:val="nil"/>
            </w:tcBorders>
            <w:shd w:val="clear" w:color="auto" w:fill="auto"/>
            <w:tcMar/>
            <w:vAlign w:val="center"/>
            <w:hideMark/>
          </w:tcPr>
          <w:p w:rsidRPr="00D83F08" w:rsidR="00D83F08" w:rsidP="559FA22C" w:rsidRDefault="005673A2" w14:paraId="3897C5BE" w14:textId="084567D4">
            <w:pPr>
              <w:spacing w:after="0" w:line="240" w:lineRule="auto"/>
              <w:jc w:val="center"/>
              <w:rPr>
                <w:rFonts w:ascii="Arial" w:hAnsi="Arial" w:eastAsia="Times New Roman" w:cs="Arial"/>
                <w:color w:val="000000" w:themeColor="text1" w:themeTint="FF" w:themeShade="FF"/>
                <w:sz w:val="16"/>
                <w:szCs w:val="16"/>
                <w:lang w:val="en-US" w:eastAsia="en-US"/>
              </w:rPr>
            </w:pPr>
            <w:r w:rsidRPr="559FA22C" w:rsidR="559FA22C">
              <w:rPr>
                <w:rFonts w:ascii="Arial" w:hAnsi="Arial" w:eastAsia="Times New Roman" w:cs="Arial"/>
                <w:color w:val="000000" w:themeColor="text1" w:themeTint="FF" w:themeShade="FF"/>
                <w:sz w:val="16"/>
                <w:szCs w:val="16"/>
                <w:lang w:val="es-ES" w:eastAsia="en-US"/>
              </w:rPr>
              <w:t>226.595</w:t>
            </w:r>
          </w:p>
        </w:tc>
        <w:tc>
          <w:tcPr>
            <w:tcW w:w="341" w:type="pct"/>
            <w:tcBorders>
              <w:top w:val="nil"/>
              <w:left w:val="nil"/>
              <w:bottom w:val="double" w:color="auto" w:sz="6" w:space="0"/>
              <w:right w:val="nil"/>
            </w:tcBorders>
            <w:shd w:val="clear" w:color="auto" w:fill="auto"/>
            <w:tcMar/>
            <w:vAlign w:val="center"/>
            <w:hideMark/>
          </w:tcPr>
          <w:p w:rsidRPr="00D83F08" w:rsidR="00D83F08" w:rsidP="559FA22C" w:rsidRDefault="005673A2" w14:paraId="3189D434" w14:textId="5C1E069B">
            <w:pPr>
              <w:spacing w:after="0" w:line="240" w:lineRule="auto"/>
              <w:jc w:val="center"/>
              <w:rPr>
                <w:rFonts w:ascii="Arial" w:hAnsi="Arial" w:eastAsia="Times New Roman" w:cs="Arial"/>
                <w:color w:val="000000" w:themeColor="text1" w:themeTint="FF" w:themeShade="FF"/>
                <w:sz w:val="16"/>
                <w:szCs w:val="16"/>
                <w:lang w:val="en-US" w:eastAsia="en-US"/>
              </w:rPr>
            </w:pPr>
            <w:r w:rsidRPr="559FA22C" w:rsidR="559FA22C">
              <w:rPr>
                <w:rFonts w:ascii="Arial" w:hAnsi="Arial" w:eastAsia="Times New Roman" w:cs="Arial"/>
                <w:color w:val="000000" w:themeColor="text1" w:themeTint="FF" w:themeShade="FF"/>
                <w:sz w:val="16"/>
                <w:szCs w:val="16"/>
                <w:lang w:val="en-US" w:eastAsia="en-US"/>
              </w:rPr>
              <w:t>527.385</w:t>
            </w:r>
          </w:p>
        </w:tc>
      </w:tr>
    </w:tbl>
    <w:p w:rsidR="008233D1" w:rsidP="009E7B86" w:rsidRDefault="008233D1" w14:paraId="513AB402" w14:textId="6647E585">
      <w:pPr>
        <w:pStyle w:val="Paragraph"/>
        <w:numPr>
          <w:ilvl w:val="0"/>
          <w:numId w:val="0"/>
        </w:numPr>
        <w:spacing w:after="0"/>
        <w:jc w:val="center"/>
        <w:rPr>
          <w:rFonts w:ascii="Arial" w:hAnsi="Arial" w:cs="Arial"/>
          <w:b/>
          <w:sz w:val="22"/>
          <w:szCs w:val="22"/>
          <w:lang w:val="es-ES"/>
        </w:rPr>
      </w:pPr>
    </w:p>
    <w:p w:rsidR="00867774" w:rsidP="559FA22C" w:rsidRDefault="006F31AA" w14:paraId="13C579FA" w14:textId="74D06E7B">
      <w:pPr>
        <w:pStyle w:val="Paragraph"/>
        <w:tabs>
          <w:tab w:val="num" w:pos="720"/>
        </w:tabs>
        <w:ind w:left="720" w:hanging="720"/>
        <w:rPr>
          <w:rFonts w:ascii="Arial" w:hAnsi="Arial" w:cs="Arial"/>
          <w:sz w:val="22"/>
          <w:szCs w:val="22"/>
          <w:lang w:val="es-ES"/>
        </w:rPr>
      </w:pPr>
      <w:bookmarkStart w:name="_Toc498007218" w:id="32"/>
      <w:r w:rsidRPr="559FA22C" w:rsidR="559FA22C">
        <w:rPr>
          <w:rFonts w:ascii="Arial" w:hAnsi="Arial" w:cs="Arial"/>
          <w:sz w:val="22"/>
          <w:szCs w:val="22"/>
          <w:lang w:val="es-ES"/>
        </w:rPr>
        <w:t xml:space="preserve">Por </w:t>
      </w:r>
      <w:r w:rsidRPr="559FA22C" w:rsidR="559FA22C">
        <w:rPr>
          <w:rFonts w:ascii="Arial" w:hAnsi="Arial" w:cs="Arial"/>
          <w:sz w:val="22"/>
          <w:szCs w:val="22"/>
          <w:lang w:val="es-ES"/>
        </w:rPr>
        <w:t>último,</w:t>
      </w:r>
      <w:r w:rsidRPr="559FA22C" w:rsidR="559FA22C">
        <w:rPr>
          <w:rFonts w:ascii="Arial" w:hAnsi="Arial" w:cs="Arial"/>
          <w:sz w:val="22"/>
          <w:szCs w:val="22"/>
          <w:lang w:val="es-ES"/>
        </w:rPr>
        <w:t xml:space="preserve"> se ha calculado el </w:t>
      </w:r>
      <w:r w:rsidRPr="559FA22C" w:rsidR="559FA22C">
        <w:rPr>
          <w:rFonts w:ascii="Arial" w:hAnsi="Arial" w:cs="Arial"/>
          <w:sz w:val="22"/>
          <w:szCs w:val="22"/>
          <w:lang w:val="es-ES"/>
        </w:rPr>
        <w:t xml:space="preserve">punto de equilibrio </w:t>
      </w:r>
      <w:r w:rsidRPr="559FA22C" w:rsidR="559FA22C">
        <w:rPr>
          <w:rFonts w:ascii="Arial" w:hAnsi="Arial" w:cs="Arial"/>
          <w:i w:val="1"/>
          <w:iCs w:val="1"/>
          <w:sz w:val="22"/>
          <w:szCs w:val="22"/>
          <w:lang w:val="es-ES"/>
        </w:rPr>
        <w:t>o</w:t>
      </w:r>
      <w:r w:rsidRPr="559FA22C" w:rsidR="559FA22C">
        <w:rPr>
          <w:rFonts w:ascii="Arial" w:hAnsi="Arial" w:cs="Arial"/>
          <w:sz w:val="22"/>
          <w:szCs w:val="22"/>
          <w:lang w:val="es-ES"/>
        </w:rPr>
        <w:t xml:space="preserve"> </w:t>
      </w:r>
      <w:r w:rsidRPr="559FA22C" w:rsidR="559FA22C">
        <w:rPr>
          <w:rFonts w:ascii="Arial" w:hAnsi="Arial" w:cs="Arial"/>
          <w:i w:val="1"/>
          <w:iCs w:val="1"/>
          <w:sz w:val="22"/>
          <w:szCs w:val="22"/>
          <w:lang w:val="es-ES"/>
        </w:rPr>
        <w:t>break-</w:t>
      </w:r>
      <w:proofErr w:type="spellStart"/>
      <w:r w:rsidRPr="559FA22C" w:rsidR="559FA22C">
        <w:rPr>
          <w:rFonts w:ascii="Arial" w:hAnsi="Arial" w:cs="Arial"/>
          <w:i w:val="1"/>
          <w:iCs w:val="1"/>
          <w:sz w:val="22"/>
          <w:szCs w:val="22"/>
          <w:lang w:val="es-ES"/>
        </w:rPr>
        <w:t>even</w:t>
      </w:r>
      <w:proofErr w:type="spellEnd"/>
      <w:r w:rsidRPr="559FA22C" w:rsidR="559FA22C">
        <w:rPr>
          <w:rFonts w:ascii="Arial" w:hAnsi="Arial" w:cs="Arial"/>
          <w:i w:val="1"/>
          <w:iCs w:val="1"/>
          <w:sz w:val="22"/>
          <w:szCs w:val="22"/>
          <w:lang w:val="es-ES"/>
        </w:rPr>
        <w:t xml:space="preserve"> </w:t>
      </w:r>
      <w:proofErr w:type="spellStart"/>
      <w:r w:rsidRPr="559FA22C" w:rsidR="559FA22C">
        <w:rPr>
          <w:rFonts w:ascii="Arial" w:hAnsi="Arial" w:cs="Arial"/>
          <w:i w:val="1"/>
          <w:iCs w:val="1"/>
          <w:sz w:val="22"/>
          <w:szCs w:val="22"/>
          <w:lang w:val="es-ES"/>
        </w:rPr>
        <w:t>point</w:t>
      </w:r>
      <w:proofErr w:type="spellEnd"/>
      <w:r w:rsidRPr="559FA22C" w:rsidR="559FA22C">
        <w:rPr>
          <w:rFonts w:ascii="Arial" w:hAnsi="Arial" w:cs="Arial"/>
          <w:sz w:val="22"/>
          <w:szCs w:val="22"/>
          <w:lang w:val="es-ES"/>
        </w:rPr>
        <w:t xml:space="preserve"> -es decir, el valor que hace 0 el VPN- sobre el escenario central para </w:t>
      </w:r>
      <w:r w:rsidRPr="559FA22C" w:rsidR="559FA22C">
        <w:rPr>
          <w:rFonts w:ascii="Arial" w:hAnsi="Arial" w:cs="Arial"/>
          <w:sz w:val="22"/>
          <w:szCs w:val="22"/>
          <w:lang w:val="es-ES"/>
        </w:rPr>
        <w:t>cada uno de los parámetros anteriores</w:t>
      </w:r>
      <w:r w:rsidRPr="559FA22C" w:rsidR="559FA22C">
        <w:rPr>
          <w:rFonts w:ascii="Arial" w:hAnsi="Arial" w:cs="Arial"/>
          <w:sz w:val="22"/>
          <w:szCs w:val="22"/>
          <w:lang w:val="es-ES"/>
        </w:rPr>
        <w:t>, respectivamente</w:t>
      </w:r>
      <w:r w:rsidRPr="559FA22C" w:rsidR="559FA22C">
        <w:rPr>
          <w:rFonts w:ascii="Arial" w:hAnsi="Arial" w:cs="Arial"/>
          <w:sz w:val="22"/>
          <w:szCs w:val="22"/>
          <w:lang w:val="es-ES"/>
        </w:rPr>
        <w:t xml:space="preserve">. </w:t>
      </w:r>
      <w:r w:rsidRPr="559FA22C" w:rsidR="559FA22C">
        <w:rPr>
          <w:rFonts w:ascii="Arial" w:hAnsi="Arial" w:cs="Arial"/>
          <w:sz w:val="22"/>
          <w:szCs w:val="22"/>
          <w:lang w:val="es-ES"/>
        </w:rPr>
        <w:t xml:space="preserve">El ejercicio arroja como resultado que el ahorro esperado gracias a las garantías </w:t>
      </w:r>
      <w:r w:rsidRPr="559FA22C" w:rsidR="559FA22C">
        <w:rPr>
          <w:rFonts w:ascii="Arial" w:hAnsi="Arial" w:cs="Arial"/>
          <w:sz w:val="22"/>
          <w:szCs w:val="22"/>
          <w:lang w:val="es-ES"/>
        </w:rPr>
        <w:t>encuentra</w:t>
      </w:r>
      <w:r w:rsidRPr="559FA22C" w:rsidR="559FA22C">
        <w:rPr>
          <w:rFonts w:ascii="Arial" w:hAnsi="Arial" w:cs="Arial"/>
          <w:sz w:val="22"/>
          <w:szCs w:val="22"/>
          <w:lang w:val="es-ES"/>
        </w:rPr>
        <w:t xml:space="preserve"> su </w:t>
      </w:r>
      <w:r w:rsidRPr="559FA22C" w:rsidR="559FA22C">
        <w:rPr>
          <w:rFonts w:ascii="Arial" w:hAnsi="Arial" w:cs="Arial"/>
          <w:sz w:val="22"/>
          <w:szCs w:val="22"/>
          <w:lang w:val="es-ES"/>
        </w:rPr>
        <w:t>equilibrio</w:t>
      </w:r>
      <w:r w:rsidRPr="559FA22C" w:rsidR="559FA22C">
        <w:rPr>
          <w:rFonts w:ascii="Arial" w:hAnsi="Arial" w:cs="Arial"/>
          <w:sz w:val="22"/>
          <w:szCs w:val="22"/>
          <w:lang w:val="es-ES"/>
        </w:rPr>
        <w:t xml:space="preserve"> en los </w:t>
      </w:r>
      <w:r w:rsidRPr="559FA22C" w:rsidR="559FA22C">
        <w:rPr>
          <w:rFonts w:ascii="Arial" w:hAnsi="Arial" w:cs="Arial"/>
          <w:sz w:val="22"/>
          <w:szCs w:val="22"/>
          <w:lang w:val="es-ES"/>
        </w:rPr>
        <w:t>55</w:t>
      </w:r>
      <w:r w:rsidRPr="559FA22C" w:rsidR="559FA22C">
        <w:rPr>
          <w:rFonts w:ascii="Arial" w:hAnsi="Arial" w:cs="Arial"/>
          <w:sz w:val="22"/>
          <w:szCs w:val="22"/>
          <w:lang w:val="es-ES"/>
        </w:rPr>
        <w:t xml:space="preserve"> puntos básicos</w:t>
      </w:r>
      <w:r w:rsidRPr="559FA22C" w:rsidR="559FA22C">
        <w:rPr>
          <w:rFonts w:ascii="Arial" w:hAnsi="Arial" w:cs="Arial"/>
          <w:sz w:val="22"/>
          <w:szCs w:val="22"/>
          <w:lang w:val="es-ES"/>
        </w:rPr>
        <w:t xml:space="preserve">; es decir, una reducción del 63.3% sobre el </w:t>
      </w:r>
      <w:r w:rsidRPr="559FA22C" w:rsidR="559FA22C">
        <w:rPr>
          <w:rFonts w:ascii="Arial" w:hAnsi="Arial" w:cs="Arial"/>
          <w:sz w:val="22"/>
          <w:szCs w:val="22"/>
          <w:lang w:val="es-ES"/>
        </w:rPr>
        <w:t>escenario central</w:t>
      </w:r>
      <w:r w:rsidRPr="559FA22C" w:rsidR="559FA22C">
        <w:rPr>
          <w:rFonts w:ascii="Arial" w:hAnsi="Arial" w:cs="Arial"/>
          <w:sz w:val="22"/>
          <w:szCs w:val="22"/>
          <w:lang w:val="es-ES"/>
        </w:rPr>
        <w:t xml:space="preserve">. </w:t>
      </w:r>
      <w:r w:rsidRPr="559FA22C" w:rsidR="559FA22C">
        <w:rPr>
          <w:rFonts w:ascii="Arial" w:hAnsi="Arial" w:cs="Arial"/>
          <w:sz w:val="22"/>
          <w:szCs w:val="22"/>
          <w:lang w:val="es-ES"/>
        </w:rPr>
        <w:t>Por su parte, el apalancamiento de recursos que hace 0 el VPN es de 1</w:t>
      </w:r>
      <w:r w:rsidRPr="559FA22C" w:rsidR="559FA22C">
        <w:rPr>
          <w:rFonts w:ascii="Arial" w:hAnsi="Arial" w:cs="Arial"/>
          <w:sz w:val="22"/>
          <w:szCs w:val="22"/>
          <w:lang w:val="es-ES"/>
        </w:rPr>
        <w:t>,</w:t>
      </w:r>
      <w:r w:rsidRPr="559FA22C" w:rsidR="559FA22C">
        <w:rPr>
          <w:rFonts w:ascii="Arial" w:hAnsi="Arial" w:cs="Arial"/>
          <w:sz w:val="22"/>
          <w:szCs w:val="22"/>
          <w:lang w:val="es-ES"/>
        </w:rPr>
        <w:t xml:space="preserve">1. </w:t>
      </w:r>
      <w:r w:rsidRPr="559FA22C" w:rsidR="559FA22C">
        <w:rPr>
          <w:rFonts w:ascii="Arial" w:hAnsi="Arial" w:cs="Arial"/>
          <w:sz w:val="22"/>
          <w:szCs w:val="22"/>
          <w:lang w:val="es-ES"/>
        </w:rPr>
        <w:t xml:space="preserve">Por último, el porcentaje de garantía ejecutada que hace 0 el VPN es el 82%. </w:t>
      </w:r>
      <w:r w:rsidRPr="559FA22C" w:rsidR="559FA22C">
        <w:rPr>
          <w:rFonts w:ascii="Arial" w:hAnsi="Arial" w:cs="Arial"/>
          <w:sz w:val="22"/>
          <w:szCs w:val="22"/>
          <w:lang w:val="es-ES"/>
        </w:rPr>
        <w:t>El detalle de</w:t>
      </w:r>
      <w:r w:rsidRPr="559FA22C" w:rsidR="559FA22C">
        <w:rPr>
          <w:rFonts w:ascii="Arial" w:hAnsi="Arial" w:cs="Arial"/>
          <w:sz w:val="22"/>
          <w:szCs w:val="22"/>
          <w:lang w:val="es-ES"/>
        </w:rPr>
        <w:t xml:space="preserve"> estos dos ejercicios</w:t>
      </w:r>
      <w:r w:rsidRPr="559FA22C" w:rsidR="559FA22C">
        <w:rPr>
          <w:rFonts w:ascii="Arial" w:hAnsi="Arial" w:cs="Arial"/>
          <w:sz w:val="22"/>
          <w:szCs w:val="22"/>
          <w:lang w:val="es-ES"/>
        </w:rPr>
        <w:t xml:space="preserve"> se recoge en el Anexo</w:t>
      </w:r>
      <w:r w:rsidRPr="559FA22C" w:rsidR="559FA22C">
        <w:rPr>
          <w:rFonts w:ascii="Arial" w:hAnsi="Arial" w:cs="Arial"/>
          <w:sz w:val="22"/>
          <w:szCs w:val="22"/>
          <w:lang w:val="es-ES"/>
        </w:rPr>
        <w:t xml:space="preserve"> I</w:t>
      </w:r>
      <w:r w:rsidRPr="559FA22C" w:rsidR="559FA22C">
        <w:rPr>
          <w:rFonts w:ascii="Arial" w:hAnsi="Arial" w:cs="Arial"/>
          <w:sz w:val="22"/>
          <w:szCs w:val="22"/>
          <w:lang w:val="es-ES"/>
        </w:rPr>
        <w:t>.</w:t>
      </w:r>
    </w:p>
    <w:p w:rsidR="0007204E" w:rsidP="559FA22C" w:rsidRDefault="0007204E" w14:paraId="19E534E1" w14:noSpellErr="1" w14:textId="07232617">
      <w:pPr>
        <w:pStyle w:val="Paragraph"/>
        <w:tabs>
          <w:tab w:val="num" w:pos="720"/>
        </w:tabs>
        <w:ind w:left="720" w:hanging="720"/>
        <w:rPr>
          <w:rFonts w:ascii="Arial" w:hAnsi="Arial" w:cs="Arial"/>
          <w:sz w:val="22"/>
          <w:szCs w:val="22"/>
          <w:lang w:val="es-ES"/>
        </w:rPr>
      </w:pPr>
      <w:r w:rsidRPr="559FA22C" w:rsidR="559FA22C">
        <w:rPr>
          <w:rFonts w:ascii="Arial" w:hAnsi="Arial" w:cs="Arial"/>
          <w:sz w:val="22"/>
          <w:szCs w:val="22"/>
          <w:lang w:val="es-ES"/>
        </w:rPr>
        <w:t xml:space="preserve">Los resultados obtenidos marcan un límite inferior para </w:t>
      </w:r>
      <w:r w:rsidRPr="559FA22C" w:rsidR="559FA22C">
        <w:rPr>
          <w:rFonts w:ascii="Arial" w:hAnsi="Arial" w:cs="Arial"/>
          <w:sz w:val="22"/>
          <w:szCs w:val="22"/>
          <w:lang w:val="es-ES"/>
        </w:rPr>
        <w:t>el</w:t>
      </w:r>
      <w:r w:rsidRPr="559FA22C" w:rsidR="559FA22C">
        <w:rPr>
          <w:rFonts w:ascii="Arial" w:hAnsi="Arial" w:cs="Arial"/>
          <w:sz w:val="22"/>
          <w:szCs w:val="22"/>
          <w:lang w:val="es-ES"/>
        </w:rPr>
        <w:t xml:space="preserve"> ahorro en financiación esperado, el apalancamiento y la tasa de financiamiento de mercado sin el apoyo </w:t>
      </w:r>
      <w:r w:rsidRPr="559FA22C" w:rsidR="559FA22C">
        <w:rPr>
          <w:rFonts w:ascii="Arial" w:hAnsi="Arial" w:cs="Arial"/>
          <w:sz w:val="22"/>
          <w:szCs w:val="22"/>
          <w:lang w:val="es-ES"/>
        </w:rPr>
        <w:t xml:space="preserve">de la </w:t>
      </w:r>
      <w:r w:rsidRPr="559FA22C" w:rsidR="559FA22C">
        <w:rPr>
          <w:rFonts w:ascii="Arial" w:hAnsi="Arial" w:cs="Arial"/>
          <w:sz w:val="22"/>
          <w:szCs w:val="22"/>
          <w:lang w:val="es-ES"/>
        </w:rPr>
        <w:t>FFMR</w:t>
      </w:r>
      <w:r w:rsidRPr="559FA22C" w:rsidR="559FA22C">
        <w:rPr>
          <w:rFonts w:ascii="Arial" w:hAnsi="Arial" w:cs="Arial"/>
          <w:sz w:val="22"/>
          <w:szCs w:val="22"/>
          <w:lang w:val="es-ES"/>
        </w:rPr>
        <w:t xml:space="preserve">. </w:t>
      </w:r>
      <w:r w:rsidRPr="559FA22C" w:rsidR="559FA22C">
        <w:rPr>
          <w:rFonts w:ascii="Arial" w:hAnsi="Arial" w:cs="Arial"/>
          <w:sz w:val="22"/>
          <w:szCs w:val="22"/>
          <w:lang w:val="es-ES"/>
        </w:rPr>
        <w:t>Con lo anterior c</w:t>
      </w:r>
      <w:r w:rsidRPr="559FA22C" w:rsidR="559FA22C">
        <w:rPr>
          <w:rFonts w:ascii="Arial" w:hAnsi="Arial" w:cs="Arial"/>
          <w:sz w:val="22"/>
          <w:szCs w:val="22"/>
          <w:lang w:val="es-ES"/>
        </w:rPr>
        <w:t>onsideramos que este ejercicio contribuye a respaldar el análisis favorable a la realización de la operación planteada</w:t>
      </w:r>
      <w:r w:rsidRPr="559FA22C" w:rsidR="559FA22C">
        <w:rPr>
          <w:rFonts w:ascii="Arial" w:hAnsi="Arial" w:cs="Arial"/>
          <w:sz w:val="22"/>
          <w:szCs w:val="22"/>
          <w:lang w:val="es-ES"/>
        </w:rPr>
        <w:t>.</w:t>
      </w:r>
    </w:p>
    <w:p w:rsidR="005B3431" w:rsidP="002210AF" w:rsidRDefault="005B3431" w14:paraId="092A530A" w14:textId="77777777">
      <w:pPr>
        <w:pStyle w:val="Paragraph"/>
        <w:numPr>
          <w:ilvl w:val="0"/>
          <w:numId w:val="0"/>
        </w:numPr>
        <w:tabs>
          <w:tab w:val="num" w:pos="12096"/>
        </w:tabs>
        <w:ind w:left="720"/>
        <w:rPr>
          <w:rFonts w:ascii="Arial" w:hAnsi="Arial" w:cs="Arial"/>
          <w:sz w:val="22"/>
          <w:szCs w:val="22"/>
          <w:lang w:val="es-ES"/>
        </w:rPr>
      </w:pPr>
    </w:p>
    <w:p w:rsidRPr="002210AF" w:rsidR="008233D1" w:rsidP="559FA22C" w:rsidRDefault="008233D1" w14:paraId="693FF9AC" w14:textId="77777777" w14:noSpellErr="1">
      <w:pPr>
        <w:pStyle w:val="Chapter"/>
        <w:spacing w:before="120" w:after="120"/>
        <w:ind w:left="720"/>
        <w:rPr>
          <w:rFonts w:ascii="Arial" w:hAnsi="Arial" w:cs="Arial"/>
          <w:color w:val="000000" w:themeColor="text1" w:themeTint="FF" w:themeShade="FF"/>
          <w:lang w:val="es-ES"/>
        </w:rPr>
      </w:pPr>
      <w:bookmarkStart w:name="_Toc498007220" w:id="33"/>
      <w:bookmarkEnd w:id="32"/>
      <w:r w:rsidRPr="559FA22C" w:rsidR="559FA22C">
        <w:rPr>
          <w:rFonts w:ascii="Arial" w:hAnsi="Arial" w:cs="Arial"/>
          <w:color w:val="000000" w:themeColor="text1" w:themeTint="FF" w:themeShade="FF"/>
          <w:lang w:val="es-ES"/>
        </w:rPr>
        <w:t>Conclusiones</w:t>
      </w:r>
      <w:bookmarkEnd w:id="30"/>
      <w:bookmarkEnd w:id="31"/>
      <w:bookmarkEnd w:id="33"/>
    </w:p>
    <w:p w:rsidR="00A94718" w:rsidP="559FA22C" w:rsidRDefault="008233D1" w14:paraId="565A17DF" w14:textId="1A9A7A34" w14:noSpellErr="1">
      <w:pPr>
        <w:pStyle w:val="Paragraph"/>
        <w:tabs>
          <w:tab w:val="num" w:pos="720"/>
        </w:tabs>
        <w:ind w:left="720" w:hanging="720"/>
        <w:rPr>
          <w:rFonts w:ascii="Arial" w:hAnsi="Arial" w:cs="Arial"/>
          <w:sz w:val="22"/>
          <w:szCs w:val="22"/>
          <w:lang w:val="es-ES"/>
        </w:rPr>
        <w:sectPr w:rsidR="00A94718" w:rsidSect="00A94718">
          <w:pgSz w:w="12242" w:h="15842" w:orient="portrait" w:code="1"/>
          <w:pgMar w:top="1440" w:right="1800" w:bottom="1440" w:left="1800" w:header="720" w:footer="720" w:gutter="0"/>
          <w:cols w:space="708"/>
          <w:docGrid w:linePitch="360"/>
        </w:sectPr>
      </w:pPr>
      <w:r w:rsidRPr="559FA22C" w:rsidR="559FA22C">
        <w:rPr>
          <w:rFonts w:ascii="Arial" w:hAnsi="Arial" w:cs="Arial"/>
          <w:sz w:val="22"/>
          <w:szCs w:val="22"/>
          <w:lang w:val="es-ES"/>
        </w:rPr>
        <w:t>Del presente análisis se espera que el programa genere un beneficio neto agregado (valor presente neto agregado total) de US$</w:t>
      </w:r>
      <w:r w:rsidRPr="559FA22C" w:rsidR="559FA22C">
        <w:rPr>
          <w:rFonts w:ascii="Arial" w:hAnsi="Arial" w:cs="Arial"/>
          <w:sz w:val="22"/>
          <w:szCs w:val="22"/>
          <w:lang w:val="es-ES"/>
        </w:rPr>
        <w:t>53.581.802</w:t>
      </w:r>
      <w:r w:rsidRPr="559FA22C" w:rsidR="559FA22C">
        <w:rPr>
          <w:rFonts w:ascii="Arial" w:hAnsi="Arial" w:cs="Arial"/>
          <w:sz w:val="22"/>
          <w:szCs w:val="22"/>
          <w:lang w:val="es-ES"/>
        </w:rPr>
        <w:t xml:space="preserve"> en el escenario central. El VPN total se mantiene positivo </w:t>
      </w:r>
      <w:r w:rsidRPr="559FA22C" w:rsidR="559FA22C">
        <w:rPr>
          <w:rFonts w:ascii="Arial" w:hAnsi="Arial" w:cs="Arial"/>
          <w:sz w:val="22"/>
          <w:szCs w:val="22"/>
          <w:lang w:val="es-ES"/>
        </w:rPr>
        <w:t xml:space="preserve">para los escenarios que se consideran </w:t>
      </w:r>
      <w:r w:rsidRPr="559FA22C" w:rsidR="559FA22C">
        <w:rPr>
          <w:rFonts w:ascii="Arial" w:hAnsi="Arial" w:cs="Arial"/>
          <w:sz w:val="22"/>
          <w:szCs w:val="22"/>
          <w:lang w:val="es-ES"/>
        </w:rPr>
        <w:t>más</w:t>
      </w:r>
      <w:r w:rsidRPr="559FA22C" w:rsidR="559FA22C">
        <w:rPr>
          <w:rFonts w:ascii="Arial" w:hAnsi="Arial" w:cs="Arial"/>
          <w:sz w:val="22"/>
          <w:szCs w:val="22"/>
          <w:lang w:val="es-ES"/>
        </w:rPr>
        <w:t xml:space="preserve"> probables atendiendo a las tendencias observadas en Argentina, las experiencias de otros multilaterales con facilidades de garantía y </w:t>
      </w:r>
      <w:r w:rsidRPr="559FA22C" w:rsidR="559FA22C">
        <w:rPr>
          <w:rFonts w:ascii="Arial" w:hAnsi="Arial" w:cs="Arial"/>
          <w:sz w:val="22"/>
          <w:szCs w:val="22"/>
          <w:lang w:val="es-ES"/>
        </w:rPr>
        <w:t xml:space="preserve">los resultados arrojados por </w:t>
      </w:r>
      <w:r w:rsidRPr="559FA22C" w:rsidR="559FA22C">
        <w:rPr>
          <w:rFonts w:ascii="Arial" w:hAnsi="Arial" w:cs="Arial"/>
          <w:sz w:val="22"/>
          <w:szCs w:val="22"/>
          <w:lang w:val="es-ES"/>
        </w:rPr>
        <w:t>el ejercicio de sondeo de mercado</w:t>
      </w:r>
      <w:r w:rsidRPr="559FA22C" w:rsidR="559FA22C">
        <w:rPr>
          <w:rFonts w:ascii="Arial" w:hAnsi="Arial" w:cs="Arial"/>
          <w:sz w:val="22"/>
          <w:szCs w:val="22"/>
          <w:lang w:val="es-ES"/>
        </w:rPr>
        <w:t>.</w:t>
      </w:r>
      <w:r w:rsidRPr="559FA22C" w:rsidR="559FA22C">
        <w:rPr>
          <w:rFonts w:ascii="Arial" w:hAnsi="Arial" w:cs="Arial"/>
          <w:sz w:val="22"/>
          <w:szCs w:val="22"/>
          <w:lang w:val="es-ES"/>
        </w:rPr>
        <w:t xml:space="preserve"> </w:t>
      </w:r>
      <w:r w:rsidRPr="559FA22C" w:rsidR="559FA22C">
        <w:rPr>
          <w:rFonts w:ascii="Arial" w:hAnsi="Arial" w:cs="Arial"/>
          <w:sz w:val="22"/>
          <w:szCs w:val="22"/>
          <w:lang w:val="es-ES"/>
        </w:rPr>
        <w:t>Se recomienda por tanto la realización del programa</w:t>
      </w:r>
      <w:r w:rsidRPr="559FA22C" w:rsidR="559FA22C">
        <w:rPr>
          <w:rFonts w:ascii="Arial" w:hAnsi="Arial" w:cs="Arial"/>
          <w:sz w:val="22"/>
          <w:szCs w:val="22"/>
          <w:lang w:val="es-ES"/>
        </w:rPr>
        <w:t>.</w:t>
      </w:r>
      <w:bookmarkStart w:name="_Toc389817819" w:id="34"/>
      <w:bookmarkStart w:name="_Toc389817820" w:id="35"/>
      <w:bookmarkStart w:name="_Toc389817821" w:id="36"/>
      <w:bookmarkStart w:name="_Toc389817822" w:id="37"/>
      <w:bookmarkEnd w:id="34"/>
      <w:bookmarkEnd w:id="35"/>
      <w:bookmarkEnd w:id="36"/>
      <w:bookmarkEnd w:id="37"/>
    </w:p>
    <w:p w:rsidR="00A94718" w:rsidP="559FA22C" w:rsidRDefault="00A94718" w14:paraId="59529E6D" w14:textId="3894371E" w14:noSpellErr="1">
      <w:pPr>
        <w:pStyle w:val="Chapter"/>
        <w:numPr>
          <w:numId w:val="0"/>
        </w:numPr>
        <w:spacing w:before="120" w:after="120"/>
        <w:jc w:val="left"/>
        <w:rPr>
          <w:rFonts w:ascii="Arial" w:hAnsi="Arial" w:cs="Arial"/>
          <w:color w:val="000000" w:themeColor="text1" w:themeTint="FF" w:themeShade="FF"/>
          <w:lang w:val="es-ES"/>
        </w:rPr>
      </w:pPr>
      <w:r w:rsidRPr="559FA22C">
        <w:rPr>
          <w:rFonts w:ascii="Arial" w:hAnsi="Arial" w:cs="Arial"/>
          <w:color w:val="000000" w:themeColor="text1"/>
          <w:lang w:val="es-ES"/>
        </w:rPr>
        <w:lastRenderedPageBreak/>
        <w:t>Anexo</w:t>
      </w:r>
      <w:r w:rsidRPr="559FA22C" w:rsidR="00E838E1">
        <w:rPr>
          <w:rFonts w:ascii="Arial" w:hAnsi="Arial" w:cs="Arial"/>
          <w:color w:val="000000" w:themeColor="text1"/>
          <w:lang w:val="es-ES"/>
        </w:rPr>
        <w:t xml:space="preserve"> I</w:t>
      </w:r>
      <w:r w:rsidR="00D805E0">
        <w:rPr>
          <w:rFonts w:ascii="Arial" w:hAnsi="Arial" w:cs="Arial"/>
          <w:color w:val="000000" w:themeColor="text1"/>
          <w:szCs w:val="24"/>
          <w:lang w:val="es-ES"/>
        </w:rPr>
        <w:tab/>
      </w:r>
    </w:p>
    <w:p w:rsidR="00D805E0" w:rsidP="00D805E0" w:rsidRDefault="00D805E0" w14:paraId="5194A253" w14:textId="620D5000">
      <w:pPr>
        <w:rPr>
          <w:lang w:val="es-ES"/>
        </w:rPr>
      </w:pPr>
    </w:p>
    <w:p w:rsidR="00DC4A30" w:rsidP="00D805E0" w:rsidRDefault="008801CD" w14:paraId="075B4F8E" w14:textId="7892E253">
      <w:pPr>
        <w:rPr>
          <w:lang w:val="es-ES"/>
        </w:rPr>
      </w:pPr>
      <w:r>
        <w:rPr>
          <w:noProof/>
        </w:rPr>
        <w:drawing>
          <wp:inline distT="0" distB="0" distL="0" distR="0" wp14:anchorId="18A06CF3" wp14:editId="5972625C">
            <wp:extent cx="9145270" cy="25311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45270" cy="2531110"/>
                    </a:xfrm>
                    <a:prstGeom prst="rect">
                      <a:avLst/>
                    </a:prstGeom>
                  </pic:spPr>
                </pic:pic>
              </a:graphicData>
            </a:graphic>
          </wp:inline>
        </w:drawing>
      </w:r>
    </w:p>
    <w:p w:rsidR="00D805E0" w:rsidP="00D805E0" w:rsidRDefault="00A33C20" w14:paraId="4E24251D" w14:textId="6ED0950A">
      <w:pPr>
        <w:rPr>
          <w:lang w:val="es-ES"/>
        </w:rPr>
      </w:pPr>
      <w:r>
        <w:rPr>
          <w:noProof/>
        </w:rPr>
        <w:drawing>
          <wp:inline distT="0" distB="0" distL="0" distR="0" wp14:anchorId="395AD9FF" wp14:editId="632DD3B3">
            <wp:extent cx="9145270" cy="25311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145270" cy="2531110"/>
                    </a:xfrm>
                    <a:prstGeom prst="rect">
                      <a:avLst/>
                    </a:prstGeom>
                  </pic:spPr>
                </pic:pic>
              </a:graphicData>
            </a:graphic>
          </wp:inline>
        </w:drawing>
      </w:r>
    </w:p>
    <w:p w:rsidR="008801CD" w:rsidP="008801CD" w:rsidRDefault="008801CD" w14:paraId="16AF01DC" w14:textId="77777777">
      <w:pPr>
        <w:rPr>
          <w:lang w:val="es-ES"/>
        </w:rPr>
      </w:pPr>
      <w:r>
        <w:rPr>
          <w:noProof/>
        </w:rPr>
        <w:lastRenderedPageBreak/>
        <w:drawing>
          <wp:inline distT="0" distB="0" distL="0" distR="0" wp14:anchorId="07FA1789" wp14:editId="20659A72">
            <wp:extent cx="9145270" cy="25311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45270" cy="2531110"/>
                    </a:xfrm>
                    <a:prstGeom prst="rect">
                      <a:avLst/>
                    </a:prstGeom>
                  </pic:spPr>
                </pic:pic>
              </a:graphicData>
            </a:graphic>
          </wp:inline>
        </w:drawing>
      </w:r>
    </w:p>
    <w:p w:rsidR="008801CD" w:rsidP="008801CD" w:rsidRDefault="008801CD" w14:paraId="52E7216C" w14:textId="77777777">
      <w:pPr>
        <w:rPr>
          <w:lang w:val="es-ES"/>
        </w:rPr>
      </w:pPr>
      <w:r>
        <w:rPr>
          <w:noProof/>
        </w:rPr>
        <w:drawing>
          <wp:inline distT="0" distB="0" distL="0" distR="0" wp14:anchorId="74E2B950" wp14:editId="38EC3137">
            <wp:extent cx="9145270" cy="25311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45270" cy="2531110"/>
                    </a:xfrm>
                    <a:prstGeom prst="rect">
                      <a:avLst/>
                    </a:prstGeom>
                  </pic:spPr>
                </pic:pic>
              </a:graphicData>
            </a:graphic>
          </wp:inline>
        </w:drawing>
      </w:r>
    </w:p>
    <w:p w:rsidR="005673A2" w:rsidP="005673A2" w:rsidRDefault="005673A2" w14:paraId="53C6CBAF" w14:textId="77777777">
      <w:pPr>
        <w:rPr>
          <w:lang w:val="es-ES"/>
        </w:rPr>
      </w:pPr>
      <w:r>
        <w:rPr>
          <w:noProof/>
        </w:rPr>
        <w:lastRenderedPageBreak/>
        <w:drawing>
          <wp:inline distT="0" distB="0" distL="0" distR="0" wp14:anchorId="48005C8E" wp14:editId="50EB8FAC">
            <wp:extent cx="9145270" cy="25311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45270" cy="2531110"/>
                    </a:xfrm>
                    <a:prstGeom prst="rect">
                      <a:avLst/>
                    </a:prstGeom>
                  </pic:spPr>
                </pic:pic>
              </a:graphicData>
            </a:graphic>
          </wp:inline>
        </w:drawing>
      </w:r>
    </w:p>
    <w:p w:rsidR="005673A2" w:rsidP="005673A2" w:rsidRDefault="005673A2" w14:paraId="0C80E5E6" w14:textId="77777777">
      <w:pPr>
        <w:rPr>
          <w:lang w:val="es-ES"/>
        </w:rPr>
      </w:pPr>
      <w:r>
        <w:rPr>
          <w:noProof/>
        </w:rPr>
        <w:drawing>
          <wp:inline distT="0" distB="0" distL="0" distR="0" wp14:anchorId="77F39C63" wp14:editId="57C3792D">
            <wp:extent cx="9145270" cy="25311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145270" cy="2531110"/>
                    </a:xfrm>
                    <a:prstGeom prst="rect">
                      <a:avLst/>
                    </a:prstGeom>
                  </pic:spPr>
                </pic:pic>
              </a:graphicData>
            </a:graphic>
          </wp:inline>
        </w:drawing>
      </w:r>
    </w:p>
    <w:p w:rsidR="008801CD" w:rsidP="00A94718" w:rsidRDefault="008801CD" w14:paraId="42C130B6" w14:textId="77777777">
      <w:pPr>
        <w:rPr>
          <w:lang w:val="es-ES"/>
        </w:rPr>
      </w:pPr>
    </w:p>
    <w:p w:rsidR="00BA609D" w:rsidP="002210AF" w:rsidRDefault="00423D5E" w14:paraId="5CD3129A" w14:textId="1DBD102D">
      <w:pPr>
        <w:spacing w:line="480" w:lineRule="auto"/>
        <w:rPr>
          <w:rFonts w:ascii="Arial" w:hAnsi="Arial" w:cs="Arial"/>
          <w:lang w:val="es-ES"/>
        </w:rPr>
      </w:pPr>
      <w:r>
        <w:rPr>
          <w:noProof/>
        </w:rPr>
        <w:lastRenderedPageBreak/>
        <w:drawing>
          <wp:inline distT="0" distB="0" distL="0" distR="0" wp14:anchorId="79224D82" wp14:editId="2038024E">
            <wp:extent cx="9145270" cy="24942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145270" cy="2494280"/>
                    </a:xfrm>
                    <a:prstGeom prst="rect">
                      <a:avLst/>
                    </a:prstGeom>
                  </pic:spPr>
                </pic:pic>
              </a:graphicData>
            </a:graphic>
          </wp:inline>
        </w:drawing>
      </w:r>
    </w:p>
    <w:p w:rsidR="001B2723" w:rsidRDefault="001B2723" w14:paraId="3A2C29A3" w14:textId="588B9691">
      <w:pPr>
        <w:pStyle w:val="Paragraph"/>
        <w:numPr>
          <w:ilvl w:val="0"/>
          <w:numId w:val="0"/>
        </w:numPr>
        <w:tabs>
          <w:tab w:val="left" w:pos="9120"/>
        </w:tabs>
        <w:ind w:left="720"/>
        <w:jc w:val="center"/>
        <w:rPr>
          <w:rFonts w:ascii="Arial" w:hAnsi="Arial" w:cs="Arial"/>
          <w:sz w:val="22"/>
          <w:szCs w:val="22"/>
          <w:lang w:val="es-ES"/>
        </w:rPr>
      </w:pPr>
    </w:p>
    <w:p w:rsidR="001B2723" w:rsidP="001B2723" w:rsidRDefault="001B2723" w14:paraId="045D5EFF" w14:textId="1D8410B9">
      <w:pPr>
        <w:pStyle w:val="Paragraph"/>
        <w:numPr>
          <w:ilvl w:val="0"/>
          <w:numId w:val="0"/>
        </w:numPr>
        <w:tabs>
          <w:tab w:val="left" w:pos="9120"/>
        </w:tabs>
        <w:rPr>
          <w:rFonts w:ascii="Arial" w:hAnsi="Arial" w:cs="Arial"/>
          <w:sz w:val="22"/>
          <w:szCs w:val="22"/>
          <w:lang w:val="es-ES"/>
        </w:rPr>
      </w:pPr>
    </w:p>
    <w:p w:rsidR="001B2723" w:rsidP="001B2723" w:rsidRDefault="001B2723" w14:paraId="6E8247EB" w14:textId="47028AA1">
      <w:pPr>
        <w:pStyle w:val="Paragraph"/>
        <w:numPr>
          <w:ilvl w:val="0"/>
          <w:numId w:val="0"/>
        </w:numPr>
        <w:tabs>
          <w:tab w:val="left" w:pos="9120"/>
        </w:tabs>
        <w:rPr>
          <w:rFonts w:ascii="Arial" w:hAnsi="Arial" w:cs="Arial"/>
          <w:sz w:val="22"/>
          <w:szCs w:val="22"/>
          <w:lang w:val="es-ES"/>
        </w:rPr>
      </w:pPr>
    </w:p>
    <w:p w:rsidR="001B2723" w:rsidP="001B2723" w:rsidRDefault="001B2723" w14:paraId="478D0ADF" w14:textId="3728CFF4">
      <w:pPr>
        <w:pStyle w:val="Paragraph"/>
        <w:numPr>
          <w:ilvl w:val="0"/>
          <w:numId w:val="0"/>
        </w:numPr>
        <w:tabs>
          <w:tab w:val="left" w:pos="9120"/>
        </w:tabs>
        <w:rPr>
          <w:rFonts w:ascii="Arial" w:hAnsi="Arial" w:cs="Arial"/>
          <w:sz w:val="22"/>
          <w:szCs w:val="22"/>
          <w:lang w:val="es-ES"/>
        </w:rPr>
      </w:pPr>
    </w:p>
    <w:p w:rsidR="001B2723" w:rsidP="001B2723" w:rsidRDefault="001B2723" w14:paraId="33BE9CE2" w14:textId="77777777">
      <w:pPr>
        <w:pStyle w:val="Paragraph"/>
        <w:numPr>
          <w:ilvl w:val="0"/>
          <w:numId w:val="0"/>
        </w:numPr>
        <w:tabs>
          <w:tab w:val="left" w:pos="9120"/>
        </w:tabs>
        <w:rPr>
          <w:rFonts w:ascii="Arial" w:hAnsi="Arial" w:cs="Arial"/>
          <w:sz w:val="22"/>
          <w:szCs w:val="22"/>
          <w:lang w:val="es-ES"/>
        </w:rPr>
      </w:pPr>
    </w:p>
    <w:p w:rsidR="004272EF" w:rsidRDefault="001B2723" w14:paraId="095AB407" w14:textId="77777777">
      <w:pPr>
        <w:pStyle w:val="Paragraph"/>
        <w:numPr>
          <w:ilvl w:val="0"/>
          <w:numId w:val="0"/>
        </w:numPr>
        <w:tabs>
          <w:tab w:val="left" w:pos="9120"/>
        </w:tabs>
        <w:rPr>
          <w:rFonts w:ascii="Arial" w:hAnsi="Arial" w:cs="Arial"/>
          <w:sz w:val="22"/>
          <w:szCs w:val="22"/>
          <w:lang w:val="es-ES"/>
        </w:rPr>
      </w:pPr>
      <w:r>
        <w:rPr>
          <w:noProof/>
        </w:rPr>
        <w:lastRenderedPageBreak/>
        <w:drawing>
          <wp:inline distT="0" distB="0" distL="0" distR="0" wp14:anchorId="05F25FB5" wp14:editId="3C9BACE4">
            <wp:extent cx="9145270" cy="26060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145270" cy="2606040"/>
                    </a:xfrm>
                    <a:prstGeom prst="rect">
                      <a:avLst/>
                    </a:prstGeom>
                  </pic:spPr>
                </pic:pic>
              </a:graphicData>
            </a:graphic>
          </wp:inline>
        </w:drawing>
      </w:r>
    </w:p>
    <w:p w:rsidR="004272EF" w:rsidRDefault="004272EF" w14:paraId="36C400C7" w14:textId="77777777">
      <w:pPr>
        <w:pStyle w:val="Paragraph"/>
        <w:numPr>
          <w:ilvl w:val="0"/>
          <w:numId w:val="0"/>
        </w:numPr>
        <w:tabs>
          <w:tab w:val="left" w:pos="9120"/>
        </w:tabs>
        <w:rPr>
          <w:rFonts w:ascii="Arial" w:hAnsi="Arial" w:cs="Arial"/>
          <w:sz w:val="22"/>
          <w:szCs w:val="22"/>
          <w:lang w:val="es-ES"/>
        </w:rPr>
      </w:pPr>
      <w:r>
        <w:rPr>
          <w:noProof/>
        </w:rPr>
        <w:drawing>
          <wp:inline distT="0" distB="0" distL="0" distR="0" wp14:anchorId="595C95D7" wp14:editId="6E03B068">
            <wp:extent cx="9145270" cy="25311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145270" cy="2531110"/>
                    </a:xfrm>
                    <a:prstGeom prst="rect">
                      <a:avLst/>
                    </a:prstGeom>
                  </pic:spPr>
                </pic:pic>
              </a:graphicData>
            </a:graphic>
          </wp:inline>
        </w:drawing>
      </w:r>
    </w:p>
    <w:p w:rsidRPr="008D6662" w:rsidR="00026FE1" w:rsidP="002210AF" w:rsidRDefault="004272EF" w14:paraId="287D819A" w14:textId="5ADD61D9">
      <w:pPr>
        <w:pStyle w:val="Paragraph"/>
        <w:numPr>
          <w:ilvl w:val="0"/>
          <w:numId w:val="0"/>
        </w:numPr>
        <w:tabs>
          <w:tab w:val="left" w:pos="9120"/>
        </w:tabs>
        <w:rPr>
          <w:rFonts w:ascii="Arial" w:hAnsi="Arial" w:cs="Arial"/>
          <w:sz w:val="22"/>
          <w:szCs w:val="22"/>
          <w:lang w:val="es-ES"/>
        </w:rPr>
      </w:pPr>
      <w:r>
        <w:rPr>
          <w:noProof/>
        </w:rPr>
        <w:lastRenderedPageBreak/>
        <w:drawing>
          <wp:inline distT="0" distB="0" distL="0" distR="0" wp14:anchorId="79FF95AC" wp14:editId="476E2062">
            <wp:extent cx="9145270" cy="25120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145270" cy="2512060"/>
                    </a:xfrm>
                    <a:prstGeom prst="rect">
                      <a:avLst/>
                    </a:prstGeom>
                  </pic:spPr>
                </pic:pic>
              </a:graphicData>
            </a:graphic>
          </wp:inline>
        </w:drawing>
      </w:r>
    </w:p>
    <w:sectPr w:rsidRPr="008D6662" w:rsidR="00026FE1" w:rsidSect="002210AF">
      <w:pgSz w:w="15842" w:h="12242" w:orient="landscape" w:code="1"/>
      <w:pgMar w:top="720" w:right="720" w:bottom="720" w:left="72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4B8B" w:rsidP="00F10FC6" w:rsidRDefault="002F4B8B" w14:paraId="32828EEB" w14:textId="77777777">
      <w:pPr>
        <w:spacing w:after="0" w:line="240" w:lineRule="auto"/>
      </w:pPr>
      <w:r>
        <w:separator/>
      </w:r>
    </w:p>
  </w:endnote>
  <w:endnote w:type="continuationSeparator" w:id="0">
    <w:p w:rsidR="002F4B8B" w:rsidP="00F10FC6" w:rsidRDefault="002F4B8B" w14:paraId="17BF7E7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Bold">
    <w:panose1 w:val="02020803070505020304"/>
    <w:charset w:val="00"/>
    <w:family w:val="auto"/>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93252C" w:rsidR="00D83F08" w:rsidP="559FA22C" w:rsidRDefault="00D83F08" w14:paraId="59EB7DA0" w14:textId="77777777">
    <w:pPr>
      <w:pStyle w:val="Footer"/>
      <w:jc w:val="center"/>
      <w:rPr>
        <w:rFonts w:ascii="Times New Roman" w:hAnsi="Times New Roman" w:cs="Times New Roman"/>
      </w:rPr>
    </w:pPr>
    <w:r w:rsidRPr="0093252C">
      <w:rPr>
        <w:rFonts w:ascii="Times New Roman" w:hAnsi="Times New Roman" w:cs="Times New Roman"/>
      </w:rPr>
      <w:t>-</w:t>
    </w:r>
    <w:sdt>
      <w:sdtPr>
        <w:rPr>
          <w:rFonts w:ascii="Times New Roman" w:hAnsi="Times New Roman" w:cs="Times New Roman"/>
        </w:rPr>
        <w:id w:val="-158847383"/>
        <w:docPartObj>
          <w:docPartGallery w:val="Page Numbers (Bottom of Page)"/>
          <w:docPartUnique/>
        </w:docPartObj>
      </w:sdtPr>
      <w:sdtEndPr>
        <w:rPr>
          <w:noProof/>
        </w:rPr>
      </w:sdtEndPr>
      <w:sdtContent>
        <w:r w:rsidRPr="0093252C">
          <w:rPr>
            <w:rFonts w:ascii="Times New Roman" w:hAnsi="Times New Roman" w:cs="Times New Roman"/>
          </w:rPr>
          <w:fldChar w:fldCharType="begin"/>
        </w:r>
        <w:r w:rsidRPr="0093252C">
          <w:rPr>
            <w:rFonts w:ascii="Times New Roman" w:hAnsi="Times New Roman" w:cs="Times New Roman"/>
          </w:rPr>
          <w:instrText xml:space="preserve"> PAGE   \* MERGEFORMAT </w:instrText>
        </w:r>
        <w:r w:rsidRPr="0093252C">
          <w:rPr>
            <w:rFonts w:ascii="Times New Roman" w:hAnsi="Times New Roman" w:cs="Times New Roman"/>
          </w:rPr>
          <w:fldChar w:fldCharType="separate"/>
        </w:r>
        <w:r>
          <w:rPr>
            <w:rFonts w:ascii="Times New Roman" w:hAnsi="Times New Roman" w:cs="Times New Roman"/>
            <w:noProof/>
          </w:rPr>
          <w:t>2</w:t>
        </w:r>
        <w:r w:rsidRPr="0093252C">
          <w:rPr>
            <w:rFonts w:ascii="Times New Roman" w:hAnsi="Times New Roman" w:cs="Times New Roman"/>
            <w:noProof/>
          </w:rPr>
          <w:fldChar w:fldCharType="end"/>
        </w:r>
        <w:r w:rsidRPr="0093252C">
          <w:rPr>
            <w:rFonts w:ascii="Times New Roman" w:hAnsi="Times New Roman" w:cs="Times New Roman"/>
            <w:noProof/>
          </w:rPr>
          <w:t>-</w:t>
        </w:r>
      </w:sdtContent>
    </w:sdt>
  </w:p>
  <w:p w:rsidR="00D83F08" w:rsidRDefault="00D83F08" w14:paraId="3A3F538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1D1187" w:rsidR="00D83F08" w:rsidP="559FA22C" w:rsidRDefault="00D83F08" w14:paraId="399146E6" w14:textId="77777777">
    <w:pPr>
      <w:pStyle w:val="Footer"/>
      <w:jc w:val="center"/>
      <w:rPr>
        <w:rFonts w:ascii="Times New Roman" w:hAnsi="Times New Roman" w:cs="Times New Roman"/>
      </w:rPr>
    </w:pPr>
    <w:r w:rsidRPr="001D1187">
      <w:rPr>
        <w:rFonts w:ascii="Times New Roman" w:hAnsi="Times New Roman" w:cs="Times New Roman"/>
      </w:rPr>
      <w:t>-</w:t>
    </w:r>
    <w:sdt>
      <w:sdtPr>
        <w:rPr>
          <w:rFonts w:ascii="Times New Roman" w:hAnsi="Times New Roman" w:cs="Times New Roman"/>
        </w:rPr>
        <w:id w:val="-470596709"/>
        <w:docPartObj>
          <w:docPartGallery w:val="Page Numbers (Bottom of Page)"/>
          <w:docPartUnique/>
        </w:docPartObj>
      </w:sdtPr>
      <w:sdtEndPr>
        <w:rPr>
          <w:noProof/>
        </w:rPr>
      </w:sdtEndPr>
      <w:sdtContent>
        <w:r w:rsidRPr="001D1187">
          <w:rPr>
            <w:rFonts w:ascii="Times New Roman" w:hAnsi="Times New Roman" w:cs="Times New Roman"/>
          </w:rPr>
          <w:fldChar w:fldCharType="begin"/>
        </w:r>
        <w:r w:rsidRPr="001D1187">
          <w:rPr>
            <w:rFonts w:ascii="Times New Roman" w:hAnsi="Times New Roman" w:cs="Times New Roman"/>
          </w:rPr>
          <w:instrText xml:space="preserve"> PAGE   \* MERGEFORMAT </w:instrText>
        </w:r>
        <w:r w:rsidRPr="001D1187">
          <w:rPr>
            <w:rFonts w:ascii="Times New Roman" w:hAnsi="Times New Roman" w:cs="Times New Roman"/>
          </w:rPr>
          <w:fldChar w:fldCharType="separate"/>
        </w:r>
        <w:r>
          <w:rPr>
            <w:rFonts w:ascii="Times New Roman" w:hAnsi="Times New Roman" w:cs="Times New Roman"/>
            <w:noProof/>
          </w:rPr>
          <w:t>2</w:t>
        </w:r>
        <w:r w:rsidRPr="001D1187">
          <w:rPr>
            <w:rFonts w:ascii="Times New Roman" w:hAnsi="Times New Roman" w:cs="Times New Roman"/>
            <w:noProof/>
          </w:rPr>
          <w:fldChar w:fldCharType="end"/>
        </w:r>
        <w:r w:rsidRPr="001D1187">
          <w:rPr>
            <w:rFonts w:ascii="Times New Roman" w:hAnsi="Times New Roman" w:cs="Times New Roman"/>
            <w:noProof/>
          </w:rPr>
          <w:t>-</w:t>
        </w:r>
      </w:sdtContent>
    </w:sdt>
  </w:p>
  <w:p w:rsidR="00D83F08" w:rsidRDefault="00D83F08" w14:paraId="1559B17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F08" w:rsidRDefault="00D83F08" w14:paraId="01CB7484"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1D1187" w:rsidR="00D83F08" w:rsidP="559FA22C" w:rsidRDefault="00D83F08" w14:paraId="70DEB885" w14:textId="1D80719D">
    <w:pPr>
      <w:pStyle w:val="Footer"/>
      <w:jc w:val="center"/>
      <w:rPr>
        <w:rFonts w:ascii="Times New Roman" w:hAnsi="Times New Roman" w:cs="Times New Roman"/>
      </w:rPr>
    </w:pPr>
    <w:r w:rsidRPr="001D1187">
      <w:rPr>
        <w:rFonts w:ascii="Times New Roman" w:hAnsi="Times New Roman" w:cs="Times New Roman"/>
      </w:rPr>
      <w:t>-</w:t>
    </w:r>
    <w:sdt>
      <w:sdtPr>
        <w:rPr>
          <w:rFonts w:ascii="Times New Roman" w:hAnsi="Times New Roman" w:cs="Times New Roman"/>
        </w:rPr>
        <w:id w:val="2128046708"/>
        <w:docPartObj>
          <w:docPartGallery w:val="Page Numbers (Bottom of Page)"/>
          <w:docPartUnique/>
        </w:docPartObj>
      </w:sdtPr>
      <w:sdtEndPr>
        <w:rPr>
          <w:noProof/>
        </w:rPr>
      </w:sdtEndPr>
      <w:sdtContent>
        <w:r w:rsidRPr="001D1187">
          <w:rPr>
            <w:rFonts w:ascii="Times New Roman" w:hAnsi="Times New Roman" w:cs="Times New Roman"/>
          </w:rPr>
          <w:fldChar w:fldCharType="begin"/>
        </w:r>
        <w:r w:rsidRPr="001D1187">
          <w:rPr>
            <w:rFonts w:ascii="Times New Roman" w:hAnsi="Times New Roman" w:cs="Times New Roman"/>
          </w:rPr>
          <w:instrText xml:space="preserve"> PAGE   \* MERGEFORMAT </w:instrText>
        </w:r>
        <w:r w:rsidRPr="001D1187">
          <w:rPr>
            <w:rFonts w:ascii="Times New Roman" w:hAnsi="Times New Roman" w:cs="Times New Roman"/>
          </w:rPr>
          <w:fldChar w:fldCharType="separate"/>
        </w:r>
        <w:r w:rsidR="002210AF">
          <w:rPr>
            <w:rFonts w:ascii="Times New Roman" w:hAnsi="Times New Roman" w:cs="Times New Roman"/>
            <w:noProof/>
          </w:rPr>
          <w:t>1</w:t>
        </w:r>
        <w:r w:rsidRPr="001D1187">
          <w:rPr>
            <w:rFonts w:ascii="Times New Roman" w:hAnsi="Times New Roman" w:cs="Times New Roman"/>
            <w:noProof/>
          </w:rPr>
          <w:fldChar w:fldCharType="end"/>
        </w:r>
        <w:r w:rsidRPr="001D1187">
          <w:rPr>
            <w:rFonts w:ascii="Times New Roman" w:hAnsi="Times New Roman" w:cs="Times New Roman"/>
            <w:noProof/>
          </w:rPr>
          <w:t>-</w:t>
        </w:r>
      </w:sdtContent>
    </w:sdt>
  </w:p>
  <w:p w:rsidR="00D83F08" w:rsidRDefault="00D83F08" w14:paraId="2B59CBEA"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8B0024" w:rsidR="00D83F08" w:rsidP="559FA22C" w:rsidRDefault="00D83F08" w14:paraId="60ED444C" w14:textId="66DF4572">
    <w:pPr>
      <w:pStyle w:val="Footer"/>
      <w:jc w:val="center"/>
      <w:rPr>
        <w:rFonts w:ascii="Arial" w:hAnsi="Arial" w:cs="Arial"/>
        <w:sz w:val="18"/>
        <w:szCs w:val="18"/>
      </w:rPr>
    </w:pPr>
    <w:r w:rsidRPr="559FA22C">
      <w:rPr>
        <w:rFonts w:ascii="Arial" w:hAnsi="Arial" w:cs="Arial"/>
        <w:sz w:val="18"/>
        <w:szCs w:val="18"/>
      </w:rPr>
      <w:t>-</w:t>
    </w:r>
    <w:sdt>
      <w:sdtPr>
        <w:rPr>
          <w:rFonts w:ascii="Arial" w:hAnsi="Arial" w:cs="Arial"/>
          <w:sz w:val="18"/>
        </w:rPr>
        <w:id w:val="1400168741"/>
        <w:docPartObj>
          <w:docPartGallery w:val="Page Numbers (Bottom of Page)"/>
          <w:docPartUnique/>
        </w:docPartObj>
      </w:sdtPr>
      <w:sdtEndPr>
        <w:rPr>
          <w:noProof/>
        </w:rPr>
      </w:sdtEndPr>
      <w:sdtContent>
        <w:r w:rsidRPr="008B0024">
          <w:rPr>
            <w:rFonts w:ascii="Arial" w:hAnsi="Arial" w:cs="Arial"/>
            <w:sz w:val="18"/>
          </w:rPr>
          <w:fldChar w:fldCharType="begin"/>
        </w:r>
        <w:r w:rsidRPr="008B0024">
          <w:rPr>
            <w:rFonts w:ascii="Arial" w:hAnsi="Arial" w:cs="Arial"/>
            <w:sz w:val="18"/>
          </w:rPr>
          <w:instrText xml:space="preserve"> PAGE   \* MERGEFORMAT </w:instrText>
        </w:r>
        <w:r w:rsidRPr="008B0024">
          <w:rPr>
            <w:rFonts w:ascii="Arial" w:hAnsi="Arial" w:cs="Arial"/>
            <w:sz w:val="18"/>
          </w:rPr>
          <w:fldChar w:fldCharType="separate"/>
        </w:r>
        <w:r w:rsidR="002210AF">
          <w:rPr>
            <w:rFonts w:ascii="Arial" w:hAnsi="Arial" w:cs="Arial"/>
            <w:noProof/>
            <w:sz w:val="18"/>
          </w:rPr>
          <w:t>19</w:t>
        </w:r>
        <w:r w:rsidRPr="008B0024">
          <w:rPr>
            <w:rFonts w:ascii="Arial" w:hAnsi="Arial" w:cs="Arial"/>
            <w:noProof/>
            <w:sz w:val="18"/>
          </w:rPr>
          <w:fldChar w:fldCharType="end"/>
        </w:r>
        <w:r w:rsidRPr="008B0024">
          <w:rPr>
            <w:rFonts w:ascii="Arial" w:hAnsi="Arial" w:cs="Arial"/>
            <w:noProof/>
            <w:sz w:val="18"/>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4B8B" w:rsidP="00F10FC6" w:rsidRDefault="002F4B8B" w14:paraId="530C98DC" w14:textId="77777777">
      <w:pPr>
        <w:spacing w:after="0" w:line="240" w:lineRule="auto"/>
      </w:pPr>
      <w:r>
        <w:separator/>
      </w:r>
    </w:p>
  </w:footnote>
  <w:footnote w:type="continuationSeparator" w:id="0">
    <w:p w:rsidR="002F4B8B" w:rsidP="00F10FC6" w:rsidRDefault="002F4B8B" w14:paraId="2FBF9D39" w14:textId="77777777">
      <w:pPr>
        <w:spacing w:after="0" w:line="240" w:lineRule="auto"/>
      </w:pPr>
      <w:r>
        <w:continuationSeparator/>
      </w:r>
    </w:p>
  </w:footnote>
  <w:footnote w:id="1">
    <w:p w:rsidRPr="004C37B7" w:rsidR="00D83F08" w:rsidP="559FA22C" w:rsidRDefault="00D83F08" w14:paraId="040C12C5" w14:textId="7F816C26" w14:noSpellErr="1">
      <w:pPr>
        <w:pStyle w:val="FootnoteText"/>
        <w:spacing w:after="0"/>
        <w:rPr>
          <w:rFonts w:ascii="Arial" w:hAnsi="Arial" w:cs="Arial"/>
          <w:sz w:val="18"/>
          <w:szCs w:val="18"/>
          <w:lang w:val="es-ES"/>
        </w:rPr>
      </w:pPr>
      <w:r w:rsidRPr="004C37B7">
        <w:rPr>
          <w:rStyle w:val="FootnoteReference"/>
          <w:rFonts w:ascii="Arial" w:hAnsi="Arial" w:cs="Arial"/>
          <w:sz w:val="18"/>
          <w:szCs w:val="18"/>
        </w:rPr>
        <w:footnoteRef/>
      </w:r>
      <w:r w:rsidRPr="559FA22C">
        <w:rPr>
          <w:rFonts w:ascii="Arial" w:hAnsi="Arial" w:cs="Arial"/>
          <w:sz w:val="18"/>
          <w:szCs w:val="18"/>
          <w:lang w:val="es-ES"/>
        </w:rPr>
        <w:t xml:space="preserve"> </w:t>
      </w:r>
      <w:r>
        <w:rPr>
          <w:rFonts w:ascii="Arial" w:hAnsi="Arial" w:cs="Arial"/>
          <w:sz w:val="18"/>
          <w:szCs w:val="18"/>
          <w:lang w:val="es-ES_tradnl"/>
        </w:rPr>
        <w:tab/>
      </w:r>
      <w:r w:rsidRPr="559FA22C">
        <w:rPr>
          <w:rFonts w:ascii="Arial" w:hAnsi="Arial" w:cs="Arial"/>
          <w:sz w:val="18"/>
          <w:szCs w:val="18"/>
          <w:lang w:val="es-ES"/>
        </w:rPr>
        <w:t>El dato para 2016 corresponde a un ejercicio de aproximación a través de los índices de precios provinciales disponibles.</w:t>
      </w:r>
    </w:p>
  </w:footnote>
  <w:footnote w:id="2">
    <w:p w:rsidRPr="0080549D" w:rsidR="00D83F08" w:rsidP="559FA22C" w:rsidRDefault="00D83F08" w14:paraId="317723C7" w14:textId="77777777">
      <w:pPr>
        <w:pStyle w:val="FootnoteText"/>
        <w:spacing w:after="0"/>
        <w:ind w:left="270" w:hanging="274"/>
        <w:rPr>
          <w:rFonts w:ascii="Arial" w:hAnsi="Arial" w:eastAsia="Arial" w:cs="Arial"/>
          <w:sz w:val="18"/>
          <w:szCs w:val="18"/>
        </w:rPr>
      </w:pPr>
      <w:r w:rsidRPr="4E2126D1">
        <w:rPr>
          <w:rStyle w:val="FootnoteReference"/>
          <w:rFonts w:ascii="Arial" w:hAnsi="Arial" w:eastAsia="Arial" w:cs="Arial"/>
          <w:sz w:val="18"/>
          <w:szCs w:val="18"/>
        </w:rPr>
        <w:footnoteRef/>
      </w:r>
      <w:r w:rsidRPr="0080549D">
        <w:rPr>
          <w:rFonts w:ascii="Arial" w:hAnsi="Arial" w:eastAsia="Arial" w:cs="Arial"/>
          <w:sz w:val="18"/>
          <w:szCs w:val="18"/>
        </w:rPr>
        <w:t xml:space="preserve"> </w:t>
      </w:r>
      <w:r w:rsidRPr="0080549D">
        <w:rPr>
          <w:rFonts w:ascii="Arial" w:hAnsi="Arial" w:cs="Arial"/>
          <w:sz w:val="18"/>
          <w:szCs w:val="18"/>
        </w:rPr>
        <w:tab/>
      </w:r>
      <w:r w:rsidRPr="0080549D">
        <w:rPr>
          <w:rFonts w:ascii="Arial" w:hAnsi="Arial" w:eastAsia="Arial" w:cs="Arial"/>
          <w:sz w:val="18"/>
          <w:szCs w:val="18"/>
        </w:rPr>
        <w:t xml:space="preserve">Beck, T.; Levine, R. y </w:t>
      </w:r>
      <w:proofErr w:type="spellStart"/>
      <w:r w:rsidRPr="0080549D">
        <w:rPr>
          <w:rFonts w:ascii="Arial" w:hAnsi="Arial" w:eastAsia="Arial" w:cs="Arial"/>
          <w:sz w:val="18"/>
          <w:szCs w:val="18"/>
        </w:rPr>
        <w:t xml:space="preserve">Loayza</w:t>
      </w:r>
      <w:proofErr w:type="spellEnd"/>
      <w:r w:rsidRPr="0080549D">
        <w:rPr>
          <w:rFonts w:ascii="Arial" w:hAnsi="Arial" w:eastAsia="Arial" w:cs="Arial"/>
          <w:sz w:val="18"/>
          <w:szCs w:val="18"/>
        </w:rPr>
        <w:t xml:space="preserve">, N., </w:t>
      </w:r>
      <w:r w:rsidRPr="559FA22C">
        <w:rPr>
          <w:rFonts w:ascii="Arial" w:hAnsi="Arial" w:eastAsia="Arial" w:cs="Arial"/>
          <w:i w:val="1"/>
          <w:iCs w:val="1"/>
          <w:sz w:val="18"/>
          <w:szCs w:val="18"/>
        </w:rPr>
        <w:t>“Finance and the sources of growth”</w:t>
      </w:r>
      <w:r w:rsidRPr="0080549D">
        <w:rPr>
          <w:rFonts w:ascii="Arial" w:hAnsi="Arial" w:eastAsia="Arial" w:cs="Arial"/>
          <w:sz w:val="18"/>
          <w:szCs w:val="18"/>
        </w:rPr>
        <w:t xml:space="preserve">, </w:t>
      </w:r>
      <w:r w:rsidRPr="559FA22C">
        <w:rPr>
          <w:rFonts w:ascii="Arial" w:hAnsi="Arial" w:eastAsia="Arial" w:cs="Arial"/>
          <w:i w:val="1"/>
          <w:iCs w:val="1"/>
          <w:sz w:val="18"/>
          <w:szCs w:val="18"/>
        </w:rPr>
        <w:t xml:space="preserve">Journal of Financial Economics </w:t>
      </w:r>
      <w:r w:rsidRPr="0080549D">
        <w:rPr>
          <w:rFonts w:ascii="Arial" w:hAnsi="Arial" w:eastAsia="Arial" w:cs="Arial"/>
          <w:sz w:val="18"/>
          <w:szCs w:val="18"/>
        </w:rPr>
        <w:t>58(12), 261-300, 2000.</w:t>
      </w:r>
    </w:p>
  </w:footnote>
  <w:footnote w:id="3">
    <w:p w:rsidRPr="00ED4EEF" w:rsidR="00D83F08" w:rsidP="559FA22C" w:rsidRDefault="00D83F08" w14:paraId="42A44922" w14:textId="77777777" w14:noSpellErr="1">
      <w:pPr>
        <w:pStyle w:val="FootnoteText"/>
        <w:spacing w:after="0"/>
        <w:ind w:left="270" w:hanging="274"/>
        <w:rPr>
          <w:rFonts w:ascii="Arial" w:hAnsi="Arial" w:eastAsia="Arial" w:cs="Arial"/>
          <w:sz w:val="18"/>
          <w:szCs w:val="18"/>
          <w:lang w:val="es-ES"/>
        </w:rPr>
      </w:pPr>
      <w:r w:rsidRPr="4E2126D1">
        <w:rPr>
          <w:rStyle w:val="FootnoteReference"/>
          <w:rFonts w:ascii="Arial" w:hAnsi="Arial" w:eastAsia="Arial" w:cs="Arial"/>
          <w:sz w:val="18"/>
          <w:szCs w:val="18"/>
        </w:rPr>
        <w:footnoteRef/>
      </w:r>
      <w:r w:rsidRPr="4E2126D1">
        <w:rPr>
          <w:rFonts w:ascii="Arial" w:hAnsi="Arial" w:eastAsia="Arial" w:cs="Arial"/>
          <w:sz w:val="18"/>
          <w:szCs w:val="18"/>
          <w:lang w:val="es-ES"/>
        </w:rPr>
        <w:t xml:space="preserve"> </w:t>
      </w:r>
      <w:r w:rsidRPr="002210AF">
        <w:rPr>
          <w:rFonts w:ascii="Arial" w:hAnsi="Arial" w:cs="Arial"/>
          <w:sz w:val="18"/>
          <w:szCs w:val="18"/>
          <w:lang w:val="es-ES_tradnl"/>
        </w:rPr>
        <w:tab/>
      </w:r>
      <w:r w:rsidRPr="4E2126D1">
        <w:rPr>
          <w:rFonts w:ascii="Arial" w:hAnsi="Arial" w:eastAsia="Arial" w:cs="Arial"/>
          <w:sz w:val="18"/>
          <w:szCs w:val="18"/>
          <w:lang w:val="es-ES"/>
        </w:rPr>
        <w:t xml:space="preserve">Banco Interamericano de Desarrollo (BID), </w:t>
      </w:r>
      <w:r w:rsidRPr="559FA22C">
        <w:rPr>
          <w:rFonts w:ascii="Arial" w:hAnsi="Arial" w:eastAsia="Arial" w:cs="Arial"/>
          <w:sz w:val="18"/>
          <w:szCs w:val="18"/>
          <w:lang w:val="es-ES"/>
        </w:rPr>
        <w:t>Documento de Marco Sectorial de Respaldo para PYME y Acceso y Supervisión Financieros</w:t>
      </w:r>
      <w:r w:rsidRPr="00CD48DD">
        <w:rPr>
          <w:rFonts w:ascii="Arial" w:hAnsi="Arial" w:eastAsia="Arial" w:cs="Arial"/>
          <w:sz w:val="18"/>
          <w:szCs w:val="18"/>
          <w:lang w:val="es-ES"/>
        </w:rPr>
        <w:t xml:space="preserve">, </w:t>
      </w:r>
      <w:r w:rsidRPr="4E2126D1">
        <w:rPr>
          <w:rFonts w:ascii="Arial" w:hAnsi="Arial" w:eastAsia="Arial" w:cs="Arial"/>
          <w:sz w:val="18"/>
          <w:szCs w:val="18"/>
          <w:lang w:val="es-ES"/>
        </w:rPr>
        <w:t>GN-2768, 201</w:t>
      </w:r>
      <w:r>
        <w:rPr>
          <w:rFonts w:ascii="Arial" w:hAnsi="Arial" w:eastAsia="Arial" w:cs="Arial"/>
          <w:sz w:val="18"/>
          <w:szCs w:val="18"/>
          <w:lang w:val="es-ES"/>
        </w:rPr>
        <w:t>7</w:t>
      </w:r>
      <w:r w:rsidRPr="4E2126D1">
        <w:rPr>
          <w:rFonts w:ascii="Arial" w:hAnsi="Arial" w:eastAsia="Arial" w:cs="Arial"/>
          <w:sz w:val="18"/>
          <w:szCs w:val="18"/>
          <w:lang w:val="es-ES"/>
        </w:rPr>
        <w:t>.</w:t>
      </w:r>
    </w:p>
  </w:footnote>
  <w:footnote w:id="4">
    <w:p w:rsidRPr="002210AF" w:rsidR="00D83F08" w:rsidP="559FA22C" w:rsidRDefault="00D83F08" w14:paraId="33966DE7" w14:textId="77777777" w14:noSpellErr="1">
      <w:pPr>
        <w:pStyle w:val="FootnoteText"/>
        <w:spacing w:after="0"/>
        <w:ind w:left="270" w:hanging="270"/>
        <w:rPr>
          <w:rFonts w:ascii="Arial" w:hAnsi="Arial" w:cs="Arial"/>
          <w:sz w:val="18"/>
          <w:szCs w:val="18"/>
          <w:lang w:val="es-ES"/>
        </w:rPr>
      </w:pPr>
      <w:r w:rsidRPr="00E24F93">
        <w:rPr>
          <w:rStyle w:val="FootnoteReference"/>
          <w:rFonts w:ascii="Arial" w:hAnsi="Arial" w:cs="Arial"/>
          <w:sz w:val="18"/>
          <w:szCs w:val="18"/>
        </w:rPr>
        <w:footnoteRef/>
      </w:r>
      <w:r w:rsidRPr="559FA22C">
        <w:rPr>
          <w:rFonts w:ascii="Arial" w:hAnsi="Arial" w:cs="Arial"/>
          <w:sz w:val="18"/>
          <w:szCs w:val="18"/>
          <w:lang w:val="es-ES"/>
        </w:rPr>
        <w:t xml:space="preserve"> </w:t>
      </w:r>
      <w:r w:rsidRPr="002210AF">
        <w:rPr>
          <w:rFonts w:ascii="Arial" w:hAnsi="Arial" w:cs="Arial"/>
          <w:sz w:val="18"/>
          <w:szCs w:val="18"/>
          <w:lang w:val="es-ES_tradnl"/>
        </w:rPr>
        <w:tab/>
      </w:r>
      <w:r w:rsidRPr="559FA22C">
        <w:rPr>
          <w:rFonts w:ascii="Arial" w:hAnsi="Arial" w:cs="Arial"/>
          <w:sz w:val="18"/>
          <w:szCs w:val="18"/>
          <w:lang w:val="es-ES"/>
        </w:rPr>
        <w:t xml:space="preserve">Extraído de la base estadística del Banco Mundial, </w:t>
      </w:r>
      <w:hyperlink w:history="1" r:id="R5e1c57bd83814b54">
        <w:r w:rsidRPr="559FA22C">
          <w:rPr>
            <w:rStyle w:val="Hyperlink"/>
            <w:rFonts w:ascii="Arial" w:hAnsi="Arial" w:cs="Arial"/>
            <w:sz w:val="18"/>
            <w:szCs w:val="18"/>
            <w:lang w:val="es-ES"/>
          </w:rPr>
          <w:t>www.data.worldbank.org</w:t>
        </w:r>
      </w:hyperlink>
      <w:r w:rsidRPr="559FA22C">
        <w:rPr>
          <w:rFonts w:ascii="Arial" w:hAnsi="Arial" w:cs="Arial"/>
          <w:sz w:val="18"/>
          <w:szCs w:val="18"/>
          <w:lang w:val="es-ES"/>
        </w:rPr>
        <w:t>.</w:t>
      </w:r>
    </w:p>
  </w:footnote>
  <w:footnote w:id="5">
    <w:p w:rsidRPr="0080549D" w:rsidR="00D83F08" w:rsidP="559FA22C" w:rsidRDefault="00D83F08" w14:paraId="2D02F483" w14:textId="77777777">
      <w:pPr>
        <w:pStyle w:val="FootnoteText"/>
        <w:spacing w:after="0"/>
        <w:ind w:left="270" w:hanging="270"/>
        <w:rPr>
          <w:rFonts w:ascii="Arial" w:hAnsi="Arial" w:cs="Arial"/>
          <w:sz w:val="18"/>
          <w:szCs w:val="18"/>
        </w:rPr>
      </w:pPr>
      <w:r w:rsidRPr="00F55FAE">
        <w:rPr>
          <w:rStyle w:val="FootnoteReference"/>
          <w:rFonts w:ascii="Arial" w:hAnsi="Arial" w:cs="Arial"/>
          <w:sz w:val="18"/>
          <w:szCs w:val="18"/>
        </w:rPr>
        <w:footnoteRef/>
      </w:r>
      <w:r w:rsidRPr="0080549D">
        <w:rPr>
          <w:rFonts w:ascii="Arial" w:hAnsi="Arial" w:cs="Arial"/>
          <w:sz w:val="18"/>
          <w:szCs w:val="18"/>
        </w:rPr>
        <w:t xml:space="preserve"> </w:t>
      </w:r>
      <w:r w:rsidRPr="0080549D">
        <w:rPr>
          <w:rFonts w:ascii="Arial" w:hAnsi="Arial" w:cs="Arial"/>
          <w:sz w:val="18"/>
          <w:szCs w:val="18"/>
        </w:rPr>
        <w:tab/>
      </w:r>
      <w:proofErr w:type="spellStart"/>
      <w:r w:rsidRPr="0080549D">
        <w:rPr>
          <w:rFonts w:ascii="Arial" w:hAnsi="Arial" w:cs="Arial"/>
          <w:sz w:val="18"/>
          <w:szCs w:val="18"/>
        </w:rPr>
        <w:t>Foro</w:t>
      </w:r>
      <w:proofErr w:type="spellEnd"/>
      <w:r w:rsidRPr="0080549D">
        <w:rPr>
          <w:rFonts w:ascii="Arial" w:hAnsi="Arial" w:cs="Arial"/>
          <w:sz w:val="18"/>
          <w:szCs w:val="18"/>
        </w:rPr>
        <w:t xml:space="preserve"> </w:t>
      </w:r>
      <w:proofErr w:type="spellStart"/>
      <w:r w:rsidRPr="0080549D">
        <w:rPr>
          <w:rFonts w:ascii="Arial" w:hAnsi="Arial" w:cs="Arial"/>
          <w:sz w:val="18"/>
          <w:szCs w:val="18"/>
        </w:rPr>
        <w:t>Económico</w:t>
      </w:r>
      <w:proofErr w:type="spellEnd"/>
      <w:r w:rsidRPr="0080549D">
        <w:rPr>
          <w:rFonts w:ascii="Arial" w:hAnsi="Arial" w:cs="Arial"/>
          <w:sz w:val="18"/>
          <w:szCs w:val="18"/>
        </w:rPr>
        <w:t xml:space="preserve"> Mundial, “</w:t>
      </w:r>
      <w:r w:rsidRPr="559FA22C">
        <w:rPr>
          <w:rFonts w:ascii="Arial" w:hAnsi="Arial" w:cs="Arial"/>
          <w:i w:val="1"/>
          <w:iCs w:val="1"/>
          <w:sz w:val="18"/>
          <w:szCs w:val="18"/>
        </w:rPr>
        <w:t>The Global Competitiveness</w:t>
      </w:r>
      <w:r w:rsidRPr="0080549D">
        <w:rPr>
          <w:rFonts w:ascii="Arial" w:hAnsi="Arial" w:cs="Arial"/>
          <w:sz w:val="18"/>
          <w:szCs w:val="18"/>
        </w:rPr>
        <w:t xml:space="preserve"> </w:t>
      </w:r>
      <w:r w:rsidRPr="559FA22C">
        <w:rPr>
          <w:rFonts w:ascii="Arial" w:hAnsi="Arial" w:cs="Arial"/>
          <w:i w:val="1"/>
          <w:iCs w:val="1"/>
          <w:sz w:val="18"/>
          <w:szCs w:val="18"/>
        </w:rPr>
        <w:t>Report 2017-2018</w:t>
      </w:r>
      <w:r w:rsidRPr="0080549D">
        <w:rPr>
          <w:rFonts w:ascii="Arial" w:hAnsi="Arial" w:cs="Arial"/>
          <w:sz w:val="18"/>
          <w:szCs w:val="18"/>
        </w:rPr>
        <w:t>”, 2017.</w:t>
      </w:r>
    </w:p>
  </w:footnote>
  <w:footnote w:id="6">
    <w:p w:rsidRPr="0080549D" w:rsidR="00D83F08" w:rsidP="559FA22C" w:rsidRDefault="00D83F08" w14:paraId="656B04E7" w14:textId="77777777">
      <w:pPr>
        <w:pStyle w:val="FootnoteText"/>
        <w:spacing w:after="0"/>
        <w:ind w:left="270" w:hanging="270"/>
        <w:rPr>
          <w:rFonts w:ascii="Arial" w:hAnsi="Arial" w:cs="Arial"/>
          <w:sz w:val="18"/>
          <w:szCs w:val="18"/>
        </w:rPr>
      </w:pPr>
      <w:r w:rsidRPr="0080549D">
        <w:rPr>
          <w:rStyle w:val="FootnoteReference"/>
          <w:rFonts w:ascii="Arial" w:hAnsi="Arial" w:cs="Arial"/>
          <w:sz w:val="18"/>
          <w:szCs w:val="18"/>
        </w:rPr>
        <w:footnoteRef/>
      </w:r>
      <w:r w:rsidRPr="0080549D">
        <w:rPr>
          <w:rFonts w:ascii="Arial" w:hAnsi="Arial" w:cs="Arial"/>
          <w:sz w:val="18"/>
          <w:szCs w:val="18"/>
        </w:rPr>
        <w:t xml:space="preserve"> </w:t>
      </w:r>
      <w:r w:rsidRPr="0080549D">
        <w:rPr>
          <w:rFonts w:ascii="Arial" w:hAnsi="Arial" w:cs="Arial"/>
          <w:sz w:val="18"/>
          <w:szCs w:val="18"/>
        </w:rPr>
        <w:tab/>
      </w:r>
      <w:r w:rsidRPr="0080549D">
        <w:rPr>
          <w:rFonts w:ascii="Arial" w:hAnsi="Arial" w:cs="Arial"/>
          <w:sz w:val="18"/>
          <w:szCs w:val="18"/>
        </w:rPr>
        <w:t xml:space="preserve">Fondo </w:t>
      </w:r>
      <w:proofErr w:type="spellStart"/>
      <w:r w:rsidRPr="0080549D">
        <w:rPr>
          <w:rFonts w:ascii="Arial" w:hAnsi="Arial" w:cs="Arial"/>
          <w:sz w:val="18"/>
          <w:szCs w:val="18"/>
        </w:rPr>
        <w:t xml:space="preserve">Monetario</w:t>
      </w:r>
      <w:proofErr w:type="spellEnd"/>
      <w:r w:rsidRPr="0080549D">
        <w:rPr>
          <w:rFonts w:ascii="Arial" w:hAnsi="Arial" w:cs="Arial"/>
          <w:sz w:val="18"/>
          <w:szCs w:val="18"/>
        </w:rPr>
        <w:t xml:space="preserve"> </w:t>
      </w:r>
      <w:proofErr w:type="spellStart"/>
      <w:r w:rsidRPr="0080549D">
        <w:rPr>
          <w:rFonts w:ascii="Arial" w:hAnsi="Arial" w:cs="Arial"/>
          <w:sz w:val="18"/>
          <w:szCs w:val="18"/>
        </w:rPr>
        <w:t xml:space="preserve">Internacional</w:t>
      </w:r>
      <w:proofErr w:type="spellEnd"/>
      <w:r w:rsidRPr="0080549D">
        <w:rPr>
          <w:rFonts w:ascii="Arial" w:hAnsi="Arial" w:cs="Arial"/>
          <w:sz w:val="18"/>
          <w:szCs w:val="18"/>
        </w:rPr>
        <w:t xml:space="preserve">, “Argentina – </w:t>
      </w:r>
      <w:r w:rsidRPr="559FA22C">
        <w:rPr>
          <w:rFonts w:ascii="Arial" w:hAnsi="Arial" w:cs="Arial"/>
          <w:i w:val="1"/>
          <w:iCs w:val="1"/>
          <w:sz w:val="18"/>
          <w:szCs w:val="18"/>
        </w:rPr>
        <w:t>2016 Article IV Consultation – Press Release; Staff Report; and Stat</w:t>
      </w:r>
      <w:r w:rsidRPr="559FA22C">
        <w:rPr>
          <w:rFonts w:ascii="Arial" w:hAnsi="Arial" w:cs="Arial"/>
          <w:i w:val="1"/>
          <w:iCs w:val="1"/>
          <w:sz w:val="18"/>
          <w:szCs w:val="18"/>
        </w:rPr>
        <w:t>ement by the Executive Director for Argentina</w:t>
      </w:r>
      <w:r>
        <w:rPr>
          <w:rFonts w:ascii="Arial" w:hAnsi="Arial" w:cs="Arial"/>
          <w:sz w:val="18"/>
          <w:szCs w:val="18"/>
        </w:rPr>
        <w:t>”, IMF Country Report No. 16/346, 2016.</w:t>
      </w:r>
    </w:p>
  </w:footnote>
  <w:footnote w:id="7">
    <w:p w:rsidRPr="002210AF" w:rsidR="00D83F08" w:rsidP="559FA22C" w:rsidRDefault="00D83F08" w14:paraId="55A7FE6A" w14:textId="77777777">
      <w:pPr>
        <w:pStyle w:val="FootnoteText"/>
        <w:spacing w:after="0"/>
        <w:ind w:left="270" w:hanging="270"/>
        <w:rPr>
          <w:rFonts w:ascii="Arial" w:hAnsi="Arial" w:cs="Arial"/>
          <w:sz w:val="18"/>
          <w:szCs w:val="18"/>
          <w:lang w:val="es-ES"/>
        </w:rPr>
      </w:pPr>
      <w:r w:rsidRPr="00300267">
        <w:rPr>
          <w:rStyle w:val="FootnoteReference"/>
          <w:rFonts w:ascii="Arial" w:hAnsi="Arial" w:cs="Arial"/>
          <w:sz w:val="18"/>
          <w:szCs w:val="18"/>
        </w:rPr>
        <w:footnoteRef/>
      </w:r>
      <w:r w:rsidRPr="559FA22C">
        <w:rPr>
          <w:rFonts w:ascii="Arial" w:hAnsi="Arial" w:cs="Arial"/>
          <w:sz w:val="18"/>
          <w:szCs w:val="18"/>
          <w:lang w:val="es-ES"/>
        </w:rPr>
        <w:t xml:space="preserve"> </w:t>
      </w:r>
      <w:r w:rsidRPr="002210AF">
        <w:rPr>
          <w:rFonts w:ascii="Arial" w:hAnsi="Arial" w:cs="Arial"/>
          <w:sz w:val="18"/>
          <w:szCs w:val="18"/>
          <w:lang w:val="es-ES_tradnl"/>
        </w:rPr>
        <w:tab/>
      </w:r>
      <w:r w:rsidRPr="559FA22C">
        <w:rPr>
          <w:rFonts w:ascii="Arial" w:hAnsi="Arial" w:cs="Arial"/>
          <w:sz w:val="18"/>
          <w:szCs w:val="18"/>
          <w:lang w:val="es-ES"/>
        </w:rPr>
        <w:t>Fondo Monetario Internacional, “</w:t>
      </w:r>
      <w:proofErr w:type="spellStart"/>
      <w:r w:rsidRPr="559FA22C">
        <w:rPr>
          <w:rFonts w:ascii="Arial" w:hAnsi="Arial" w:cs="Arial"/>
          <w:i w:val="1"/>
          <w:iCs w:val="1"/>
          <w:sz w:val="18"/>
          <w:szCs w:val="18"/>
          <w:lang w:val="es-ES"/>
        </w:rPr>
        <w:t>Financial</w:t>
      </w:r>
      <w:proofErr w:type="spellEnd"/>
      <w:r w:rsidRPr="559FA22C">
        <w:rPr>
          <w:rFonts w:ascii="Arial" w:hAnsi="Arial" w:cs="Arial"/>
          <w:i w:val="1"/>
          <w:iCs w:val="1"/>
          <w:sz w:val="18"/>
          <w:szCs w:val="18"/>
          <w:lang w:val="es-ES"/>
        </w:rPr>
        <w:t xml:space="preserve"> Sector </w:t>
      </w:r>
      <w:proofErr w:type="spellStart"/>
      <w:r w:rsidRPr="559FA22C">
        <w:rPr>
          <w:rFonts w:ascii="Arial" w:hAnsi="Arial" w:cs="Arial"/>
          <w:i w:val="1"/>
          <w:iCs w:val="1"/>
          <w:sz w:val="18"/>
          <w:szCs w:val="18"/>
          <w:lang w:val="es-ES"/>
        </w:rPr>
        <w:t>Assessment</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Program</w:t>
      </w:r>
      <w:proofErr w:type="spellEnd"/>
      <w:r w:rsidRPr="559FA22C">
        <w:rPr>
          <w:rFonts w:ascii="Arial" w:hAnsi="Arial" w:cs="Arial"/>
          <w:i w:val="1"/>
          <w:iCs w:val="1"/>
          <w:sz w:val="18"/>
          <w:szCs w:val="18"/>
          <w:lang w:val="es-ES"/>
        </w:rPr>
        <w:t xml:space="preserve"> – </w:t>
      </w:r>
      <w:proofErr w:type="spellStart"/>
      <w:r w:rsidRPr="559FA22C">
        <w:rPr>
          <w:rFonts w:ascii="Arial" w:hAnsi="Arial" w:cs="Arial"/>
          <w:i w:val="1"/>
          <w:iCs w:val="1"/>
          <w:sz w:val="18"/>
          <w:szCs w:val="18"/>
          <w:lang w:val="es-ES"/>
        </w:rPr>
        <w:t>Financial</w:t>
      </w:r>
      <w:proofErr w:type="spellEnd"/>
      <w:r w:rsidRPr="559FA22C">
        <w:rPr>
          <w:rFonts w:ascii="Arial" w:hAnsi="Arial" w:cs="Arial"/>
          <w:i w:val="1"/>
          <w:iCs w:val="1"/>
          <w:sz w:val="18"/>
          <w:szCs w:val="18"/>
          <w:lang w:val="es-ES"/>
        </w:rPr>
        <w:t xml:space="preserve"> Sector </w:t>
      </w:r>
      <w:proofErr w:type="spellStart"/>
      <w:r w:rsidRPr="559FA22C">
        <w:rPr>
          <w:rFonts w:ascii="Arial" w:hAnsi="Arial" w:cs="Arial"/>
          <w:i w:val="1"/>
          <w:iCs w:val="1"/>
          <w:sz w:val="18"/>
          <w:szCs w:val="18"/>
          <w:lang w:val="es-ES"/>
        </w:rPr>
        <w:t>Stability</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Technical</w:t>
      </w:r>
      <w:proofErr w:type="spellEnd"/>
      <w:r w:rsidRPr="559FA22C">
        <w:rPr>
          <w:rFonts w:ascii="Arial" w:hAnsi="Arial" w:cs="Arial"/>
          <w:i w:val="1"/>
          <w:iCs w:val="1"/>
          <w:sz w:val="18"/>
          <w:szCs w:val="18"/>
          <w:lang w:val="es-ES"/>
        </w:rPr>
        <w:t xml:space="preserve"> Note</w:t>
      </w:r>
      <w:r w:rsidRPr="559FA22C">
        <w:rPr>
          <w:rFonts w:ascii="Arial" w:hAnsi="Arial" w:cs="Arial"/>
          <w:sz w:val="18"/>
          <w:szCs w:val="18"/>
          <w:lang w:val="es-ES"/>
        </w:rPr>
        <w:t xml:space="preserve">”, IMF Country </w:t>
      </w:r>
      <w:proofErr w:type="spellStart"/>
      <w:r w:rsidRPr="559FA22C">
        <w:rPr>
          <w:rFonts w:ascii="Arial" w:hAnsi="Arial" w:cs="Arial"/>
          <w:sz w:val="18"/>
          <w:szCs w:val="18"/>
          <w:lang w:val="es-ES"/>
        </w:rPr>
        <w:t>Report</w:t>
      </w:r>
      <w:proofErr w:type="spellEnd"/>
      <w:r w:rsidRPr="559FA22C">
        <w:rPr>
          <w:rFonts w:ascii="Arial" w:hAnsi="Arial" w:cs="Arial"/>
          <w:sz w:val="18"/>
          <w:szCs w:val="18"/>
          <w:lang w:val="es-ES"/>
        </w:rPr>
        <w:t xml:space="preserve"> No. 16/65, 2016.</w:t>
      </w:r>
    </w:p>
  </w:footnote>
  <w:footnote w:id="8">
    <w:p w:rsidRPr="002210AF" w:rsidR="00D83F08" w:rsidP="559FA22C" w:rsidRDefault="00D83F08" w14:paraId="28D802F3" w14:textId="77777777" w14:noSpellErr="1">
      <w:pPr>
        <w:pStyle w:val="FootnoteText"/>
        <w:spacing w:after="0"/>
        <w:ind w:left="270" w:hanging="270"/>
        <w:rPr>
          <w:rFonts w:ascii="Arial" w:hAnsi="Arial" w:cs="Arial"/>
          <w:sz w:val="18"/>
          <w:szCs w:val="18"/>
          <w:lang w:val="es-ES"/>
        </w:rPr>
      </w:pPr>
      <w:r w:rsidRPr="00F55FAE">
        <w:rPr>
          <w:rStyle w:val="FootnoteReference"/>
          <w:rFonts w:ascii="Arial" w:hAnsi="Arial" w:cs="Arial"/>
          <w:sz w:val="18"/>
          <w:szCs w:val="18"/>
        </w:rPr>
        <w:footnoteRef/>
      </w:r>
      <w:r w:rsidRPr="559FA22C">
        <w:rPr>
          <w:rFonts w:ascii="Arial" w:hAnsi="Arial" w:cs="Arial"/>
          <w:sz w:val="18"/>
          <w:szCs w:val="18"/>
          <w:lang w:val="es-ES"/>
        </w:rPr>
        <w:t xml:space="preserve"> </w:t>
      </w:r>
      <w:r w:rsidRPr="002210AF">
        <w:rPr>
          <w:rFonts w:ascii="Arial" w:hAnsi="Arial" w:cs="Arial"/>
          <w:sz w:val="18"/>
          <w:szCs w:val="18"/>
          <w:lang w:val="es-ES_tradnl"/>
        </w:rPr>
        <w:tab/>
      </w:r>
      <w:r w:rsidRPr="559FA22C">
        <w:rPr>
          <w:rFonts w:ascii="Arial" w:hAnsi="Arial" w:cs="Arial"/>
          <w:sz w:val="18"/>
          <w:szCs w:val="18"/>
          <w:lang w:val="es-ES"/>
        </w:rPr>
        <w:t>Superintendencia de Entidades Financieras y Cambiarias, “Información de Entidades Financieras – junio 2017”, Argentina, 2017.</w:t>
      </w:r>
    </w:p>
  </w:footnote>
  <w:footnote w:id="9">
    <w:p w:rsidRPr="002210AF" w:rsidR="00D83F08" w:rsidP="559FA22C" w:rsidRDefault="00D83F08" w14:paraId="01F5E0F9" w14:textId="08D32050" w14:noSpellErr="1">
      <w:pPr>
        <w:pStyle w:val="FootnoteText"/>
        <w:spacing w:after="0"/>
        <w:ind w:left="270" w:hanging="270"/>
        <w:rPr>
          <w:rFonts w:ascii="Arial" w:hAnsi="Arial" w:cs="Arial"/>
          <w:sz w:val="18"/>
          <w:szCs w:val="18"/>
          <w:lang w:val="es-ES"/>
        </w:rPr>
      </w:pPr>
      <w:r w:rsidRPr="00F55FAE">
        <w:rPr>
          <w:rStyle w:val="FootnoteReference"/>
          <w:rFonts w:ascii="Arial" w:hAnsi="Arial" w:cs="Arial"/>
          <w:sz w:val="18"/>
          <w:szCs w:val="18"/>
        </w:rPr>
        <w:footnoteRef/>
      </w:r>
      <w:r w:rsidRPr="559FA22C">
        <w:rPr>
          <w:rFonts w:ascii="Arial" w:hAnsi="Arial" w:cs="Arial"/>
          <w:sz w:val="18"/>
          <w:szCs w:val="18"/>
          <w:lang w:val="es-ES"/>
        </w:rPr>
        <w:t xml:space="preserve">  </w:t>
      </w:r>
      <w:r w:rsidRPr="002210AF">
        <w:rPr>
          <w:rFonts w:ascii="Arial" w:hAnsi="Arial" w:cs="Arial"/>
          <w:sz w:val="18"/>
          <w:szCs w:val="18"/>
          <w:lang w:val="es-ES_tradnl"/>
        </w:rPr>
        <w:tab/>
      </w:r>
      <w:r w:rsidRPr="559FA22C">
        <w:rPr>
          <w:rFonts w:ascii="Arial" w:hAnsi="Arial" w:cs="Arial"/>
          <w:sz w:val="18"/>
          <w:szCs w:val="18"/>
          <w:lang w:val="es-ES"/>
        </w:rPr>
        <w:t>Superintendencia de Bancos e Instituciones Financieras, “Reporte Mensual de Información Financiera – junio 2017”, Chile, 2017.</w:t>
      </w:r>
    </w:p>
  </w:footnote>
  <w:footnote w:id="10">
    <w:p w:rsidRPr="002210AF" w:rsidR="00D83F08" w:rsidP="559FA22C" w:rsidRDefault="00D83F08" w14:paraId="50C468E1" w14:textId="77777777" w14:noSpellErr="1">
      <w:pPr>
        <w:pStyle w:val="FootnoteText"/>
        <w:spacing w:after="0"/>
        <w:ind w:left="270" w:hanging="270"/>
        <w:rPr>
          <w:rFonts w:ascii="Arial" w:hAnsi="Arial" w:cs="Arial"/>
          <w:sz w:val="18"/>
          <w:szCs w:val="18"/>
          <w:lang w:val="es-ES"/>
        </w:rPr>
      </w:pPr>
      <w:r w:rsidRPr="002C3055">
        <w:rPr>
          <w:rStyle w:val="FootnoteReference"/>
          <w:rFonts w:ascii="Arial" w:hAnsi="Arial" w:cs="Arial"/>
          <w:sz w:val="18"/>
          <w:szCs w:val="18"/>
        </w:rPr>
        <w:footnoteRef/>
      </w:r>
      <w:r w:rsidRPr="559FA22C">
        <w:rPr>
          <w:rFonts w:ascii="Arial" w:hAnsi="Arial" w:cs="Arial"/>
          <w:sz w:val="18"/>
          <w:szCs w:val="18"/>
          <w:lang w:val="es-ES"/>
        </w:rPr>
        <w:t xml:space="preserve"> </w:t>
      </w:r>
      <w:r w:rsidRPr="002210AF">
        <w:rPr>
          <w:rFonts w:ascii="Arial" w:hAnsi="Arial" w:cs="Arial"/>
          <w:sz w:val="18"/>
          <w:szCs w:val="18"/>
          <w:lang w:val="es-ES_tradnl"/>
        </w:rPr>
        <w:tab/>
      </w:r>
      <w:r w:rsidRPr="559FA22C">
        <w:rPr>
          <w:rFonts w:ascii="Arial" w:hAnsi="Arial" w:cs="Arial"/>
          <w:sz w:val="18"/>
          <w:szCs w:val="18"/>
          <w:lang w:val="es-ES"/>
        </w:rPr>
        <w:t>Superintendencia Financiera de Colombia, “Resultados del Sistema Financiero Colombiano a junio 2017”, Colombia, 2017.</w:t>
      </w:r>
    </w:p>
  </w:footnote>
  <w:footnote w:id="11">
    <w:p w:rsidRPr="002210AF" w:rsidR="00D83F08" w:rsidP="559FA22C" w:rsidRDefault="00D83F08" w14:paraId="19F850F7" w14:textId="77777777" w14:noSpellErr="1">
      <w:pPr>
        <w:pStyle w:val="FootnoteText"/>
        <w:spacing w:after="0"/>
        <w:ind w:left="270" w:hanging="270"/>
        <w:rPr>
          <w:rFonts w:ascii="Arial" w:hAnsi="Arial" w:cs="Arial"/>
          <w:sz w:val="18"/>
          <w:szCs w:val="18"/>
          <w:lang w:val="es-ES"/>
        </w:rPr>
      </w:pPr>
      <w:r w:rsidRPr="007823DD">
        <w:rPr>
          <w:rStyle w:val="FootnoteReference"/>
          <w:rFonts w:ascii="Arial" w:hAnsi="Arial" w:cs="Arial"/>
          <w:sz w:val="18"/>
          <w:szCs w:val="18"/>
        </w:rPr>
        <w:footnoteRef/>
      </w:r>
      <w:r w:rsidRPr="559FA22C">
        <w:rPr>
          <w:rFonts w:ascii="Arial" w:hAnsi="Arial" w:cs="Arial"/>
          <w:sz w:val="18"/>
          <w:szCs w:val="18"/>
          <w:lang w:val="es-ES"/>
        </w:rPr>
        <w:t xml:space="preserve"> </w:t>
      </w:r>
      <w:r w:rsidRPr="002210AF">
        <w:rPr>
          <w:rFonts w:ascii="Arial" w:hAnsi="Arial" w:cs="Arial"/>
          <w:sz w:val="18"/>
          <w:szCs w:val="18"/>
          <w:lang w:val="es-ES_tradnl"/>
        </w:rPr>
        <w:tab/>
      </w:r>
      <w:r w:rsidRPr="559FA22C">
        <w:rPr>
          <w:rFonts w:ascii="Arial" w:hAnsi="Arial" w:cs="Arial"/>
          <w:sz w:val="18"/>
          <w:szCs w:val="18"/>
          <w:lang w:val="es-ES"/>
        </w:rPr>
        <w:t>Superintendencia de Banca, Seguros y AFP, “Evolución del Sistema Financiero a junio 2017”, Perú, 2017.</w:t>
      </w:r>
    </w:p>
  </w:footnote>
  <w:footnote w:id="12">
    <w:p w:rsidRPr="002210AF" w:rsidR="00D83F08" w:rsidP="559FA22C" w:rsidRDefault="00D83F08" w14:paraId="1CBFB5EC" w14:textId="77777777" w14:noSpellErr="1">
      <w:pPr>
        <w:pStyle w:val="FootnoteText"/>
        <w:spacing w:after="0"/>
        <w:rPr>
          <w:rFonts w:ascii="Arial" w:hAnsi="Arial" w:cs="Arial"/>
          <w:sz w:val="18"/>
          <w:szCs w:val="18"/>
          <w:lang w:val="es-ES"/>
        </w:rPr>
      </w:pPr>
      <w:r w:rsidRPr="0026428E">
        <w:rPr>
          <w:rStyle w:val="FootnoteReference"/>
          <w:rFonts w:ascii="Arial" w:hAnsi="Arial" w:cs="Arial"/>
          <w:sz w:val="18"/>
          <w:szCs w:val="18"/>
        </w:rPr>
        <w:footnoteRef/>
      </w:r>
      <w:r w:rsidRPr="559FA22C">
        <w:rPr>
          <w:rFonts w:ascii="Arial" w:hAnsi="Arial" w:cs="Arial"/>
          <w:sz w:val="18"/>
          <w:szCs w:val="18"/>
          <w:lang w:val="es-ES"/>
        </w:rPr>
        <w:t xml:space="preserve"> </w:t>
      </w:r>
      <w:r w:rsidRPr="002210AF">
        <w:rPr>
          <w:rFonts w:ascii="Arial" w:hAnsi="Arial" w:cs="Arial"/>
          <w:sz w:val="18"/>
          <w:szCs w:val="18"/>
          <w:lang w:val="es-ES_tradnl"/>
        </w:rPr>
        <w:tab/>
      </w:r>
      <w:r w:rsidRPr="559FA22C">
        <w:rPr>
          <w:rFonts w:ascii="Arial" w:hAnsi="Arial" w:cs="Arial"/>
          <w:sz w:val="18"/>
          <w:szCs w:val="18"/>
          <w:lang w:val="es-ES"/>
        </w:rPr>
        <w:t>Banco Mundial, Indicadores del Desarrollo Mundial.</w:t>
      </w:r>
    </w:p>
  </w:footnote>
  <w:footnote w:id="13">
    <w:p w:rsidRPr="002210AF" w:rsidR="00D83F08" w:rsidP="559FA22C" w:rsidRDefault="00D83F08" w14:paraId="6646DA50" w14:textId="77777777" w14:noSpellErr="1">
      <w:pPr>
        <w:pStyle w:val="FootnoteText"/>
        <w:spacing w:after="0"/>
        <w:ind w:left="270" w:hanging="270"/>
        <w:rPr>
          <w:rFonts w:ascii="Arial" w:hAnsi="Arial" w:cs="Arial"/>
          <w:sz w:val="18"/>
          <w:szCs w:val="18"/>
          <w:lang w:val="es-ES"/>
        </w:rPr>
      </w:pPr>
      <w:r w:rsidRPr="00EA0C2F">
        <w:rPr>
          <w:rStyle w:val="FootnoteReference"/>
          <w:rFonts w:ascii="Arial" w:hAnsi="Arial" w:cs="Arial"/>
          <w:sz w:val="18"/>
          <w:szCs w:val="18"/>
        </w:rPr>
        <w:footnoteRef/>
      </w:r>
      <w:r w:rsidRPr="559FA22C">
        <w:rPr>
          <w:rFonts w:ascii="Arial" w:hAnsi="Arial" w:cs="Arial"/>
          <w:sz w:val="18"/>
          <w:szCs w:val="18"/>
          <w:lang w:val="es-ES"/>
        </w:rPr>
        <w:t xml:space="preserve"> </w:t>
      </w:r>
      <w:r w:rsidRPr="002210AF">
        <w:rPr>
          <w:rFonts w:ascii="Arial" w:hAnsi="Arial" w:cs="Arial"/>
          <w:sz w:val="18"/>
          <w:szCs w:val="18"/>
          <w:lang w:val="es-ES_tradnl"/>
        </w:rPr>
        <w:tab/>
      </w:r>
      <w:r w:rsidRPr="559FA22C">
        <w:rPr>
          <w:rFonts w:ascii="Arial" w:hAnsi="Arial" w:cs="Arial"/>
          <w:sz w:val="18"/>
          <w:szCs w:val="18"/>
          <w:lang w:val="es-ES"/>
        </w:rPr>
        <w:t>Comisión Nacional de Valores, “Informe Mensual de Financiamiento de Mercado de Capitales – junio 2017”, Argentina, 2017.</w:t>
      </w:r>
    </w:p>
  </w:footnote>
  <w:footnote w:id="14">
    <w:p w:rsidRPr="002210AF" w:rsidR="00D83F08" w:rsidP="559FA22C" w:rsidRDefault="00D83F08" w14:paraId="7E3BAD68" w14:textId="77777777" w14:noSpellErr="1">
      <w:pPr>
        <w:pStyle w:val="FootnoteText"/>
        <w:spacing w:after="0"/>
        <w:rPr>
          <w:rFonts w:ascii="Arial" w:hAnsi="Arial" w:cs="Arial"/>
          <w:sz w:val="18"/>
          <w:szCs w:val="18"/>
          <w:lang w:val="es-ES"/>
        </w:rPr>
      </w:pPr>
      <w:r w:rsidRPr="0080549D">
        <w:rPr>
          <w:rStyle w:val="FootnoteReference"/>
          <w:rFonts w:ascii="Arial" w:hAnsi="Arial" w:cs="Arial"/>
          <w:sz w:val="18"/>
          <w:szCs w:val="18"/>
        </w:rPr>
        <w:footnoteRef/>
      </w:r>
      <w:r w:rsidRPr="559FA22C">
        <w:rPr>
          <w:rFonts w:ascii="Arial" w:hAnsi="Arial" w:cs="Arial"/>
          <w:sz w:val="18"/>
          <w:szCs w:val="18"/>
          <w:lang w:val="es-ES"/>
        </w:rPr>
        <w:t xml:space="preserve"> </w:t>
      </w:r>
      <w:r w:rsidRPr="0080549D">
        <w:rPr>
          <w:rFonts w:ascii="Arial" w:hAnsi="Arial" w:cs="Arial"/>
          <w:sz w:val="18"/>
          <w:szCs w:val="18"/>
          <w:lang w:val="es-ES_tradnl"/>
        </w:rPr>
        <w:tab/>
      </w:r>
      <w:r w:rsidRPr="559FA22C">
        <w:rPr>
          <w:rFonts w:ascii="Arial" w:hAnsi="Arial" w:cs="Arial"/>
          <w:sz w:val="18"/>
          <w:szCs w:val="18"/>
          <w:lang w:val="es-ES"/>
        </w:rPr>
        <w:t>Presidencia de la Nación, “</w:t>
      </w:r>
      <w:r w:rsidRPr="559FA22C">
        <w:rPr>
          <w:rFonts w:ascii="Arial" w:hAnsi="Arial" w:cs="Arial"/>
          <w:sz w:val="18"/>
          <w:szCs w:val="18"/>
          <w:lang w:val="es-ES"/>
        </w:rPr>
        <w:t>El Estado del Estado – Diagnóstico de la Administración Pública en diciembre 2015”, Argentina, 2015.</w:t>
      </w:r>
    </w:p>
  </w:footnote>
  <w:footnote w:id="15">
    <w:p w:rsidRPr="002210AF" w:rsidR="00D83F08" w:rsidP="00BC0F90" w:rsidRDefault="00D83F08" w14:paraId="527858BB" w14:textId="77777777">
      <w:pPr>
        <w:pStyle w:val="FootnoteText"/>
        <w:spacing w:after="0"/>
        <w:rPr>
          <w:rFonts w:ascii="Arial" w:hAnsi="Arial" w:cs="Arial"/>
          <w:sz w:val="18"/>
          <w:szCs w:val="18"/>
          <w:lang w:val="es-ES_tradnl"/>
        </w:rPr>
      </w:pPr>
      <w:r w:rsidRPr="0080549D">
        <w:rPr>
          <w:rStyle w:val="FootnoteReference"/>
          <w:rFonts w:ascii="Arial" w:hAnsi="Arial" w:cs="Arial"/>
          <w:sz w:val="18"/>
          <w:szCs w:val="18"/>
        </w:rPr>
        <w:footnoteRef/>
      </w:r>
      <w:r w:rsidRPr="002210AF">
        <w:rPr>
          <w:rFonts w:ascii="Arial" w:hAnsi="Arial" w:cs="Arial"/>
          <w:sz w:val="18"/>
          <w:szCs w:val="18"/>
          <w:lang w:val="es-ES_tradnl"/>
        </w:rPr>
        <w:t xml:space="preserve"> </w:t>
      </w:r>
      <w:r w:rsidRPr="0080549D">
        <w:rPr>
          <w:rFonts w:ascii="Arial" w:hAnsi="Arial" w:cs="Arial"/>
          <w:sz w:val="18"/>
          <w:szCs w:val="18"/>
          <w:lang w:val="es-ES_tradnl"/>
        </w:rPr>
        <w:tab/>
      </w:r>
      <w:hyperlink w:history="1" r:id="rId2">
        <w:r w:rsidRPr="0080549D">
          <w:rPr>
            <w:rStyle w:val="Hyperlink"/>
            <w:rFonts w:ascii="Arial" w:hAnsi="Arial" w:cs="Arial"/>
            <w:sz w:val="18"/>
            <w:szCs w:val="18"/>
            <w:lang w:val="es-ES_tradnl"/>
          </w:rPr>
          <w:t>www.casarosada.gob.ar/objetivos</w:t>
        </w:r>
        <w:r w:rsidRPr="0080549D">
          <w:rPr>
            <w:rStyle w:val="Hyperlink"/>
            <w:lang w:val="es-ES_tradnl"/>
          </w:rPr>
          <w:t>de</w:t>
        </w:r>
        <w:r w:rsidRPr="002210AF">
          <w:rPr>
            <w:rStyle w:val="Hyperlink"/>
            <w:rFonts w:ascii="Arial" w:hAnsi="Arial" w:cs="Arial"/>
            <w:sz w:val="18"/>
            <w:szCs w:val="18"/>
            <w:lang w:val="es-ES_tradnl"/>
          </w:rPr>
          <w:t>gobierno</w:t>
        </w:r>
      </w:hyperlink>
    </w:p>
  </w:footnote>
  <w:footnote w:id="16">
    <w:p w:rsidRPr="002210AF" w:rsidR="00D83F08" w:rsidP="559FA22C" w:rsidRDefault="00D83F08" w14:paraId="79119826" w14:textId="77777777">
      <w:pPr>
        <w:pStyle w:val="FootnoteText"/>
        <w:spacing w:after="0"/>
        <w:ind w:left="270" w:hanging="270"/>
        <w:rPr>
          <w:rFonts w:ascii="Arial" w:hAnsi="Arial" w:cs="Arial"/>
          <w:i w:val="1"/>
          <w:iCs w:val="1"/>
          <w:sz w:val="18"/>
          <w:szCs w:val="18"/>
          <w:lang w:val="es-ES"/>
        </w:rPr>
      </w:pPr>
      <w:r w:rsidRPr="002A41C4">
        <w:rPr>
          <w:rStyle w:val="FootnoteReference"/>
          <w:rFonts w:ascii="Arial" w:hAnsi="Arial" w:cs="Arial"/>
          <w:sz w:val="18"/>
          <w:szCs w:val="18"/>
        </w:rPr>
        <w:footnoteRef/>
      </w:r>
      <w:r w:rsidRPr="559FA22C">
        <w:rPr>
          <w:rFonts w:ascii="Arial" w:hAnsi="Arial" w:cs="Arial"/>
          <w:sz w:val="18"/>
          <w:szCs w:val="18"/>
          <w:lang w:val="es-ES"/>
        </w:rPr>
        <w:t xml:space="preserve"> </w:t>
      </w:r>
      <w:r w:rsidRPr="002210AF">
        <w:rPr>
          <w:rFonts w:ascii="Arial" w:hAnsi="Arial" w:cs="Arial"/>
          <w:sz w:val="18"/>
          <w:szCs w:val="18"/>
          <w:lang w:val="es-ES_tradnl"/>
        </w:rPr>
        <w:tab/>
      </w:r>
      <w:r w:rsidRPr="559FA22C">
        <w:rPr>
          <w:rFonts w:ascii="Arial" w:hAnsi="Arial" w:cs="Arial"/>
          <w:sz w:val="18"/>
          <w:szCs w:val="18"/>
          <w:lang w:val="es-ES"/>
        </w:rPr>
        <w:t>Banco Africano de Desarrollo, Banco Asiático de Desarrollo, Banco Europeo para la Reconstrucción y el Desarrollo, Banco Europeo de Inversiones, Banco Interamericano de Desarrollo, Fondo Monetario Internacional y Grupo Banco Mundial, “</w:t>
      </w:r>
      <w:proofErr w:type="spellStart"/>
      <w:r w:rsidRPr="559FA22C">
        <w:rPr>
          <w:rFonts w:ascii="Arial" w:hAnsi="Arial" w:cs="Arial"/>
          <w:i w:val="1"/>
          <w:iCs w:val="1"/>
          <w:sz w:val="18"/>
          <w:szCs w:val="18"/>
          <w:lang w:val="es-ES"/>
        </w:rPr>
        <w:t>From</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Billions</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to</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Trillions</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Transforming</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Development</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Finance</w:t>
      </w:r>
      <w:proofErr w:type="spellEnd"/>
      <w:r w:rsidRPr="559FA22C">
        <w:rPr>
          <w:rFonts w:ascii="Arial" w:hAnsi="Arial" w:cs="Arial"/>
          <w:i w:val="1"/>
          <w:iCs w:val="1"/>
          <w:sz w:val="18"/>
          <w:szCs w:val="18"/>
          <w:lang w:val="es-ES"/>
        </w:rPr>
        <w:t xml:space="preserve"> – Post 2015 </w:t>
      </w:r>
      <w:proofErr w:type="spellStart"/>
      <w:r w:rsidRPr="559FA22C">
        <w:rPr>
          <w:rFonts w:ascii="Arial" w:hAnsi="Arial" w:cs="Arial"/>
          <w:i w:val="1"/>
          <w:iCs w:val="1"/>
          <w:sz w:val="18"/>
          <w:szCs w:val="18"/>
          <w:lang w:val="es-ES"/>
        </w:rPr>
        <w:t>Financing</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for</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Development</w:t>
      </w:r>
      <w:proofErr w:type="spellEnd"/>
      <w:r w:rsidRPr="559FA22C">
        <w:rPr>
          <w:rFonts w:ascii="Arial" w:hAnsi="Arial" w:cs="Arial"/>
          <w:i w:val="1"/>
          <w:iCs w:val="1"/>
          <w:sz w:val="18"/>
          <w:szCs w:val="18"/>
          <w:lang w:val="es-ES"/>
        </w:rPr>
        <w:t xml:space="preserve">: Multilateral </w:t>
      </w:r>
      <w:proofErr w:type="spellStart"/>
      <w:r w:rsidRPr="559FA22C">
        <w:rPr>
          <w:rFonts w:ascii="Arial" w:hAnsi="Arial" w:cs="Arial"/>
          <w:i w:val="1"/>
          <w:iCs w:val="1"/>
          <w:sz w:val="18"/>
          <w:szCs w:val="18"/>
          <w:lang w:val="es-ES"/>
        </w:rPr>
        <w:t>Development</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Finance</w:t>
      </w:r>
      <w:proofErr w:type="spellEnd"/>
      <w:r w:rsidRPr="559FA22C">
        <w:rPr>
          <w:rFonts w:ascii="Arial" w:hAnsi="Arial" w:cs="Arial"/>
          <w:i w:val="1"/>
          <w:iCs w:val="1"/>
          <w:sz w:val="18"/>
          <w:szCs w:val="18"/>
          <w:lang w:val="es-ES"/>
        </w:rPr>
        <w:t xml:space="preserve"> – </w:t>
      </w:r>
      <w:proofErr w:type="spellStart"/>
      <w:r w:rsidRPr="559FA22C">
        <w:rPr>
          <w:rFonts w:ascii="Arial" w:hAnsi="Arial" w:cs="Arial"/>
          <w:i w:val="1"/>
          <w:iCs w:val="1"/>
          <w:sz w:val="18"/>
          <w:szCs w:val="18"/>
          <w:lang w:val="es-ES"/>
        </w:rPr>
        <w:t>Development</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Committee</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Discussion</w:t>
      </w:r>
      <w:proofErr w:type="spellEnd"/>
      <w:r w:rsidRPr="559FA22C">
        <w:rPr>
          <w:rFonts w:ascii="Arial" w:hAnsi="Arial" w:cs="Arial"/>
          <w:i w:val="1"/>
          <w:iCs w:val="1"/>
          <w:sz w:val="18"/>
          <w:szCs w:val="18"/>
          <w:lang w:val="es-ES"/>
        </w:rPr>
        <w:t xml:space="preserve"> Note”</w:t>
      </w:r>
      <w:r w:rsidRPr="559FA22C">
        <w:rPr>
          <w:rFonts w:ascii="Arial" w:hAnsi="Arial" w:cs="Arial"/>
          <w:sz w:val="18"/>
          <w:szCs w:val="18"/>
          <w:lang w:val="es-ES"/>
        </w:rPr>
        <w:t>, Abril 2015</w:t>
      </w:r>
      <w:r w:rsidRPr="559FA22C">
        <w:rPr>
          <w:rFonts w:ascii="Arial" w:hAnsi="Arial" w:cs="Arial"/>
          <w:i w:val="1"/>
          <w:iCs w:val="1"/>
          <w:sz w:val="18"/>
          <w:szCs w:val="18"/>
          <w:lang w:val="es-ES"/>
        </w:rPr>
        <w:t>.</w:t>
      </w:r>
    </w:p>
  </w:footnote>
  <w:footnote w:id="17">
    <w:p w:rsidRPr="002210AF" w:rsidR="00D83F08" w:rsidP="559FA22C" w:rsidRDefault="00D83F08" w14:paraId="3306D40E" w14:textId="77777777">
      <w:pPr>
        <w:pStyle w:val="FootnoteText"/>
        <w:spacing w:after="0"/>
        <w:rPr>
          <w:rFonts w:ascii="Arial" w:hAnsi="Arial" w:cs="Arial"/>
          <w:sz w:val="18"/>
          <w:szCs w:val="18"/>
          <w:lang w:val="es-ES"/>
        </w:rPr>
      </w:pPr>
      <w:r w:rsidRPr="0080549D">
        <w:rPr>
          <w:rStyle w:val="FootnoteReference"/>
          <w:rFonts w:ascii="Arial" w:hAnsi="Arial" w:cs="Arial"/>
          <w:sz w:val="18"/>
          <w:szCs w:val="18"/>
        </w:rPr>
        <w:footnoteRef/>
      </w:r>
      <w:r w:rsidRPr="559FA22C">
        <w:rPr>
          <w:rFonts w:ascii="Arial" w:hAnsi="Arial" w:cs="Arial"/>
          <w:sz w:val="18"/>
          <w:szCs w:val="18"/>
          <w:lang w:val="es-ES"/>
        </w:rPr>
        <w:t xml:space="preserve"> </w:t>
      </w:r>
      <w:r w:rsidRPr="0080549D">
        <w:rPr>
          <w:rFonts w:ascii="Arial" w:hAnsi="Arial" w:cs="Arial"/>
          <w:sz w:val="18"/>
          <w:szCs w:val="18"/>
          <w:lang w:val="es-ES_tradnl"/>
        </w:rPr>
        <w:tab/>
      </w:r>
      <w:r w:rsidRPr="559FA22C">
        <w:rPr>
          <w:rFonts w:ascii="Arial" w:hAnsi="Arial" w:cs="Arial"/>
          <w:sz w:val="18"/>
          <w:szCs w:val="18"/>
          <w:lang w:val="es-ES"/>
        </w:rPr>
        <w:t xml:space="preserve">Organización para la Cooperación y </w:t>
      </w:r>
      <w:r w:rsidRPr="559FA22C">
        <w:rPr>
          <w:rFonts w:ascii="Arial" w:hAnsi="Arial" w:cs="Arial"/>
          <w:sz w:val="18"/>
          <w:szCs w:val="18"/>
          <w:lang w:val="es-ES"/>
        </w:rPr>
        <w:t>el Desarrollo Económicos, “</w:t>
      </w:r>
      <w:proofErr w:type="spellStart"/>
      <w:r w:rsidRPr="559FA22C">
        <w:rPr>
          <w:rFonts w:ascii="Arial" w:hAnsi="Arial" w:cs="Arial"/>
          <w:i w:val="1"/>
          <w:iCs w:val="1"/>
          <w:sz w:val="18"/>
          <w:szCs w:val="18"/>
          <w:lang w:val="es-ES"/>
        </w:rPr>
        <w:t>Amounts</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Mobilised</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from</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the</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Private</w:t>
      </w:r>
      <w:proofErr w:type="spellEnd"/>
      <w:r w:rsidRPr="559FA22C">
        <w:rPr>
          <w:rFonts w:ascii="Arial" w:hAnsi="Arial" w:cs="Arial"/>
          <w:i w:val="1"/>
          <w:iCs w:val="1"/>
          <w:sz w:val="18"/>
          <w:szCs w:val="18"/>
          <w:lang w:val="es-ES"/>
        </w:rPr>
        <w:t xml:space="preserve"> Sector </w:t>
      </w:r>
      <w:proofErr w:type="spellStart"/>
      <w:r w:rsidRPr="559FA22C">
        <w:rPr>
          <w:rFonts w:ascii="Arial" w:hAnsi="Arial" w:cs="Arial"/>
          <w:i w:val="1"/>
          <w:iCs w:val="1"/>
          <w:sz w:val="18"/>
          <w:szCs w:val="18"/>
          <w:lang w:val="es-ES"/>
        </w:rPr>
        <w:t>by</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Official</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Development</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Finance</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Interventions</w:t>
      </w:r>
      <w:proofErr w:type="spellEnd"/>
      <w:r w:rsidRPr="559FA22C">
        <w:rPr>
          <w:rFonts w:ascii="Arial" w:hAnsi="Arial" w:cs="Arial"/>
          <w:sz w:val="18"/>
          <w:szCs w:val="18"/>
          <w:lang w:val="es-ES"/>
        </w:rPr>
        <w:t>”, 2016.</w:t>
      </w:r>
    </w:p>
  </w:footnote>
  <w:footnote w:id="18">
    <w:p w:rsidRPr="002210AF" w:rsidR="00D83F08" w:rsidP="559FA22C" w:rsidRDefault="00D83F08" w14:paraId="2801F1D5" w14:textId="77777777">
      <w:pPr>
        <w:pStyle w:val="FootnoteText"/>
        <w:spacing w:after="0"/>
        <w:rPr>
          <w:rFonts w:ascii="Arial" w:hAnsi="Arial" w:cs="Arial"/>
          <w:sz w:val="18"/>
          <w:szCs w:val="18"/>
          <w:lang w:val="es-ES"/>
        </w:rPr>
      </w:pPr>
      <w:r w:rsidRPr="0080549D">
        <w:rPr>
          <w:rStyle w:val="FootnoteReference"/>
          <w:rFonts w:ascii="Arial" w:hAnsi="Arial" w:cs="Arial"/>
          <w:sz w:val="18"/>
          <w:szCs w:val="18"/>
        </w:rPr>
        <w:footnoteRef/>
      </w:r>
      <w:r w:rsidRPr="559FA22C">
        <w:rPr>
          <w:rFonts w:ascii="Arial" w:hAnsi="Arial" w:cs="Arial"/>
          <w:sz w:val="18"/>
          <w:szCs w:val="18"/>
          <w:lang w:val="es-ES"/>
        </w:rPr>
        <w:t xml:space="preserve"> </w:t>
      </w:r>
      <w:r w:rsidRPr="002210AF">
        <w:rPr>
          <w:rFonts w:ascii="Arial" w:hAnsi="Arial" w:cs="Arial"/>
          <w:sz w:val="18"/>
          <w:szCs w:val="18"/>
          <w:lang w:val="es-ES_tradnl"/>
        </w:rPr>
        <w:tab/>
      </w:r>
      <w:r w:rsidRPr="559FA22C">
        <w:rPr>
          <w:rFonts w:ascii="Arial" w:hAnsi="Arial" w:cs="Arial"/>
          <w:sz w:val="18"/>
          <w:szCs w:val="18"/>
          <w:lang w:val="es-ES"/>
        </w:rPr>
        <w:t>Grupo de Evaluación Independiente del Banco Mundial, “</w:t>
      </w:r>
      <w:proofErr w:type="spellStart"/>
      <w:r w:rsidRPr="559FA22C">
        <w:rPr>
          <w:rFonts w:ascii="Arial" w:hAnsi="Arial" w:cs="Arial"/>
          <w:i w:val="1"/>
          <w:iCs w:val="1"/>
          <w:sz w:val="18"/>
          <w:szCs w:val="18"/>
          <w:lang w:val="es-ES"/>
        </w:rPr>
        <w:t>The</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World</w:t>
      </w:r>
      <w:proofErr w:type="spellEnd"/>
      <w:r w:rsidRPr="559FA22C">
        <w:rPr>
          <w:rFonts w:ascii="Arial" w:hAnsi="Arial" w:cs="Arial"/>
          <w:i w:val="1"/>
          <w:iCs w:val="1"/>
          <w:sz w:val="18"/>
          <w:szCs w:val="18"/>
          <w:lang w:val="es-ES"/>
        </w:rPr>
        <w:t xml:space="preserve"> Bank </w:t>
      </w:r>
      <w:proofErr w:type="spellStart"/>
      <w:r w:rsidRPr="559FA22C">
        <w:rPr>
          <w:rFonts w:ascii="Arial" w:hAnsi="Arial" w:cs="Arial"/>
          <w:i w:val="1"/>
          <w:iCs w:val="1"/>
          <w:sz w:val="18"/>
          <w:szCs w:val="18"/>
          <w:lang w:val="es-ES"/>
        </w:rPr>
        <w:t>Group</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Guarantee</w:t>
      </w:r>
      <w:proofErr w:type="spellEnd"/>
      <w:r w:rsidRPr="559FA22C">
        <w:rPr>
          <w:rFonts w:ascii="Arial" w:hAnsi="Arial" w:cs="Arial"/>
          <w:i w:val="1"/>
          <w:iCs w:val="1"/>
          <w:sz w:val="18"/>
          <w:szCs w:val="18"/>
          <w:lang w:val="es-ES"/>
        </w:rPr>
        <w:t xml:space="preserve"> Instruments 1990-2007 – </w:t>
      </w:r>
      <w:proofErr w:type="spellStart"/>
      <w:r w:rsidRPr="559FA22C">
        <w:rPr>
          <w:rFonts w:ascii="Arial" w:hAnsi="Arial" w:cs="Arial"/>
          <w:i w:val="1"/>
          <w:iCs w:val="1"/>
          <w:sz w:val="18"/>
          <w:szCs w:val="18"/>
          <w:lang w:val="es-ES"/>
        </w:rPr>
        <w:t>An</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Independent</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Evaluation</w:t>
      </w:r>
      <w:proofErr w:type="spellEnd"/>
      <w:r w:rsidRPr="559FA22C">
        <w:rPr>
          <w:rFonts w:ascii="Arial" w:hAnsi="Arial" w:cs="Arial"/>
          <w:sz w:val="18"/>
          <w:szCs w:val="18"/>
          <w:lang w:val="es-ES"/>
        </w:rPr>
        <w:t>”, 2009.</w:t>
      </w:r>
    </w:p>
  </w:footnote>
  <w:footnote w:id="19">
    <w:p w:rsidRPr="002210AF" w:rsidR="00D83F08" w:rsidP="559FA22C" w:rsidRDefault="00D83F08" w14:paraId="42502D26" w14:textId="77777777" w14:noSpellErr="1">
      <w:pPr>
        <w:pStyle w:val="FootnoteText"/>
        <w:spacing w:after="0"/>
        <w:ind w:left="270" w:hanging="270"/>
        <w:rPr>
          <w:lang w:val="es-ES"/>
        </w:rPr>
      </w:pPr>
      <w:r w:rsidRPr="003425E4">
        <w:rPr>
          <w:rStyle w:val="FootnoteReference"/>
          <w:rFonts w:ascii="Arial" w:hAnsi="Arial" w:cs="Arial"/>
          <w:sz w:val="18"/>
          <w:szCs w:val="18"/>
        </w:rPr>
        <w:footnoteRef/>
      </w:r>
      <w:r w:rsidRPr="003425E4">
        <w:rPr>
          <w:rStyle w:val="FootnoteReference"/>
          <w:rFonts w:ascii="Arial" w:hAnsi="Arial" w:cs="Arial"/>
          <w:sz w:val="18"/>
          <w:szCs w:val="18"/>
        </w:rPr>
        <w:t xml:space="preserve"> </w:t>
      </w:r>
      <w:r>
        <w:rPr>
          <w:rStyle w:val="FootnoteReference"/>
          <w:rFonts w:ascii="Arial" w:hAnsi="Arial" w:cs="Arial"/>
          <w:sz w:val="18"/>
          <w:szCs w:val="18"/>
        </w:rPr>
        <w:tab/>
      </w:r>
      <w:r>
        <w:rPr>
          <w:rStyle w:val="FootnoteReference"/>
          <w:rFonts w:ascii="Arial" w:hAnsi="Arial" w:cs="Arial"/>
          <w:sz w:val="18"/>
          <w:szCs w:val="18"/>
          <w:vertAlign w:val="baseline"/>
        </w:rPr>
        <w:t xml:space="preserve">Ver </w:t>
      </w:r>
      <w:r w:rsidRPr="003425E4">
        <w:rPr>
          <w:rStyle w:val="FootnoteReference"/>
          <w:rFonts w:ascii="Arial" w:hAnsi="Arial" w:cs="Arial"/>
          <w:sz w:val="18"/>
          <w:szCs w:val="18"/>
          <w:vertAlign w:val="baseline"/>
          <w:lang w:val="es-ES"/>
        </w:rPr>
        <w:t>párrafo</w:t>
      </w:r>
      <w:r w:rsidRPr="559FA22C">
        <w:rPr>
          <w:rFonts w:ascii="Arial" w:hAnsi="Arial" w:cs="Arial"/>
          <w:sz w:val="18"/>
          <w:szCs w:val="18"/>
          <w:lang w:val="es-ES"/>
        </w:rPr>
        <w:t xml:space="preserve"> 1.29</w:t>
      </w:r>
      <w:r w:rsidRPr="559FA22C">
        <w:rPr>
          <w:rStyle w:val="FootnoteReference"/>
          <w:rFonts w:ascii="Arial" w:hAnsi="Arial" w:cs="Arial"/>
          <w:sz w:val="18"/>
          <w:szCs w:val="18"/>
          <w:vertAlign w:val="baseline"/>
          <w:lang w:val="es-ES"/>
        </w:rPr>
        <w:t xml:space="preserve"> del POD. </w:t>
      </w:r>
    </w:p>
  </w:footnote>
  <w:footnote w:id="20">
    <w:p w:rsidRPr="002210AF" w:rsidR="00D83F08" w:rsidP="559FA22C" w:rsidRDefault="00D83F08" w14:paraId="6628BEFC" w14:textId="77777777">
      <w:pPr>
        <w:pStyle w:val="FootnoteText"/>
        <w:spacing w:after="0"/>
        <w:ind w:left="270" w:hanging="270"/>
        <w:rPr>
          <w:rFonts w:ascii="Arial" w:hAnsi="Arial" w:cs="Arial"/>
          <w:sz w:val="18"/>
          <w:szCs w:val="18"/>
          <w:lang w:val="es-ES"/>
        </w:rPr>
      </w:pPr>
      <w:r w:rsidRPr="002210AF">
        <w:rPr>
          <w:rStyle w:val="FootnoteReference"/>
        </w:rPr>
        <w:footnoteRef/>
      </w:r>
      <w:r w:rsidRPr="002210AF">
        <w:rPr>
          <w:rStyle w:val="FootnoteReference"/>
        </w:rPr>
        <w:t xml:space="preserve"> </w:t>
      </w:r>
      <w:r w:rsidRPr="002210AF">
        <w:rPr>
          <w:rStyle w:val="FootnoteReference"/>
        </w:rPr>
        <w:tab/>
      </w:r>
      <w:r w:rsidRPr="002210AF">
        <w:rPr>
          <w:rStyle w:val="FootnoteReference"/>
          <w:vertAlign w:val="baseline"/>
        </w:rPr>
        <w:t xml:space="preserve">En </w:t>
      </w:r>
      <w:proofErr w:type="spellStart"/>
      <w:r w:rsidRPr="002210AF">
        <w:rPr>
          <w:rStyle w:val="FootnoteReference"/>
          <w:vertAlign w:val="baseline"/>
        </w:rPr>
        <w:t>adelante</w:t>
      </w:r>
      <w:proofErr w:type="spellEnd"/>
      <w:r w:rsidRPr="002210AF">
        <w:rPr>
          <w:rStyle w:val="FootnoteReference"/>
          <w:vertAlign w:val="baseline"/>
        </w:rPr>
        <w:t xml:space="preserve"> </w:t>
      </w:r>
      <w:proofErr w:type="spellStart"/>
      <w:r w:rsidRPr="002210AF">
        <w:rPr>
          <w:rStyle w:val="FootnoteReference"/>
          <w:vertAlign w:val="baseline"/>
        </w:rPr>
        <w:t>denominada</w:t>
      </w:r>
      <w:proofErr w:type="spellEnd"/>
      <w:r w:rsidRPr="002210AF">
        <w:rPr>
          <w:rStyle w:val="FootnoteReference"/>
          <w:vertAlign w:val="baseline"/>
        </w:rPr>
        <w:t xml:space="preserve"> la “</w:t>
      </w:r>
      <w:proofErr w:type="spellStart"/>
      <w:r w:rsidRPr="002210AF">
        <w:rPr>
          <w:rStyle w:val="FootnoteReference"/>
          <w:vertAlign w:val="baseline"/>
        </w:rPr>
        <w:t>Política</w:t>
      </w:r>
      <w:proofErr w:type="spellEnd"/>
      <w:r w:rsidRPr="002210AF">
        <w:rPr>
          <w:rStyle w:val="FootnoteReference"/>
          <w:vertAlign w:val="baseline"/>
        </w:rPr>
        <w:t xml:space="preserve"> del </w:t>
      </w:r>
      <w:proofErr w:type="spellStart"/>
      <w:r w:rsidRPr="002210AF">
        <w:rPr>
          <w:rStyle w:val="FootnoteReference"/>
          <w:vertAlign w:val="baseline"/>
        </w:rPr>
        <w:t>Instrumento</w:t>
      </w:r>
      <w:proofErr w:type="spellEnd"/>
      <w:r w:rsidRPr="002210AF">
        <w:rPr>
          <w:rStyle w:val="FootnoteReference"/>
          <w:vertAlign w:val="baseline"/>
        </w:rPr>
        <w:t xml:space="preserve"> de </w:t>
      </w:r>
      <w:proofErr w:type="spellStart"/>
      <w:r w:rsidRPr="002210AF">
        <w:rPr>
          <w:rStyle w:val="FootnoteReference"/>
          <w:vertAlign w:val="baseline"/>
        </w:rPr>
        <w:t>Garantías</w:t>
      </w:r>
      <w:proofErr w:type="spellEnd"/>
      <w:r w:rsidRPr="002210AF">
        <w:rPr>
          <w:rStyle w:val="FootnoteReference"/>
          <w:vertAlign w:val="baseline"/>
        </w:rPr>
        <w:t xml:space="preserve">”, la </w:t>
      </w:r>
      <w:proofErr w:type="spellStart"/>
      <w:r w:rsidRPr="002210AF">
        <w:rPr>
          <w:rStyle w:val="FootnoteReference"/>
          <w:vertAlign w:val="baseline"/>
        </w:rPr>
        <w:t>cual</w:t>
      </w:r>
      <w:proofErr w:type="spellEnd"/>
      <w:r w:rsidRPr="002210AF">
        <w:rPr>
          <w:rStyle w:val="FootnoteReference"/>
          <w:vertAlign w:val="baseline"/>
        </w:rPr>
        <w:t xml:space="preserve"> </w:t>
      </w:r>
      <w:proofErr w:type="spellStart"/>
      <w:r w:rsidRPr="002210AF">
        <w:rPr>
          <w:rStyle w:val="FootnoteReference"/>
          <w:vertAlign w:val="baseline"/>
        </w:rPr>
        <w:t>cuenta</w:t>
      </w:r>
      <w:proofErr w:type="spellEnd"/>
      <w:r w:rsidRPr="002210AF">
        <w:rPr>
          <w:rStyle w:val="FootnoteReference"/>
          <w:vertAlign w:val="baseline"/>
        </w:rPr>
        <w:t xml:space="preserve"> con “Directrices </w:t>
      </w:r>
      <w:proofErr w:type="spellStart"/>
      <w:r w:rsidRPr="002210AF">
        <w:rPr>
          <w:rStyle w:val="FootnoteReference"/>
          <w:vertAlign w:val="baseline"/>
        </w:rPr>
        <w:t>Operativas</w:t>
      </w:r>
      <w:proofErr w:type="spellEnd"/>
      <w:r w:rsidRPr="002210AF">
        <w:rPr>
          <w:rStyle w:val="FootnoteReference"/>
          <w:vertAlign w:val="baseline"/>
        </w:rPr>
        <w:t>” (</w:t>
      </w:r>
      <w:proofErr w:type="spellStart"/>
      <w:r w:rsidRPr="002210AF">
        <w:rPr>
          <w:rStyle w:val="FootnoteReference"/>
          <w:vertAlign w:val="baseline"/>
        </w:rPr>
        <w:t>documento</w:t>
      </w:r>
      <w:proofErr w:type="spellEnd"/>
      <w:r w:rsidRPr="002210AF">
        <w:rPr>
          <w:rStyle w:val="FootnoteReference"/>
          <w:vertAlign w:val="baseline"/>
        </w:rPr>
        <w:t xml:space="preserve"> GN-2729-4).</w:t>
      </w:r>
    </w:p>
  </w:footnote>
  <w:footnote w:id="21">
    <w:p w:rsidRPr="0080549D" w:rsidR="00D83F08" w:rsidP="559FA22C" w:rsidRDefault="00D83F08" w14:paraId="3107ED0A" w14:textId="77777777" w14:noSpellErr="1">
      <w:pPr>
        <w:pStyle w:val="FootnoteText"/>
        <w:spacing w:after="0"/>
        <w:ind w:left="270" w:hanging="270"/>
        <w:rPr>
          <w:rFonts w:ascii="Arial" w:hAnsi="Arial" w:cs="Arial"/>
          <w:sz w:val="18"/>
          <w:szCs w:val="18"/>
        </w:rPr>
      </w:pPr>
      <w:r w:rsidRPr="007C7E9B">
        <w:rPr>
          <w:rStyle w:val="FootnoteReference"/>
          <w:rFonts w:ascii="Arial" w:hAnsi="Arial" w:cs="Arial"/>
          <w:sz w:val="18"/>
          <w:szCs w:val="18"/>
        </w:rPr>
        <w:footnoteRef/>
      </w:r>
      <w:r w:rsidRPr="0080549D">
        <w:rPr>
          <w:rFonts w:ascii="Arial" w:hAnsi="Arial" w:cs="Arial"/>
          <w:sz w:val="18"/>
          <w:szCs w:val="18"/>
        </w:rPr>
        <w:t xml:space="preserve"> </w:t>
      </w:r>
      <w:r w:rsidRPr="0080549D">
        <w:rPr>
          <w:rFonts w:ascii="Arial" w:hAnsi="Arial" w:cs="Arial"/>
          <w:sz w:val="18"/>
          <w:szCs w:val="18"/>
        </w:rPr>
        <w:tab/>
      </w:r>
      <w:r w:rsidRPr="0080549D">
        <w:rPr>
          <w:rFonts w:ascii="Arial" w:hAnsi="Arial" w:cs="Arial"/>
          <w:sz w:val="18"/>
          <w:szCs w:val="18"/>
        </w:rPr>
        <w:t>“</w:t>
      </w:r>
      <w:r w:rsidRPr="559FA22C">
        <w:rPr>
          <w:rFonts w:ascii="Arial" w:hAnsi="Arial" w:cs="Arial"/>
          <w:i w:val="1"/>
          <w:iCs w:val="1"/>
          <w:sz w:val="18"/>
          <w:szCs w:val="18"/>
        </w:rPr>
        <w:t xml:space="preserve">Global Investor Statement on </w:t>
      </w:r>
      <w:r w:rsidRPr="559FA22C">
        <w:rPr>
          <w:rFonts w:ascii="Arial" w:hAnsi="Arial" w:cs="Arial"/>
          <w:i w:val="1"/>
          <w:iCs w:val="1"/>
          <w:sz w:val="18"/>
          <w:szCs w:val="18"/>
        </w:rPr>
        <w:t>Climate Change”</w:t>
      </w:r>
      <w:r w:rsidRPr="0065054A">
        <w:rPr>
          <w:rFonts w:ascii="Arial" w:hAnsi="Arial" w:cs="Arial"/>
          <w:sz w:val="18"/>
          <w:szCs w:val="18"/>
        </w:rPr>
        <w:t>, 2014.</w:t>
      </w:r>
    </w:p>
  </w:footnote>
  <w:footnote w:id="22">
    <w:p w:rsidRPr="0065054A" w:rsidR="00D83F08" w:rsidP="559FA22C" w:rsidRDefault="00D83F08" w14:paraId="181D5CE5" w14:textId="746F5B20" w14:noSpellErr="1">
      <w:pPr>
        <w:pStyle w:val="FootnoteText"/>
        <w:spacing w:after="0"/>
        <w:ind w:left="270" w:hanging="270"/>
        <w:rPr>
          <w:rFonts w:ascii="Arial" w:hAnsi="Arial" w:cs="Arial"/>
          <w:sz w:val="18"/>
          <w:szCs w:val="18"/>
        </w:rPr>
      </w:pPr>
      <w:r w:rsidRPr="007C7E9B">
        <w:rPr>
          <w:rStyle w:val="FootnoteReference"/>
          <w:rFonts w:ascii="Arial" w:hAnsi="Arial" w:cs="Arial"/>
          <w:sz w:val="18"/>
          <w:szCs w:val="18"/>
        </w:rPr>
        <w:footnoteRef/>
      </w:r>
      <w:r w:rsidRPr="0065054A">
        <w:rPr>
          <w:rFonts w:ascii="Arial" w:hAnsi="Arial" w:cs="Arial"/>
          <w:sz w:val="18"/>
          <w:szCs w:val="18"/>
        </w:rPr>
        <w:t xml:space="preserve"> </w:t>
      </w:r>
      <w:r w:rsidRPr="0065054A">
        <w:rPr>
          <w:rFonts w:ascii="Arial" w:hAnsi="Arial" w:cs="Arial"/>
          <w:sz w:val="18"/>
          <w:szCs w:val="18"/>
        </w:rPr>
        <w:tab/>
      </w:r>
      <w:r w:rsidRPr="0065054A">
        <w:rPr>
          <w:rFonts w:ascii="Arial" w:hAnsi="Arial" w:cs="Arial"/>
          <w:sz w:val="18"/>
          <w:szCs w:val="18"/>
        </w:rPr>
        <w:t xml:space="preserve">Banco Interamericano de </w:t>
      </w:r>
      <w:r w:rsidRPr="0016446D">
        <w:rPr>
          <w:rFonts w:ascii="Arial" w:hAnsi="Arial" w:cs="Arial"/>
          <w:sz w:val="18"/>
          <w:szCs w:val="18"/>
          <w:lang w:val="es-ES"/>
        </w:rPr>
        <w:t>Desarrollo</w:t>
      </w:r>
      <w:r w:rsidRPr="0065054A">
        <w:rPr>
          <w:rFonts w:ascii="Arial" w:hAnsi="Arial" w:cs="Arial"/>
          <w:sz w:val="18"/>
          <w:szCs w:val="18"/>
        </w:rPr>
        <w:t xml:space="preserve"> &amp; Mercer, “</w:t>
      </w:r>
      <w:r w:rsidRPr="559FA22C">
        <w:rPr>
          <w:rFonts w:ascii="Arial" w:hAnsi="Arial" w:cs="Arial"/>
          <w:i w:val="1"/>
          <w:iCs w:val="1"/>
          <w:sz w:val="18"/>
          <w:szCs w:val="18"/>
        </w:rPr>
        <w:t>Crossing the Bridge to Sustainable Infrastructure Investing</w:t>
      </w:r>
      <w:r w:rsidRPr="0065054A">
        <w:rPr>
          <w:rFonts w:ascii="Arial" w:hAnsi="Arial" w:cs="Arial"/>
          <w:sz w:val="18"/>
          <w:szCs w:val="18"/>
        </w:rPr>
        <w:t>”, 2017.</w:t>
      </w:r>
    </w:p>
  </w:footnote>
  <w:footnote w:id="23">
    <w:p w:rsidRPr="003420A5" w:rsidR="00D83F08" w:rsidP="002210AF" w:rsidRDefault="00D83F08" w14:paraId="7FD7E040" w14:textId="28A0D2E7">
      <w:pPr>
        <w:pStyle w:val="FootnoteText"/>
        <w:spacing w:after="0"/>
      </w:pPr>
      <w:r w:rsidRPr="003420A5">
        <w:rPr>
          <w:rStyle w:val="FootnoteReference"/>
          <w:rFonts w:ascii="Arial" w:hAnsi="Arial" w:cs="Arial"/>
          <w:sz w:val="18"/>
          <w:szCs w:val="18"/>
        </w:rPr>
        <w:footnoteRef/>
      </w:r>
      <w:r w:rsidRPr="003420A5">
        <w:rPr>
          <w:rFonts w:ascii="Arial" w:hAnsi="Arial" w:cs="Arial"/>
          <w:sz w:val="18"/>
          <w:szCs w:val="18"/>
        </w:rPr>
        <w:t xml:space="preserve"> </w:t>
      </w:r>
      <w:r>
        <w:rPr>
          <w:rFonts w:ascii="Arial" w:hAnsi="Arial" w:cs="Arial"/>
          <w:sz w:val="18"/>
          <w:szCs w:val="18"/>
        </w:rPr>
        <w:tab/>
      </w:r>
      <w:proofErr w:type="spellStart"/>
      <w:r w:rsidRPr="003420A5">
        <w:rPr>
          <w:rFonts w:ascii="Arial" w:hAnsi="Arial" w:cs="Arial"/>
          <w:sz w:val="18"/>
          <w:szCs w:val="18"/>
        </w:rPr>
        <w:t xml:space="preserve">Serebrisky</w:t>
      </w:r>
      <w:proofErr w:type="spellEnd"/>
      <w:r w:rsidRPr="003420A5">
        <w:rPr>
          <w:rFonts w:ascii="Arial" w:hAnsi="Arial" w:cs="Arial"/>
          <w:sz w:val="18"/>
          <w:szCs w:val="18"/>
        </w:rPr>
        <w:t xml:space="preserve">, T., Suárez-Alemán, A., Pastor, C. and </w:t>
      </w:r>
      <w:proofErr w:type="spellStart"/>
      <w:r w:rsidRPr="003420A5">
        <w:rPr>
          <w:rFonts w:ascii="Arial" w:hAnsi="Arial" w:cs="Arial"/>
          <w:sz w:val="18"/>
          <w:szCs w:val="18"/>
        </w:rPr>
        <w:t xml:space="preserve">Wohlhueter</w:t>
      </w:r>
      <w:proofErr w:type="spellEnd"/>
      <w:r w:rsidRPr="003420A5">
        <w:rPr>
          <w:rFonts w:ascii="Arial" w:hAnsi="Arial" w:cs="Arial"/>
          <w:sz w:val="18"/>
          <w:szCs w:val="18"/>
        </w:rPr>
        <w:t xml:space="preserve">, A., Banco Interamericano de </w:t>
      </w:r>
      <w:r w:rsidRPr="002210AF">
        <w:rPr>
          <w:rFonts w:ascii="Arial" w:hAnsi="Arial" w:cs="Arial"/>
          <w:sz w:val="18"/>
          <w:szCs w:val="18"/>
          <w:lang w:val="es-ES"/>
        </w:rPr>
        <w:t>Desarrollo</w:t>
      </w:r>
      <w:r w:rsidRPr="003420A5">
        <w:rPr>
          <w:rFonts w:ascii="Arial" w:hAnsi="Arial" w:cs="Arial"/>
          <w:sz w:val="18"/>
          <w:szCs w:val="18"/>
        </w:rPr>
        <w:t>,</w:t>
      </w:r>
      <w:r>
        <w:rPr>
          <w:rFonts w:ascii="Arial" w:hAnsi="Arial" w:cs="Arial"/>
          <w:sz w:val="18"/>
          <w:szCs w:val="18"/>
        </w:rPr>
        <w:t xml:space="preserve"> “</w:t>
      </w:r>
      <w:r w:rsidRPr="00C40BE0">
        <w:rPr>
          <w:rFonts w:ascii="Arial" w:hAnsi="Arial" w:cs="Arial"/>
          <w:sz w:val="18"/>
          <w:szCs w:val="18"/>
        </w:rPr>
        <w:t>Increasing the efficiency of public infrastructure delivery: Evidence-based potential efficiency gains in public infrastructure spending in Latin America and the Caribbean</w:t>
      </w:r>
      <w:r>
        <w:rPr>
          <w:rFonts w:ascii="Arial" w:hAnsi="Arial" w:cs="Arial"/>
          <w:sz w:val="18"/>
          <w:szCs w:val="18"/>
        </w:rPr>
        <w:t>”, 2017</w:t>
      </w:r>
      <w:r w:rsidRPr="00C40BE0">
        <w:rPr>
          <w:rFonts w:ascii="Arial" w:hAnsi="Arial" w:cs="Arial"/>
          <w:sz w:val="18"/>
          <w:szCs w:val="18"/>
        </w:rPr>
        <w:t>.</w:t>
      </w:r>
    </w:p>
  </w:footnote>
  <w:footnote w:id="24">
    <w:p w:rsidRPr="002210AF" w:rsidR="00D83F08" w:rsidP="559FA22C" w:rsidRDefault="00D83F08" w14:paraId="17C2F236" w14:textId="43268ED6">
      <w:pPr>
        <w:pStyle w:val="FootnoteText"/>
        <w:tabs>
          <w:tab w:val="left" w:pos="284"/>
          <w:tab w:val="left" w:pos="990"/>
        </w:tabs>
        <w:spacing w:after="0"/>
        <w:ind w:left="180" w:hanging="180"/>
        <w:rPr>
          <w:rStyle w:val="FootnoteReference"/>
          <w:rFonts w:ascii="Arial" w:hAnsi="Arial" w:cs="Arial"/>
          <w:sz w:val="18"/>
          <w:szCs w:val="18"/>
          <w:vertAlign w:val="baseline"/>
          <w:lang w:val="es-ES"/>
        </w:rPr>
      </w:pPr>
      <w:r w:rsidRPr="0017337B">
        <w:rPr>
          <w:rStyle w:val="FootnoteReference"/>
          <w:rFonts w:ascii="Arial" w:hAnsi="Arial" w:cs="Arial"/>
          <w:sz w:val="18"/>
          <w:szCs w:val="18"/>
        </w:rPr>
        <w:footnoteRef/>
      </w:r>
      <w:r w:rsidRPr="559FA22C">
        <w:rPr>
          <w:rStyle w:val="FootnoteReference"/>
          <w:rFonts w:ascii="Arial" w:hAnsi="Arial" w:cs="Arial"/>
          <w:sz w:val="18"/>
          <w:szCs w:val="18"/>
          <w:lang w:val="es-ES"/>
        </w:rPr>
        <w:t xml:space="preserve"> </w:t>
      </w:r>
      <w:r w:rsidRPr="002210AF">
        <w:rPr>
          <w:rFonts w:ascii="Arial" w:hAnsi="Arial" w:cs="Arial"/>
          <w:sz w:val="18"/>
          <w:szCs w:val="18"/>
          <w:lang w:val="es-ES_tradnl"/>
        </w:rPr>
        <w:tab/>
      </w:r>
      <w:r w:rsidRPr="002210AF">
        <w:rPr>
          <w:rFonts w:ascii="Arial" w:hAnsi="Arial" w:cs="Arial"/>
          <w:sz w:val="18"/>
          <w:szCs w:val="18"/>
          <w:lang w:val="es-ES_tradnl"/>
        </w:rPr>
        <w:tab/>
      </w:r>
      <w:hyperlink w:history="1" r:id="R4264ae7debad4667">
        <w:r w:rsidRPr="559FA22C">
          <w:rPr>
            <w:rStyle w:val="Hyperlink"/>
            <w:rFonts w:ascii="Arial" w:hAnsi="Arial" w:cs="Arial"/>
            <w:sz w:val="18"/>
            <w:szCs w:val="18"/>
            <w:lang w:val="es-ES"/>
          </w:rPr>
          <w:t>www.infralatam.info</w:t>
        </w:r>
      </w:hyperlink>
      <w:r w:rsidRPr="559FA22C">
        <w:rPr>
          <w:rFonts w:ascii="Arial" w:hAnsi="Arial" w:cs="Arial"/>
          <w:sz w:val="18"/>
          <w:szCs w:val="18"/>
          <w:lang w:val="es-ES"/>
        </w:rPr>
        <w:t>.</w:t>
      </w:r>
    </w:p>
  </w:footnote>
  <w:footnote w:id="25">
    <w:p w:rsidRPr="002210AF" w:rsidR="00D83F08" w:rsidP="559FA22C" w:rsidRDefault="00D83F08" w14:paraId="5D78A3A5" w14:textId="6F07CB9D">
      <w:pPr>
        <w:pStyle w:val="FootnoteText"/>
        <w:spacing w:after="0"/>
        <w:ind w:left="284" w:hanging="284"/>
        <w:rPr>
          <w:rFonts w:ascii="Arial" w:hAnsi="Arial" w:cs="Arial"/>
          <w:sz w:val="18"/>
          <w:szCs w:val="18"/>
          <w:lang w:val="es-ES"/>
        </w:rPr>
      </w:pPr>
      <w:r w:rsidRPr="00FA3BA7">
        <w:rPr>
          <w:rStyle w:val="FootnoteReference"/>
          <w:rFonts w:ascii="Arial" w:hAnsi="Arial" w:cs="Arial"/>
          <w:sz w:val="18"/>
          <w:szCs w:val="18"/>
        </w:rPr>
        <w:footnoteRef/>
      </w:r>
      <w:r w:rsidRPr="559FA22C">
        <w:rPr>
          <w:rFonts w:ascii="Arial" w:hAnsi="Arial" w:cs="Arial"/>
          <w:sz w:val="18"/>
          <w:szCs w:val="18"/>
          <w:lang w:val="es-ES"/>
        </w:rPr>
        <w:t xml:space="preserve"> </w:t>
      </w:r>
      <w:r w:rsidRPr="002210AF">
        <w:rPr>
          <w:rFonts w:ascii="Arial" w:hAnsi="Arial" w:cs="Arial"/>
          <w:sz w:val="18"/>
          <w:szCs w:val="18"/>
          <w:lang w:val="es-ES_tradnl"/>
        </w:rPr>
        <w:tab/>
      </w:r>
      <w:r w:rsidRPr="559FA22C">
        <w:rPr>
          <w:rFonts w:ascii="Arial" w:hAnsi="Arial" w:cs="Arial"/>
          <w:sz w:val="18"/>
          <w:szCs w:val="18"/>
          <w:lang w:val="es-ES"/>
        </w:rPr>
        <w:t>Foro Económico Mundial, “</w:t>
      </w:r>
      <w:proofErr w:type="spellStart"/>
      <w:r w:rsidRPr="559FA22C">
        <w:rPr>
          <w:rFonts w:ascii="Arial" w:hAnsi="Arial" w:cs="Arial"/>
          <w:sz w:val="18"/>
          <w:szCs w:val="18"/>
          <w:lang w:val="es-ES"/>
        </w:rPr>
        <w:t>The</w:t>
      </w:r>
      <w:proofErr w:type="spellEnd"/>
      <w:r w:rsidRPr="559FA22C">
        <w:rPr>
          <w:rFonts w:ascii="Arial" w:hAnsi="Arial" w:cs="Arial"/>
          <w:sz w:val="18"/>
          <w:szCs w:val="18"/>
          <w:lang w:val="es-ES"/>
        </w:rPr>
        <w:t xml:space="preserve"> Global </w:t>
      </w:r>
      <w:proofErr w:type="spellStart"/>
      <w:r w:rsidRPr="559FA22C">
        <w:rPr>
          <w:rFonts w:ascii="Arial" w:hAnsi="Arial" w:cs="Arial"/>
          <w:sz w:val="18"/>
          <w:szCs w:val="18"/>
          <w:lang w:val="es-ES"/>
        </w:rPr>
        <w:t>Competitiveness</w:t>
      </w:r>
      <w:proofErr w:type="spellEnd"/>
      <w:r w:rsidRPr="559FA22C">
        <w:rPr>
          <w:rFonts w:ascii="Arial" w:hAnsi="Arial" w:cs="Arial"/>
          <w:sz w:val="18"/>
          <w:szCs w:val="18"/>
          <w:lang w:val="es-ES"/>
        </w:rPr>
        <w:t xml:space="preserve"> </w:t>
      </w:r>
      <w:proofErr w:type="spellStart"/>
      <w:r w:rsidRPr="559FA22C">
        <w:rPr>
          <w:rFonts w:ascii="Arial" w:hAnsi="Arial" w:cs="Arial"/>
          <w:sz w:val="18"/>
          <w:szCs w:val="18"/>
          <w:lang w:val="es-ES"/>
        </w:rPr>
        <w:t>Report</w:t>
      </w:r>
      <w:proofErr w:type="spellEnd"/>
      <w:r w:rsidRPr="559FA22C">
        <w:rPr>
          <w:rFonts w:ascii="Arial" w:hAnsi="Arial" w:cs="Arial"/>
          <w:sz w:val="18"/>
          <w:szCs w:val="18"/>
          <w:lang w:val="es-ES"/>
        </w:rPr>
        <w:t xml:space="preserve"> 2017-2018”, 2017.</w:t>
      </w:r>
    </w:p>
  </w:footnote>
  <w:footnote w:id="26">
    <w:p w:rsidRPr="002210AF" w:rsidR="00D83F08" w:rsidP="559FA22C" w:rsidRDefault="00D83F08" w14:paraId="332FF2F2" w14:textId="3A622E1E">
      <w:pPr>
        <w:pStyle w:val="FootnoteText"/>
        <w:spacing w:after="0"/>
        <w:rPr>
          <w:rFonts w:ascii="Arial" w:hAnsi="Arial" w:cs="Arial"/>
          <w:sz w:val="18"/>
          <w:szCs w:val="18"/>
          <w:lang w:val="es-ES"/>
        </w:rPr>
      </w:pPr>
      <w:r w:rsidRPr="0080549D">
        <w:rPr>
          <w:rStyle w:val="FootnoteReference"/>
          <w:rFonts w:ascii="Arial" w:hAnsi="Arial" w:cs="Arial"/>
          <w:sz w:val="18"/>
          <w:szCs w:val="18"/>
        </w:rPr>
        <w:footnoteRef/>
      </w:r>
      <w:r w:rsidRPr="559FA22C">
        <w:rPr>
          <w:rFonts w:ascii="Arial" w:hAnsi="Arial" w:cs="Arial"/>
          <w:sz w:val="18"/>
          <w:szCs w:val="18"/>
          <w:lang w:val="es-ES"/>
        </w:rPr>
        <w:t xml:space="preserve"> </w:t>
      </w:r>
      <w:r w:rsidRPr="002210AF">
        <w:rPr>
          <w:rFonts w:ascii="Arial" w:hAnsi="Arial" w:cs="Arial"/>
          <w:sz w:val="18"/>
          <w:szCs w:val="18"/>
          <w:lang w:val="es-ES_tradnl"/>
        </w:rPr>
        <w:tab/>
      </w:r>
      <w:r w:rsidRPr="559FA22C">
        <w:rPr>
          <w:rFonts w:ascii="Arial" w:hAnsi="Arial" w:cs="Arial"/>
          <w:sz w:val="18"/>
          <w:szCs w:val="18"/>
          <w:lang w:val="es-ES"/>
        </w:rPr>
        <w:t xml:space="preserve">Macchi, C. &amp; </w:t>
      </w:r>
      <w:proofErr w:type="spellStart"/>
      <w:r w:rsidRPr="559FA22C">
        <w:rPr>
          <w:rFonts w:ascii="Arial" w:hAnsi="Arial" w:cs="Arial"/>
          <w:sz w:val="18"/>
          <w:szCs w:val="18"/>
          <w:lang w:val="es-ES"/>
        </w:rPr>
        <w:t>Yokota</w:t>
      </w:r>
      <w:proofErr w:type="spellEnd"/>
      <w:r w:rsidRPr="559FA22C">
        <w:rPr>
          <w:rFonts w:ascii="Arial" w:hAnsi="Arial" w:cs="Arial"/>
          <w:sz w:val="18"/>
          <w:szCs w:val="18"/>
          <w:lang w:val="es-ES"/>
        </w:rPr>
        <w:t>, J., S&amp;P Global, “¿Son los Pilares del Programa de Inversión en Infraestructura de Argentina Suficientemente Sólidos?”, 2017.</w:t>
      </w:r>
    </w:p>
  </w:footnote>
  <w:footnote w:id="27">
    <w:p w:rsidRPr="000C72A0" w:rsidR="00D83F08" w:rsidP="559FA22C" w:rsidRDefault="00D83F08" w14:paraId="2BC6518B" w14:textId="77777777">
      <w:pPr>
        <w:pStyle w:val="FootnoteText"/>
        <w:spacing w:after="0"/>
        <w:rPr>
          <w:rFonts w:ascii="Arial" w:hAnsi="Arial" w:cs="Arial"/>
          <w:sz w:val="18"/>
          <w:szCs w:val="18"/>
          <w:lang w:val="es-ES"/>
        </w:rPr>
      </w:pPr>
      <w:r w:rsidRPr="0026428E">
        <w:rPr>
          <w:rStyle w:val="FootnoteReference"/>
          <w:rFonts w:ascii="Arial" w:hAnsi="Arial" w:cs="Arial"/>
          <w:sz w:val="18"/>
          <w:szCs w:val="18"/>
        </w:rPr>
        <w:footnoteRef/>
      </w:r>
      <w:r w:rsidRPr="559FA22C">
        <w:rPr>
          <w:rFonts w:ascii="Arial" w:hAnsi="Arial" w:cs="Arial"/>
          <w:sz w:val="18"/>
          <w:szCs w:val="18"/>
          <w:lang w:val="es-ES"/>
        </w:rPr>
        <w:t xml:space="preserve"> </w:t>
      </w:r>
      <w:r w:rsidRPr="000C72A0">
        <w:rPr>
          <w:rFonts w:ascii="Arial" w:hAnsi="Arial" w:cs="Arial"/>
          <w:sz w:val="18"/>
          <w:szCs w:val="18"/>
          <w:lang w:val="es-ES_tradnl"/>
        </w:rPr>
        <w:tab/>
      </w:r>
      <w:r w:rsidRPr="559FA22C">
        <w:rPr>
          <w:rFonts w:ascii="Arial" w:hAnsi="Arial" w:cs="Arial"/>
          <w:sz w:val="18"/>
          <w:szCs w:val="18"/>
          <w:lang w:val="es-ES"/>
        </w:rPr>
        <w:t>Banco Interamericano de Desarrollo, “</w:t>
      </w:r>
      <w:r w:rsidRPr="559FA22C">
        <w:rPr>
          <w:rFonts w:ascii="Arial" w:hAnsi="Arial" w:cs="Arial"/>
          <w:i w:val="1"/>
          <w:iCs w:val="1"/>
          <w:sz w:val="18"/>
          <w:szCs w:val="18"/>
          <w:lang w:val="es-ES"/>
        </w:rPr>
        <w:t xml:space="preserve">Country </w:t>
      </w:r>
      <w:proofErr w:type="spellStart"/>
      <w:r w:rsidRPr="559FA22C">
        <w:rPr>
          <w:rFonts w:ascii="Arial" w:hAnsi="Arial" w:cs="Arial"/>
          <w:i w:val="1"/>
          <w:iCs w:val="1"/>
          <w:sz w:val="18"/>
          <w:szCs w:val="18"/>
          <w:lang w:val="es-ES"/>
        </w:rPr>
        <w:t>Development</w:t>
      </w:r>
      <w:proofErr w:type="spellEnd"/>
      <w:r w:rsidRPr="559FA22C">
        <w:rPr>
          <w:rFonts w:ascii="Arial" w:hAnsi="Arial" w:cs="Arial"/>
          <w:i w:val="1"/>
          <w:iCs w:val="1"/>
          <w:sz w:val="18"/>
          <w:szCs w:val="18"/>
          <w:lang w:val="es-ES"/>
        </w:rPr>
        <w:t xml:space="preserve"> </w:t>
      </w:r>
      <w:proofErr w:type="spellStart"/>
      <w:r w:rsidRPr="559FA22C">
        <w:rPr>
          <w:rFonts w:ascii="Arial" w:hAnsi="Arial" w:cs="Arial"/>
          <w:i w:val="1"/>
          <w:iCs w:val="1"/>
          <w:sz w:val="18"/>
          <w:szCs w:val="18"/>
          <w:lang w:val="es-ES"/>
        </w:rPr>
        <w:t>Challenges</w:t>
      </w:r>
      <w:proofErr w:type="spellEnd"/>
      <w:r w:rsidRPr="559FA22C">
        <w:rPr>
          <w:rFonts w:ascii="Arial" w:hAnsi="Arial" w:cs="Arial"/>
          <w:i w:val="1"/>
          <w:iCs w:val="1"/>
          <w:sz w:val="18"/>
          <w:szCs w:val="18"/>
          <w:lang w:val="es-ES"/>
        </w:rPr>
        <w:t xml:space="preserve"> – Argentina</w:t>
      </w:r>
      <w:r w:rsidRPr="559FA22C">
        <w:rPr>
          <w:rFonts w:ascii="Arial" w:hAnsi="Arial" w:cs="Arial"/>
          <w:sz w:val="18"/>
          <w:szCs w:val="18"/>
          <w:lang w:val="es-ES"/>
        </w:rPr>
        <w:t>”, 2016.</w:t>
      </w:r>
    </w:p>
  </w:footnote>
  <w:footnote w:id="28">
    <w:p w:rsidRPr="00213D41" w:rsidR="00D83F08" w:rsidP="559FA22C" w:rsidRDefault="00D83F08" w14:paraId="6C0963F8" w14:textId="77777777">
      <w:pPr>
        <w:pStyle w:val="FootnoteText"/>
        <w:spacing w:after="0"/>
        <w:rPr>
          <w:rFonts w:ascii="Arial" w:hAnsi="Arial" w:cs="Arial"/>
          <w:sz w:val="18"/>
          <w:szCs w:val="18"/>
          <w:lang w:val="es-ES"/>
        </w:rPr>
      </w:pPr>
      <w:r w:rsidRPr="0080549D">
        <w:rPr>
          <w:rStyle w:val="FootnoteReference"/>
          <w:rFonts w:ascii="Arial" w:hAnsi="Arial" w:cs="Arial"/>
          <w:sz w:val="18"/>
          <w:szCs w:val="18"/>
        </w:rPr>
        <w:footnoteRef/>
      </w:r>
      <w:r w:rsidRPr="559FA22C">
        <w:rPr>
          <w:rFonts w:ascii="Arial" w:hAnsi="Arial" w:cs="Arial"/>
          <w:sz w:val="18"/>
          <w:szCs w:val="18"/>
          <w:lang w:val="es-ES"/>
        </w:rPr>
        <w:t xml:space="preserve"> </w:t>
      </w:r>
      <w:r w:rsidRPr="0080549D">
        <w:rPr>
          <w:rFonts w:ascii="Arial" w:hAnsi="Arial" w:cs="Arial"/>
          <w:sz w:val="18"/>
          <w:szCs w:val="18"/>
          <w:lang w:val="es-ES_tradnl"/>
        </w:rPr>
        <w:tab/>
      </w:r>
      <w:proofErr w:type="spellStart"/>
      <w:r w:rsidRPr="559FA22C">
        <w:rPr>
          <w:rFonts w:ascii="Arial" w:hAnsi="Arial" w:cs="Arial"/>
          <w:sz w:val="18"/>
          <w:szCs w:val="18"/>
          <w:lang w:val="es-ES"/>
        </w:rPr>
        <w:t xml:space="preserve">Wasilevsky</w:t>
      </w:r>
      <w:proofErr w:type="spellEnd"/>
      <w:r w:rsidRPr="559FA22C">
        <w:rPr>
          <w:rFonts w:ascii="Arial" w:hAnsi="Arial" w:cs="Arial"/>
          <w:sz w:val="18"/>
          <w:szCs w:val="18"/>
          <w:lang w:val="es-ES"/>
        </w:rPr>
        <w:t xml:space="preserve">, I., “Análisis de la </w:t>
      </w:r>
      <w:r w:rsidRPr="559FA22C">
        <w:rPr>
          <w:rFonts w:ascii="Arial" w:hAnsi="Arial" w:cs="Arial"/>
          <w:sz w:val="18"/>
          <w:szCs w:val="18"/>
          <w:lang w:val="es-ES"/>
        </w:rPr>
        <w:t>Capacidad del Sistema Financiero Argentino en relación al Financiamiento Climático”, Tercera Comunicación Nacional sobre Cambio Climático, Secretaría de Ambiente y Desarrollo Sustentable de la Nación, 2015.</w:t>
      </w:r>
    </w:p>
  </w:footnote>
  <w:footnote w:id="29">
    <w:p w:rsidRPr="000C6300" w:rsidR="00D83F08" w:rsidP="559FA22C" w:rsidRDefault="00D83F08" w14:paraId="782ACB4D" w14:textId="77777777">
      <w:pPr>
        <w:pStyle w:val="FootnoteText"/>
        <w:rPr>
          <w:rFonts w:ascii="Arial" w:hAnsi="Arial" w:cs="Arial"/>
          <w:sz w:val="18"/>
          <w:szCs w:val="18"/>
        </w:rPr>
      </w:pPr>
      <w:r w:rsidRPr="000C6300">
        <w:rPr>
          <w:rStyle w:val="FootnoteReference"/>
          <w:rFonts w:ascii="Arial" w:hAnsi="Arial" w:cs="Arial"/>
          <w:sz w:val="18"/>
          <w:szCs w:val="18"/>
        </w:rPr>
        <w:footnoteRef/>
      </w:r>
      <w:r w:rsidRPr="000C6300">
        <w:rPr>
          <w:rStyle w:val="FootnoteReference"/>
        </w:rPr>
        <w:t xml:space="preserve"> </w:t>
      </w:r>
      <w:r w:rsidRPr="000C6300">
        <w:rPr>
          <w:rStyle w:val="FootnoteReference"/>
        </w:rPr>
        <w:tab/>
      </w:r>
      <w:proofErr w:type="spellStart"/>
      <w:r w:rsidRPr="000C6300">
        <w:rPr>
          <w:rFonts w:ascii="Arial" w:hAnsi="Arial" w:cs="Arial"/>
          <w:sz w:val="18"/>
          <w:szCs w:val="18"/>
        </w:rPr>
        <w:t>Serebrisky</w:t>
      </w:r>
      <w:proofErr w:type="spellEnd"/>
      <w:r w:rsidRPr="000C6300">
        <w:rPr>
          <w:rFonts w:ascii="Arial" w:hAnsi="Arial" w:cs="Arial"/>
          <w:sz w:val="18"/>
          <w:szCs w:val="18"/>
        </w:rPr>
        <w:t xml:space="preserve">, T., Suárez-Alemán, A., Margot, D. and Ramirez, M.C., Banco Interamericano de </w:t>
      </w:r>
      <w:proofErr w:type="spellStart"/>
      <w:r w:rsidRPr="000C6300">
        <w:rPr>
          <w:rFonts w:ascii="Arial" w:hAnsi="Arial" w:cs="Arial"/>
          <w:sz w:val="18"/>
          <w:szCs w:val="18"/>
        </w:rPr>
        <w:t>Desarrollo</w:t>
      </w:r>
      <w:proofErr w:type="spellEnd"/>
      <w:r w:rsidRPr="000C6300">
        <w:rPr>
          <w:rFonts w:ascii="Arial" w:hAnsi="Arial" w:cs="Arial"/>
          <w:sz w:val="18"/>
          <w:szCs w:val="18"/>
        </w:rPr>
        <w:t>,</w:t>
      </w:r>
      <w:r>
        <w:rPr>
          <w:rFonts w:ascii="Arial" w:hAnsi="Arial" w:cs="Arial"/>
          <w:sz w:val="18"/>
          <w:szCs w:val="18"/>
        </w:rPr>
        <w:t xml:space="preserve"> </w:t>
      </w:r>
      <w:r w:rsidRPr="000C6300">
        <w:rPr>
          <w:rFonts w:ascii="Arial" w:hAnsi="Arial" w:cs="Arial"/>
          <w:sz w:val="18"/>
          <w:szCs w:val="18"/>
        </w:rPr>
        <w:t>“Financing Infrastructure in Latin America and the Caribbean: How, How Much and by Whom?”, 2015.</w:t>
      </w:r>
    </w:p>
  </w:footnote>
  <w:footnote w:id="30">
    <w:p w:rsidRPr="002210AF" w:rsidR="00D83F08" w:rsidP="559FA22C" w:rsidRDefault="00D83F08" w14:paraId="1CC64B6D" w14:textId="16680D09">
      <w:pPr>
        <w:pStyle w:val="FootnoteText"/>
        <w:tabs>
          <w:tab w:val="left" w:pos="284"/>
        </w:tabs>
        <w:rPr>
          <w:rFonts w:ascii="Arial" w:hAnsi="Arial" w:cs="Arial"/>
          <w:sz w:val="18"/>
          <w:szCs w:val="18"/>
          <w:lang w:val="es-ES"/>
        </w:rPr>
      </w:pPr>
      <w:r w:rsidRPr="002210AF">
        <w:rPr>
          <w:rStyle w:val="FootnoteReference"/>
          <w:rFonts w:ascii="Arial" w:hAnsi="Arial" w:cs="Arial"/>
          <w:sz w:val="18"/>
          <w:szCs w:val="18"/>
          <w:lang w:val="es-ES"/>
        </w:rPr>
        <w:footnoteRef/>
      </w:r>
      <w:r>
        <w:rPr>
          <w:rFonts w:ascii="Arial" w:hAnsi="Arial" w:cs="Arial"/>
          <w:sz w:val="18"/>
          <w:szCs w:val="18"/>
          <w:lang w:val="es-ES"/>
        </w:rPr>
        <w:t xml:space="preserve"> </w:t>
      </w:r>
      <w:r>
        <w:rPr>
          <w:rFonts w:ascii="Arial" w:hAnsi="Arial" w:cs="Arial"/>
          <w:sz w:val="18"/>
          <w:szCs w:val="18"/>
          <w:lang w:val="es-ES"/>
        </w:rPr>
        <w:tab/>
      </w:r>
      <w:r w:rsidRPr="002210AF">
        <w:rPr>
          <w:rFonts w:ascii="Arial" w:hAnsi="Arial" w:cs="Arial"/>
          <w:sz w:val="18"/>
          <w:szCs w:val="18"/>
          <w:lang w:val="es-ES"/>
        </w:rPr>
        <w:t xml:space="preserve">Los términos y condiciones del programa se detallan en el Reglamento Operativo del Programa (ROP), y han sido diseñados de acuerdo con </w:t>
      </w:r>
      <w:r w:rsidRPr="00567DFF">
        <w:rPr>
          <w:rFonts w:ascii="Arial" w:hAnsi="Arial" w:cs="Arial"/>
          <w:sz w:val="18"/>
          <w:szCs w:val="18"/>
          <w:lang w:val="es-ES"/>
        </w:rPr>
        <w:t>las necesidades</w:t>
      </w:r>
      <w:r w:rsidRPr="002210AF">
        <w:rPr>
          <w:rFonts w:ascii="Arial" w:hAnsi="Arial" w:cs="Arial"/>
          <w:sz w:val="18"/>
          <w:szCs w:val="18"/>
          <w:lang w:val="es-ES"/>
        </w:rPr>
        <w:t xml:space="preserve"> de los proyectos de infraestructura de participaciones </w:t>
      </w:r>
      <w:proofErr w:type="spellStart"/>
      <w:r w:rsidRPr="002210AF">
        <w:rPr>
          <w:rFonts w:ascii="Arial" w:hAnsi="Arial" w:cs="Arial"/>
          <w:sz w:val="18"/>
          <w:szCs w:val="18"/>
          <w:lang w:val="es-ES"/>
        </w:rPr>
        <w:t xml:space="preserve">público</w:t>
      </w:r>
      <w:r w:rsidRPr="002210AF">
        <w:rPr>
          <w:rFonts w:ascii="Arial" w:hAnsi="Arial" w:cs="Arial"/>
          <w:sz w:val="18"/>
          <w:szCs w:val="18"/>
          <w:lang w:val="es-ES"/>
        </w:rPr>
        <w:t>privada</w:t>
      </w:r>
      <w:proofErr w:type="spellEnd"/>
      <w:r w:rsidRPr="002210AF">
        <w:rPr>
          <w:rFonts w:ascii="Arial" w:hAnsi="Arial" w:cs="Arial"/>
          <w:sz w:val="18"/>
          <w:szCs w:val="18"/>
          <w:lang w:val="es-ES"/>
        </w:rPr>
        <w:t xml:space="preserve">, así como las buenas prácticas y lecciones aprendidas del BID y del BID </w:t>
      </w:r>
      <w:proofErr w:type="spellStart"/>
      <w:r w:rsidRPr="002210AF">
        <w:rPr>
          <w:rFonts w:ascii="Arial" w:hAnsi="Arial" w:cs="Arial"/>
          <w:sz w:val="18"/>
          <w:szCs w:val="18"/>
          <w:lang w:val="es-ES"/>
        </w:rPr>
        <w:t>Invest</w:t>
      </w:r>
      <w:proofErr w:type="spellEnd"/>
      <w:r w:rsidRPr="002210AF">
        <w:rPr>
          <w:rFonts w:ascii="Arial" w:hAnsi="Arial" w:cs="Arial"/>
          <w:sz w:val="18"/>
          <w:szCs w:val="18"/>
          <w:lang w:val="es-ES"/>
        </w:rPr>
        <w:noBreakHyphen/>
        <w:t xml:space="preserve"> en programas similares en LAC y en Argentina.</w:t>
      </w:r>
    </w:p>
  </w:footnote>
  <w:footnote w:id="31">
    <w:p w:rsidRPr="000D592D" w:rsidR="00D83F08" w:rsidP="559FA22C" w:rsidRDefault="00D83F08" w14:paraId="7E485136" w14:textId="6C66F8A0">
      <w:pPr>
        <w:pStyle w:val="FootnoteText"/>
        <w:spacing w:after="0"/>
        <w:rPr>
          <w:rFonts w:ascii="Arial" w:hAnsi="Arial" w:cs="Arial"/>
          <w:sz w:val="18"/>
          <w:szCs w:val="18"/>
          <w:lang w:val="es-ES"/>
        </w:rPr>
      </w:pPr>
      <w:r w:rsidRPr="002210AF">
        <w:rPr>
          <w:rStyle w:val="FootnoteReference"/>
          <w:rFonts w:ascii="Arial" w:hAnsi="Arial" w:cs="Arial"/>
          <w:sz w:val="18"/>
          <w:szCs w:val="18"/>
        </w:rPr>
        <w:footnoteRef/>
      </w:r>
      <w:r w:rsidRPr="559FA22C">
        <w:rPr>
          <w:rFonts w:ascii="Arial" w:hAnsi="Arial" w:cs="Arial"/>
          <w:sz w:val="18"/>
          <w:szCs w:val="18"/>
          <w:lang w:val="es-ES"/>
        </w:rPr>
        <w:t xml:space="preserve"> </w:t>
      </w:r>
      <w:r>
        <w:rPr>
          <w:rFonts w:ascii="Arial" w:hAnsi="Arial" w:cs="Arial"/>
          <w:sz w:val="18"/>
          <w:szCs w:val="18"/>
          <w:lang w:val="es-ES_tradnl"/>
        </w:rPr>
        <w:tab/>
      </w:r>
      <w:r w:rsidRPr="559FA22C">
        <w:rPr>
          <w:rFonts w:ascii="Arial" w:hAnsi="Arial" w:cs="Arial"/>
          <w:sz w:val="18"/>
          <w:szCs w:val="18"/>
          <w:lang w:val="es-ES"/>
        </w:rPr>
        <w:t xml:space="preserve">El Programa </w:t>
      </w:r>
      <w:proofErr w:type="spellStart"/>
      <w:r w:rsidRPr="559FA22C">
        <w:rPr>
          <w:rFonts w:ascii="Arial" w:hAnsi="Arial" w:cs="Arial"/>
          <w:sz w:val="18"/>
          <w:szCs w:val="18"/>
          <w:lang w:val="es-ES"/>
        </w:rPr>
        <w:t>RenovAr</w:t>
      </w:r>
      <w:proofErr w:type="spellEnd"/>
      <w:r w:rsidRPr="559FA22C">
        <w:rPr>
          <w:rFonts w:ascii="Arial" w:hAnsi="Arial" w:cs="Arial"/>
          <w:sz w:val="18"/>
          <w:szCs w:val="18"/>
          <w:lang w:val="es-ES"/>
        </w:rPr>
        <w:t xml:space="preserve"> fue establecido por el Ministerio de Energía y Minas del Gobierno de Argentina con el objetivo de incrementar la capacidad de generación energética a partir de fuentes renovables y desarrollada con participación privada a través de productores independientes de electricidad (</w:t>
      </w:r>
      <w:proofErr w:type="spellStart"/>
      <w:r w:rsidRPr="559FA22C">
        <w:rPr>
          <w:rFonts w:ascii="Arial" w:hAnsi="Arial" w:cs="Arial"/>
          <w:sz w:val="18"/>
          <w:szCs w:val="18"/>
          <w:lang w:val="es-ES"/>
        </w:rPr>
        <w:t>IPPs</w:t>
      </w:r>
      <w:proofErr w:type="spellEnd"/>
      <w:r w:rsidRPr="559FA22C">
        <w:rPr>
          <w:rFonts w:ascii="Arial" w:hAnsi="Arial" w:cs="Arial"/>
          <w:sz w:val="18"/>
          <w:szCs w:val="18"/>
          <w:lang w:val="es-ES"/>
        </w:rPr>
        <w:t xml:space="preserve"> por sus siglas en ingles).</w:t>
      </w:r>
      <w:r w:rsidRPr="559FA22C">
        <w:rPr>
          <w:rFonts w:ascii="Arial" w:hAnsi="Arial" w:cs="Arial"/>
          <w:sz w:val="18"/>
          <w:szCs w:val="18"/>
          <w:lang w:val="es-ES"/>
        </w:rPr>
        <w:t xml:space="preserve"> S</w:t>
      </w:r>
      <w:r w:rsidRPr="559FA22C">
        <w:rPr>
          <w:rFonts w:ascii="Arial" w:hAnsi="Arial" w:cs="Arial"/>
          <w:sz w:val="18"/>
          <w:szCs w:val="18"/>
          <w:lang w:val="es-ES"/>
        </w:rPr>
        <w:t xml:space="preserve">e puso en marcha durante el 2016, a través de dos rondas de licitaciones (conocidas como Ronda 1 y Ronda 1.5) en las que se adjudicaron en total 59 proyectos </w:t>
      </w:r>
      <w:r w:rsidRPr="559FA22C">
        <w:rPr>
          <w:rFonts w:ascii="Arial" w:hAnsi="Arial" w:cs="Arial"/>
          <w:sz w:val="18"/>
          <w:szCs w:val="18"/>
          <w:lang w:val="es-ES"/>
        </w:rPr>
        <w:t>para generar</w:t>
      </w:r>
      <w:r w:rsidRPr="559FA22C">
        <w:rPr>
          <w:rFonts w:ascii="Arial" w:hAnsi="Arial" w:cs="Arial"/>
          <w:sz w:val="18"/>
          <w:szCs w:val="18"/>
          <w:lang w:val="es-ES"/>
        </w:rPr>
        <w:t xml:space="preserve"> 2</w:t>
      </w:r>
      <w:r w:rsidRPr="559FA22C">
        <w:rPr>
          <w:rFonts w:ascii="Arial" w:hAnsi="Arial" w:cs="Arial"/>
          <w:sz w:val="18"/>
          <w:szCs w:val="18"/>
          <w:lang w:val="es-ES"/>
        </w:rPr>
        <w:t>.</w:t>
      </w:r>
      <w:r w:rsidRPr="559FA22C">
        <w:rPr>
          <w:rFonts w:ascii="Arial" w:hAnsi="Arial" w:cs="Arial"/>
          <w:sz w:val="18"/>
          <w:szCs w:val="18"/>
          <w:lang w:val="es-ES"/>
        </w:rPr>
        <w:t xml:space="preserve">423 MW </w:t>
      </w:r>
      <w:r w:rsidRPr="559FA22C">
        <w:rPr>
          <w:rFonts w:ascii="Arial" w:hAnsi="Arial" w:cs="Arial"/>
          <w:sz w:val="18"/>
          <w:szCs w:val="18"/>
          <w:lang w:val="es-ES"/>
        </w:rPr>
        <w:t>a implementarse en Argentina</w:t>
      </w:r>
      <w:r w:rsidRPr="559FA22C">
        <w:rPr>
          <w:rFonts w:ascii="Arial" w:hAnsi="Arial" w:cs="Arial"/>
          <w:sz w:val="18"/>
          <w:szCs w:val="18"/>
          <w:lang w:val="es-ES"/>
        </w:rPr>
        <w:t>.</w:t>
      </w:r>
      <w:r w:rsidRPr="559FA22C">
        <w:rPr>
          <w:rFonts w:ascii="Arial" w:hAnsi="Arial" w:cs="Arial"/>
          <w:sz w:val="18"/>
          <w:szCs w:val="18"/>
          <w:lang w:val="es-ES"/>
        </w:rPr>
        <w:t xml:space="preserve"> En 2017 tuvo lugar la ronda 2 del programa, ultima hasta la fecha, que daba continuidad, bajo las mismas guías, a </w:t>
      </w:r>
      <w:proofErr w:type="spellStart"/>
      <w:r w:rsidRPr="559FA22C">
        <w:rPr>
          <w:rFonts w:ascii="Arial" w:hAnsi="Arial" w:cs="Arial"/>
          <w:sz w:val="18"/>
          <w:szCs w:val="18"/>
          <w:lang w:val="es-ES"/>
        </w:rPr>
        <w:t xml:space="preserve">RenovAr</w:t>
      </w:r>
      <w:proofErr w:type="spellEnd"/>
      <w:r w:rsidRPr="559FA22C">
        <w:rPr>
          <w:rFonts w:ascii="Arial" w:hAnsi="Arial" w:cs="Arial"/>
          <w:sz w:val="18"/>
          <w:szCs w:val="18"/>
          <w:lang w:val="es-ES"/>
        </w:rPr>
        <w:t xml:space="preserve">.</w:t>
      </w:r>
    </w:p>
  </w:footnote>
  <w:footnote w:id="32">
    <w:p w:rsidRPr="002210AF" w:rsidR="00D83F08" w:rsidP="559FA22C" w:rsidRDefault="00D83F08" w14:paraId="376082CC" w14:textId="43E9341C" w14:noSpellErr="1">
      <w:pPr>
        <w:pStyle w:val="FootnoteText"/>
        <w:spacing w:after="0"/>
        <w:rPr>
          <w:rFonts w:ascii="Arial" w:hAnsi="Arial" w:cs="Arial"/>
          <w:sz w:val="18"/>
          <w:szCs w:val="18"/>
          <w:lang w:val="es-ES"/>
        </w:rPr>
      </w:pPr>
      <w:r w:rsidRPr="002210AF">
        <w:rPr>
          <w:rStyle w:val="FootnoteReference"/>
          <w:rFonts w:ascii="Arial" w:hAnsi="Arial" w:cs="Arial"/>
          <w:sz w:val="18"/>
          <w:szCs w:val="18"/>
        </w:rPr>
        <w:footnoteRef/>
      </w:r>
      <w:r w:rsidRPr="559FA22C">
        <w:rPr>
          <w:rFonts w:ascii="Arial" w:hAnsi="Arial" w:cs="Arial"/>
          <w:sz w:val="18"/>
          <w:szCs w:val="18"/>
          <w:lang w:val="es-ES"/>
        </w:rPr>
        <w:t xml:space="preserve"> </w:t>
      </w:r>
      <w:r>
        <w:rPr>
          <w:rFonts w:ascii="Arial" w:hAnsi="Arial" w:cs="Arial"/>
          <w:sz w:val="18"/>
          <w:szCs w:val="18"/>
          <w:lang w:val="es-ES_tradnl"/>
        </w:rPr>
        <w:tab/>
      </w:r>
      <w:r w:rsidRPr="002210AF">
        <w:rPr>
          <w:rFonts w:ascii="Arial" w:hAnsi="Arial" w:cs="Arial"/>
          <w:sz w:val="18"/>
          <w:szCs w:val="18"/>
          <w:lang w:val="es-ES"/>
        </w:rPr>
        <w:t xml:space="preserve">Se pueden observar en Argentina, por ejemplo, tasas promedio menores en proyectos de rehabilitación de corredores viales frente a las tasas promedio de proyectos de generación de energía renovable. </w:t>
      </w:r>
    </w:p>
  </w:footnote>
  <w:footnote w:id="33">
    <w:p w:rsidRPr="002210AF" w:rsidR="00D83F08" w:rsidP="559FA22C" w:rsidRDefault="00D83F08" w14:paraId="53555EF9" w14:textId="1287D061" w14:noSpellErr="1">
      <w:pPr>
        <w:pStyle w:val="FootnoteText"/>
        <w:rPr>
          <w:rFonts w:ascii="Arial" w:hAnsi="Arial" w:cs="Arial"/>
          <w:sz w:val="18"/>
          <w:szCs w:val="18"/>
          <w:lang w:val="es-ES"/>
        </w:rPr>
      </w:pPr>
      <w:r w:rsidRPr="002210AF">
        <w:rPr>
          <w:rStyle w:val="FootnoteReference"/>
          <w:rFonts w:ascii="Arial" w:hAnsi="Arial" w:cs="Arial"/>
          <w:sz w:val="18"/>
          <w:szCs w:val="18"/>
        </w:rPr>
        <w:footnoteRef/>
      </w:r>
      <w:r w:rsidRPr="002210AF">
        <w:rPr>
          <w:rFonts w:ascii="Arial" w:hAnsi="Arial" w:cs="Arial"/>
          <w:sz w:val="18"/>
          <w:szCs w:val="18"/>
        </w:rPr>
        <w:t xml:space="preserve"> </w:t>
      </w:r>
      <w:r>
        <w:rPr>
          <w:rFonts w:ascii="Arial" w:hAnsi="Arial" w:cs="Arial"/>
          <w:sz w:val="18"/>
          <w:szCs w:val="18"/>
        </w:rPr>
        <w:tab/>
      </w:r>
      <w:r>
        <w:rPr>
          <w:rFonts w:ascii="Arial" w:hAnsi="Arial" w:cs="Arial"/>
          <w:sz w:val="18"/>
          <w:szCs w:val="18"/>
        </w:rPr>
        <w:t>Banco Mundial (2009). 2</w:t>
      </w:r>
      <w:r w:rsidRPr="002210AF">
        <w:rPr>
          <w:rFonts w:ascii="Arial" w:hAnsi="Arial" w:cs="Arial"/>
          <w:sz w:val="18"/>
          <w:szCs w:val="18"/>
        </w:rPr>
        <w:t>The World Bank Group Guarantee Instruments 1990-2007: An Independent Evaluation</w:t>
      </w:r>
      <w:r>
        <w:rPr>
          <w:rFonts w:ascii="Arial" w:hAnsi="Arial" w:cs="Arial"/>
          <w:sz w:val="18"/>
          <w:szCs w:val="18"/>
        </w:rPr>
        <w:t>”</w:t>
      </w:r>
      <w:r w:rsidRPr="002210AF">
        <w:rPr>
          <w:rFonts w:ascii="Arial" w:hAnsi="Arial" w:cs="Arial"/>
          <w:sz w:val="18"/>
          <w:szCs w:val="18"/>
        </w:rPr>
        <w:t xml:space="preserve">. Washington, DC. </w:t>
      </w:r>
      <w:r w:rsidRPr="00590613">
        <w:rPr>
          <w:rFonts w:ascii="Arial" w:hAnsi="Arial" w:cs="Arial"/>
          <w:sz w:val="18"/>
          <w:szCs w:val="18"/>
        </w:rPr>
        <w:t>doi:10.1596/978-0-8213-7679-9</w:t>
      </w:r>
      <w:r>
        <w:rPr>
          <w:rFonts w:ascii="Arial" w:hAnsi="Arial" w:cs="Arial"/>
          <w:sz w:val="18"/>
          <w:szCs w:val="18"/>
        </w:rPr>
        <w:t xml:space="preserve"> </w:t>
      </w:r>
    </w:p>
  </w:footnote>
  <w:footnote w:id="34">
    <w:p w:rsidRPr="002210AF" w:rsidR="00D83F08" w:rsidP="559FA22C" w:rsidRDefault="00D83F08" w14:paraId="49E588D6" w14:textId="509FA7CB" w14:noSpellErr="1">
      <w:pPr>
        <w:pStyle w:val="FootnoteText"/>
        <w:rPr>
          <w:rFonts w:ascii="Arial" w:hAnsi="Arial" w:cs="Arial"/>
          <w:sz w:val="18"/>
          <w:szCs w:val="18"/>
          <w:lang w:val="es-ES"/>
        </w:rPr>
      </w:pPr>
      <w:r w:rsidRPr="002210AF">
        <w:rPr>
          <w:rStyle w:val="FootnoteReference"/>
          <w:rFonts w:ascii="Arial" w:hAnsi="Arial" w:cs="Arial"/>
          <w:sz w:val="18"/>
          <w:szCs w:val="18"/>
        </w:rPr>
        <w:footnoteRef/>
      </w:r>
      <w:r w:rsidRPr="559FA22C">
        <w:rPr>
          <w:rFonts w:ascii="Arial" w:hAnsi="Arial" w:cs="Arial"/>
          <w:sz w:val="18"/>
          <w:szCs w:val="18"/>
          <w:lang w:val="es-ES"/>
        </w:rPr>
        <w:t xml:space="preserve"> </w:t>
      </w:r>
      <w:r w:rsidRPr="002210AF">
        <w:rPr>
          <w:rFonts w:ascii="Arial" w:hAnsi="Arial" w:cs="Arial"/>
          <w:sz w:val="18"/>
          <w:szCs w:val="18"/>
          <w:lang w:val="es-ES_tradnl"/>
        </w:rPr>
        <w:tab/>
      </w:r>
      <w:r w:rsidRPr="559FA22C">
        <w:rPr>
          <w:rFonts w:ascii="Arial" w:hAnsi="Arial" w:cs="Arial"/>
          <w:sz w:val="18"/>
          <w:szCs w:val="18"/>
          <w:lang w:val="es-ES"/>
        </w:rPr>
        <w:t>El BID p</w:t>
      </w:r>
      <w:r w:rsidRPr="559FA22C">
        <w:rPr>
          <w:rFonts w:ascii="Arial" w:hAnsi="Arial" w:cs="Arial"/>
          <w:sz w:val="18"/>
          <w:szCs w:val="18"/>
          <w:lang w:val="es-ES"/>
        </w:rPr>
        <w:t>odrá garantizar hasta un máximo del 70% del monto total de inversión por proyecto garantizando así una mejora efectiva de las condiciones de financiamiento de dichos proyectos. Cabe señalar que, en caso de garantizar un proyecto beneficiario al mismo tiempo de una garantía de otro organismo multilateral, el monto total garantizado no superará, en conjunto, el 70% del monto total de la inversión.</w:t>
      </w:r>
    </w:p>
  </w:footnote>
  <w:footnote w:id="35">
    <w:p w:rsidR="00D83F08" w:rsidP="559FA22C" w:rsidRDefault="00D83F08" w14:paraId="4ADD6E3A" w14:textId="39932F2F" w14:noSpellErr="1">
      <w:pPr>
        <w:pStyle w:val="FootnoteText"/>
        <w:rPr>
          <w:rFonts w:ascii="Arial" w:hAnsi="Arial" w:cs="Arial"/>
          <w:sz w:val="18"/>
          <w:szCs w:val="18"/>
        </w:rPr>
      </w:pPr>
      <w:r w:rsidRPr="002210AF">
        <w:rPr>
          <w:rStyle w:val="FootnoteReference"/>
          <w:rFonts w:ascii="Arial" w:hAnsi="Arial" w:cs="Arial"/>
          <w:sz w:val="18"/>
          <w:szCs w:val="18"/>
        </w:rPr>
        <w:footnoteRef/>
      </w:r>
      <w:r w:rsidRPr="559FA22C">
        <w:rPr>
          <w:rFonts w:ascii="Arial" w:hAnsi="Arial" w:cs="Arial"/>
          <w:sz w:val="18"/>
          <w:szCs w:val="18"/>
          <w:lang w:val="es-ES"/>
        </w:rPr>
        <w:t xml:space="preserve"> </w:t>
      </w:r>
      <w:r w:rsidRPr="002210AF">
        <w:rPr>
          <w:rFonts w:ascii="Arial" w:hAnsi="Arial" w:cs="Arial"/>
          <w:sz w:val="18"/>
          <w:szCs w:val="18"/>
          <w:lang w:val="es-ES_tradnl"/>
        </w:rPr>
        <w:tab/>
      </w:r>
      <w:r w:rsidRPr="559FA22C">
        <w:rPr>
          <w:rFonts w:ascii="Arial" w:hAnsi="Arial" w:cs="Arial"/>
          <w:sz w:val="18"/>
          <w:szCs w:val="18"/>
          <w:lang w:val="es-ES"/>
        </w:rPr>
        <w:t xml:space="preserve">Banco Mundial (2009). </w:t>
      </w:r>
      <w:r>
        <w:rPr>
          <w:rFonts w:ascii="Arial" w:hAnsi="Arial" w:cs="Arial"/>
          <w:sz w:val="18"/>
          <w:szCs w:val="18"/>
        </w:rPr>
        <w:t>2</w:t>
      </w:r>
      <w:r w:rsidRPr="00A8378F">
        <w:rPr>
          <w:rFonts w:ascii="Arial" w:hAnsi="Arial" w:cs="Arial"/>
          <w:sz w:val="18"/>
          <w:szCs w:val="18"/>
        </w:rPr>
        <w:t>The World Bank Group Guarantee Instruments 1990-2007: An Independent Evaluation</w:t>
      </w:r>
      <w:r>
        <w:rPr>
          <w:rFonts w:ascii="Arial" w:hAnsi="Arial" w:cs="Arial"/>
          <w:sz w:val="18"/>
          <w:szCs w:val="18"/>
        </w:rPr>
        <w:t>”</w:t>
      </w:r>
      <w:r w:rsidRPr="00A8378F">
        <w:rPr>
          <w:rFonts w:ascii="Arial" w:hAnsi="Arial" w:cs="Arial"/>
          <w:sz w:val="18"/>
          <w:szCs w:val="18"/>
        </w:rPr>
        <w:t xml:space="preserve">. Washington, DC. </w:t>
      </w:r>
      <w:r w:rsidRPr="00590613">
        <w:rPr>
          <w:rFonts w:ascii="Arial" w:hAnsi="Arial" w:cs="Arial"/>
          <w:sz w:val="18"/>
          <w:szCs w:val="18"/>
        </w:rPr>
        <w:t>doi:10.1596/978-0-8213-7679-9</w:t>
      </w:r>
      <w:r>
        <w:rPr>
          <w:rFonts w:ascii="Arial" w:hAnsi="Arial" w:cs="Arial"/>
          <w:sz w:val="18"/>
          <w:szCs w:val="18"/>
        </w:rPr>
        <w:t xml:space="preserve"> </w:t>
      </w:r>
    </w:p>
    <w:p w:rsidRPr="002210AF" w:rsidR="00D83F08" w:rsidP="559FA22C" w:rsidRDefault="00D83F08" w14:paraId="5E85FDE8" w14:textId="191B42F1">
      <w:pPr>
        <w:pStyle w:val="FootnoteText"/>
        <w:rPr>
          <w:rFonts w:ascii="Arial" w:hAnsi="Arial" w:cs="Arial"/>
          <w:sz w:val="18"/>
          <w:szCs w:val="18"/>
        </w:rPr>
      </w:pPr>
      <w:r w:rsidRPr="002210AF">
        <w:rPr>
          <w:rFonts w:ascii="Arial" w:hAnsi="Arial" w:cs="Arial"/>
          <w:sz w:val="18"/>
          <w:szCs w:val="18"/>
        </w:rPr>
        <w:tab/>
      </w:r>
      <w:r w:rsidRPr="00BC6B57">
        <w:rPr>
          <w:rFonts w:ascii="Arial" w:hAnsi="Arial" w:cs="Arial"/>
          <w:sz w:val="18"/>
          <w:szCs w:val="18"/>
          <w:lang w:val="es-ES"/>
        </w:rPr>
        <w:t>Experiencia de la OCDE recogida en</w:t>
      </w:r>
      <w:r w:rsidRPr="002210AF">
        <w:rPr>
          <w:rFonts w:ascii="Arial" w:hAnsi="Arial" w:cs="Arial"/>
          <w:sz w:val="18"/>
          <w:szCs w:val="18"/>
        </w:rPr>
        <w:t xml:space="preserve"> Benn, J., C. </w:t>
      </w:r>
      <w:proofErr w:type="spellStart"/>
      <w:r w:rsidRPr="002210AF">
        <w:rPr>
          <w:rFonts w:ascii="Arial" w:hAnsi="Arial" w:cs="Arial"/>
          <w:sz w:val="18"/>
          <w:szCs w:val="18"/>
        </w:rPr>
        <w:t xml:space="preserve">Sangaré</w:t>
      </w:r>
      <w:proofErr w:type="spellEnd"/>
      <w:r w:rsidRPr="002210AF">
        <w:rPr>
          <w:rFonts w:ascii="Arial" w:hAnsi="Arial" w:cs="Arial"/>
          <w:sz w:val="18"/>
          <w:szCs w:val="18"/>
        </w:rPr>
        <w:t xml:space="preserve"> and T. Hos (2017), "Amounts </w:t>
      </w:r>
      <w:proofErr w:type="spellStart"/>
      <w:r w:rsidRPr="002210AF">
        <w:rPr>
          <w:rFonts w:ascii="Arial" w:hAnsi="Arial" w:cs="Arial"/>
          <w:sz w:val="18"/>
          <w:szCs w:val="18"/>
        </w:rPr>
        <w:t xml:space="preserve">Mobilised</w:t>
      </w:r>
      <w:proofErr w:type="spellEnd"/>
      <w:r w:rsidRPr="002210AF">
        <w:rPr>
          <w:rFonts w:ascii="Arial" w:hAnsi="Arial" w:cs="Arial"/>
          <w:sz w:val="18"/>
          <w:szCs w:val="18"/>
        </w:rPr>
        <w:t xml:space="preserve"> from the Private Sector by Official Development Finance Interventions: Guarantees, syndicated loans, shares in collective investment vehicles, direct investment in companies, credit lines", OECD Development Co-operation Working Papers, No. 36, OECD Publishing, Paris.</w:t>
      </w:r>
    </w:p>
  </w:footnote>
  <w:footnote w:id="36">
    <w:p w:rsidR="00D83F08" w:rsidP="559FA22C" w:rsidRDefault="00D83F08" w14:paraId="263302E1" w14:textId="2FDCB8E3" w14:noSpellErr="1">
      <w:pPr>
        <w:pStyle w:val="FootnoteText"/>
        <w:rPr>
          <w:rFonts w:ascii="Arial" w:hAnsi="Arial" w:cs="Arial"/>
          <w:sz w:val="18"/>
          <w:szCs w:val="18"/>
        </w:rPr>
      </w:pPr>
      <w:r w:rsidRPr="002210AF">
        <w:rPr>
          <w:rStyle w:val="FootnoteReference"/>
          <w:rFonts w:ascii="Arial" w:hAnsi="Arial" w:cs="Arial"/>
          <w:sz w:val="18"/>
          <w:szCs w:val="18"/>
        </w:rPr>
        <w:footnoteRef/>
      </w:r>
      <w:r w:rsidRPr="002210AF">
        <w:rPr>
          <w:rFonts w:ascii="Arial" w:hAnsi="Arial" w:cs="Arial"/>
          <w:sz w:val="18"/>
          <w:szCs w:val="18"/>
        </w:rPr>
        <w:t xml:space="preserve"> </w:t>
      </w:r>
      <w:r>
        <w:rPr>
          <w:rFonts w:ascii="Arial" w:hAnsi="Arial" w:cs="Arial"/>
          <w:sz w:val="18"/>
          <w:szCs w:val="18"/>
        </w:rPr>
        <w:tab/>
      </w:r>
      <w:r w:rsidRPr="00021A85">
        <w:rPr>
          <w:rFonts w:ascii="Arial" w:hAnsi="Arial" w:cs="Arial"/>
          <w:sz w:val="18"/>
          <w:szCs w:val="18"/>
        </w:rPr>
        <w:t>Banco Mundial (2017). Catalyzing private finance: The relevance of World Bank Guarantees at time of risk aversion. Presentation.</w:t>
      </w:r>
    </w:p>
    <w:p w:rsidRPr="002210AF" w:rsidR="00D83F08" w:rsidP="559FA22C" w:rsidRDefault="00D83F08" w14:paraId="41ADB7F4" w14:textId="45E3E999">
      <w:pPr>
        <w:pStyle w:val="FootnoteText"/>
        <w:rPr>
          <w:rFonts w:ascii="Arial" w:hAnsi="Arial" w:cs="Arial"/>
          <w:sz w:val="18"/>
          <w:szCs w:val="18"/>
        </w:rPr>
      </w:pPr>
      <w:r w:rsidRPr="002210AF">
        <w:rPr>
          <w:rFonts w:ascii="Arial" w:hAnsi="Arial" w:cs="Arial"/>
          <w:sz w:val="18"/>
          <w:szCs w:val="18"/>
        </w:rPr>
        <w:tab/>
      </w:r>
      <w:r w:rsidRPr="002210AF">
        <w:rPr>
          <w:rFonts w:ascii="Arial" w:hAnsi="Arial" w:cs="Arial"/>
          <w:sz w:val="18"/>
          <w:szCs w:val="18"/>
        </w:rPr>
        <w:t xml:space="preserve">Benn, J., C. </w:t>
      </w:r>
      <w:proofErr w:type="spellStart"/>
      <w:r w:rsidRPr="002210AF">
        <w:rPr>
          <w:rFonts w:ascii="Arial" w:hAnsi="Arial" w:cs="Arial"/>
          <w:sz w:val="18"/>
          <w:szCs w:val="18"/>
        </w:rPr>
        <w:t xml:space="preserve">Sangaré</w:t>
      </w:r>
      <w:proofErr w:type="spellEnd"/>
      <w:r w:rsidRPr="002210AF">
        <w:rPr>
          <w:rFonts w:ascii="Arial" w:hAnsi="Arial" w:cs="Arial"/>
          <w:sz w:val="18"/>
          <w:szCs w:val="18"/>
        </w:rPr>
        <w:t xml:space="preserve"> and T. Hos (2017), "Amounts </w:t>
      </w:r>
      <w:proofErr w:type="spellStart"/>
      <w:r w:rsidRPr="002210AF">
        <w:rPr>
          <w:rFonts w:ascii="Arial" w:hAnsi="Arial" w:cs="Arial"/>
          <w:sz w:val="18"/>
          <w:szCs w:val="18"/>
        </w:rPr>
        <w:t xml:space="preserve">Mobilised</w:t>
      </w:r>
      <w:proofErr w:type="spellEnd"/>
      <w:r w:rsidRPr="002210AF">
        <w:rPr>
          <w:rFonts w:ascii="Arial" w:hAnsi="Arial" w:cs="Arial"/>
          <w:sz w:val="18"/>
          <w:szCs w:val="18"/>
        </w:rPr>
        <w:t xml:space="preserve"> from the Private Sector by Official Development Finance Interventions: Guarantees, syndicated loans, shares in collective investment vehicles, direct investment in companies, credit lines", OECD Development Co-operation Working Papers, No. 36, OECD Publishing, Paris. http://dx.doi.org/10.1787/8135abde-enOCDE (2016). </w:t>
      </w:r>
    </w:p>
  </w:footnote>
  <w:footnote w:id="37">
    <w:p w:rsidRPr="002210AF" w:rsidR="00D83F08" w:rsidP="559FA22C" w:rsidRDefault="00D83F08" w14:paraId="793414F1" w14:textId="45BB668C" w14:noSpellErr="1">
      <w:pPr>
        <w:pStyle w:val="FootnoteText"/>
        <w:rPr>
          <w:lang w:val="es-ES"/>
        </w:rPr>
      </w:pPr>
      <w:r w:rsidRPr="002210AF">
        <w:rPr>
          <w:rStyle w:val="FootnoteReference"/>
          <w:rFonts w:ascii="Arial" w:hAnsi="Arial" w:cs="Arial"/>
          <w:sz w:val="18"/>
          <w:szCs w:val="18"/>
        </w:rPr>
        <w:footnoteRef/>
      </w:r>
      <w:r w:rsidRPr="559FA22C">
        <w:rPr>
          <w:rFonts w:ascii="Arial" w:hAnsi="Arial" w:cs="Arial"/>
          <w:sz w:val="18"/>
          <w:szCs w:val="18"/>
          <w:lang w:val="es-ES"/>
        </w:rPr>
        <w:t xml:space="preserve"> </w:t>
      </w:r>
      <w:r w:rsidRPr="002210AF">
        <w:rPr>
          <w:rFonts w:ascii="Arial" w:hAnsi="Arial" w:cs="Arial"/>
          <w:sz w:val="18"/>
          <w:szCs w:val="18"/>
          <w:lang w:val="es-ES_tradnl"/>
        </w:rPr>
        <w:tab/>
      </w:r>
      <w:r w:rsidRPr="559FA22C">
        <w:rPr>
          <w:rFonts w:ascii="Arial" w:hAnsi="Arial" w:cs="Arial"/>
          <w:sz w:val="18"/>
          <w:szCs w:val="18"/>
          <w:lang w:val="es-ES"/>
        </w:rPr>
        <w:t>Proyecto P155550 del Banco Mundial (</w:t>
      </w:r>
      <w:hyperlink w:history="1" r:id="R27348ef1864c4f15">
        <w:r w:rsidRPr="559FA22C">
          <w:rPr>
            <w:rStyle w:val="Hyperlink"/>
            <w:rFonts w:ascii="Arial" w:hAnsi="Arial" w:cs="Arial"/>
            <w:sz w:val="18"/>
            <w:szCs w:val="18"/>
            <w:lang w:val="es-ES"/>
          </w:rPr>
          <w:t>http://projects.worldbank.org/P155550?lang=en</w:t>
        </w:r>
      </w:hyperlink>
      <w:r w:rsidRPr="559FA22C">
        <w:rPr>
          <w:rFonts w:ascii="Arial" w:hAnsi="Arial" w:cs="Arial"/>
          <w:sz w:val="18"/>
          <w:szCs w:val="18"/>
          <w:lang w:val="es-E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F098A"/>
    <w:multiLevelType w:val="multilevel"/>
    <w:tmpl w:val="2536CE82"/>
    <w:lvl w:ilvl="0">
      <w:start w:val="1"/>
      <w:numFmt w:val="none"/>
      <w:lvlRestart w:val="0"/>
      <w:pStyle w:val="FirstHeading"/>
      <w:suff w:val="nothing"/>
      <w:lvlText w:val=""/>
      <w:lvlJc w:val="left"/>
      <w:pPr>
        <w:ind w:left="4824" w:hanging="720"/>
      </w:pPr>
    </w:lvl>
    <w:lvl w:ilvl="1">
      <w:start w:val="1"/>
      <w:numFmt w:val="decimal"/>
      <w:pStyle w:val="SecHeading"/>
      <w:lvlText w:val="%2."/>
      <w:lvlJc w:val="left"/>
      <w:pPr>
        <w:tabs>
          <w:tab w:val="num" w:pos="5400"/>
        </w:tabs>
        <w:ind w:left="5400" w:hanging="576"/>
      </w:pPr>
      <w:rPr>
        <w:b/>
      </w:rPr>
    </w:lvl>
    <w:lvl w:ilvl="2">
      <w:start w:val="1"/>
      <w:numFmt w:val="lowerLetter"/>
      <w:pStyle w:val="SubHeading1"/>
      <w:lvlText w:val="%3)"/>
      <w:lvlJc w:val="left"/>
      <w:pPr>
        <w:tabs>
          <w:tab w:val="num" w:pos="5976"/>
        </w:tabs>
        <w:ind w:left="5976" w:hanging="576"/>
      </w:pPr>
      <w:rPr>
        <w:b/>
      </w:rPr>
    </w:lvl>
    <w:lvl w:ilvl="3">
      <w:start w:val="1"/>
      <w:numFmt w:val="lowerRoman"/>
      <w:pStyle w:val="Subheading2"/>
      <w:lvlText w:val="(%4)"/>
      <w:lvlJc w:val="right"/>
      <w:pPr>
        <w:tabs>
          <w:tab w:val="num" w:pos="6480"/>
        </w:tabs>
        <w:ind w:left="6480" w:hanging="288"/>
      </w:pPr>
      <w:rPr>
        <w:b/>
      </w:rPr>
    </w:lvl>
    <w:lvl w:ilvl="4">
      <w:start w:val="1"/>
      <w:numFmt w:val="decimal"/>
      <w:pStyle w:val="Heading5"/>
      <w:lvlText w:val="%5)"/>
      <w:lvlJc w:val="left"/>
      <w:pPr>
        <w:ind w:left="5112" w:hanging="432"/>
      </w:pPr>
    </w:lvl>
    <w:lvl w:ilvl="5">
      <w:start w:val="1"/>
      <w:numFmt w:val="lowerLetter"/>
      <w:pStyle w:val="Heading6"/>
      <w:lvlText w:val="%6)"/>
      <w:lvlJc w:val="left"/>
      <w:pPr>
        <w:ind w:left="5256" w:hanging="432"/>
      </w:pPr>
    </w:lvl>
    <w:lvl w:ilvl="6">
      <w:start w:val="1"/>
      <w:numFmt w:val="lowerRoman"/>
      <w:pStyle w:val="Heading7"/>
      <w:lvlText w:val="%7)"/>
      <w:lvlJc w:val="right"/>
      <w:pPr>
        <w:ind w:left="5400" w:hanging="288"/>
      </w:pPr>
    </w:lvl>
    <w:lvl w:ilvl="7">
      <w:start w:val="1"/>
      <w:numFmt w:val="lowerLetter"/>
      <w:pStyle w:val="Heading8"/>
      <w:lvlText w:val="%8."/>
      <w:lvlJc w:val="left"/>
      <w:pPr>
        <w:ind w:left="5544" w:hanging="432"/>
      </w:pPr>
      <w:rPr>
        <w:b w:val="0"/>
      </w:rPr>
    </w:lvl>
    <w:lvl w:ilvl="8">
      <w:start w:val="1"/>
      <w:numFmt w:val="lowerRoman"/>
      <w:pStyle w:val="Heading9"/>
      <w:lvlText w:val="%9."/>
      <w:lvlJc w:val="right"/>
      <w:pPr>
        <w:ind w:left="5688" w:hanging="144"/>
      </w:pPr>
    </w:lvl>
  </w:abstractNum>
  <w:abstractNum w:abstractNumId="1" w15:restartNumberingAfterBreak="0">
    <w:nsid w:val="359B4991"/>
    <w:multiLevelType w:val="multilevel"/>
    <w:tmpl w:val="A4F4C8E6"/>
    <w:lvl w:ilvl="0">
      <w:start w:val="1"/>
      <w:numFmt w:val="upperRoman"/>
      <w:lvlRestart w:val="0"/>
      <w:lvlText w:val="%1."/>
      <w:lvlJc w:val="center"/>
      <w:pPr>
        <w:tabs>
          <w:tab w:val="num" w:pos="1800"/>
        </w:tabs>
        <w:ind w:left="1152" w:firstLine="288"/>
      </w:pPr>
      <w:rPr>
        <w:b/>
        <w:i w:val="0"/>
      </w:rPr>
    </w:lvl>
    <w:lvl w:ilvl="1">
      <w:start w:val="1"/>
      <w:numFmt w:val="decimal"/>
      <w:isLgl/>
      <w:lvlText w:val="%1.%2"/>
      <w:lvlJc w:val="left"/>
      <w:pPr>
        <w:tabs>
          <w:tab w:val="num" w:pos="2448"/>
        </w:tabs>
        <w:ind w:left="2448" w:hanging="1296"/>
      </w:pPr>
    </w:lvl>
    <w:lvl w:ilvl="2">
      <w:start w:val="1"/>
      <w:numFmt w:val="lowerLetter"/>
      <w:lvlText w:val="%3."/>
      <w:lvlJc w:val="left"/>
      <w:pPr>
        <w:tabs>
          <w:tab w:val="num" w:pos="2304"/>
        </w:tabs>
        <w:ind w:left="2304" w:hanging="432"/>
      </w:pPr>
    </w:lvl>
    <w:lvl w:ilvl="3">
      <w:start w:val="1"/>
      <w:numFmt w:val="lowerRoman"/>
      <w:lvlText w:val="%4."/>
      <w:lvlJc w:val="right"/>
      <w:pPr>
        <w:tabs>
          <w:tab w:val="num" w:pos="2736"/>
        </w:tabs>
        <w:ind w:left="2736" w:hanging="288"/>
      </w:pPr>
    </w:lvl>
    <w:lvl w:ilvl="4">
      <w:start w:val="1"/>
      <w:numFmt w:val="decimal"/>
      <w:lvlText w:val="%1.%2.%3.%4.%5"/>
      <w:lvlJc w:val="left"/>
      <w:pPr>
        <w:ind w:left="2160" w:hanging="1008"/>
      </w:pPr>
    </w:lvl>
    <w:lvl w:ilvl="5">
      <w:start w:val="1"/>
      <w:numFmt w:val="decimal"/>
      <w:lvlText w:val="%1.%2.%3.%4.%5.%6"/>
      <w:lvlJc w:val="left"/>
      <w:pPr>
        <w:ind w:left="2304" w:hanging="1152"/>
      </w:pPr>
    </w:lvl>
    <w:lvl w:ilvl="6">
      <w:start w:val="1"/>
      <w:numFmt w:val="decimal"/>
      <w:lvlText w:val="%1.%2.%3.%4.%5.%6.%7"/>
      <w:lvlJc w:val="left"/>
      <w:pPr>
        <w:ind w:left="2448" w:hanging="1296"/>
      </w:pPr>
    </w:lvl>
    <w:lvl w:ilvl="7">
      <w:start w:val="1"/>
      <w:numFmt w:val="decimal"/>
      <w:lvlText w:val="%1.%2.%3.%4.%5.%6.%7.%8"/>
      <w:lvlJc w:val="left"/>
      <w:pPr>
        <w:ind w:left="2592" w:hanging="1440"/>
      </w:pPr>
    </w:lvl>
    <w:lvl w:ilvl="8">
      <w:start w:val="1"/>
      <w:numFmt w:val="decimal"/>
      <w:lvlText w:val="%1.%2.%3.%4.%5.%6.%7.%8.%9"/>
      <w:lvlJc w:val="left"/>
      <w:pPr>
        <w:ind w:left="2736" w:hanging="1584"/>
      </w:pPr>
    </w:lvl>
  </w:abstractNum>
  <w:abstractNum w:abstractNumId="2" w15:restartNumberingAfterBreak="0">
    <w:nsid w:val="364A6CC9"/>
    <w:multiLevelType w:val="multilevel"/>
    <w:tmpl w:val="81CE4530"/>
    <w:lvl w:ilvl="0">
      <w:start w:val="1"/>
      <w:numFmt w:val="upperRoman"/>
      <w:lvlRestart w:val="0"/>
      <w:pStyle w:val="Chapter"/>
      <w:lvlText w:val="%1."/>
      <w:lvlJc w:val="center"/>
      <w:pPr>
        <w:tabs>
          <w:tab w:val="num" w:pos="1800"/>
        </w:tabs>
        <w:ind w:left="1152" w:firstLine="288"/>
      </w:pPr>
      <w:rPr>
        <w:rFonts w:hint="default"/>
        <w:b/>
        <w:i w:val="0"/>
      </w:rPr>
    </w:lvl>
    <w:lvl w:ilvl="1">
      <w:start w:val="1"/>
      <w:numFmt w:val="decimal"/>
      <w:pStyle w:val="Paragraph"/>
      <w:isLgl/>
      <w:lvlText w:val="%1.%2"/>
      <w:lvlJc w:val="left"/>
      <w:pPr>
        <w:tabs>
          <w:tab w:val="num" w:pos="12096"/>
        </w:tabs>
        <w:ind w:left="12096" w:hanging="1296"/>
      </w:pPr>
      <w:rPr>
        <w:rFonts w:hint="default"/>
        <w:color w:val="auto"/>
        <w:sz w:val="22"/>
      </w:rPr>
    </w:lvl>
    <w:lvl w:ilvl="2">
      <w:start w:val="1"/>
      <w:numFmt w:val="lowerRoman"/>
      <w:pStyle w:val="subpar"/>
      <w:lvlText w:val="(%3)"/>
      <w:lvlJc w:val="left"/>
      <w:pPr>
        <w:tabs>
          <w:tab w:val="num" w:pos="2304"/>
        </w:tabs>
        <w:ind w:left="2304" w:hanging="432"/>
      </w:pPr>
      <w:rPr>
        <w:rFonts w:ascii="Arial" w:hAnsi="Arial" w:eastAsia="Times New Roman" w:cs="Arial"/>
      </w:rPr>
    </w:lvl>
    <w:lvl w:ilvl="3">
      <w:start w:val="1"/>
      <w:numFmt w:val="lowerRoman"/>
      <w:lvlText w:val="%4."/>
      <w:lvlJc w:val="right"/>
      <w:pPr>
        <w:tabs>
          <w:tab w:val="num" w:pos="2736"/>
        </w:tabs>
        <w:ind w:left="2736" w:hanging="288"/>
      </w:pPr>
      <w:rPr>
        <w:rFonts w:hint="default"/>
        <w:b w:val="0"/>
      </w:rPr>
    </w:lvl>
    <w:lvl w:ilvl="4">
      <w:start w:val="1"/>
      <w:numFmt w:val="decimal"/>
      <w:lvlText w:val="%1.%2.%3.%4.%5"/>
      <w:lvlJc w:val="left"/>
      <w:pPr>
        <w:ind w:left="2160" w:hanging="1008"/>
      </w:pPr>
      <w:rPr>
        <w:rFonts w:hint="default"/>
      </w:rPr>
    </w:lvl>
    <w:lvl w:ilvl="5">
      <w:start w:val="1"/>
      <w:numFmt w:val="decimal"/>
      <w:lvlText w:val="%1.%2.%3.%4.%5.%6"/>
      <w:lvlJc w:val="left"/>
      <w:pPr>
        <w:ind w:left="2304" w:hanging="1152"/>
      </w:pPr>
      <w:rPr>
        <w:rFonts w:hint="default"/>
      </w:rPr>
    </w:lvl>
    <w:lvl w:ilvl="6">
      <w:start w:val="1"/>
      <w:numFmt w:val="decimal"/>
      <w:lvlText w:val="%1.%2.%3.%4.%5.%6.%7"/>
      <w:lvlJc w:val="left"/>
      <w:pPr>
        <w:ind w:left="2448" w:hanging="1296"/>
      </w:pPr>
      <w:rPr>
        <w:rFonts w:hint="default"/>
      </w:rPr>
    </w:lvl>
    <w:lvl w:ilvl="7">
      <w:start w:val="1"/>
      <w:numFmt w:val="decimal"/>
      <w:lvlText w:val="%1.%2.%3.%4.%5.%6.%7.%8"/>
      <w:lvlJc w:val="left"/>
      <w:pPr>
        <w:ind w:left="2592" w:hanging="1440"/>
      </w:pPr>
      <w:rPr>
        <w:rFonts w:hint="default"/>
      </w:rPr>
    </w:lvl>
    <w:lvl w:ilvl="8">
      <w:start w:val="1"/>
      <w:numFmt w:val="decimal"/>
      <w:lvlText w:val="%1.%2.%3.%4.%5.%6.%7.%8.%9"/>
      <w:lvlJc w:val="left"/>
      <w:pPr>
        <w:ind w:left="2736" w:hanging="1584"/>
      </w:pPr>
      <w:rPr>
        <w:rFonts w:hint="default"/>
      </w:rPr>
    </w:lvl>
  </w:abstractNum>
  <w:abstractNum w:abstractNumId="3" w15:restartNumberingAfterBreak="0">
    <w:nsid w:val="37C0072E"/>
    <w:multiLevelType w:val="singleLevel"/>
    <w:tmpl w:val="7F882BA0"/>
    <w:lvl w:ilvl="0">
      <w:start w:val="1"/>
      <w:numFmt w:val="bullet"/>
      <w:pStyle w:val="bullets"/>
      <w:lvlText w:val=""/>
      <w:lvlJc w:val="left"/>
      <w:pPr>
        <w:tabs>
          <w:tab w:val="num" w:pos="1296"/>
        </w:tabs>
        <w:ind w:left="1296" w:hanging="576"/>
      </w:pPr>
      <w:rPr>
        <w:rFonts w:hint="default" w:ascii="Symbol" w:hAnsi="Symbol"/>
      </w:rPr>
    </w:lvl>
  </w:abstractNum>
  <w:abstractNum w:abstractNumId="4" w15:restartNumberingAfterBreak="0">
    <w:nsid w:val="3F2E782A"/>
    <w:multiLevelType w:val="hybridMultilevel"/>
    <w:tmpl w:val="7012D508"/>
    <w:lvl w:ilvl="0" w:tplc="7A2EDC2A">
      <w:start w:val="1"/>
      <w:numFmt w:val="decimal"/>
      <w:lvlText w:val="5.%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47A94F1F"/>
    <w:multiLevelType w:val="hybridMultilevel"/>
    <w:tmpl w:val="1B6C779E"/>
    <w:lvl w:ilvl="0" w:tplc="0C0A0019">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6" w15:restartNumberingAfterBreak="0">
    <w:nsid w:val="4A74764C"/>
    <w:multiLevelType w:val="multilevel"/>
    <w:tmpl w:val="033C7DCA"/>
    <w:lvl w:ilvl="0">
      <w:start w:val="1"/>
      <w:numFmt w:val="upperRoman"/>
      <w:lvlRestart w:val="0"/>
      <w:lvlText w:val="%1."/>
      <w:lvlJc w:val="center"/>
      <w:pPr>
        <w:tabs>
          <w:tab w:val="num" w:pos="4680"/>
        </w:tabs>
        <w:ind w:left="4032" w:firstLine="288"/>
      </w:pPr>
      <w:rPr>
        <w:b/>
        <w:i w:val="0"/>
      </w:rPr>
    </w:lvl>
    <w:lvl w:ilvl="1">
      <w:start w:val="1"/>
      <w:numFmt w:val="decimal"/>
      <w:isLgl/>
      <w:lvlText w:val="%1.%2"/>
      <w:lvlJc w:val="left"/>
      <w:pPr>
        <w:tabs>
          <w:tab w:val="num" w:pos="2448"/>
        </w:tabs>
        <w:ind w:left="2448" w:hanging="1296"/>
      </w:pPr>
      <w:rPr>
        <w:rFonts w:hint="default" w:ascii="Arial" w:hAnsi="Arial" w:cs="Arial"/>
        <w:b w:val="0"/>
      </w:rPr>
    </w:lvl>
    <w:lvl w:ilvl="2">
      <w:start w:val="1"/>
      <w:numFmt w:val="lowerLetter"/>
      <w:lvlText w:val="%3."/>
      <w:lvlJc w:val="left"/>
      <w:pPr>
        <w:tabs>
          <w:tab w:val="num" w:pos="2304"/>
        </w:tabs>
        <w:ind w:left="2304" w:hanging="432"/>
      </w:pPr>
    </w:lvl>
    <w:lvl w:ilvl="3">
      <w:start w:val="1"/>
      <w:numFmt w:val="lowerRoman"/>
      <w:lvlText w:val="%4."/>
      <w:lvlJc w:val="right"/>
      <w:pPr>
        <w:tabs>
          <w:tab w:val="num" w:pos="2736"/>
        </w:tabs>
        <w:ind w:left="2736" w:hanging="288"/>
      </w:pPr>
    </w:lvl>
    <w:lvl w:ilvl="4">
      <w:start w:val="1"/>
      <w:numFmt w:val="decimal"/>
      <w:lvlText w:val="%1.%2.%3.%4.%5"/>
      <w:lvlJc w:val="left"/>
      <w:pPr>
        <w:ind w:left="2160" w:hanging="1008"/>
      </w:pPr>
    </w:lvl>
    <w:lvl w:ilvl="5">
      <w:start w:val="1"/>
      <w:numFmt w:val="decimal"/>
      <w:lvlText w:val="%1.%2.%3.%4.%5.%6"/>
      <w:lvlJc w:val="left"/>
      <w:pPr>
        <w:ind w:left="2304" w:hanging="1152"/>
      </w:pPr>
    </w:lvl>
    <w:lvl w:ilvl="6">
      <w:start w:val="1"/>
      <w:numFmt w:val="decimal"/>
      <w:lvlText w:val="%1.%2.%3.%4.%5.%6.%7"/>
      <w:lvlJc w:val="left"/>
      <w:pPr>
        <w:ind w:left="2448" w:hanging="1296"/>
      </w:pPr>
    </w:lvl>
    <w:lvl w:ilvl="7">
      <w:start w:val="1"/>
      <w:numFmt w:val="decimal"/>
      <w:lvlText w:val="%1.%2.%3.%4.%5.%6.%7.%8"/>
      <w:lvlJc w:val="left"/>
      <w:pPr>
        <w:ind w:left="2592" w:hanging="1440"/>
      </w:pPr>
    </w:lvl>
    <w:lvl w:ilvl="8">
      <w:start w:val="1"/>
      <w:numFmt w:val="decimal"/>
      <w:lvlText w:val="%1.%2.%3.%4.%5.%6.%7.%8.%9"/>
      <w:lvlJc w:val="left"/>
      <w:pPr>
        <w:ind w:left="2736" w:hanging="1584"/>
      </w:pPr>
    </w:lvl>
  </w:abstractNum>
  <w:abstractNum w:abstractNumId="7" w15:restartNumberingAfterBreak="0">
    <w:nsid w:val="5DB77726"/>
    <w:multiLevelType w:val="hybridMultilevel"/>
    <w:tmpl w:val="868ACBC4"/>
    <w:lvl w:ilvl="0" w:tplc="0C0A0019">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64F95EEA"/>
    <w:multiLevelType w:val="hybridMultilevel"/>
    <w:tmpl w:val="104820FC"/>
    <w:lvl w:ilvl="0" w:tplc="B4EEA6C6">
      <w:start w:val="1"/>
      <w:numFmt w:val="bullet"/>
      <w:lvlText w:val=""/>
      <w:lvlJc w:val="left"/>
      <w:pPr>
        <w:ind w:left="720" w:hanging="360"/>
      </w:pPr>
      <w:rPr>
        <w:rFonts w:hint="default" w:ascii="Symbol" w:hAnsi="Symbol"/>
      </w:rPr>
    </w:lvl>
    <w:lvl w:ilvl="1" w:tplc="400A0003" w:tentative="1">
      <w:start w:val="1"/>
      <w:numFmt w:val="bullet"/>
      <w:lvlText w:val="o"/>
      <w:lvlJc w:val="left"/>
      <w:pPr>
        <w:ind w:left="1440" w:hanging="360"/>
      </w:pPr>
      <w:rPr>
        <w:rFonts w:hint="default" w:ascii="Courier New" w:hAnsi="Courier New" w:cs="Courier New"/>
      </w:rPr>
    </w:lvl>
    <w:lvl w:ilvl="2" w:tplc="400A0005" w:tentative="1">
      <w:start w:val="1"/>
      <w:numFmt w:val="bullet"/>
      <w:lvlText w:val=""/>
      <w:lvlJc w:val="left"/>
      <w:pPr>
        <w:ind w:left="2160" w:hanging="360"/>
      </w:pPr>
      <w:rPr>
        <w:rFonts w:hint="default" w:ascii="Wingdings" w:hAnsi="Wingdings"/>
      </w:rPr>
    </w:lvl>
    <w:lvl w:ilvl="3" w:tplc="400A0001" w:tentative="1">
      <w:start w:val="1"/>
      <w:numFmt w:val="bullet"/>
      <w:lvlText w:val=""/>
      <w:lvlJc w:val="left"/>
      <w:pPr>
        <w:ind w:left="2880" w:hanging="360"/>
      </w:pPr>
      <w:rPr>
        <w:rFonts w:hint="default" w:ascii="Symbol" w:hAnsi="Symbol"/>
      </w:rPr>
    </w:lvl>
    <w:lvl w:ilvl="4" w:tplc="400A0003" w:tentative="1">
      <w:start w:val="1"/>
      <w:numFmt w:val="bullet"/>
      <w:lvlText w:val="o"/>
      <w:lvlJc w:val="left"/>
      <w:pPr>
        <w:ind w:left="3600" w:hanging="360"/>
      </w:pPr>
      <w:rPr>
        <w:rFonts w:hint="default" w:ascii="Courier New" w:hAnsi="Courier New" w:cs="Courier New"/>
      </w:rPr>
    </w:lvl>
    <w:lvl w:ilvl="5" w:tplc="400A0005" w:tentative="1">
      <w:start w:val="1"/>
      <w:numFmt w:val="bullet"/>
      <w:lvlText w:val=""/>
      <w:lvlJc w:val="left"/>
      <w:pPr>
        <w:ind w:left="4320" w:hanging="360"/>
      </w:pPr>
      <w:rPr>
        <w:rFonts w:hint="default" w:ascii="Wingdings" w:hAnsi="Wingdings"/>
      </w:rPr>
    </w:lvl>
    <w:lvl w:ilvl="6" w:tplc="400A0001" w:tentative="1">
      <w:start w:val="1"/>
      <w:numFmt w:val="bullet"/>
      <w:lvlText w:val=""/>
      <w:lvlJc w:val="left"/>
      <w:pPr>
        <w:ind w:left="5040" w:hanging="360"/>
      </w:pPr>
      <w:rPr>
        <w:rFonts w:hint="default" w:ascii="Symbol" w:hAnsi="Symbol"/>
      </w:rPr>
    </w:lvl>
    <w:lvl w:ilvl="7" w:tplc="400A0003" w:tentative="1">
      <w:start w:val="1"/>
      <w:numFmt w:val="bullet"/>
      <w:lvlText w:val="o"/>
      <w:lvlJc w:val="left"/>
      <w:pPr>
        <w:ind w:left="5760" w:hanging="360"/>
      </w:pPr>
      <w:rPr>
        <w:rFonts w:hint="default" w:ascii="Courier New" w:hAnsi="Courier New" w:cs="Courier New"/>
      </w:rPr>
    </w:lvl>
    <w:lvl w:ilvl="8" w:tplc="400A0005" w:tentative="1">
      <w:start w:val="1"/>
      <w:numFmt w:val="bullet"/>
      <w:lvlText w:val=""/>
      <w:lvlJc w:val="left"/>
      <w:pPr>
        <w:ind w:left="6480" w:hanging="360"/>
      </w:pPr>
      <w:rPr>
        <w:rFonts w:hint="default" w:ascii="Wingdings" w:hAnsi="Wingdings"/>
      </w:rPr>
    </w:lvl>
  </w:abstractNum>
  <w:abstractNum w:abstractNumId="9" w15:restartNumberingAfterBreak="0">
    <w:nsid w:val="722B1DCD"/>
    <w:multiLevelType w:val="multilevel"/>
    <w:tmpl w:val="5AD2A5FA"/>
    <w:lvl w:ilvl="0">
      <w:start w:val="1"/>
      <w:numFmt w:val="upperRoman"/>
      <w:lvlRestart w:val="0"/>
      <w:lvlText w:val="%1."/>
      <w:lvlJc w:val="center"/>
      <w:pPr>
        <w:tabs>
          <w:tab w:val="num" w:pos="4680"/>
        </w:tabs>
        <w:ind w:left="4032" w:firstLine="288"/>
      </w:pPr>
      <w:rPr>
        <w:b/>
        <w:i w:val="0"/>
      </w:rPr>
    </w:lvl>
    <w:lvl w:ilvl="1">
      <w:start w:val="1"/>
      <w:numFmt w:val="decimal"/>
      <w:isLgl/>
      <w:lvlText w:val="%1.%2"/>
      <w:lvlJc w:val="left"/>
      <w:pPr>
        <w:tabs>
          <w:tab w:val="num" w:pos="2448"/>
        </w:tabs>
        <w:ind w:left="2448" w:hanging="1296"/>
      </w:pPr>
      <w:rPr>
        <w:rFonts w:hint="default" w:ascii="Arial" w:hAnsi="Arial" w:cs="Arial"/>
        <w:b w:val="0"/>
      </w:rPr>
    </w:lvl>
    <w:lvl w:ilvl="2">
      <w:start w:val="1"/>
      <w:numFmt w:val="lowerLetter"/>
      <w:lvlText w:val="%3."/>
      <w:lvlJc w:val="left"/>
      <w:pPr>
        <w:tabs>
          <w:tab w:val="num" w:pos="2304"/>
        </w:tabs>
        <w:ind w:left="2304" w:hanging="432"/>
      </w:pPr>
    </w:lvl>
    <w:lvl w:ilvl="3">
      <w:start w:val="1"/>
      <w:numFmt w:val="lowerRoman"/>
      <w:lvlText w:val="%4."/>
      <w:lvlJc w:val="right"/>
      <w:pPr>
        <w:tabs>
          <w:tab w:val="num" w:pos="2736"/>
        </w:tabs>
        <w:ind w:left="2736" w:hanging="288"/>
      </w:pPr>
    </w:lvl>
    <w:lvl w:ilvl="4">
      <w:start w:val="1"/>
      <w:numFmt w:val="decimal"/>
      <w:lvlText w:val="%1.%2.%3.%4.%5"/>
      <w:lvlJc w:val="left"/>
      <w:pPr>
        <w:ind w:left="2160" w:hanging="1008"/>
      </w:pPr>
    </w:lvl>
    <w:lvl w:ilvl="5">
      <w:start w:val="1"/>
      <w:numFmt w:val="decimal"/>
      <w:lvlText w:val="%1.%2.%3.%4.%5.%6"/>
      <w:lvlJc w:val="left"/>
      <w:pPr>
        <w:ind w:left="2304" w:hanging="1152"/>
      </w:pPr>
    </w:lvl>
    <w:lvl w:ilvl="6">
      <w:start w:val="1"/>
      <w:numFmt w:val="decimal"/>
      <w:lvlText w:val="%1.%2.%3.%4.%5.%6.%7"/>
      <w:lvlJc w:val="left"/>
      <w:pPr>
        <w:ind w:left="2448" w:hanging="1296"/>
      </w:pPr>
    </w:lvl>
    <w:lvl w:ilvl="7">
      <w:start w:val="1"/>
      <w:numFmt w:val="decimal"/>
      <w:lvlText w:val="%1.%2.%3.%4.%5.%6.%7.%8"/>
      <w:lvlJc w:val="left"/>
      <w:pPr>
        <w:ind w:left="2592" w:hanging="1440"/>
      </w:pPr>
    </w:lvl>
    <w:lvl w:ilvl="8">
      <w:start w:val="1"/>
      <w:numFmt w:val="decimal"/>
      <w:lvlText w:val="%1.%2.%3.%4.%5.%6.%7.%8.%9"/>
      <w:lvlJc w:val="left"/>
      <w:pPr>
        <w:ind w:left="2736" w:hanging="1584"/>
      </w:pPr>
    </w:lvl>
  </w:abstractNum>
  <w:abstractNum w:abstractNumId="10" w15:restartNumberingAfterBreak="0">
    <w:nsid w:val="734B48AE"/>
    <w:multiLevelType w:val="hybridMultilevel"/>
    <w:tmpl w:val="89D8B32C"/>
    <w:lvl w:ilvl="0" w:tplc="B4EEA6C6">
      <w:start w:val="1"/>
      <w:numFmt w:val="bullet"/>
      <w:lvlText w:val=""/>
      <w:lvlJc w:val="left"/>
      <w:pPr>
        <w:ind w:left="1440" w:hanging="360"/>
      </w:pPr>
      <w:rPr>
        <w:rFonts w:hint="default" w:ascii="Symbol" w:hAnsi="Symbol"/>
      </w:rPr>
    </w:lvl>
    <w:lvl w:ilvl="1" w:tplc="400A0003" w:tentative="1">
      <w:start w:val="1"/>
      <w:numFmt w:val="bullet"/>
      <w:lvlText w:val="o"/>
      <w:lvlJc w:val="left"/>
      <w:pPr>
        <w:ind w:left="2160" w:hanging="360"/>
      </w:pPr>
      <w:rPr>
        <w:rFonts w:hint="default" w:ascii="Courier New" w:hAnsi="Courier New" w:cs="Courier New"/>
      </w:rPr>
    </w:lvl>
    <w:lvl w:ilvl="2" w:tplc="400A0005" w:tentative="1">
      <w:start w:val="1"/>
      <w:numFmt w:val="bullet"/>
      <w:lvlText w:val=""/>
      <w:lvlJc w:val="left"/>
      <w:pPr>
        <w:ind w:left="2880" w:hanging="360"/>
      </w:pPr>
      <w:rPr>
        <w:rFonts w:hint="default" w:ascii="Wingdings" w:hAnsi="Wingdings"/>
      </w:rPr>
    </w:lvl>
    <w:lvl w:ilvl="3" w:tplc="400A0001" w:tentative="1">
      <w:start w:val="1"/>
      <w:numFmt w:val="bullet"/>
      <w:lvlText w:val=""/>
      <w:lvlJc w:val="left"/>
      <w:pPr>
        <w:ind w:left="3600" w:hanging="360"/>
      </w:pPr>
      <w:rPr>
        <w:rFonts w:hint="default" w:ascii="Symbol" w:hAnsi="Symbol"/>
      </w:rPr>
    </w:lvl>
    <w:lvl w:ilvl="4" w:tplc="400A0003" w:tentative="1">
      <w:start w:val="1"/>
      <w:numFmt w:val="bullet"/>
      <w:lvlText w:val="o"/>
      <w:lvlJc w:val="left"/>
      <w:pPr>
        <w:ind w:left="4320" w:hanging="360"/>
      </w:pPr>
      <w:rPr>
        <w:rFonts w:hint="default" w:ascii="Courier New" w:hAnsi="Courier New" w:cs="Courier New"/>
      </w:rPr>
    </w:lvl>
    <w:lvl w:ilvl="5" w:tplc="400A0005" w:tentative="1">
      <w:start w:val="1"/>
      <w:numFmt w:val="bullet"/>
      <w:lvlText w:val=""/>
      <w:lvlJc w:val="left"/>
      <w:pPr>
        <w:ind w:left="5040" w:hanging="360"/>
      </w:pPr>
      <w:rPr>
        <w:rFonts w:hint="default" w:ascii="Wingdings" w:hAnsi="Wingdings"/>
      </w:rPr>
    </w:lvl>
    <w:lvl w:ilvl="6" w:tplc="400A0001" w:tentative="1">
      <w:start w:val="1"/>
      <w:numFmt w:val="bullet"/>
      <w:lvlText w:val=""/>
      <w:lvlJc w:val="left"/>
      <w:pPr>
        <w:ind w:left="5760" w:hanging="360"/>
      </w:pPr>
      <w:rPr>
        <w:rFonts w:hint="default" w:ascii="Symbol" w:hAnsi="Symbol"/>
      </w:rPr>
    </w:lvl>
    <w:lvl w:ilvl="7" w:tplc="400A0003" w:tentative="1">
      <w:start w:val="1"/>
      <w:numFmt w:val="bullet"/>
      <w:lvlText w:val="o"/>
      <w:lvlJc w:val="left"/>
      <w:pPr>
        <w:ind w:left="6480" w:hanging="360"/>
      </w:pPr>
      <w:rPr>
        <w:rFonts w:hint="default" w:ascii="Courier New" w:hAnsi="Courier New" w:cs="Courier New"/>
      </w:rPr>
    </w:lvl>
    <w:lvl w:ilvl="8" w:tplc="400A0005" w:tentative="1">
      <w:start w:val="1"/>
      <w:numFmt w:val="bullet"/>
      <w:lvlText w:val=""/>
      <w:lvlJc w:val="left"/>
      <w:pPr>
        <w:ind w:left="7200" w:hanging="360"/>
      </w:pPr>
      <w:rPr>
        <w:rFonts w:hint="default" w:ascii="Wingdings" w:hAnsi="Wingdings"/>
      </w:rPr>
    </w:lvl>
  </w:abstractNum>
  <w:num w:numId="1">
    <w:abstractNumId w:val="3"/>
  </w:num>
  <w:num w:numId="2">
    <w:abstractNumId w:val="2"/>
  </w:num>
  <w:num w:numId="3">
    <w:abstractNumId w:val="0"/>
  </w:num>
  <w:num w:numId="4">
    <w:abstractNumId w:val="9"/>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0"/>
  </w:num>
  <w:num w:numId="28">
    <w:abstractNumId w:val="0"/>
  </w:num>
  <w:num w:numId="29">
    <w:abstractNumId w:val="0"/>
  </w:num>
  <w:num w:numId="30">
    <w:abstractNumId w:val="0"/>
  </w:num>
  <w:num w:numId="31">
    <w:abstractNumId w:val="4"/>
  </w:num>
  <w:num w:numId="32">
    <w:abstractNumId w:val="1"/>
  </w:num>
  <w:num w:numId="33">
    <w:abstractNumId w:val="2"/>
  </w:num>
  <w:num w:numId="34">
    <w:abstractNumId w:val="10"/>
  </w:num>
  <w:num w:numId="35">
    <w:abstractNumId w:val="8"/>
  </w:num>
  <w:num w:numId="36">
    <w:abstractNumId w:val="0"/>
  </w:num>
  <w:num w:numId="37">
    <w:abstractNumId w:val="0"/>
  </w:num>
  <w:num w:numId="38">
    <w:abstractNumId w:val="0"/>
  </w:num>
  <w:num w:numId="39">
    <w:abstractNumId w:val="0"/>
  </w:num>
  <w:num w:numId="40">
    <w:abstractNumId w:val="0"/>
  </w:num>
  <w:num w:numId="41">
    <w:abstractNumId w:val="2"/>
  </w:num>
  <w:num w:numId="42">
    <w:abstractNumId w:val="2"/>
  </w:num>
  <w:num w:numId="43">
    <w:abstractNumId w:val="2"/>
  </w:num>
  <w:num w:numId="44">
    <w:abstractNumId w:val="2"/>
  </w:num>
  <w:num w:numId="45">
    <w:abstractNumId w:val="2"/>
  </w:num>
  <w:num w:numId="46">
    <w:abstractNumId w:val="0"/>
  </w:num>
  <w:num w:numId="47">
    <w:abstractNumId w:val="0"/>
  </w:num>
  <w:num w:numId="48">
    <w:abstractNumId w:val="6"/>
  </w:num>
  <w:num w:numId="49">
    <w:abstractNumId w:val="0"/>
  </w:num>
  <w:num w:numId="50">
    <w:abstractNumId w:val="2"/>
  </w:num>
  <w:num w:numId="51">
    <w:abstractNumId w:val="0"/>
  </w:num>
  <w:num w:numId="52">
    <w:abstractNumId w:val="7"/>
  </w:num>
  <w:num w:numId="53">
    <w:abstractNumId w:val="5"/>
  </w:num>
  <w:num w:numId="54">
    <w:abstractNumId w:val="2"/>
  </w:num>
  <w:num w:numId="55">
    <w:abstractNumId w:val="2"/>
  </w:num>
  <w:num w:numId="56">
    <w:abstractNumId w:val="2"/>
  </w:num>
  <w:num w:numId="57">
    <w:abstractNumId w:val="2"/>
  </w:num>
  <w:num w:numId="58">
    <w:abstractNumId w:val="2"/>
  </w:num>
  <w:num w:numId="59">
    <w:abstractNumId w:val="2"/>
  </w:num>
  <w:num w:numId="60">
    <w:abstractNumId w:val="2"/>
  </w:num>
  <w:num w:numId="61">
    <w:abstractNumId w:val="2"/>
  </w:num>
  <w:num w:numId="62">
    <w:abstractNumId w:val="2"/>
  </w:num>
  <w:numIdMacAtCleanup w:val="60"/>
</w:numbering>
</file>

<file path=word/people.xml><?xml version="1.0" encoding="utf-8"?>
<w15:people xmlns:mc="http://schemas.openxmlformats.org/markup-compatibility/2006" xmlns:w15="http://schemas.microsoft.com/office/word/2012/wordml" mc:Ignorable="w15">
  <w15:person w15:author="Cabrera Escalante, Maria">
    <w15:presenceInfo w15:providerId="AD" w15:userId="10037FFE90DA4919@LIV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FC6"/>
    <w:rsid w:val="0000107E"/>
    <w:rsid w:val="00001304"/>
    <w:rsid w:val="000041F9"/>
    <w:rsid w:val="00007CAB"/>
    <w:rsid w:val="00007D7F"/>
    <w:rsid w:val="00014B8D"/>
    <w:rsid w:val="000161F1"/>
    <w:rsid w:val="00020FD3"/>
    <w:rsid w:val="00021A85"/>
    <w:rsid w:val="000220E6"/>
    <w:rsid w:val="00022A9F"/>
    <w:rsid w:val="00024E54"/>
    <w:rsid w:val="0002516B"/>
    <w:rsid w:val="00026FE1"/>
    <w:rsid w:val="00033284"/>
    <w:rsid w:val="00035789"/>
    <w:rsid w:val="00035FF4"/>
    <w:rsid w:val="00036006"/>
    <w:rsid w:val="000375F6"/>
    <w:rsid w:val="000404BA"/>
    <w:rsid w:val="0004215C"/>
    <w:rsid w:val="00045723"/>
    <w:rsid w:val="00051E8F"/>
    <w:rsid w:val="00053916"/>
    <w:rsid w:val="00056ECE"/>
    <w:rsid w:val="00061495"/>
    <w:rsid w:val="000631EE"/>
    <w:rsid w:val="0007184C"/>
    <w:rsid w:val="0007204E"/>
    <w:rsid w:val="00074875"/>
    <w:rsid w:val="00077776"/>
    <w:rsid w:val="000856CE"/>
    <w:rsid w:val="00086A95"/>
    <w:rsid w:val="00087C36"/>
    <w:rsid w:val="00093B00"/>
    <w:rsid w:val="00093EF6"/>
    <w:rsid w:val="00095B63"/>
    <w:rsid w:val="00095D10"/>
    <w:rsid w:val="000B286E"/>
    <w:rsid w:val="000B371E"/>
    <w:rsid w:val="000B59B2"/>
    <w:rsid w:val="000B7284"/>
    <w:rsid w:val="000B73B7"/>
    <w:rsid w:val="000B73CE"/>
    <w:rsid w:val="000B7959"/>
    <w:rsid w:val="000C5024"/>
    <w:rsid w:val="000C59BD"/>
    <w:rsid w:val="000C6300"/>
    <w:rsid w:val="000D1766"/>
    <w:rsid w:val="000D3F67"/>
    <w:rsid w:val="000D5968"/>
    <w:rsid w:val="000E0024"/>
    <w:rsid w:val="000E22B1"/>
    <w:rsid w:val="000E2430"/>
    <w:rsid w:val="000E4734"/>
    <w:rsid w:val="000E6FBF"/>
    <w:rsid w:val="000F4634"/>
    <w:rsid w:val="000F4CE0"/>
    <w:rsid w:val="000F4E64"/>
    <w:rsid w:val="000F5923"/>
    <w:rsid w:val="000F67FA"/>
    <w:rsid w:val="000F7387"/>
    <w:rsid w:val="0010034F"/>
    <w:rsid w:val="00106548"/>
    <w:rsid w:val="0010690A"/>
    <w:rsid w:val="00106F77"/>
    <w:rsid w:val="00110BA3"/>
    <w:rsid w:val="001118DD"/>
    <w:rsid w:val="00112280"/>
    <w:rsid w:val="00114A88"/>
    <w:rsid w:val="0012077B"/>
    <w:rsid w:val="0012676E"/>
    <w:rsid w:val="001313E6"/>
    <w:rsid w:val="001324AA"/>
    <w:rsid w:val="0013398E"/>
    <w:rsid w:val="00142C59"/>
    <w:rsid w:val="00142DE3"/>
    <w:rsid w:val="00142FE9"/>
    <w:rsid w:val="00143E7A"/>
    <w:rsid w:val="001472DB"/>
    <w:rsid w:val="00150C22"/>
    <w:rsid w:val="00150E7A"/>
    <w:rsid w:val="00157FEC"/>
    <w:rsid w:val="00160729"/>
    <w:rsid w:val="0016446D"/>
    <w:rsid w:val="00170B51"/>
    <w:rsid w:val="0017337B"/>
    <w:rsid w:val="00174E0D"/>
    <w:rsid w:val="00176371"/>
    <w:rsid w:val="00180901"/>
    <w:rsid w:val="00183337"/>
    <w:rsid w:val="00185981"/>
    <w:rsid w:val="00190BCE"/>
    <w:rsid w:val="0019552E"/>
    <w:rsid w:val="00195FC3"/>
    <w:rsid w:val="00197CC3"/>
    <w:rsid w:val="001B00CC"/>
    <w:rsid w:val="001B0556"/>
    <w:rsid w:val="001B09DD"/>
    <w:rsid w:val="001B2723"/>
    <w:rsid w:val="001B4591"/>
    <w:rsid w:val="001B5A79"/>
    <w:rsid w:val="001D079E"/>
    <w:rsid w:val="001D0F1A"/>
    <w:rsid w:val="001D1187"/>
    <w:rsid w:val="001D200F"/>
    <w:rsid w:val="001D258C"/>
    <w:rsid w:val="001D4C93"/>
    <w:rsid w:val="001D4CBB"/>
    <w:rsid w:val="001D4EEE"/>
    <w:rsid w:val="001D7FAC"/>
    <w:rsid w:val="001E167A"/>
    <w:rsid w:val="001E3EA4"/>
    <w:rsid w:val="001E6B69"/>
    <w:rsid w:val="001E6D34"/>
    <w:rsid w:val="001F08D6"/>
    <w:rsid w:val="001F4942"/>
    <w:rsid w:val="001F6B34"/>
    <w:rsid w:val="001F7DF2"/>
    <w:rsid w:val="0020130A"/>
    <w:rsid w:val="00203E0D"/>
    <w:rsid w:val="00207BDB"/>
    <w:rsid w:val="00207F0D"/>
    <w:rsid w:val="002104F7"/>
    <w:rsid w:val="00210607"/>
    <w:rsid w:val="00212F15"/>
    <w:rsid w:val="00214CB7"/>
    <w:rsid w:val="002158CB"/>
    <w:rsid w:val="00220F1E"/>
    <w:rsid w:val="002210AF"/>
    <w:rsid w:val="00221726"/>
    <w:rsid w:val="00230142"/>
    <w:rsid w:val="00230B55"/>
    <w:rsid w:val="00231A0E"/>
    <w:rsid w:val="00234508"/>
    <w:rsid w:val="0023654C"/>
    <w:rsid w:val="00236CBE"/>
    <w:rsid w:val="00236E55"/>
    <w:rsid w:val="00240386"/>
    <w:rsid w:val="00240F15"/>
    <w:rsid w:val="00243423"/>
    <w:rsid w:val="0024377F"/>
    <w:rsid w:val="0024559A"/>
    <w:rsid w:val="00246F22"/>
    <w:rsid w:val="0024781D"/>
    <w:rsid w:val="0025178A"/>
    <w:rsid w:val="00251BBC"/>
    <w:rsid w:val="0025251C"/>
    <w:rsid w:val="00255A7C"/>
    <w:rsid w:val="002569D5"/>
    <w:rsid w:val="00257459"/>
    <w:rsid w:val="002626D0"/>
    <w:rsid w:val="0026300B"/>
    <w:rsid w:val="00264AAB"/>
    <w:rsid w:val="00265E27"/>
    <w:rsid w:val="002668F0"/>
    <w:rsid w:val="002721B0"/>
    <w:rsid w:val="00273710"/>
    <w:rsid w:val="00274D4E"/>
    <w:rsid w:val="00276169"/>
    <w:rsid w:val="00280C72"/>
    <w:rsid w:val="00285F0E"/>
    <w:rsid w:val="00290765"/>
    <w:rsid w:val="00290BEE"/>
    <w:rsid w:val="00294A5F"/>
    <w:rsid w:val="00295561"/>
    <w:rsid w:val="00296B65"/>
    <w:rsid w:val="002A0A84"/>
    <w:rsid w:val="002A6726"/>
    <w:rsid w:val="002B0E76"/>
    <w:rsid w:val="002B2976"/>
    <w:rsid w:val="002B3CBA"/>
    <w:rsid w:val="002B42C3"/>
    <w:rsid w:val="002B4E3C"/>
    <w:rsid w:val="002B525E"/>
    <w:rsid w:val="002C0224"/>
    <w:rsid w:val="002C2ACD"/>
    <w:rsid w:val="002C3BFC"/>
    <w:rsid w:val="002C4FC6"/>
    <w:rsid w:val="002C6F48"/>
    <w:rsid w:val="002C6FF9"/>
    <w:rsid w:val="002D0BB4"/>
    <w:rsid w:val="002D2946"/>
    <w:rsid w:val="002D3FE8"/>
    <w:rsid w:val="002D4E5E"/>
    <w:rsid w:val="002D51F2"/>
    <w:rsid w:val="002D5EC3"/>
    <w:rsid w:val="002F0047"/>
    <w:rsid w:val="002F16F3"/>
    <w:rsid w:val="002F17F8"/>
    <w:rsid w:val="002F4186"/>
    <w:rsid w:val="002F4B8B"/>
    <w:rsid w:val="003003CB"/>
    <w:rsid w:val="003027EA"/>
    <w:rsid w:val="00303539"/>
    <w:rsid w:val="00310D29"/>
    <w:rsid w:val="00314B37"/>
    <w:rsid w:val="003200FD"/>
    <w:rsid w:val="00331CE5"/>
    <w:rsid w:val="00332149"/>
    <w:rsid w:val="0033273F"/>
    <w:rsid w:val="0033408E"/>
    <w:rsid w:val="0033643A"/>
    <w:rsid w:val="00341133"/>
    <w:rsid w:val="003420A5"/>
    <w:rsid w:val="0034350B"/>
    <w:rsid w:val="00343BAA"/>
    <w:rsid w:val="00346949"/>
    <w:rsid w:val="00350878"/>
    <w:rsid w:val="0035113C"/>
    <w:rsid w:val="00351F05"/>
    <w:rsid w:val="0035279C"/>
    <w:rsid w:val="003533D4"/>
    <w:rsid w:val="003534F9"/>
    <w:rsid w:val="00354E6B"/>
    <w:rsid w:val="003604EB"/>
    <w:rsid w:val="00362B89"/>
    <w:rsid w:val="003635E9"/>
    <w:rsid w:val="00365048"/>
    <w:rsid w:val="00365C22"/>
    <w:rsid w:val="00365DD0"/>
    <w:rsid w:val="003671A0"/>
    <w:rsid w:val="00367B7E"/>
    <w:rsid w:val="00371124"/>
    <w:rsid w:val="003715A3"/>
    <w:rsid w:val="00371B46"/>
    <w:rsid w:val="00373BF7"/>
    <w:rsid w:val="003778C0"/>
    <w:rsid w:val="00387A6F"/>
    <w:rsid w:val="003A106D"/>
    <w:rsid w:val="003A2E39"/>
    <w:rsid w:val="003A5333"/>
    <w:rsid w:val="003A569B"/>
    <w:rsid w:val="003A5B5E"/>
    <w:rsid w:val="003B06E6"/>
    <w:rsid w:val="003B444A"/>
    <w:rsid w:val="003C5650"/>
    <w:rsid w:val="003D051D"/>
    <w:rsid w:val="003D162F"/>
    <w:rsid w:val="003D1765"/>
    <w:rsid w:val="003D1C1F"/>
    <w:rsid w:val="003D2B65"/>
    <w:rsid w:val="003D5486"/>
    <w:rsid w:val="003D5C92"/>
    <w:rsid w:val="003E12B6"/>
    <w:rsid w:val="003E41E3"/>
    <w:rsid w:val="003E7854"/>
    <w:rsid w:val="003F4F47"/>
    <w:rsid w:val="003F554E"/>
    <w:rsid w:val="00402A02"/>
    <w:rsid w:val="004031FE"/>
    <w:rsid w:val="00405832"/>
    <w:rsid w:val="00406860"/>
    <w:rsid w:val="00410272"/>
    <w:rsid w:val="00417D85"/>
    <w:rsid w:val="00423D5E"/>
    <w:rsid w:val="004261FF"/>
    <w:rsid w:val="004272EF"/>
    <w:rsid w:val="004327BE"/>
    <w:rsid w:val="00433B52"/>
    <w:rsid w:val="00436BD7"/>
    <w:rsid w:val="00441867"/>
    <w:rsid w:val="00442608"/>
    <w:rsid w:val="004444D5"/>
    <w:rsid w:val="00444ABF"/>
    <w:rsid w:val="00447569"/>
    <w:rsid w:val="00453872"/>
    <w:rsid w:val="00454D2C"/>
    <w:rsid w:val="0045576D"/>
    <w:rsid w:val="00456CE2"/>
    <w:rsid w:val="0045714E"/>
    <w:rsid w:val="004622F0"/>
    <w:rsid w:val="004635A0"/>
    <w:rsid w:val="00464BDC"/>
    <w:rsid w:val="004657BD"/>
    <w:rsid w:val="004668D4"/>
    <w:rsid w:val="00470A02"/>
    <w:rsid w:val="00473850"/>
    <w:rsid w:val="004808A4"/>
    <w:rsid w:val="0048191C"/>
    <w:rsid w:val="004839B5"/>
    <w:rsid w:val="00485DEB"/>
    <w:rsid w:val="004869A7"/>
    <w:rsid w:val="00487AC8"/>
    <w:rsid w:val="00494A83"/>
    <w:rsid w:val="00495B45"/>
    <w:rsid w:val="004969FF"/>
    <w:rsid w:val="004A00CB"/>
    <w:rsid w:val="004A103D"/>
    <w:rsid w:val="004A106C"/>
    <w:rsid w:val="004A1092"/>
    <w:rsid w:val="004A2F10"/>
    <w:rsid w:val="004A3A92"/>
    <w:rsid w:val="004A4F0F"/>
    <w:rsid w:val="004A57DB"/>
    <w:rsid w:val="004A5EB0"/>
    <w:rsid w:val="004B0D82"/>
    <w:rsid w:val="004B0DEC"/>
    <w:rsid w:val="004B4D75"/>
    <w:rsid w:val="004B58A9"/>
    <w:rsid w:val="004B5D42"/>
    <w:rsid w:val="004B5EA7"/>
    <w:rsid w:val="004C16E8"/>
    <w:rsid w:val="004C2AAC"/>
    <w:rsid w:val="004C37B7"/>
    <w:rsid w:val="004C42F1"/>
    <w:rsid w:val="004C5996"/>
    <w:rsid w:val="004D024D"/>
    <w:rsid w:val="004D1743"/>
    <w:rsid w:val="004E3DAC"/>
    <w:rsid w:val="004E5FB8"/>
    <w:rsid w:val="004F05DA"/>
    <w:rsid w:val="004F067B"/>
    <w:rsid w:val="004F3368"/>
    <w:rsid w:val="004F37CE"/>
    <w:rsid w:val="004F4252"/>
    <w:rsid w:val="004F4BAD"/>
    <w:rsid w:val="004F5ABC"/>
    <w:rsid w:val="0050104A"/>
    <w:rsid w:val="00501C88"/>
    <w:rsid w:val="00512467"/>
    <w:rsid w:val="005155A0"/>
    <w:rsid w:val="00515739"/>
    <w:rsid w:val="0052145C"/>
    <w:rsid w:val="00524B21"/>
    <w:rsid w:val="0052500C"/>
    <w:rsid w:val="00525174"/>
    <w:rsid w:val="005264AF"/>
    <w:rsid w:val="00527FA5"/>
    <w:rsid w:val="00532063"/>
    <w:rsid w:val="00533E3B"/>
    <w:rsid w:val="00535956"/>
    <w:rsid w:val="00537FF1"/>
    <w:rsid w:val="005400A9"/>
    <w:rsid w:val="00542CD3"/>
    <w:rsid w:val="00543410"/>
    <w:rsid w:val="005436A4"/>
    <w:rsid w:val="00543AE5"/>
    <w:rsid w:val="00544956"/>
    <w:rsid w:val="00547ED1"/>
    <w:rsid w:val="00554563"/>
    <w:rsid w:val="00556734"/>
    <w:rsid w:val="005601DA"/>
    <w:rsid w:val="00560588"/>
    <w:rsid w:val="00562159"/>
    <w:rsid w:val="00562E6A"/>
    <w:rsid w:val="00565536"/>
    <w:rsid w:val="00566CA5"/>
    <w:rsid w:val="005673A2"/>
    <w:rsid w:val="00567DFF"/>
    <w:rsid w:val="00572596"/>
    <w:rsid w:val="005736DC"/>
    <w:rsid w:val="00577F4A"/>
    <w:rsid w:val="005802BF"/>
    <w:rsid w:val="0058105C"/>
    <w:rsid w:val="005821DD"/>
    <w:rsid w:val="00586FC8"/>
    <w:rsid w:val="00590613"/>
    <w:rsid w:val="0059155B"/>
    <w:rsid w:val="00597E44"/>
    <w:rsid w:val="005A046C"/>
    <w:rsid w:val="005A0969"/>
    <w:rsid w:val="005A1B84"/>
    <w:rsid w:val="005A3520"/>
    <w:rsid w:val="005A37EF"/>
    <w:rsid w:val="005A4295"/>
    <w:rsid w:val="005A5B4A"/>
    <w:rsid w:val="005B3431"/>
    <w:rsid w:val="005B54F7"/>
    <w:rsid w:val="005B590E"/>
    <w:rsid w:val="005B5C7C"/>
    <w:rsid w:val="005C5519"/>
    <w:rsid w:val="005C73D5"/>
    <w:rsid w:val="005D3E99"/>
    <w:rsid w:val="005D5014"/>
    <w:rsid w:val="005D61ED"/>
    <w:rsid w:val="005E0B30"/>
    <w:rsid w:val="005E18C7"/>
    <w:rsid w:val="005E492A"/>
    <w:rsid w:val="005E6DC4"/>
    <w:rsid w:val="005F0DC7"/>
    <w:rsid w:val="005F3FF8"/>
    <w:rsid w:val="005F4899"/>
    <w:rsid w:val="00600BAB"/>
    <w:rsid w:val="00601C86"/>
    <w:rsid w:val="00603532"/>
    <w:rsid w:val="006060F7"/>
    <w:rsid w:val="006072FD"/>
    <w:rsid w:val="00607DA6"/>
    <w:rsid w:val="00611E31"/>
    <w:rsid w:val="006156F1"/>
    <w:rsid w:val="006162D8"/>
    <w:rsid w:val="00621EC1"/>
    <w:rsid w:val="00624DFB"/>
    <w:rsid w:val="00626BC8"/>
    <w:rsid w:val="00626C76"/>
    <w:rsid w:val="00630173"/>
    <w:rsid w:val="00637692"/>
    <w:rsid w:val="0063799D"/>
    <w:rsid w:val="00640DB2"/>
    <w:rsid w:val="0064118E"/>
    <w:rsid w:val="00644389"/>
    <w:rsid w:val="00646A83"/>
    <w:rsid w:val="00651CDD"/>
    <w:rsid w:val="00652141"/>
    <w:rsid w:val="006526F3"/>
    <w:rsid w:val="0066029A"/>
    <w:rsid w:val="00662A92"/>
    <w:rsid w:val="00662CF7"/>
    <w:rsid w:val="00667363"/>
    <w:rsid w:val="006721FD"/>
    <w:rsid w:val="00672CF1"/>
    <w:rsid w:val="00675FF0"/>
    <w:rsid w:val="0068078C"/>
    <w:rsid w:val="0068098E"/>
    <w:rsid w:val="00682CB4"/>
    <w:rsid w:val="00691FAB"/>
    <w:rsid w:val="00693ABD"/>
    <w:rsid w:val="006941A9"/>
    <w:rsid w:val="00694797"/>
    <w:rsid w:val="00695F3B"/>
    <w:rsid w:val="00696D25"/>
    <w:rsid w:val="0069747B"/>
    <w:rsid w:val="006A10EC"/>
    <w:rsid w:val="006A2649"/>
    <w:rsid w:val="006A386D"/>
    <w:rsid w:val="006B0D3C"/>
    <w:rsid w:val="006B19C5"/>
    <w:rsid w:val="006B3554"/>
    <w:rsid w:val="006C1299"/>
    <w:rsid w:val="006C6851"/>
    <w:rsid w:val="006D0B9E"/>
    <w:rsid w:val="006D1194"/>
    <w:rsid w:val="006D4E37"/>
    <w:rsid w:val="006E152C"/>
    <w:rsid w:val="006E1D68"/>
    <w:rsid w:val="006E2318"/>
    <w:rsid w:val="006E35DD"/>
    <w:rsid w:val="006E3F89"/>
    <w:rsid w:val="006E5ADD"/>
    <w:rsid w:val="006F31AA"/>
    <w:rsid w:val="006F330F"/>
    <w:rsid w:val="006F63AB"/>
    <w:rsid w:val="00700249"/>
    <w:rsid w:val="007035A8"/>
    <w:rsid w:val="00704BF3"/>
    <w:rsid w:val="00707BDE"/>
    <w:rsid w:val="00710551"/>
    <w:rsid w:val="00710844"/>
    <w:rsid w:val="0072093A"/>
    <w:rsid w:val="00720A99"/>
    <w:rsid w:val="00722397"/>
    <w:rsid w:val="0072258F"/>
    <w:rsid w:val="0072414D"/>
    <w:rsid w:val="007245EA"/>
    <w:rsid w:val="00725902"/>
    <w:rsid w:val="00727452"/>
    <w:rsid w:val="00730AA2"/>
    <w:rsid w:val="00734002"/>
    <w:rsid w:val="007351A4"/>
    <w:rsid w:val="007376A3"/>
    <w:rsid w:val="00741F4D"/>
    <w:rsid w:val="00743192"/>
    <w:rsid w:val="007463C8"/>
    <w:rsid w:val="0074742C"/>
    <w:rsid w:val="00747925"/>
    <w:rsid w:val="007513ED"/>
    <w:rsid w:val="0075337D"/>
    <w:rsid w:val="00753572"/>
    <w:rsid w:val="00760046"/>
    <w:rsid w:val="007600B7"/>
    <w:rsid w:val="00765F31"/>
    <w:rsid w:val="00776526"/>
    <w:rsid w:val="00780C0F"/>
    <w:rsid w:val="00782E74"/>
    <w:rsid w:val="00786E23"/>
    <w:rsid w:val="007913B0"/>
    <w:rsid w:val="00791EB2"/>
    <w:rsid w:val="007929EC"/>
    <w:rsid w:val="007937B5"/>
    <w:rsid w:val="00795A4F"/>
    <w:rsid w:val="00795E43"/>
    <w:rsid w:val="007975E0"/>
    <w:rsid w:val="007A33D2"/>
    <w:rsid w:val="007A498F"/>
    <w:rsid w:val="007A4D16"/>
    <w:rsid w:val="007B2613"/>
    <w:rsid w:val="007B427B"/>
    <w:rsid w:val="007B54CA"/>
    <w:rsid w:val="007C127E"/>
    <w:rsid w:val="007C17D6"/>
    <w:rsid w:val="007C2F00"/>
    <w:rsid w:val="007D19E5"/>
    <w:rsid w:val="007D769B"/>
    <w:rsid w:val="007E220A"/>
    <w:rsid w:val="007E2DC4"/>
    <w:rsid w:val="007E488B"/>
    <w:rsid w:val="007E7732"/>
    <w:rsid w:val="007F0EBA"/>
    <w:rsid w:val="007F1C1B"/>
    <w:rsid w:val="007F5EA4"/>
    <w:rsid w:val="007F766B"/>
    <w:rsid w:val="007F7D83"/>
    <w:rsid w:val="00800598"/>
    <w:rsid w:val="00800C26"/>
    <w:rsid w:val="0080222D"/>
    <w:rsid w:val="00810922"/>
    <w:rsid w:val="00813522"/>
    <w:rsid w:val="008176F0"/>
    <w:rsid w:val="008233D1"/>
    <w:rsid w:val="00824507"/>
    <w:rsid w:val="00824F6C"/>
    <w:rsid w:val="0082724D"/>
    <w:rsid w:val="00830277"/>
    <w:rsid w:val="00833D9E"/>
    <w:rsid w:val="00834EE3"/>
    <w:rsid w:val="008363F5"/>
    <w:rsid w:val="00836506"/>
    <w:rsid w:val="00837A35"/>
    <w:rsid w:val="0084758A"/>
    <w:rsid w:val="00857428"/>
    <w:rsid w:val="00865BEA"/>
    <w:rsid w:val="0086613E"/>
    <w:rsid w:val="00866A00"/>
    <w:rsid w:val="008672D3"/>
    <w:rsid w:val="00867774"/>
    <w:rsid w:val="00870299"/>
    <w:rsid w:val="008734FE"/>
    <w:rsid w:val="008738E1"/>
    <w:rsid w:val="008801CD"/>
    <w:rsid w:val="008818AA"/>
    <w:rsid w:val="0088752C"/>
    <w:rsid w:val="008877DC"/>
    <w:rsid w:val="008917F8"/>
    <w:rsid w:val="00892082"/>
    <w:rsid w:val="008942EF"/>
    <w:rsid w:val="008961B9"/>
    <w:rsid w:val="008A0E1C"/>
    <w:rsid w:val="008A4486"/>
    <w:rsid w:val="008B0024"/>
    <w:rsid w:val="008B4717"/>
    <w:rsid w:val="008B4D26"/>
    <w:rsid w:val="008B7715"/>
    <w:rsid w:val="008C01DF"/>
    <w:rsid w:val="008C06C9"/>
    <w:rsid w:val="008D2A08"/>
    <w:rsid w:val="008D31EA"/>
    <w:rsid w:val="008D6662"/>
    <w:rsid w:val="008D6E7F"/>
    <w:rsid w:val="008E4EF6"/>
    <w:rsid w:val="008E5835"/>
    <w:rsid w:val="008F0E4F"/>
    <w:rsid w:val="008F5E2C"/>
    <w:rsid w:val="00901A22"/>
    <w:rsid w:val="009034E1"/>
    <w:rsid w:val="00911326"/>
    <w:rsid w:val="0091395B"/>
    <w:rsid w:val="009140F4"/>
    <w:rsid w:val="009270FE"/>
    <w:rsid w:val="0093252C"/>
    <w:rsid w:val="00933AE7"/>
    <w:rsid w:val="009342E8"/>
    <w:rsid w:val="00935C1C"/>
    <w:rsid w:val="0093674E"/>
    <w:rsid w:val="00940171"/>
    <w:rsid w:val="009405AE"/>
    <w:rsid w:val="0094283C"/>
    <w:rsid w:val="0094329E"/>
    <w:rsid w:val="009449EE"/>
    <w:rsid w:val="0094533C"/>
    <w:rsid w:val="00950D63"/>
    <w:rsid w:val="0095202C"/>
    <w:rsid w:val="00957206"/>
    <w:rsid w:val="00970261"/>
    <w:rsid w:val="0097153F"/>
    <w:rsid w:val="00975463"/>
    <w:rsid w:val="009808BC"/>
    <w:rsid w:val="00980A9E"/>
    <w:rsid w:val="00980FE8"/>
    <w:rsid w:val="00982216"/>
    <w:rsid w:val="00984B80"/>
    <w:rsid w:val="0098662D"/>
    <w:rsid w:val="00990F1F"/>
    <w:rsid w:val="009911D4"/>
    <w:rsid w:val="00991D8A"/>
    <w:rsid w:val="00993A4B"/>
    <w:rsid w:val="00995EEA"/>
    <w:rsid w:val="0099636A"/>
    <w:rsid w:val="0099722B"/>
    <w:rsid w:val="00997F7A"/>
    <w:rsid w:val="009A0F39"/>
    <w:rsid w:val="009A144B"/>
    <w:rsid w:val="009A1EFF"/>
    <w:rsid w:val="009A31E2"/>
    <w:rsid w:val="009A3A67"/>
    <w:rsid w:val="009A3EF0"/>
    <w:rsid w:val="009A53BF"/>
    <w:rsid w:val="009A7D68"/>
    <w:rsid w:val="009B512E"/>
    <w:rsid w:val="009B5DF7"/>
    <w:rsid w:val="009C3696"/>
    <w:rsid w:val="009C45C9"/>
    <w:rsid w:val="009C5B5D"/>
    <w:rsid w:val="009C7E38"/>
    <w:rsid w:val="009D0F0F"/>
    <w:rsid w:val="009D13DA"/>
    <w:rsid w:val="009D4133"/>
    <w:rsid w:val="009D4F3F"/>
    <w:rsid w:val="009D64DA"/>
    <w:rsid w:val="009E0858"/>
    <w:rsid w:val="009E0F14"/>
    <w:rsid w:val="009E2D50"/>
    <w:rsid w:val="009E3F80"/>
    <w:rsid w:val="009E452E"/>
    <w:rsid w:val="009E5B0E"/>
    <w:rsid w:val="009E7B86"/>
    <w:rsid w:val="009E7E01"/>
    <w:rsid w:val="009F6EAE"/>
    <w:rsid w:val="009F7286"/>
    <w:rsid w:val="00A05165"/>
    <w:rsid w:val="00A054F4"/>
    <w:rsid w:val="00A065F7"/>
    <w:rsid w:val="00A105B6"/>
    <w:rsid w:val="00A1702B"/>
    <w:rsid w:val="00A20E72"/>
    <w:rsid w:val="00A218AA"/>
    <w:rsid w:val="00A22665"/>
    <w:rsid w:val="00A24E78"/>
    <w:rsid w:val="00A25092"/>
    <w:rsid w:val="00A2645E"/>
    <w:rsid w:val="00A33C20"/>
    <w:rsid w:val="00A348A6"/>
    <w:rsid w:val="00A40CE1"/>
    <w:rsid w:val="00A41D6E"/>
    <w:rsid w:val="00A42555"/>
    <w:rsid w:val="00A42BE0"/>
    <w:rsid w:val="00A442A6"/>
    <w:rsid w:val="00A4605A"/>
    <w:rsid w:val="00A46253"/>
    <w:rsid w:val="00A5087C"/>
    <w:rsid w:val="00A51ADA"/>
    <w:rsid w:val="00A5474D"/>
    <w:rsid w:val="00A55188"/>
    <w:rsid w:val="00A60C74"/>
    <w:rsid w:val="00A61B15"/>
    <w:rsid w:val="00A640D0"/>
    <w:rsid w:val="00A64A80"/>
    <w:rsid w:val="00A67694"/>
    <w:rsid w:val="00A72A4D"/>
    <w:rsid w:val="00A80FE4"/>
    <w:rsid w:val="00A81F1F"/>
    <w:rsid w:val="00A84B88"/>
    <w:rsid w:val="00A84DC3"/>
    <w:rsid w:val="00A85E9C"/>
    <w:rsid w:val="00A8608F"/>
    <w:rsid w:val="00A87B7E"/>
    <w:rsid w:val="00A91EAD"/>
    <w:rsid w:val="00A92BE0"/>
    <w:rsid w:val="00A9371A"/>
    <w:rsid w:val="00A94718"/>
    <w:rsid w:val="00A9550D"/>
    <w:rsid w:val="00A978AC"/>
    <w:rsid w:val="00AA1F92"/>
    <w:rsid w:val="00AA28EC"/>
    <w:rsid w:val="00AA76B0"/>
    <w:rsid w:val="00AB15D5"/>
    <w:rsid w:val="00AB5FCD"/>
    <w:rsid w:val="00AB725B"/>
    <w:rsid w:val="00AC0502"/>
    <w:rsid w:val="00AC374A"/>
    <w:rsid w:val="00AC4DB3"/>
    <w:rsid w:val="00AC5129"/>
    <w:rsid w:val="00AC75CA"/>
    <w:rsid w:val="00AC76A6"/>
    <w:rsid w:val="00AD0ED3"/>
    <w:rsid w:val="00AD2756"/>
    <w:rsid w:val="00AE0085"/>
    <w:rsid w:val="00AE175A"/>
    <w:rsid w:val="00AE1D2D"/>
    <w:rsid w:val="00AE6BE8"/>
    <w:rsid w:val="00AE7F55"/>
    <w:rsid w:val="00AF0FE9"/>
    <w:rsid w:val="00AF42B9"/>
    <w:rsid w:val="00AF7FD3"/>
    <w:rsid w:val="00B021DE"/>
    <w:rsid w:val="00B03618"/>
    <w:rsid w:val="00B055DF"/>
    <w:rsid w:val="00B102F8"/>
    <w:rsid w:val="00B16EB3"/>
    <w:rsid w:val="00B177E3"/>
    <w:rsid w:val="00B17D7D"/>
    <w:rsid w:val="00B22F40"/>
    <w:rsid w:val="00B351F1"/>
    <w:rsid w:val="00B36037"/>
    <w:rsid w:val="00B36630"/>
    <w:rsid w:val="00B36F62"/>
    <w:rsid w:val="00B37ECC"/>
    <w:rsid w:val="00B4066E"/>
    <w:rsid w:val="00B4134C"/>
    <w:rsid w:val="00B418EC"/>
    <w:rsid w:val="00B44922"/>
    <w:rsid w:val="00B45983"/>
    <w:rsid w:val="00B52BAC"/>
    <w:rsid w:val="00B56F8F"/>
    <w:rsid w:val="00B57E73"/>
    <w:rsid w:val="00B57EA2"/>
    <w:rsid w:val="00B60FFF"/>
    <w:rsid w:val="00B610DA"/>
    <w:rsid w:val="00B6510B"/>
    <w:rsid w:val="00B71FB8"/>
    <w:rsid w:val="00B746FA"/>
    <w:rsid w:val="00B756BA"/>
    <w:rsid w:val="00B825BA"/>
    <w:rsid w:val="00B867D3"/>
    <w:rsid w:val="00B86E10"/>
    <w:rsid w:val="00B87FCD"/>
    <w:rsid w:val="00B9250C"/>
    <w:rsid w:val="00B94ACF"/>
    <w:rsid w:val="00B97B3F"/>
    <w:rsid w:val="00BA11FB"/>
    <w:rsid w:val="00BA1AD2"/>
    <w:rsid w:val="00BA4E88"/>
    <w:rsid w:val="00BA609D"/>
    <w:rsid w:val="00BA7AAF"/>
    <w:rsid w:val="00BB4BC9"/>
    <w:rsid w:val="00BB59B3"/>
    <w:rsid w:val="00BB7B63"/>
    <w:rsid w:val="00BC0F90"/>
    <w:rsid w:val="00BC1652"/>
    <w:rsid w:val="00BC176C"/>
    <w:rsid w:val="00BC2236"/>
    <w:rsid w:val="00BC3B81"/>
    <w:rsid w:val="00BC6B57"/>
    <w:rsid w:val="00BD0FC0"/>
    <w:rsid w:val="00BD104B"/>
    <w:rsid w:val="00BD2292"/>
    <w:rsid w:val="00BD76D3"/>
    <w:rsid w:val="00BE10E6"/>
    <w:rsid w:val="00BE757D"/>
    <w:rsid w:val="00BF3B10"/>
    <w:rsid w:val="00C01D6C"/>
    <w:rsid w:val="00C0623F"/>
    <w:rsid w:val="00C064C9"/>
    <w:rsid w:val="00C06993"/>
    <w:rsid w:val="00C10C96"/>
    <w:rsid w:val="00C1248B"/>
    <w:rsid w:val="00C131B7"/>
    <w:rsid w:val="00C1445D"/>
    <w:rsid w:val="00C148D7"/>
    <w:rsid w:val="00C208B2"/>
    <w:rsid w:val="00C23663"/>
    <w:rsid w:val="00C24AAD"/>
    <w:rsid w:val="00C25C95"/>
    <w:rsid w:val="00C3155D"/>
    <w:rsid w:val="00C31840"/>
    <w:rsid w:val="00C31A07"/>
    <w:rsid w:val="00C357B3"/>
    <w:rsid w:val="00C35F7F"/>
    <w:rsid w:val="00C371E6"/>
    <w:rsid w:val="00C37AAD"/>
    <w:rsid w:val="00C40CDE"/>
    <w:rsid w:val="00C42092"/>
    <w:rsid w:val="00C42149"/>
    <w:rsid w:val="00C43AB9"/>
    <w:rsid w:val="00C450BB"/>
    <w:rsid w:val="00C46044"/>
    <w:rsid w:val="00C47B4E"/>
    <w:rsid w:val="00C47F5E"/>
    <w:rsid w:val="00C501E4"/>
    <w:rsid w:val="00C50C7C"/>
    <w:rsid w:val="00C51643"/>
    <w:rsid w:val="00C53DD1"/>
    <w:rsid w:val="00C5581A"/>
    <w:rsid w:val="00C62380"/>
    <w:rsid w:val="00C6521E"/>
    <w:rsid w:val="00C703F1"/>
    <w:rsid w:val="00C7056E"/>
    <w:rsid w:val="00C717CA"/>
    <w:rsid w:val="00C752FB"/>
    <w:rsid w:val="00C75387"/>
    <w:rsid w:val="00C77A11"/>
    <w:rsid w:val="00C8175E"/>
    <w:rsid w:val="00C81785"/>
    <w:rsid w:val="00C84C1D"/>
    <w:rsid w:val="00C86CB4"/>
    <w:rsid w:val="00C91329"/>
    <w:rsid w:val="00C92916"/>
    <w:rsid w:val="00C950EF"/>
    <w:rsid w:val="00C958B5"/>
    <w:rsid w:val="00CA2A1E"/>
    <w:rsid w:val="00CA2D0B"/>
    <w:rsid w:val="00CA64D0"/>
    <w:rsid w:val="00CA7831"/>
    <w:rsid w:val="00CB14CD"/>
    <w:rsid w:val="00CB2E1D"/>
    <w:rsid w:val="00CB38CC"/>
    <w:rsid w:val="00CB39A1"/>
    <w:rsid w:val="00CB6330"/>
    <w:rsid w:val="00CB66C3"/>
    <w:rsid w:val="00CC3E38"/>
    <w:rsid w:val="00CC7857"/>
    <w:rsid w:val="00CD2C95"/>
    <w:rsid w:val="00CD2F57"/>
    <w:rsid w:val="00CD4CB7"/>
    <w:rsid w:val="00CD62A8"/>
    <w:rsid w:val="00CD6F20"/>
    <w:rsid w:val="00CE2C8A"/>
    <w:rsid w:val="00CE4212"/>
    <w:rsid w:val="00CE7B05"/>
    <w:rsid w:val="00CE7C3A"/>
    <w:rsid w:val="00CF235E"/>
    <w:rsid w:val="00CF2E4A"/>
    <w:rsid w:val="00CF7900"/>
    <w:rsid w:val="00D005C2"/>
    <w:rsid w:val="00D04D67"/>
    <w:rsid w:val="00D050E5"/>
    <w:rsid w:val="00D0719E"/>
    <w:rsid w:val="00D11CF9"/>
    <w:rsid w:val="00D13597"/>
    <w:rsid w:val="00D14CC7"/>
    <w:rsid w:val="00D15491"/>
    <w:rsid w:val="00D16656"/>
    <w:rsid w:val="00D16A82"/>
    <w:rsid w:val="00D16D75"/>
    <w:rsid w:val="00D17C99"/>
    <w:rsid w:val="00D2058D"/>
    <w:rsid w:val="00D2175C"/>
    <w:rsid w:val="00D23BF1"/>
    <w:rsid w:val="00D25F11"/>
    <w:rsid w:val="00D27308"/>
    <w:rsid w:val="00D32238"/>
    <w:rsid w:val="00D340F1"/>
    <w:rsid w:val="00D35A25"/>
    <w:rsid w:val="00D4067D"/>
    <w:rsid w:val="00D43CDB"/>
    <w:rsid w:val="00D446FE"/>
    <w:rsid w:val="00D53D2C"/>
    <w:rsid w:val="00D54641"/>
    <w:rsid w:val="00D62B77"/>
    <w:rsid w:val="00D62F1D"/>
    <w:rsid w:val="00D65A7F"/>
    <w:rsid w:val="00D661F7"/>
    <w:rsid w:val="00D676C4"/>
    <w:rsid w:val="00D72CAD"/>
    <w:rsid w:val="00D74963"/>
    <w:rsid w:val="00D74C74"/>
    <w:rsid w:val="00D805E0"/>
    <w:rsid w:val="00D83F08"/>
    <w:rsid w:val="00D84444"/>
    <w:rsid w:val="00D853C8"/>
    <w:rsid w:val="00D91063"/>
    <w:rsid w:val="00D92E09"/>
    <w:rsid w:val="00D9415C"/>
    <w:rsid w:val="00D9664B"/>
    <w:rsid w:val="00D9763B"/>
    <w:rsid w:val="00DA3664"/>
    <w:rsid w:val="00DA6370"/>
    <w:rsid w:val="00DB39FC"/>
    <w:rsid w:val="00DB3EC3"/>
    <w:rsid w:val="00DB782F"/>
    <w:rsid w:val="00DC01AB"/>
    <w:rsid w:val="00DC01CE"/>
    <w:rsid w:val="00DC2EF4"/>
    <w:rsid w:val="00DC3710"/>
    <w:rsid w:val="00DC4A30"/>
    <w:rsid w:val="00DC4E4C"/>
    <w:rsid w:val="00DC4F69"/>
    <w:rsid w:val="00DC5A29"/>
    <w:rsid w:val="00DE1215"/>
    <w:rsid w:val="00DE43F3"/>
    <w:rsid w:val="00DE5315"/>
    <w:rsid w:val="00DE57FC"/>
    <w:rsid w:val="00DE61BA"/>
    <w:rsid w:val="00DF25F8"/>
    <w:rsid w:val="00DF292E"/>
    <w:rsid w:val="00DF29C6"/>
    <w:rsid w:val="00DF2C23"/>
    <w:rsid w:val="00DF2C8D"/>
    <w:rsid w:val="00DF2E9B"/>
    <w:rsid w:val="00E01DF4"/>
    <w:rsid w:val="00E0203F"/>
    <w:rsid w:val="00E06446"/>
    <w:rsid w:val="00E10BE3"/>
    <w:rsid w:val="00E11C9E"/>
    <w:rsid w:val="00E128C2"/>
    <w:rsid w:val="00E145FA"/>
    <w:rsid w:val="00E1564F"/>
    <w:rsid w:val="00E1672F"/>
    <w:rsid w:val="00E2261B"/>
    <w:rsid w:val="00E24676"/>
    <w:rsid w:val="00E262EE"/>
    <w:rsid w:val="00E32A61"/>
    <w:rsid w:val="00E34A97"/>
    <w:rsid w:val="00E34BAE"/>
    <w:rsid w:val="00E35CFE"/>
    <w:rsid w:val="00E378CB"/>
    <w:rsid w:val="00E4081D"/>
    <w:rsid w:val="00E408D7"/>
    <w:rsid w:val="00E42342"/>
    <w:rsid w:val="00E43764"/>
    <w:rsid w:val="00E50EA7"/>
    <w:rsid w:val="00E524F8"/>
    <w:rsid w:val="00E53D95"/>
    <w:rsid w:val="00E53E4A"/>
    <w:rsid w:val="00E55D99"/>
    <w:rsid w:val="00E56802"/>
    <w:rsid w:val="00E60650"/>
    <w:rsid w:val="00E60D7C"/>
    <w:rsid w:val="00E610A9"/>
    <w:rsid w:val="00E64962"/>
    <w:rsid w:val="00E70041"/>
    <w:rsid w:val="00E74302"/>
    <w:rsid w:val="00E76681"/>
    <w:rsid w:val="00E838E1"/>
    <w:rsid w:val="00E83AF0"/>
    <w:rsid w:val="00E87313"/>
    <w:rsid w:val="00E87BE7"/>
    <w:rsid w:val="00E943E5"/>
    <w:rsid w:val="00E9482D"/>
    <w:rsid w:val="00E960B8"/>
    <w:rsid w:val="00E9615F"/>
    <w:rsid w:val="00E9619D"/>
    <w:rsid w:val="00E962F0"/>
    <w:rsid w:val="00EA035E"/>
    <w:rsid w:val="00EA0BC2"/>
    <w:rsid w:val="00EA1259"/>
    <w:rsid w:val="00EA1766"/>
    <w:rsid w:val="00EA32E3"/>
    <w:rsid w:val="00EA3579"/>
    <w:rsid w:val="00EB0DC1"/>
    <w:rsid w:val="00EB318E"/>
    <w:rsid w:val="00EB71C5"/>
    <w:rsid w:val="00EC0F76"/>
    <w:rsid w:val="00EC32F5"/>
    <w:rsid w:val="00EC5035"/>
    <w:rsid w:val="00ED08DB"/>
    <w:rsid w:val="00ED76F9"/>
    <w:rsid w:val="00EE02D9"/>
    <w:rsid w:val="00EE049C"/>
    <w:rsid w:val="00EE2273"/>
    <w:rsid w:val="00EE49CD"/>
    <w:rsid w:val="00EF5F18"/>
    <w:rsid w:val="00EF785A"/>
    <w:rsid w:val="00EF7BBA"/>
    <w:rsid w:val="00F01629"/>
    <w:rsid w:val="00F02835"/>
    <w:rsid w:val="00F02DFA"/>
    <w:rsid w:val="00F06D67"/>
    <w:rsid w:val="00F07EB1"/>
    <w:rsid w:val="00F10FC6"/>
    <w:rsid w:val="00F13084"/>
    <w:rsid w:val="00F14E5E"/>
    <w:rsid w:val="00F14EA9"/>
    <w:rsid w:val="00F17E2E"/>
    <w:rsid w:val="00F17E45"/>
    <w:rsid w:val="00F22E1F"/>
    <w:rsid w:val="00F24E62"/>
    <w:rsid w:val="00F25B50"/>
    <w:rsid w:val="00F27224"/>
    <w:rsid w:val="00F27BAB"/>
    <w:rsid w:val="00F30EC0"/>
    <w:rsid w:val="00F37AA5"/>
    <w:rsid w:val="00F4048C"/>
    <w:rsid w:val="00F435E1"/>
    <w:rsid w:val="00F527ED"/>
    <w:rsid w:val="00F628ED"/>
    <w:rsid w:val="00F63EED"/>
    <w:rsid w:val="00F63F88"/>
    <w:rsid w:val="00F64D9C"/>
    <w:rsid w:val="00F65016"/>
    <w:rsid w:val="00F6596C"/>
    <w:rsid w:val="00F66460"/>
    <w:rsid w:val="00F673C5"/>
    <w:rsid w:val="00F70365"/>
    <w:rsid w:val="00F72C75"/>
    <w:rsid w:val="00F735EB"/>
    <w:rsid w:val="00F73729"/>
    <w:rsid w:val="00F73D23"/>
    <w:rsid w:val="00F7734A"/>
    <w:rsid w:val="00F8027D"/>
    <w:rsid w:val="00F81B61"/>
    <w:rsid w:val="00F823D5"/>
    <w:rsid w:val="00F84BB1"/>
    <w:rsid w:val="00F85A38"/>
    <w:rsid w:val="00F8783D"/>
    <w:rsid w:val="00F87F47"/>
    <w:rsid w:val="00F902AC"/>
    <w:rsid w:val="00F92059"/>
    <w:rsid w:val="00F950A5"/>
    <w:rsid w:val="00F95C5E"/>
    <w:rsid w:val="00F9765F"/>
    <w:rsid w:val="00F97F20"/>
    <w:rsid w:val="00FA0BB5"/>
    <w:rsid w:val="00FA115B"/>
    <w:rsid w:val="00FA2CFC"/>
    <w:rsid w:val="00FA3BA7"/>
    <w:rsid w:val="00FB2B31"/>
    <w:rsid w:val="00FB7877"/>
    <w:rsid w:val="00FC050B"/>
    <w:rsid w:val="00FC1791"/>
    <w:rsid w:val="00FC1949"/>
    <w:rsid w:val="00FC3549"/>
    <w:rsid w:val="00FC6B14"/>
    <w:rsid w:val="00FC746C"/>
    <w:rsid w:val="00FD0669"/>
    <w:rsid w:val="00FD06B8"/>
    <w:rsid w:val="00FD28C0"/>
    <w:rsid w:val="00FE2849"/>
    <w:rsid w:val="00FF0028"/>
    <w:rsid w:val="00FF76FA"/>
    <w:rsid w:val="559FA22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9C7E31"/>
  <w15:docId w15:val="{8C159C3E-8247-423D-9019-632FBBA107B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F10FC6"/>
    <w:rPr>
      <w:rFonts w:eastAsiaTheme="minorEastAsia"/>
      <w:lang w:val="en-GB" w:eastAsia="en-GB"/>
    </w:rPr>
  </w:style>
  <w:style w:type="paragraph" w:styleId="Heading1">
    <w:name w:val="heading 1"/>
    <w:aliases w:val="Heading 1.I"/>
    <w:basedOn w:val="Normal"/>
    <w:next w:val="Normal"/>
    <w:link w:val="Heading1Char"/>
    <w:qFormat/>
    <w:rsid w:val="00F10FC6"/>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6FC8"/>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5337D"/>
    <w:pPr>
      <w:keepNext/>
      <w:keepLines/>
      <w:spacing w:before="200" w:after="0"/>
      <w:outlineLvl w:val="2"/>
    </w:pPr>
    <w:rPr>
      <w:rFonts w:asciiTheme="majorHAnsi" w:hAnsiTheme="majorHAnsi" w:eastAsiaTheme="majorEastAsia" w:cstheme="majorBidi"/>
      <w:b/>
      <w:bCs/>
      <w:color w:val="4F81BD" w:themeColor="accent1"/>
    </w:rPr>
  </w:style>
  <w:style w:type="paragraph" w:styleId="Heading4">
    <w:name w:val="heading 4"/>
    <w:aliases w:val="Heading 4.a"/>
    <w:next w:val="Normal"/>
    <w:link w:val="Heading4Char"/>
    <w:qFormat/>
    <w:rsid w:val="0075337D"/>
    <w:pPr>
      <w:keepNext/>
      <w:tabs>
        <w:tab w:val="left" w:pos="1440"/>
      </w:tabs>
      <w:spacing w:before="120" w:after="120" w:line="240" w:lineRule="auto"/>
      <w:jc w:val="both"/>
      <w:outlineLvl w:val="3"/>
    </w:pPr>
    <w:rPr>
      <w:rFonts w:ascii="Times New Roman Bold" w:hAnsi="Times New Roman Bold" w:eastAsia="Times New Roman" w:cs="Times New Roman"/>
      <w:b/>
      <w:noProof/>
      <w:sz w:val="24"/>
      <w:szCs w:val="20"/>
      <w:lang w:val="en-US" w:eastAsia="en-GB"/>
    </w:rPr>
  </w:style>
  <w:style w:type="paragraph" w:styleId="Heading5">
    <w:name w:val="heading 5"/>
    <w:basedOn w:val="Normal"/>
    <w:next w:val="Normal"/>
    <w:link w:val="Heading5Char"/>
    <w:uiPriority w:val="9"/>
    <w:semiHidden/>
    <w:unhideWhenUsed/>
    <w:qFormat/>
    <w:rsid w:val="0075337D"/>
    <w:pPr>
      <w:keepNext/>
      <w:keepLines/>
      <w:numPr>
        <w:ilvl w:val="4"/>
        <w:numId w:val="3"/>
      </w:numPr>
      <w:spacing w:before="200" w:after="0"/>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75337D"/>
    <w:pPr>
      <w:keepNext/>
      <w:keepLines/>
      <w:numPr>
        <w:ilvl w:val="5"/>
        <w:numId w:val="3"/>
      </w:numPr>
      <w:spacing w:before="200" w:after="0"/>
      <w:outlineLvl w:val="5"/>
    </w:pPr>
    <w:rPr>
      <w:rFonts w:asciiTheme="majorHAnsi" w:hAnsiTheme="majorHAnsi"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75337D"/>
    <w:pPr>
      <w:keepNext/>
      <w:keepLines/>
      <w:numPr>
        <w:ilvl w:val="6"/>
        <w:numId w:val="3"/>
      </w:numPr>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75337D"/>
    <w:pPr>
      <w:keepNext/>
      <w:keepLines/>
      <w:numPr>
        <w:ilvl w:val="7"/>
        <w:numId w:val="3"/>
      </w:numPr>
      <w:spacing w:before="200" w:after="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5337D"/>
    <w:pPr>
      <w:keepNext/>
      <w:keepLines/>
      <w:numPr>
        <w:ilvl w:val="8"/>
        <w:numId w:val="3"/>
      </w:numPr>
      <w:spacing w:before="200" w:after="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Heading 1.I Char"/>
    <w:basedOn w:val="DefaultParagraphFont"/>
    <w:link w:val="Heading1"/>
    <w:rsid w:val="00F10FC6"/>
    <w:rPr>
      <w:rFonts w:asciiTheme="majorHAnsi" w:hAnsiTheme="majorHAnsi" w:eastAsiaTheme="majorEastAsia" w:cstheme="majorBidi"/>
      <w:b/>
      <w:bCs/>
      <w:color w:val="365F91" w:themeColor="accent1" w:themeShade="BF"/>
      <w:sz w:val="28"/>
      <w:szCs w:val="28"/>
      <w:lang w:val="en-GB" w:eastAsia="en-GB"/>
    </w:rPr>
  </w:style>
  <w:style w:type="character" w:styleId="Heading2Char" w:customStyle="1">
    <w:name w:val="Heading 2 Char"/>
    <w:basedOn w:val="DefaultParagraphFont"/>
    <w:link w:val="Heading2"/>
    <w:uiPriority w:val="9"/>
    <w:rsid w:val="004A1092"/>
    <w:rPr>
      <w:rFonts w:asciiTheme="majorHAnsi" w:hAnsiTheme="majorHAnsi" w:eastAsiaTheme="majorEastAsia" w:cstheme="majorBidi"/>
      <w:b/>
      <w:bCs/>
      <w:color w:val="4F81BD" w:themeColor="accent1"/>
      <w:sz w:val="26"/>
      <w:szCs w:val="26"/>
      <w:lang w:val="en-GB" w:eastAsia="en-GB"/>
    </w:rPr>
  </w:style>
  <w:style w:type="character" w:styleId="Heading4Char" w:customStyle="1">
    <w:name w:val="Heading 4 Char"/>
    <w:aliases w:val="Heading 4.a Char"/>
    <w:basedOn w:val="DefaultParagraphFont"/>
    <w:link w:val="Heading4"/>
    <w:rsid w:val="00586FC8"/>
    <w:rPr>
      <w:rFonts w:ascii="Times New Roman Bold" w:hAnsi="Times New Roman Bold" w:eastAsia="Times New Roman" w:cs="Times New Roman"/>
      <w:b/>
      <w:noProof/>
      <w:sz w:val="24"/>
      <w:szCs w:val="20"/>
      <w:lang w:val="en-US" w:eastAsia="en-GB"/>
    </w:rPr>
  </w:style>
  <w:style w:type="table" w:styleId="TableGrid">
    <w:name w:val="Table Grid"/>
    <w:basedOn w:val="TableNormal"/>
    <w:uiPriority w:val="59"/>
    <w:rsid w:val="00F10FC6"/>
    <w:pPr>
      <w:spacing w:after="0" w:line="240" w:lineRule="auto"/>
    </w:pPr>
    <w:rPr>
      <w:rFonts w:eastAsiaTheme="minorEastAsia"/>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F10FC6"/>
    <w:pPr>
      <w:outlineLvl w:val="9"/>
    </w:pPr>
    <w:rPr>
      <w:lang w:val="en-US" w:eastAsia="ja-JP"/>
    </w:rPr>
  </w:style>
  <w:style w:type="paragraph" w:styleId="TOC2">
    <w:name w:val="toc 2"/>
    <w:basedOn w:val="Normal"/>
    <w:next w:val="Normal"/>
    <w:autoRedefine/>
    <w:uiPriority w:val="39"/>
    <w:unhideWhenUsed/>
    <w:qFormat/>
    <w:rsid w:val="007351A4"/>
    <w:pPr>
      <w:tabs>
        <w:tab w:val="left" w:pos="900"/>
        <w:tab w:val="right" w:leader="dot" w:pos="8741"/>
      </w:tabs>
      <w:spacing w:before="120" w:after="0" w:line="240" w:lineRule="auto"/>
      <w:ind w:left="548" w:hanging="274"/>
    </w:pPr>
    <w:rPr>
      <w:rFonts w:ascii="Times New Roman" w:hAnsi="Times New Roman" w:cs="Times New Roman"/>
      <w:sz w:val="24"/>
      <w:lang w:val="en-US" w:eastAsia="ja-JP"/>
    </w:rPr>
  </w:style>
  <w:style w:type="paragraph" w:styleId="TOC1">
    <w:name w:val="toc 1"/>
    <w:basedOn w:val="Normal"/>
    <w:next w:val="Normal"/>
    <w:autoRedefine/>
    <w:uiPriority w:val="39"/>
    <w:unhideWhenUsed/>
    <w:qFormat/>
    <w:rsid w:val="0086613E"/>
    <w:pPr>
      <w:tabs>
        <w:tab w:val="right" w:leader="dot" w:pos="8741"/>
      </w:tabs>
      <w:spacing w:before="240" w:after="240" w:line="240" w:lineRule="auto"/>
      <w:ind w:left="547" w:hanging="547"/>
    </w:pPr>
    <w:rPr>
      <w:rFonts w:ascii="Times New Roman" w:hAnsi="Times New Roman" w:cs="Times New Roman"/>
      <w:b/>
      <w:smallCaps/>
      <w:noProof/>
      <w:sz w:val="24"/>
      <w:lang w:val="es-ES_tradnl" w:eastAsia="ja-JP"/>
    </w:rPr>
  </w:style>
  <w:style w:type="paragraph" w:styleId="TOC3">
    <w:name w:val="toc 3"/>
    <w:basedOn w:val="Normal"/>
    <w:next w:val="Normal"/>
    <w:autoRedefine/>
    <w:uiPriority w:val="39"/>
    <w:unhideWhenUsed/>
    <w:qFormat/>
    <w:rsid w:val="00F950A5"/>
    <w:pPr>
      <w:tabs>
        <w:tab w:val="left" w:pos="540"/>
        <w:tab w:val="left" w:pos="810"/>
        <w:tab w:val="right" w:leader="dot" w:pos="8741"/>
      </w:tabs>
      <w:spacing w:before="120" w:after="0" w:line="240" w:lineRule="auto"/>
      <w:ind w:left="547"/>
      <w:jc w:val="both"/>
    </w:pPr>
    <w:rPr>
      <w:rFonts w:ascii="Arial" w:hAnsi="Arial" w:cs="Arial"/>
      <w:smallCaps/>
      <w:lang w:val="en-US" w:eastAsia="ja-JP"/>
    </w:rPr>
  </w:style>
  <w:style w:type="paragraph" w:styleId="BalloonText">
    <w:name w:val="Balloon Text"/>
    <w:basedOn w:val="Normal"/>
    <w:link w:val="BalloonTextChar"/>
    <w:uiPriority w:val="99"/>
    <w:semiHidden/>
    <w:unhideWhenUsed/>
    <w:rsid w:val="00F10FC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10FC6"/>
    <w:rPr>
      <w:rFonts w:ascii="Tahoma" w:hAnsi="Tahoma" w:cs="Tahoma" w:eastAsiaTheme="minorEastAsia"/>
      <w:sz w:val="16"/>
      <w:szCs w:val="16"/>
      <w:lang w:val="en-GB" w:eastAsia="en-GB"/>
    </w:rPr>
  </w:style>
  <w:style w:type="character" w:styleId="Hyperlink">
    <w:name w:val="Hyperlink"/>
    <w:basedOn w:val="DefaultParagraphFont"/>
    <w:uiPriority w:val="99"/>
    <w:unhideWhenUsed/>
    <w:rsid w:val="00F10FC6"/>
    <w:rPr>
      <w:color w:val="0000FF" w:themeColor="hyperlink"/>
      <w:u w:val="single"/>
    </w:rPr>
  </w:style>
  <w:style w:type="paragraph" w:styleId="ListParagraph">
    <w:name w:val="List Paragraph"/>
    <w:basedOn w:val="Normal"/>
    <w:link w:val="ListParagraphChar"/>
    <w:uiPriority w:val="34"/>
    <w:qFormat/>
    <w:rsid w:val="00F10FC6"/>
    <w:pPr>
      <w:ind w:left="720"/>
      <w:contextualSpacing/>
    </w:pPr>
  </w:style>
  <w:style w:type="paragraph" w:styleId="AutoNumpara" w:customStyle="1">
    <w:name w:val="AutoNumpara"/>
    <w:basedOn w:val="BodyTextIndent"/>
    <w:rsid w:val="00F10FC6"/>
    <w:pPr>
      <w:spacing w:before="120"/>
      <w:ind w:left="0"/>
      <w:jc w:val="both"/>
    </w:pPr>
    <w:rPr>
      <w:rFonts w:eastAsia="Times New Roman"/>
      <w:noProof/>
      <w:spacing w:val="-2"/>
      <w:szCs w:val="20"/>
      <w:lang w:val="es-ES_tradnl"/>
    </w:rPr>
  </w:style>
  <w:style w:type="paragraph" w:styleId="BodyTextIndent">
    <w:name w:val="Body Text Indent"/>
    <w:basedOn w:val="Normal"/>
    <w:link w:val="BodyTextIndentChar"/>
    <w:uiPriority w:val="99"/>
    <w:semiHidden/>
    <w:unhideWhenUsed/>
    <w:rsid w:val="00F10FC6"/>
    <w:pPr>
      <w:spacing w:after="120" w:line="240" w:lineRule="auto"/>
      <w:ind w:left="360"/>
    </w:pPr>
    <w:rPr>
      <w:rFonts w:ascii="Times New Roman" w:hAnsi="Times New Roman" w:cs="Times New Roman"/>
      <w:sz w:val="24"/>
    </w:rPr>
  </w:style>
  <w:style w:type="character" w:styleId="BodyTextIndentChar" w:customStyle="1">
    <w:name w:val="Body Text Indent Char"/>
    <w:basedOn w:val="DefaultParagraphFont"/>
    <w:link w:val="BodyTextIndent"/>
    <w:uiPriority w:val="99"/>
    <w:semiHidden/>
    <w:rsid w:val="00F10FC6"/>
    <w:rPr>
      <w:rFonts w:ascii="Times New Roman" w:hAnsi="Times New Roman" w:cs="Times New Roman" w:eastAsiaTheme="minorEastAsia"/>
      <w:sz w:val="24"/>
      <w:lang w:val="en-GB" w:eastAsia="en-GB"/>
    </w:rPr>
  </w:style>
  <w:style w:type="paragraph" w:styleId="Title">
    <w:name w:val="Title"/>
    <w:basedOn w:val="Normal"/>
    <w:link w:val="TitleChar"/>
    <w:qFormat/>
    <w:rsid w:val="00F10FC6"/>
    <w:pPr>
      <w:tabs>
        <w:tab w:val="left" w:pos="1440"/>
        <w:tab w:val="left" w:pos="3060"/>
      </w:tabs>
      <w:spacing w:after="0" w:line="240" w:lineRule="auto"/>
      <w:jc w:val="center"/>
      <w:outlineLvl w:val="0"/>
    </w:pPr>
    <w:rPr>
      <w:rFonts w:ascii="Times New Roman" w:hAnsi="Times New Roman" w:eastAsia="Times New Roman" w:cs="Times New Roman"/>
      <w:sz w:val="24"/>
      <w:szCs w:val="20"/>
      <w:lang w:val="es-ES_tradnl"/>
    </w:rPr>
  </w:style>
  <w:style w:type="character" w:styleId="TitleChar" w:customStyle="1">
    <w:name w:val="Title Char"/>
    <w:basedOn w:val="DefaultParagraphFont"/>
    <w:link w:val="Title"/>
    <w:rsid w:val="00F10FC6"/>
    <w:rPr>
      <w:rFonts w:ascii="Times New Roman" w:hAnsi="Times New Roman" w:eastAsia="Times New Roman" w:cs="Times New Roman"/>
      <w:sz w:val="24"/>
      <w:szCs w:val="20"/>
      <w:lang w:val="es-ES_tradnl" w:eastAsia="en-GB"/>
    </w:rPr>
  </w:style>
  <w:style w:type="paragraph" w:styleId="bullets" w:customStyle="1">
    <w:name w:val="bullets"/>
    <w:rsid w:val="00F10FC6"/>
    <w:pPr>
      <w:numPr>
        <w:numId w:val="1"/>
      </w:numPr>
      <w:spacing w:before="120" w:after="120" w:line="240" w:lineRule="auto"/>
      <w:jc w:val="both"/>
    </w:pPr>
    <w:rPr>
      <w:rFonts w:ascii="Times New Roman" w:hAnsi="Times New Roman" w:eastAsia="Times New Roman" w:cs="Times New Roman"/>
      <w:spacing w:val="-2"/>
      <w:sz w:val="24"/>
      <w:szCs w:val="20"/>
      <w:lang w:val="en-US" w:eastAsia="en-GB"/>
    </w:rPr>
  </w:style>
  <w:style w:type="character" w:styleId="PlaceholderText">
    <w:name w:val="Placeholder Text"/>
    <w:basedOn w:val="DefaultParagraphFont"/>
    <w:uiPriority w:val="99"/>
    <w:semiHidden/>
    <w:rsid w:val="00F10FC6"/>
    <w:rPr>
      <w:color w:val="808080"/>
    </w:rPr>
  </w:style>
  <w:style w:type="paragraph" w:styleId="Paragraph" w:customStyle="1">
    <w:name w:val="Paragraph"/>
    <w:aliases w:val="paragraph,p,PARAGRAPH,PG,pa,at"/>
    <w:basedOn w:val="BodyTextIndent"/>
    <w:link w:val="ParagraphChar"/>
    <w:qFormat/>
    <w:rsid w:val="0075337D"/>
    <w:pPr>
      <w:numPr>
        <w:ilvl w:val="1"/>
        <w:numId w:val="2"/>
      </w:numPr>
      <w:spacing w:before="120"/>
      <w:jc w:val="both"/>
      <w:outlineLvl w:val="1"/>
    </w:pPr>
    <w:rPr>
      <w:rFonts w:eastAsia="Times New Roman"/>
      <w:szCs w:val="20"/>
      <w:lang w:val="en-US"/>
    </w:rPr>
  </w:style>
  <w:style w:type="character" w:styleId="ParagraphChar" w:customStyle="1">
    <w:name w:val="Paragraph Char"/>
    <w:link w:val="Paragraph"/>
    <w:rsid w:val="0075337D"/>
    <w:rPr>
      <w:rFonts w:ascii="Times New Roman" w:hAnsi="Times New Roman" w:eastAsia="Times New Roman" w:cs="Times New Roman"/>
      <w:sz w:val="24"/>
      <w:szCs w:val="20"/>
      <w:lang w:val="en-US" w:eastAsia="en-GB"/>
    </w:rPr>
  </w:style>
  <w:style w:type="paragraph" w:styleId="FootnoteText">
    <w:name w:val="footnote text"/>
    <w:aliases w:val="fn,Texto nota pie IIRSA,single space,texto de nota al pie,Texto nota pie Car Car Car Car Car Car Car Car,Texto nota pie Car Car Car,Footnote Text Char Char Char Char Char Char,Texto nota pie Car Car Car Car Car,Texto nota pie Car1,Texto,F"/>
    <w:basedOn w:val="Normal"/>
    <w:link w:val="FootnoteTextChar"/>
    <w:unhideWhenUsed/>
    <w:qFormat/>
    <w:rsid w:val="00F10FC6"/>
    <w:pPr>
      <w:keepNext/>
      <w:keepLines/>
      <w:spacing w:after="120" w:line="240" w:lineRule="auto"/>
      <w:ind w:left="288" w:hanging="288"/>
      <w:jc w:val="both"/>
    </w:pPr>
    <w:rPr>
      <w:rFonts w:ascii="Times New Roman" w:hAnsi="Times New Roman" w:cs="Times New Roman"/>
      <w:spacing w:val="-3"/>
      <w:sz w:val="20"/>
      <w:szCs w:val="20"/>
      <w:lang w:val="en-US"/>
    </w:rPr>
  </w:style>
  <w:style w:type="character" w:styleId="FootnoteTextChar" w:customStyle="1">
    <w:name w:val="Footnote Text Char"/>
    <w:aliases w:val="fn Char,Texto nota pie IIRSA Char,single space Char,texto de nota al pie Char,Texto nota pie Car Car Car Car Car Car Car Car Char,Texto nota pie Car Car Car Char,Footnote Text Char Char Char Char Char Char Char,Texto Char,F Char"/>
    <w:basedOn w:val="DefaultParagraphFont"/>
    <w:link w:val="FootnoteText"/>
    <w:rsid w:val="00F10FC6"/>
    <w:rPr>
      <w:rFonts w:ascii="Times New Roman" w:hAnsi="Times New Roman" w:cs="Times New Roman" w:eastAsiaTheme="minorEastAsia"/>
      <w:spacing w:val="-3"/>
      <w:sz w:val="20"/>
      <w:szCs w:val="20"/>
      <w:lang w:val="en-US" w:eastAsia="en-GB"/>
    </w:rPr>
  </w:style>
  <w:style w:type="character" w:styleId="FootnoteReference">
    <w:name w:val="footnote reference"/>
    <w:aliases w:val="ftref,Fußnotenzeichen DISS,16 Point,Superscript 6 Point,BVI fnr, BVI fnr,Знак сноски 1,referencia nota al pie,titulo 2,FC,Footnote Referencefra,Ref. de nota al pie.,Stinking Styles11,Texto de nota al pie,Footnote symbol,Footnote,fr"/>
    <w:basedOn w:val="DefaultParagraphFont"/>
    <w:uiPriority w:val="99"/>
    <w:unhideWhenUsed/>
    <w:qFormat/>
    <w:rsid w:val="00F10FC6"/>
    <w:rPr>
      <w:vertAlign w:val="superscript"/>
    </w:rPr>
  </w:style>
  <w:style w:type="paragraph" w:styleId="Chapter" w:customStyle="1">
    <w:name w:val="Chapter"/>
    <w:basedOn w:val="Normal"/>
    <w:next w:val="Normal"/>
    <w:qFormat/>
    <w:rsid w:val="0075337D"/>
    <w:pPr>
      <w:keepNext/>
      <w:numPr>
        <w:numId w:val="2"/>
      </w:numPr>
      <w:tabs>
        <w:tab w:val="left" w:pos="1440"/>
      </w:tabs>
      <w:spacing w:before="240" w:after="240" w:line="240" w:lineRule="auto"/>
      <w:jc w:val="center"/>
    </w:pPr>
    <w:rPr>
      <w:rFonts w:ascii="Times New Roman" w:hAnsi="Times New Roman" w:eastAsia="Times New Roman" w:cs="Times New Roman"/>
      <w:b/>
      <w:smallCaps/>
      <w:sz w:val="24"/>
      <w:szCs w:val="20"/>
      <w:lang w:val="en-US"/>
    </w:rPr>
  </w:style>
  <w:style w:type="paragraph" w:styleId="subpar" w:customStyle="1">
    <w:name w:val="subpar"/>
    <w:basedOn w:val="BodyTextIndent3"/>
    <w:link w:val="subparChar"/>
    <w:rsid w:val="0075337D"/>
    <w:pPr>
      <w:numPr>
        <w:ilvl w:val="2"/>
        <w:numId w:val="2"/>
      </w:numPr>
      <w:spacing w:before="120"/>
      <w:jc w:val="both"/>
      <w:outlineLvl w:val="2"/>
    </w:pPr>
    <w:rPr>
      <w:rFonts w:eastAsia="Times New Roman"/>
      <w:szCs w:val="20"/>
      <w:lang w:val="en-US"/>
    </w:rPr>
  </w:style>
  <w:style w:type="paragraph" w:styleId="SubSubPar" w:customStyle="1">
    <w:name w:val="SubSubPar"/>
    <w:basedOn w:val="subpar"/>
    <w:link w:val="SubSubParChar"/>
    <w:uiPriority w:val="99"/>
    <w:rsid w:val="0075337D"/>
    <w:pPr>
      <w:numPr>
        <w:ilvl w:val="3"/>
        <w:numId w:val="0"/>
      </w:numPr>
      <w:tabs>
        <w:tab w:val="left" w:pos="0"/>
        <w:tab w:val="num" w:pos="1296"/>
      </w:tabs>
      <w:ind w:left="1296"/>
    </w:pPr>
  </w:style>
  <w:style w:type="paragraph" w:styleId="BodyTextIndent3">
    <w:name w:val="Body Text Indent 3"/>
    <w:basedOn w:val="Normal"/>
    <w:link w:val="BodyTextIndent3Char"/>
    <w:uiPriority w:val="99"/>
    <w:semiHidden/>
    <w:unhideWhenUsed/>
    <w:rsid w:val="00F10FC6"/>
    <w:pPr>
      <w:spacing w:after="120" w:line="240" w:lineRule="auto"/>
      <w:ind w:left="360"/>
    </w:pPr>
    <w:rPr>
      <w:rFonts w:ascii="Times New Roman" w:hAnsi="Times New Roman" w:cs="Times New Roman"/>
      <w:sz w:val="24"/>
      <w:szCs w:val="16"/>
    </w:rPr>
  </w:style>
  <w:style w:type="character" w:styleId="BodyTextIndent3Char" w:customStyle="1">
    <w:name w:val="Body Text Indent 3 Char"/>
    <w:basedOn w:val="DefaultParagraphFont"/>
    <w:link w:val="BodyTextIndent3"/>
    <w:uiPriority w:val="99"/>
    <w:semiHidden/>
    <w:rsid w:val="00F10FC6"/>
    <w:rPr>
      <w:rFonts w:ascii="Times New Roman" w:hAnsi="Times New Roman" w:cs="Times New Roman" w:eastAsiaTheme="minorEastAsia"/>
      <w:sz w:val="24"/>
      <w:szCs w:val="16"/>
      <w:lang w:val="en-GB" w:eastAsia="en-GB"/>
    </w:rPr>
  </w:style>
  <w:style w:type="character" w:styleId="CommentReference">
    <w:name w:val="annotation reference"/>
    <w:basedOn w:val="DefaultParagraphFont"/>
    <w:uiPriority w:val="99"/>
    <w:semiHidden/>
    <w:unhideWhenUsed/>
    <w:rsid w:val="00F10FC6"/>
    <w:rPr>
      <w:sz w:val="16"/>
      <w:szCs w:val="16"/>
    </w:rPr>
  </w:style>
  <w:style w:type="paragraph" w:styleId="CommentText">
    <w:name w:val="annotation text"/>
    <w:basedOn w:val="Normal"/>
    <w:link w:val="CommentTextChar"/>
    <w:uiPriority w:val="99"/>
    <w:unhideWhenUsed/>
    <w:rsid w:val="00F10FC6"/>
    <w:pPr>
      <w:spacing w:line="240" w:lineRule="auto"/>
    </w:pPr>
    <w:rPr>
      <w:sz w:val="20"/>
      <w:szCs w:val="20"/>
    </w:rPr>
  </w:style>
  <w:style w:type="character" w:styleId="CommentTextChar" w:customStyle="1">
    <w:name w:val="Comment Text Char"/>
    <w:basedOn w:val="DefaultParagraphFont"/>
    <w:link w:val="CommentText"/>
    <w:uiPriority w:val="99"/>
    <w:rsid w:val="00F10FC6"/>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F10FC6"/>
    <w:rPr>
      <w:b/>
      <w:bCs/>
    </w:rPr>
  </w:style>
  <w:style w:type="character" w:styleId="CommentSubjectChar" w:customStyle="1">
    <w:name w:val="Comment Subject Char"/>
    <w:basedOn w:val="CommentTextChar"/>
    <w:link w:val="CommentSubject"/>
    <w:uiPriority w:val="99"/>
    <w:semiHidden/>
    <w:rsid w:val="00F10FC6"/>
    <w:rPr>
      <w:rFonts w:eastAsiaTheme="minorEastAsia"/>
      <w:b/>
      <w:bCs/>
      <w:sz w:val="20"/>
      <w:szCs w:val="20"/>
      <w:lang w:val="en-GB" w:eastAsia="en-GB"/>
    </w:rPr>
  </w:style>
  <w:style w:type="character" w:styleId="SubSubParChar" w:customStyle="1">
    <w:name w:val="SubSubPar Char"/>
    <w:basedOn w:val="DefaultParagraphFont"/>
    <w:link w:val="SubSubPar"/>
    <w:rsid w:val="0075337D"/>
    <w:rPr>
      <w:rFonts w:ascii="Times New Roman" w:hAnsi="Times New Roman" w:eastAsia="Times New Roman" w:cs="Times New Roman"/>
      <w:sz w:val="24"/>
      <w:szCs w:val="20"/>
      <w:lang w:val="en-US" w:eastAsia="en-GB"/>
    </w:rPr>
  </w:style>
  <w:style w:type="paragraph" w:styleId="BodyText">
    <w:name w:val="Body Text"/>
    <w:basedOn w:val="Normal"/>
    <w:link w:val="BodyTextChar"/>
    <w:uiPriority w:val="99"/>
    <w:semiHidden/>
    <w:unhideWhenUsed/>
    <w:rsid w:val="00F10FC6"/>
    <w:pPr>
      <w:spacing w:after="120"/>
    </w:pPr>
  </w:style>
  <w:style w:type="character" w:styleId="BodyTextChar" w:customStyle="1">
    <w:name w:val="Body Text Char"/>
    <w:basedOn w:val="DefaultParagraphFont"/>
    <w:link w:val="BodyText"/>
    <w:uiPriority w:val="99"/>
    <w:semiHidden/>
    <w:rsid w:val="00F10FC6"/>
    <w:rPr>
      <w:rFonts w:eastAsiaTheme="minorEastAsia"/>
      <w:lang w:val="en-GB" w:eastAsia="en-GB"/>
    </w:rPr>
  </w:style>
  <w:style w:type="character" w:styleId="apple-converted-space" w:customStyle="1">
    <w:name w:val="apple-converted-space"/>
    <w:basedOn w:val="DefaultParagraphFont"/>
    <w:rsid w:val="00F10FC6"/>
  </w:style>
  <w:style w:type="character" w:styleId="letrasmini" w:customStyle="1">
    <w:name w:val="letrasmini"/>
    <w:basedOn w:val="DefaultParagraphFont"/>
    <w:rsid w:val="00F10FC6"/>
  </w:style>
  <w:style w:type="table" w:styleId="LightList">
    <w:name w:val="Light List"/>
    <w:basedOn w:val="TableNormal"/>
    <w:uiPriority w:val="61"/>
    <w:rsid w:val="00F10FC6"/>
    <w:pPr>
      <w:spacing w:after="0" w:line="240" w:lineRule="auto"/>
    </w:pPr>
    <w:rPr>
      <w:rFonts w:eastAsiaTheme="minorEastAsia"/>
      <w:lang w:val="en-GB" w:eastAsia="en-GB"/>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paragraph" w:styleId="FirstHeading" w:customStyle="1">
    <w:name w:val="FirstHeading"/>
    <w:basedOn w:val="Normal"/>
    <w:next w:val="Normal"/>
    <w:link w:val="FirstHeadingChar"/>
    <w:rsid w:val="0075337D"/>
    <w:pPr>
      <w:keepNext/>
      <w:numPr>
        <w:numId w:val="3"/>
      </w:numPr>
      <w:tabs>
        <w:tab w:val="left" w:pos="0"/>
        <w:tab w:val="left" w:pos="86"/>
      </w:tabs>
      <w:spacing w:before="120" w:after="120" w:line="240" w:lineRule="auto"/>
    </w:pPr>
    <w:rPr>
      <w:rFonts w:ascii="Times New Roman" w:hAnsi="Times New Roman" w:cs="Times New Roman"/>
      <w:b/>
      <w:sz w:val="24"/>
      <w:szCs w:val="24"/>
      <w:lang w:val="en-US"/>
    </w:rPr>
  </w:style>
  <w:style w:type="character" w:styleId="FirstHeadingChar" w:customStyle="1">
    <w:name w:val="FirstHeading Char"/>
    <w:basedOn w:val="DefaultParagraphFont"/>
    <w:link w:val="FirstHeading"/>
    <w:rsid w:val="0075337D"/>
    <w:rPr>
      <w:rFonts w:ascii="Times New Roman" w:hAnsi="Times New Roman" w:cs="Times New Roman" w:eastAsiaTheme="minorEastAsia"/>
      <w:b/>
      <w:sz w:val="24"/>
      <w:szCs w:val="24"/>
      <w:lang w:val="en-US" w:eastAsia="en-GB"/>
    </w:rPr>
  </w:style>
  <w:style w:type="paragraph" w:styleId="SecHeading" w:customStyle="1">
    <w:name w:val="SecHeading"/>
    <w:basedOn w:val="Normal"/>
    <w:next w:val="Paragraph"/>
    <w:link w:val="SecHeadingChar"/>
    <w:rsid w:val="0075337D"/>
    <w:pPr>
      <w:keepNext/>
      <w:numPr>
        <w:ilvl w:val="1"/>
        <w:numId w:val="3"/>
      </w:numPr>
      <w:spacing w:before="120" w:after="120" w:line="240" w:lineRule="auto"/>
    </w:pPr>
    <w:rPr>
      <w:rFonts w:ascii="Times New Roman" w:hAnsi="Times New Roman" w:cs="Times New Roman"/>
      <w:b/>
      <w:sz w:val="24"/>
      <w:szCs w:val="24"/>
      <w:lang w:val="en-US"/>
    </w:rPr>
  </w:style>
  <w:style w:type="character" w:styleId="SecHeadingChar" w:customStyle="1">
    <w:name w:val="SecHeading Char"/>
    <w:basedOn w:val="DefaultParagraphFont"/>
    <w:link w:val="SecHeading"/>
    <w:rsid w:val="0075337D"/>
    <w:rPr>
      <w:rFonts w:ascii="Times New Roman" w:hAnsi="Times New Roman" w:cs="Times New Roman" w:eastAsiaTheme="minorEastAsia"/>
      <w:b/>
      <w:sz w:val="24"/>
      <w:szCs w:val="24"/>
      <w:lang w:val="en-US" w:eastAsia="en-GB"/>
    </w:rPr>
  </w:style>
  <w:style w:type="paragraph" w:styleId="SubHeading1" w:customStyle="1">
    <w:name w:val="SubHeading1"/>
    <w:basedOn w:val="SecHeading"/>
    <w:link w:val="SubHeading1Char"/>
    <w:rsid w:val="0075337D"/>
    <w:pPr>
      <w:numPr>
        <w:ilvl w:val="2"/>
      </w:numPr>
    </w:pPr>
  </w:style>
  <w:style w:type="character" w:styleId="SubHeading1Char" w:customStyle="1">
    <w:name w:val="SubHeading1 Char"/>
    <w:basedOn w:val="DefaultParagraphFont"/>
    <w:link w:val="SubHeading1"/>
    <w:rsid w:val="0075337D"/>
    <w:rPr>
      <w:rFonts w:ascii="Times New Roman" w:hAnsi="Times New Roman" w:cs="Times New Roman" w:eastAsiaTheme="minorEastAsia"/>
      <w:b/>
      <w:sz w:val="24"/>
      <w:szCs w:val="24"/>
      <w:lang w:val="en-US" w:eastAsia="en-GB"/>
    </w:rPr>
  </w:style>
  <w:style w:type="paragraph" w:styleId="Subheading2" w:customStyle="1">
    <w:name w:val="Subheading2"/>
    <w:basedOn w:val="SecHeading"/>
    <w:link w:val="Subheading2Char"/>
    <w:rsid w:val="0075337D"/>
    <w:pPr>
      <w:numPr>
        <w:ilvl w:val="3"/>
      </w:numPr>
      <w:tabs>
        <w:tab w:val="clear" w:pos="6480"/>
        <w:tab w:val="num" w:pos="2376"/>
      </w:tabs>
      <w:ind w:left="2376"/>
    </w:pPr>
  </w:style>
  <w:style w:type="character" w:styleId="Subheading2Char" w:customStyle="1">
    <w:name w:val="Subheading2 Char"/>
    <w:basedOn w:val="DefaultParagraphFont"/>
    <w:link w:val="Subheading2"/>
    <w:rsid w:val="0075337D"/>
    <w:rPr>
      <w:rFonts w:ascii="Times New Roman" w:hAnsi="Times New Roman" w:cs="Times New Roman" w:eastAsiaTheme="minorEastAsia"/>
      <w:b/>
      <w:sz w:val="24"/>
      <w:szCs w:val="24"/>
      <w:lang w:val="en-US" w:eastAsia="en-GB"/>
    </w:rPr>
  </w:style>
  <w:style w:type="paragraph" w:styleId="Regtable" w:customStyle="1">
    <w:name w:val="Regtable"/>
    <w:basedOn w:val="Normal"/>
    <w:link w:val="RegtableChar"/>
    <w:rsid w:val="0075337D"/>
    <w:pPr>
      <w:keepLines/>
      <w:framePr w:wrap="around" w:hAnchor="text" w:vAnchor="text" w:y="1"/>
      <w:spacing w:before="20" w:after="20" w:line="240" w:lineRule="auto"/>
    </w:pPr>
    <w:rPr>
      <w:rFonts w:ascii="Times New Roman" w:hAnsi="Times New Roman" w:cs="Times New Roman"/>
      <w:sz w:val="20"/>
      <w:szCs w:val="24"/>
      <w:lang w:val="en-US"/>
    </w:rPr>
  </w:style>
  <w:style w:type="character" w:styleId="RegtableChar" w:customStyle="1">
    <w:name w:val="Regtable Char"/>
    <w:basedOn w:val="DefaultParagraphFont"/>
    <w:link w:val="Regtable"/>
    <w:rsid w:val="0075337D"/>
    <w:rPr>
      <w:rFonts w:ascii="Times New Roman" w:hAnsi="Times New Roman" w:cs="Times New Roman" w:eastAsiaTheme="minorEastAsia"/>
      <w:sz w:val="20"/>
      <w:szCs w:val="24"/>
      <w:lang w:val="en-US" w:eastAsia="en-GB"/>
    </w:rPr>
  </w:style>
  <w:style w:type="paragraph" w:styleId="TableTitle" w:customStyle="1">
    <w:name w:val="TableTitle"/>
    <w:basedOn w:val="Normal"/>
    <w:link w:val="TableTitleChar"/>
    <w:rsid w:val="0075337D"/>
    <w:pPr>
      <w:keepNext/>
      <w:framePr w:wrap="around" w:hAnchor="text" w:vAnchor="text" w:y="1"/>
      <w:spacing w:before="20" w:after="20" w:line="240" w:lineRule="auto"/>
      <w:jc w:val="center"/>
    </w:pPr>
    <w:rPr>
      <w:rFonts w:ascii="Times New Roman Bold" w:hAnsi="Times New Roman Bold" w:cs="Times New Roman"/>
      <w:b/>
      <w:spacing w:val="-3"/>
      <w:sz w:val="20"/>
      <w:szCs w:val="24"/>
      <w:lang w:val="en-US"/>
    </w:rPr>
  </w:style>
  <w:style w:type="character" w:styleId="TableTitleChar" w:customStyle="1">
    <w:name w:val="TableTitle Char"/>
    <w:basedOn w:val="DefaultParagraphFont"/>
    <w:link w:val="TableTitle"/>
    <w:rsid w:val="0075337D"/>
    <w:rPr>
      <w:rFonts w:ascii="Times New Roman Bold" w:hAnsi="Times New Roman Bold" w:cs="Times New Roman" w:eastAsiaTheme="minorEastAsia"/>
      <w:b/>
      <w:spacing w:val="-3"/>
      <w:sz w:val="20"/>
      <w:szCs w:val="24"/>
      <w:lang w:val="en-US" w:eastAsia="en-GB"/>
    </w:rPr>
  </w:style>
  <w:style w:type="character" w:styleId="Heading3Char" w:customStyle="1">
    <w:name w:val="Heading 3 Char"/>
    <w:basedOn w:val="DefaultParagraphFont"/>
    <w:link w:val="Heading3"/>
    <w:uiPriority w:val="9"/>
    <w:semiHidden/>
    <w:rsid w:val="00586FC8"/>
    <w:rPr>
      <w:rFonts w:asciiTheme="majorHAnsi" w:hAnsiTheme="majorHAnsi" w:eastAsiaTheme="majorEastAsia" w:cstheme="majorBidi"/>
      <w:b/>
      <w:bCs/>
      <w:color w:val="4F81BD" w:themeColor="accent1"/>
      <w:lang w:val="en-GB" w:eastAsia="en-GB"/>
    </w:rPr>
  </w:style>
  <w:style w:type="character" w:styleId="Heading5Char" w:customStyle="1">
    <w:name w:val="Heading 5 Char"/>
    <w:basedOn w:val="DefaultParagraphFont"/>
    <w:link w:val="Heading5"/>
    <w:uiPriority w:val="9"/>
    <w:semiHidden/>
    <w:rsid w:val="0075337D"/>
    <w:rPr>
      <w:rFonts w:asciiTheme="majorHAnsi" w:hAnsiTheme="majorHAnsi" w:eastAsiaTheme="majorEastAsia" w:cstheme="majorBidi"/>
      <w:color w:val="243F60" w:themeColor="accent1" w:themeShade="7F"/>
      <w:lang w:val="en-GB" w:eastAsia="en-GB"/>
    </w:rPr>
  </w:style>
  <w:style w:type="character" w:styleId="Heading6Char" w:customStyle="1">
    <w:name w:val="Heading 6 Char"/>
    <w:basedOn w:val="DefaultParagraphFont"/>
    <w:link w:val="Heading6"/>
    <w:uiPriority w:val="9"/>
    <w:semiHidden/>
    <w:rsid w:val="0075337D"/>
    <w:rPr>
      <w:rFonts w:asciiTheme="majorHAnsi" w:hAnsiTheme="majorHAnsi" w:eastAsiaTheme="majorEastAsia" w:cstheme="majorBidi"/>
      <w:i/>
      <w:iCs/>
      <w:color w:val="243F60" w:themeColor="accent1" w:themeShade="7F"/>
      <w:lang w:val="en-GB" w:eastAsia="en-GB"/>
    </w:rPr>
  </w:style>
  <w:style w:type="character" w:styleId="Heading7Char" w:customStyle="1">
    <w:name w:val="Heading 7 Char"/>
    <w:basedOn w:val="DefaultParagraphFont"/>
    <w:link w:val="Heading7"/>
    <w:uiPriority w:val="9"/>
    <w:semiHidden/>
    <w:rsid w:val="0075337D"/>
    <w:rPr>
      <w:rFonts w:asciiTheme="majorHAnsi" w:hAnsiTheme="majorHAnsi" w:eastAsiaTheme="majorEastAsia" w:cstheme="majorBidi"/>
      <w:i/>
      <w:iCs/>
      <w:color w:val="404040" w:themeColor="text1" w:themeTint="BF"/>
      <w:lang w:val="en-GB" w:eastAsia="en-GB"/>
    </w:rPr>
  </w:style>
  <w:style w:type="character" w:styleId="Heading8Char" w:customStyle="1">
    <w:name w:val="Heading 8 Char"/>
    <w:basedOn w:val="DefaultParagraphFont"/>
    <w:link w:val="Heading8"/>
    <w:uiPriority w:val="9"/>
    <w:rsid w:val="0075337D"/>
    <w:rPr>
      <w:rFonts w:asciiTheme="majorHAnsi" w:hAnsiTheme="majorHAnsi" w:eastAsiaTheme="majorEastAsia" w:cstheme="majorBidi"/>
      <w:color w:val="404040" w:themeColor="text1" w:themeTint="BF"/>
      <w:sz w:val="20"/>
      <w:szCs w:val="20"/>
      <w:lang w:val="en-GB" w:eastAsia="en-GB"/>
    </w:rPr>
  </w:style>
  <w:style w:type="character" w:styleId="Heading9Char" w:customStyle="1">
    <w:name w:val="Heading 9 Char"/>
    <w:basedOn w:val="DefaultParagraphFont"/>
    <w:link w:val="Heading9"/>
    <w:uiPriority w:val="9"/>
    <w:semiHidden/>
    <w:rsid w:val="0075337D"/>
    <w:rPr>
      <w:rFonts w:asciiTheme="majorHAnsi" w:hAnsiTheme="majorHAnsi" w:eastAsiaTheme="majorEastAsia" w:cstheme="majorBidi"/>
      <w:i/>
      <w:iCs/>
      <w:color w:val="404040" w:themeColor="text1" w:themeTint="BF"/>
      <w:sz w:val="20"/>
      <w:szCs w:val="20"/>
      <w:lang w:val="en-GB" w:eastAsia="en-GB"/>
    </w:rPr>
  </w:style>
  <w:style w:type="character" w:styleId="ListParagraphChar" w:customStyle="1">
    <w:name w:val="List Paragraph Char"/>
    <w:basedOn w:val="DefaultParagraphFont"/>
    <w:link w:val="ListParagraph"/>
    <w:uiPriority w:val="34"/>
    <w:rsid w:val="00C8175E"/>
    <w:rPr>
      <w:rFonts w:eastAsiaTheme="minorEastAsia"/>
      <w:lang w:val="en-GB" w:eastAsia="en-GB"/>
    </w:rPr>
  </w:style>
  <w:style w:type="paragraph" w:styleId="Header">
    <w:name w:val="header"/>
    <w:basedOn w:val="Normal"/>
    <w:link w:val="HeaderChar"/>
    <w:uiPriority w:val="99"/>
    <w:unhideWhenUsed/>
    <w:rsid w:val="004C2AAC"/>
    <w:pPr>
      <w:tabs>
        <w:tab w:val="center" w:pos="4680"/>
        <w:tab w:val="right" w:pos="9360"/>
      </w:tabs>
      <w:spacing w:after="0" w:line="240" w:lineRule="auto"/>
    </w:pPr>
  </w:style>
  <w:style w:type="character" w:styleId="HeaderChar" w:customStyle="1">
    <w:name w:val="Header Char"/>
    <w:basedOn w:val="DefaultParagraphFont"/>
    <w:link w:val="Header"/>
    <w:uiPriority w:val="99"/>
    <w:rsid w:val="004C2AAC"/>
    <w:rPr>
      <w:rFonts w:eastAsiaTheme="minorEastAsia"/>
      <w:lang w:val="en-GB" w:eastAsia="en-GB"/>
    </w:rPr>
  </w:style>
  <w:style w:type="paragraph" w:styleId="Footer">
    <w:name w:val="footer"/>
    <w:basedOn w:val="Normal"/>
    <w:link w:val="FooterChar"/>
    <w:uiPriority w:val="99"/>
    <w:unhideWhenUsed/>
    <w:rsid w:val="004C2AAC"/>
    <w:pPr>
      <w:tabs>
        <w:tab w:val="center" w:pos="4680"/>
        <w:tab w:val="right" w:pos="9360"/>
      </w:tabs>
      <w:spacing w:after="0" w:line="240" w:lineRule="auto"/>
    </w:pPr>
  </w:style>
  <w:style w:type="character" w:styleId="FooterChar" w:customStyle="1">
    <w:name w:val="Footer Char"/>
    <w:basedOn w:val="DefaultParagraphFont"/>
    <w:link w:val="Footer"/>
    <w:uiPriority w:val="99"/>
    <w:rsid w:val="004C2AAC"/>
    <w:rPr>
      <w:rFonts w:eastAsiaTheme="minorEastAsia"/>
      <w:lang w:val="en-GB" w:eastAsia="en-GB"/>
    </w:rPr>
  </w:style>
  <w:style w:type="character" w:styleId="subparChar" w:customStyle="1">
    <w:name w:val="subpar Char"/>
    <w:link w:val="subpar"/>
    <w:rsid w:val="00207F0D"/>
    <w:rPr>
      <w:rFonts w:ascii="Times New Roman" w:hAnsi="Times New Roman" w:eastAsia="Times New Roman" w:cs="Times New Roman"/>
      <w:sz w:val="24"/>
      <w:szCs w:val="20"/>
      <w:lang w:val="en-US" w:eastAsia="en-GB"/>
    </w:rPr>
  </w:style>
  <w:style w:type="character" w:styleId="A8" w:customStyle="1">
    <w:name w:val="A8"/>
    <w:uiPriority w:val="99"/>
    <w:rsid w:val="00207F0D"/>
    <w:rPr>
      <w:rFonts w:cs="GillSans Light"/>
      <w:color w:val="000000"/>
      <w:sz w:val="22"/>
      <w:szCs w:val="22"/>
    </w:rPr>
  </w:style>
  <w:style w:type="paragraph" w:styleId="Fuentesyreferencias" w:customStyle="1">
    <w:name w:val="Fuentes y referencias"/>
    <w:basedOn w:val="Normal"/>
    <w:link w:val="FuentesyreferenciasCar"/>
    <w:qFormat/>
    <w:rsid w:val="00207F0D"/>
    <w:pPr>
      <w:spacing w:after="0"/>
      <w:jc w:val="center"/>
    </w:pPr>
    <w:rPr>
      <w:rFonts w:ascii="Arial" w:hAnsi="Arial" w:eastAsia="Cambria" w:cs="Arial"/>
      <w:sz w:val="14"/>
      <w:szCs w:val="14"/>
      <w:lang w:val="es-MX" w:eastAsia="es-MX"/>
    </w:rPr>
  </w:style>
  <w:style w:type="character" w:styleId="FuentesyreferenciasCar" w:customStyle="1">
    <w:name w:val="Fuentes y referencias Car"/>
    <w:link w:val="Fuentesyreferencias"/>
    <w:rsid w:val="00207F0D"/>
    <w:rPr>
      <w:rFonts w:ascii="Arial" w:hAnsi="Arial" w:eastAsia="Cambria" w:cs="Arial"/>
      <w:sz w:val="14"/>
      <w:szCs w:val="14"/>
      <w:lang w:val="es-MX" w:eastAsia="es-MX"/>
    </w:rPr>
  </w:style>
  <w:style w:type="paragraph" w:styleId="Graficas" w:customStyle="1">
    <w:name w:val="Graficas"/>
    <w:basedOn w:val="Normal"/>
    <w:link w:val="GraficasCar"/>
    <w:qFormat/>
    <w:rsid w:val="00207F0D"/>
    <w:pPr>
      <w:spacing w:after="0"/>
      <w:jc w:val="center"/>
    </w:pPr>
    <w:rPr>
      <w:rFonts w:ascii="Arial" w:hAnsi="Arial" w:eastAsia="Cambria" w:cs="Arial"/>
      <w:b/>
      <w:sz w:val="16"/>
      <w:szCs w:val="16"/>
      <w:lang w:val="es-MX" w:eastAsia="en-US"/>
    </w:rPr>
  </w:style>
  <w:style w:type="character" w:styleId="GraficasCar" w:customStyle="1">
    <w:name w:val="Graficas Car"/>
    <w:link w:val="Graficas"/>
    <w:rsid w:val="00207F0D"/>
    <w:rPr>
      <w:rFonts w:ascii="Arial" w:hAnsi="Arial" w:eastAsia="Cambria" w:cs="Arial"/>
      <w:b/>
      <w:sz w:val="16"/>
      <w:szCs w:val="16"/>
      <w:lang w:val="es-MX"/>
    </w:rPr>
  </w:style>
  <w:style w:type="character" w:styleId="BookTitle">
    <w:name w:val="Book Title"/>
    <w:uiPriority w:val="33"/>
    <w:qFormat/>
    <w:rsid w:val="00BA11FB"/>
    <w:rPr>
      <w:b/>
      <w:bCs/>
      <w:smallCaps/>
      <w:spacing w:val="5"/>
    </w:rPr>
  </w:style>
  <w:style w:type="paragraph" w:styleId="Newpage" w:customStyle="1">
    <w:name w:val="Newpage"/>
    <w:basedOn w:val="Chapter"/>
    <w:rsid w:val="00D9415C"/>
    <w:pPr>
      <w:numPr>
        <w:numId w:val="0"/>
      </w:numPr>
      <w:tabs>
        <w:tab w:val="clear" w:pos="1440"/>
        <w:tab w:val="left" w:pos="3060"/>
      </w:tabs>
      <w:spacing w:after="0"/>
    </w:pPr>
    <w:rPr>
      <w:lang w:val="es-ES" w:eastAsia="en-US"/>
    </w:rPr>
  </w:style>
  <w:style w:type="table" w:styleId="Sombreadoclaro2" w:customStyle="1">
    <w:name w:val="Sombreado claro2"/>
    <w:basedOn w:val="TableNormal"/>
    <w:uiPriority w:val="60"/>
    <w:rsid w:val="00470A02"/>
    <w:pPr>
      <w:spacing w:after="0" w:line="240" w:lineRule="auto"/>
    </w:pPr>
    <w:rPr>
      <w:rFonts w:ascii="Arial Narrow" w:hAnsi="Arial Narrow" w:eastAsia="Times New Roman" w:cs="Times New Roman"/>
      <w:color w:val="000000" w:themeColor="text1" w:themeShade="BF"/>
      <w:sz w:val="20"/>
      <w:szCs w:val="20"/>
      <w:lang w:eastAsia="es-ES"/>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UnresolvedMention">
    <w:name w:val="Unresolved Mention"/>
    <w:basedOn w:val="DefaultParagraphFont"/>
    <w:uiPriority w:val="99"/>
    <w:semiHidden/>
    <w:unhideWhenUsed/>
    <w:rsid w:val="0017337B"/>
    <w:rPr>
      <w:color w:val="808080"/>
      <w:shd w:val="clear" w:color="auto" w:fill="E6E6E6"/>
    </w:rPr>
  </w:style>
  <w:style w:type="paragraph" w:styleId="Revision">
    <w:name w:val="Revision"/>
    <w:hidden/>
    <w:uiPriority w:val="99"/>
    <w:semiHidden/>
    <w:rsid w:val="002210AF"/>
    <w:pPr>
      <w:spacing w:after="0" w:line="240" w:lineRule="auto"/>
    </w:pPr>
    <w:rPr>
      <w:rFonts w:eastAsiaTheme="minorEastAsi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3735">
      <w:bodyDiv w:val="1"/>
      <w:marLeft w:val="0"/>
      <w:marRight w:val="0"/>
      <w:marTop w:val="0"/>
      <w:marBottom w:val="0"/>
      <w:divBdr>
        <w:top w:val="none" w:sz="0" w:space="0" w:color="auto"/>
        <w:left w:val="none" w:sz="0" w:space="0" w:color="auto"/>
        <w:bottom w:val="none" w:sz="0" w:space="0" w:color="auto"/>
        <w:right w:val="none" w:sz="0" w:space="0" w:color="auto"/>
      </w:divBdr>
    </w:div>
    <w:div w:id="10575537">
      <w:bodyDiv w:val="1"/>
      <w:marLeft w:val="0"/>
      <w:marRight w:val="0"/>
      <w:marTop w:val="0"/>
      <w:marBottom w:val="0"/>
      <w:divBdr>
        <w:top w:val="none" w:sz="0" w:space="0" w:color="auto"/>
        <w:left w:val="none" w:sz="0" w:space="0" w:color="auto"/>
        <w:bottom w:val="none" w:sz="0" w:space="0" w:color="auto"/>
        <w:right w:val="none" w:sz="0" w:space="0" w:color="auto"/>
      </w:divBdr>
    </w:div>
    <w:div w:id="13580096">
      <w:bodyDiv w:val="1"/>
      <w:marLeft w:val="0"/>
      <w:marRight w:val="0"/>
      <w:marTop w:val="0"/>
      <w:marBottom w:val="0"/>
      <w:divBdr>
        <w:top w:val="none" w:sz="0" w:space="0" w:color="auto"/>
        <w:left w:val="none" w:sz="0" w:space="0" w:color="auto"/>
        <w:bottom w:val="none" w:sz="0" w:space="0" w:color="auto"/>
        <w:right w:val="none" w:sz="0" w:space="0" w:color="auto"/>
      </w:divBdr>
    </w:div>
    <w:div w:id="196479212">
      <w:bodyDiv w:val="1"/>
      <w:marLeft w:val="0"/>
      <w:marRight w:val="0"/>
      <w:marTop w:val="0"/>
      <w:marBottom w:val="0"/>
      <w:divBdr>
        <w:top w:val="none" w:sz="0" w:space="0" w:color="auto"/>
        <w:left w:val="none" w:sz="0" w:space="0" w:color="auto"/>
        <w:bottom w:val="none" w:sz="0" w:space="0" w:color="auto"/>
        <w:right w:val="none" w:sz="0" w:space="0" w:color="auto"/>
      </w:divBdr>
    </w:div>
    <w:div w:id="233512489">
      <w:bodyDiv w:val="1"/>
      <w:marLeft w:val="0"/>
      <w:marRight w:val="0"/>
      <w:marTop w:val="0"/>
      <w:marBottom w:val="0"/>
      <w:divBdr>
        <w:top w:val="none" w:sz="0" w:space="0" w:color="auto"/>
        <w:left w:val="none" w:sz="0" w:space="0" w:color="auto"/>
        <w:bottom w:val="none" w:sz="0" w:space="0" w:color="auto"/>
        <w:right w:val="none" w:sz="0" w:space="0" w:color="auto"/>
      </w:divBdr>
    </w:div>
    <w:div w:id="301622739">
      <w:bodyDiv w:val="1"/>
      <w:marLeft w:val="0"/>
      <w:marRight w:val="0"/>
      <w:marTop w:val="0"/>
      <w:marBottom w:val="0"/>
      <w:divBdr>
        <w:top w:val="none" w:sz="0" w:space="0" w:color="auto"/>
        <w:left w:val="none" w:sz="0" w:space="0" w:color="auto"/>
        <w:bottom w:val="none" w:sz="0" w:space="0" w:color="auto"/>
        <w:right w:val="none" w:sz="0" w:space="0" w:color="auto"/>
      </w:divBdr>
    </w:div>
    <w:div w:id="311644472">
      <w:bodyDiv w:val="1"/>
      <w:marLeft w:val="0"/>
      <w:marRight w:val="0"/>
      <w:marTop w:val="0"/>
      <w:marBottom w:val="0"/>
      <w:divBdr>
        <w:top w:val="none" w:sz="0" w:space="0" w:color="auto"/>
        <w:left w:val="none" w:sz="0" w:space="0" w:color="auto"/>
        <w:bottom w:val="none" w:sz="0" w:space="0" w:color="auto"/>
        <w:right w:val="none" w:sz="0" w:space="0" w:color="auto"/>
      </w:divBdr>
    </w:div>
    <w:div w:id="420028931">
      <w:bodyDiv w:val="1"/>
      <w:marLeft w:val="0"/>
      <w:marRight w:val="0"/>
      <w:marTop w:val="0"/>
      <w:marBottom w:val="0"/>
      <w:divBdr>
        <w:top w:val="none" w:sz="0" w:space="0" w:color="auto"/>
        <w:left w:val="none" w:sz="0" w:space="0" w:color="auto"/>
        <w:bottom w:val="none" w:sz="0" w:space="0" w:color="auto"/>
        <w:right w:val="none" w:sz="0" w:space="0" w:color="auto"/>
      </w:divBdr>
    </w:div>
    <w:div w:id="451629743">
      <w:bodyDiv w:val="1"/>
      <w:marLeft w:val="0"/>
      <w:marRight w:val="0"/>
      <w:marTop w:val="0"/>
      <w:marBottom w:val="0"/>
      <w:divBdr>
        <w:top w:val="none" w:sz="0" w:space="0" w:color="auto"/>
        <w:left w:val="none" w:sz="0" w:space="0" w:color="auto"/>
        <w:bottom w:val="none" w:sz="0" w:space="0" w:color="auto"/>
        <w:right w:val="none" w:sz="0" w:space="0" w:color="auto"/>
      </w:divBdr>
    </w:div>
    <w:div w:id="494153142">
      <w:bodyDiv w:val="1"/>
      <w:marLeft w:val="0"/>
      <w:marRight w:val="0"/>
      <w:marTop w:val="0"/>
      <w:marBottom w:val="0"/>
      <w:divBdr>
        <w:top w:val="none" w:sz="0" w:space="0" w:color="auto"/>
        <w:left w:val="none" w:sz="0" w:space="0" w:color="auto"/>
        <w:bottom w:val="none" w:sz="0" w:space="0" w:color="auto"/>
        <w:right w:val="none" w:sz="0" w:space="0" w:color="auto"/>
      </w:divBdr>
    </w:div>
    <w:div w:id="572810918">
      <w:bodyDiv w:val="1"/>
      <w:marLeft w:val="0"/>
      <w:marRight w:val="0"/>
      <w:marTop w:val="0"/>
      <w:marBottom w:val="0"/>
      <w:divBdr>
        <w:top w:val="none" w:sz="0" w:space="0" w:color="auto"/>
        <w:left w:val="none" w:sz="0" w:space="0" w:color="auto"/>
        <w:bottom w:val="none" w:sz="0" w:space="0" w:color="auto"/>
        <w:right w:val="none" w:sz="0" w:space="0" w:color="auto"/>
      </w:divBdr>
    </w:div>
    <w:div w:id="625820566">
      <w:bodyDiv w:val="1"/>
      <w:marLeft w:val="0"/>
      <w:marRight w:val="0"/>
      <w:marTop w:val="0"/>
      <w:marBottom w:val="0"/>
      <w:divBdr>
        <w:top w:val="none" w:sz="0" w:space="0" w:color="auto"/>
        <w:left w:val="none" w:sz="0" w:space="0" w:color="auto"/>
        <w:bottom w:val="none" w:sz="0" w:space="0" w:color="auto"/>
        <w:right w:val="none" w:sz="0" w:space="0" w:color="auto"/>
      </w:divBdr>
    </w:div>
    <w:div w:id="653727647">
      <w:bodyDiv w:val="1"/>
      <w:marLeft w:val="0"/>
      <w:marRight w:val="0"/>
      <w:marTop w:val="0"/>
      <w:marBottom w:val="0"/>
      <w:divBdr>
        <w:top w:val="none" w:sz="0" w:space="0" w:color="auto"/>
        <w:left w:val="none" w:sz="0" w:space="0" w:color="auto"/>
        <w:bottom w:val="none" w:sz="0" w:space="0" w:color="auto"/>
        <w:right w:val="none" w:sz="0" w:space="0" w:color="auto"/>
      </w:divBdr>
    </w:div>
    <w:div w:id="757480745">
      <w:bodyDiv w:val="1"/>
      <w:marLeft w:val="0"/>
      <w:marRight w:val="0"/>
      <w:marTop w:val="0"/>
      <w:marBottom w:val="0"/>
      <w:divBdr>
        <w:top w:val="none" w:sz="0" w:space="0" w:color="auto"/>
        <w:left w:val="none" w:sz="0" w:space="0" w:color="auto"/>
        <w:bottom w:val="none" w:sz="0" w:space="0" w:color="auto"/>
        <w:right w:val="none" w:sz="0" w:space="0" w:color="auto"/>
      </w:divBdr>
    </w:div>
    <w:div w:id="780957802">
      <w:bodyDiv w:val="1"/>
      <w:marLeft w:val="0"/>
      <w:marRight w:val="0"/>
      <w:marTop w:val="0"/>
      <w:marBottom w:val="0"/>
      <w:divBdr>
        <w:top w:val="none" w:sz="0" w:space="0" w:color="auto"/>
        <w:left w:val="none" w:sz="0" w:space="0" w:color="auto"/>
        <w:bottom w:val="none" w:sz="0" w:space="0" w:color="auto"/>
        <w:right w:val="none" w:sz="0" w:space="0" w:color="auto"/>
      </w:divBdr>
    </w:div>
    <w:div w:id="792214594">
      <w:bodyDiv w:val="1"/>
      <w:marLeft w:val="0"/>
      <w:marRight w:val="0"/>
      <w:marTop w:val="0"/>
      <w:marBottom w:val="0"/>
      <w:divBdr>
        <w:top w:val="none" w:sz="0" w:space="0" w:color="auto"/>
        <w:left w:val="none" w:sz="0" w:space="0" w:color="auto"/>
        <w:bottom w:val="none" w:sz="0" w:space="0" w:color="auto"/>
        <w:right w:val="none" w:sz="0" w:space="0" w:color="auto"/>
      </w:divBdr>
    </w:div>
    <w:div w:id="833376007">
      <w:bodyDiv w:val="1"/>
      <w:marLeft w:val="0"/>
      <w:marRight w:val="0"/>
      <w:marTop w:val="0"/>
      <w:marBottom w:val="0"/>
      <w:divBdr>
        <w:top w:val="none" w:sz="0" w:space="0" w:color="auto"/>
        <w:left w:val="none" w:sz="0" w:space="0" w:color="auto"/>
        <w:bottom w:val="none" w:sz="0" w:space="0" w:color="auto"/>
        <w:right w:val="none" w:sz="0" w:space="0" w:color="auto"/>
      </w:divBdr>
    </w:div>
    <w:div w:id="878319596">
      <w:bodyDiv w:val="1"/>
      <w:marLeft w:val="0"/>
      <w:marRight w:val="0"/>
      <w:marTop w:val="0"/>
      <w:marBottom w:val="0"/>
      <w:divBdr>
        <w:top w:val="none" w:sz="0" w:space="0" w:color="auto"/>
        <w:left w:val="none" w:sz="0" w:space="0" w:color="auto"/>
        <w:bottom w:val="none" w:sz="0" w:space="0" w:color="auto"/>
        <w:right w:val="none" w:sz="0" w:space="0" w:color="auto"/>
      </w:divBdr>
    </w:div>
    <w:div w:id="905843707">
      <w:bodyDiv w:val="1"/>
      <w:marLeft w:val="0"/>
      <w:marRight w:val="0"/>
      <w:marTop w:val="0"/>
      <w:marBottom w:val="0"/>
      <w:divBdr>
        <w:top w:val="none" w:sz="0" w:space="0" w:color="auto"/>
        <w:left w:val="none" w:sz="0" w:space="0" w:color="auto"/>
        <w:bottom w:val="none" w:sz="0" w:space="0" w:color="auto"/>
        <w:right w:val="none" w:sz="0" w:space="0" w:color="auto"/>
      </w:divBdr>
    </w:div>
    <w:div w:id="964701929">
      <w:bodyDiv w:val="1"/>
      <w:marLeft w:val="0"/>
      <w:marRight w:val="0"/>
      <w:marTop w:val="0"/>
      <w:marBottom w:val="0"/>
      <w:divBdr>
        <w:top w:val="none" w:sz="0" w:space="0" w:color="auto"/>
        <w:left w:val="none" w:sz="0" w:space="0" w:color="auto"/>
        <w:bottom w:val="none" w:sz="0" w:space="0" w:color="auto"/>
        <w:right w:val="none" w:sz="0" w:space="0" w:color="auto"/>
      </w:divBdr>
    </w:div>
    <w:div w:id="998776053">
      <w:bodyDiv w:val="1"/>
      <w:marLeft w:val="0"/>
      <w:marRight w:val="0"/>
      <w:marTop w:val="0"/>
      <w:marBottom w:val="0"/>
      <w:divBdr>
        <w:top w:val="none" w:sz="0" w:space="0" w:color="auto"/>
        <w:left w:val="none" w:sz="0" w:space="0" w:color="auto"/>
        <w:bottom w:val="none" w:sz="0" w:space="0" w:color="auto"/>
        <w:right w:val="none" w:sz="0" w:space="0" w:color="auto"/>
      </w:divBdr>
    </w:div>
    <w:div w:id="1126776450">
      <w:bodyDiv w:val="1"/>
      <w:marLeft w:val="0"/>
      <w:marRight w:val="0"/>
      <w:marTop w:val="0"/>
      <w:marBottom w:val="0"/>
      <w:divBdr>
        <w:top w:val="none" w:sz="0" w:space="0" w:color="auto"/>
        <w:left w:val="none" w:sz="0" w:space="0" w:color="auto"/>
        <w:bottom w:val="none" w:sz="0" w:space="0" w:color="auto"/>
        <w:right w:val="none" w:sz="0" w:space="0" w:color="auto"/>
      </w:divBdr>
    </w:div>
    <w:div w:id="1136525501">
      <w:bodyDiv w:val="1"/>
      <w:marLeft w:val="0"/>
      <w:marRight w:val="0"/>
      <w:marTop w:val="0"/>
      <w:marBottom w:val="0"/>
      <w:divBdr>
        <w:top w:val="none" w:sz="0" w:space="0" w:color="auto"/>
        <w:left w:val="none" w:sz="0" w:space="0" w:color="auto"/>
        <w:bottom w:val="none" w:sz="0" w:space="0" w:color="auto"/>
        <w:right w:val="none" w:sz="0" w:space="0" w:color="auto"/>
      </w:divBdr>
    </w:div>
    <w:div w:id="1205949041">
      <w:bodyDiv w:val="1"/>
      <w:marLeft w:val="0"/>
      <w:marRight w:val="0"/>
      <w:marTop w:val="0"/>
      <w:marBottom w:val="0"/>
      <w:divBdr>
        <w:top w:val="none" w:sz="0" w:space="0" w:color="auto"/>
        <w:left w:val="none" w:sz="0" w:space="0" w:color="auto"/>
        <w:bottom w:val="none" w:sz="0" w:space="0" w:color="auto"/>
        <w:right w:val="none" w:sz="0" w:space="0" w:color="auto"/>
      </w:divBdr>
    </w:div>
    <w:div w:id="1231309550">
      <w:bodyDiv w:val="1"/>
      <w:marLeft w:val="0"/>
      <w:marRight w:val="0"/>
      <w:marTop w:val="0"/>
      <w:marBottom w:val="0"/>
      <w:divBdr>
        <w:top w:val="none" w:sz="0" w:space="0" w:color="auto"/>
        <w:left w:val="none" w:sz="0" w:space="0" w:color="auto"/>
        <w:bottom w:val="none" w:sz="0" w:space="0" w:color="auto"/>
        <w:right w:val="none" w:sz="0" w:space="0" w:color="auto"/>
      </w:divBdr>
    </w:div>
    <w:div w:id="1289512480">
      <w:bodyDiv w:val="1"/>
      <w:marLeft w:val="0"/>
      <w:marRight w:val="0"/>
      <w:marTop w:val="0"/>
      <w:marBottom w:val="0"/>
      <w:divBdr>
        <w:top w:val="none" w:sz="0" w:space="0" w:color="auto"/>
        <w:left w:val="none" w:sz="0" w:space="0" w:color="auto"/>
        <w:bottom w:val="none" w:sz="0" w:space="0" w:color="auto"/>
        <w:right w:val="none" w:sz="0" w:space="0" w:color="auto"/>
      </w:divBdr>
    </w:div>
    <w:div w:id="1314675111">
      <w:bodyDiv w:val="1"/>
      <w:marLeft w:val="0"/>
      <w:marRight w:val="0"/>
      <w:marTop w:val="0"/>
      <w:marBottom w:val="0"/>
      <w:divBdr>
        <w:top w:val="none" w:sz="0" w:space="0" w:color="auto"/>
        <w:left w:val="none" w:sz="0" w:space="0" w:color="auto"/>
        <w:bottom w:val="none" w:sz="0" w:space="0" w:color="auto"/>
        <w:right w:val="none" w:sz="0" w:space="0" w:color="auto"/>
      </w:divBdr>
    </w:div>
    <w:div w:id="1470706622">
      <w:bodyDiv w:val="1"/>
      <w:marLeft w:val="0"/>
      <w:marRight w:val="0"/>
      <w:marTop w:val="0"/>
      <w:marBottom w:val="0"/>
      <w:divBdr>
        <w:top w:val="none" w:sz="0" w:space="0" w:color="auto"/>
        <w:left w:val="none" w:sz="0" w:space="0" w:color="auto"/>
        <w:bottom w:val="none" w:sz="0" w:space="0" w:color="auto"/>
        <w:right w:val="none" w:sz="0" w:space="0" w:color="auto"/>
      </w:divBdr>
    </w:div>
    <w:div w:id="1525095694">
      <w:bodyDiv w:val="1"/>
      <w:marLeft w:val="0"/>
      <w:marRight w:val="0"/>
      <w:marTop w:val="0"/>
      <w:marBottom w:val="0"/>
      <w:divBdr>
        <w:top w:val="none" w:sz="0" w:space="0" w:color="auto"/>
        <w:left w:val="none" w:sz="0" w:space="0" w:color="auto"/>
        <w:bottom w:val="none" w:sz="0" w:space="0" w:color="auto"/>
        <w:right w:val="none" w:sz="0" w:space="0" w:color="auto"/>
      </w:divBdr>
    </w:div>
    <w:div w:id="1558466098">
      <w:bodyDiv w:val="1"/>
      <w:marLeft w:val="0"/>
      <w:marRight w:val="0"/>
      <w:marTop w:val="0"/>
      <w:marBottom w:val="0"/>
      <w:divBdr>
        <w:top w:val="none" w:sz="0" w:space="0" w:color="auto"/>
        <w:left w:val="none" w:sz="0" w:space="0" w:color="auto"/>
        <w:bottom w:val="none" w:sz="0" w:space="0" w:color="auto"/>
        <w:right w:val="none" w:sz="0" w:space="0" w:color="auto"/>
      </w:divBdr>
    </w:div>
    <w:div w:id="1561746493">
      <w:bodyDiv w:val="1"/>
      <w:marLeft w:val="0"/>
      <w:marRight w:val="0"/>
      <w:marTop w:val="0"/>
      <w:marBottom w:val="0"/>
      <w:divBdr>
        <w:top w:val="none" w:sz="0" w:space="0" w:color="auto"/>
        <w:left w:val="none" w:sz="0" w:space="0" w:color="auto"/>
        <w:bottom w:val="none" w:sz="0" w:space="0" w:color="auto"/>
        <w:right w:val="none" w:sz="0" w:space="0" w:color="auto"/>
      </w:divBdr>
    </w:div>
    <w:div w:id="1615286322">
      <w:bodyDiv w:val="1"/>
      <w:marLeft w:val="0"/>
      <w:marRight w:val="0"/>
      <w:marTop w:val="0"/>
      <w:marBottom w:val="0"/>
      <w:divBdr>
        <w:top w:val="none" w:sz="0" w:space="0" w:color="auto"/>
        <w:left w:val="none" w:sz="0" w:space="0" w:color="auto"/>
        <w:bottom w:val="none" w:sz="0" w:space="0" w:color="auto"/>
        <w:right w:val="none" w:sz="0" w:space="0" w:color="auto"/>
      </w:divBdr>
    </w:div>
    <w:div w:id="1668898713">
      <w:bodyDiv w:val="1"/>
      <w:marLeft w:val="0"/>
      <w:marRight w:val="0"/>
      <w:marTop w:val="0"/>
      <w:marBottom w:val="0"/>
      <w:divBdr>
        <w:top w:val="none" w:sz="0" w:space="0" w:color="auto"/>
        <w:left w:val="none" w:sz="0" w:space="0" w:color="auto"/>
        <w:bottom w:val="none" w:sz="0" w:space="0" w:color="auto"/>
        <w:right w:val="none" w:sz="0" w:space="0" w:color="auto"/>
      </w:divBdr>
    </w:div>
    <w:div w:id="1754744815">
      <w:bodyDiv w:val="1"/>
      <w:marLeft w:val="0"/>
      <w:marRight w:val="0"/>
      <w:marTop w:val="0"/>
      <w:marBottom w:val="0"/>
      <w:divBdr>
        <w:top w:val="none" w:sz="0" w:space="0" w:color="auto"/>
        <w:left w:val="none" w:sz="0" w:space="0" w:color="auto"/>
        <w:bottom w:val="none" w:sz="0" w:space="0" w:color="auto"/>
        <w:right w:val="none" w:sz="0" w:space="0" w:color="auto"/>
      </w:divBdr>
    </w:div>
    <w:div w:id="1796680500">
      <w:bodyDiv w:val="1"/>
      <w:marLeft w:val="0"/>
      <w:marRight w:val="0"/>
      <w:marTop w:val="0"/>
      <w:marBottom w:val="0"/>
      <w:divBdr>
        <w:top w:val="none" w:sz="0" w:space="0" w:color="auto"/>
        <w:left w:val="none" w:sz="0" w:space="0" w:color="auto"/>
        <w:bottom w:val="none" w:sz="0" w:space="0" w:color="auto"/>
        <w:right w:val="none" w:sz="0" w:space="0" w:color="auto"/>
      </w:divBdr>
    </w:div>
    <w:div w:id="1840079763">
      <w:bodyDiv w:val="1"/>
      <w:marLeft w:val="0"/>
      <w:marRight w:val="0"/>
      <w:marTop w:val="0"/>
      <w:marBottom w:val="0"/>
      <w:divBdr>
        <w:top w:val="none" w:sz="0" w:space="0" w:color="auto"/>
        <w:left w:val="none" w:sz="0" w:space="0" w:color="auto"/>
        <w:bottom w:val="none" w:sz="0" w:space="0" w:color="auto"/>
        <w:right w:val="none" w:sz="0" w:space="0" w:color="auto"/>
      </w:divBdr>
    </w:div>
    <w:div w:id="1853572559">
      <w:bodyDiv w:val="1"/>
      <w:marLeft w:val="0"/>
      <w:marRight w:val="0"/>
      <w:marTop w:val="0"/>
      <w:marBottom w:val="0"/>
      <w:divBdr>
        <w:top w:val="none" w:sz="0" w:space="0" w:color="auto"/>
        <w:left w:val="none" w:sz="0" w:space="0" w:color="auto"/>
        <w:bottom w:val="none" w:sz="0" w:space="0" w:color="auto"/>
        <w:right w:val="none" w:sz="0" w:space="0" w:color="auto"/>
      </w:divBdr>
    </w:div>
    <w:div w:id="1893618722">
      <w:bodyDiv w:val="1"/>
      <w:marLeft w:val="0"/>
      <w:marRight w:val="0"/>
      <w:marTop w:val="0"/>
      <w:marBottom w:val="0"/>
      <w:divBdr>
        <w:top w:val="none" w:sz="0" w:space="0" w:color="auto"/>
        <w:left w:val="none" w:sz="0" w:space="0" w:color="auto"/>
        <w:bottom w:val="none" w:sz="0" w:space="0" w:color="auto"/>
        <w:right w:val="none" w:sz="0" w:space="0" w:color="auto"/>
      </w:divBdr>
    </w:div>
    <w:div w:id="1897663907">
      <w:bodyDiv w:val="1"/>
      <w:marLeft w:val="0"/>
      <w:marRight w:val="0"/>
      <w:marTop w:val="0"/>
      <w:marBottom w:val="0"/>
      <w:divBdr>
        <w:top w:val="none" w:sz="0" w:space="0" w:color="auto"/>
        <w:left w:val="none" w:sz="0" w:space="0" w:color="auto"/>
        <w:bottom w:val="none" w:sz="0" w:space="0" w:color="auto"/>
        <w:right w:val="none" w:sz="0" w:space="0" w:color="auto"/>
      </w:divBdr>
    </w:div>
    <w:div w:id="1942293753">
      <w:bodyDiv w:val="1"/>
      <w:marLeft w:val="0"/>
      <w:marRight w:val="0"/>
      <w:marTop w:val="0"/>
      <w:marBottom w:val="0"/>
      <w:divBdr>
        <w:top w:val="none" w:sz="0" w:space="0" w:color="auto"/>
        <w:left w:val="none" w:sz="0" w:space="0" w:color="auto"/>
        <w:bottom w:val="none" w:sz="0" w:space="0" w:color="auto"/>
        <w:right w:val="none" w:sz="0" w:space="0" w:color="auto"/>
      </w:divBdr>
    </w:div>
    <w:div w:id="2006278245">
      <w:bodyDiv w:val="1"/>
      <w:marLeft w:val="0"/>
      <w:marRight w:val="0"/>
      <w:marTop w:val="0"/>
      <w:marBottom w:val="0"/>
      <w:divBdr>
        <w:top w:val="none" w:sz="0" w:space="0" w:color="auto"/>
        <w:left w:val="none" w:sz="0" w:space="0" w:color="auto"/>
        <w:bottom w:val="none" w:sz="0" w:space="0" w:color="auto"/>
        <w:right w:val="none" w:sz="0" w:space="0" w:color="auto"/>
      </w:divBdr>
    </w:div>
    <w:div w:id="2058119005">
      <w:bodyDiv w:val="1"/>
      <w:marLeft w:val="0"/>
      <w:marRight w:val="0"/>
      <w:marTop w:val="0"/>
      <w:marBottom w:val="0"/>
      <w:divBdr>
        <w:top w:val="none" w:sz="0" w:space="0" w:color="auto"/>
        <w:left w:val="none" w:sz="0" w:space="0" w:color="auto"/>
        <w:bottom w:val="none" w:sz="0" w:space="0" w:color="auto"/>
        <w:right w:val="none" w:sz="0" w:space="0" w:color="auto"/>
      </w:divBdr>
    </w:div>
    <w:div w:id="2121677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numbering" Target="numbering.xml" Id="rId8" /><Relationship Type="http://schemas.openxmlformats.org/officeDocument/2006/relationships/endnotes" Target="endnotes.xml" Id="rId13" /><Relationship Type="http://schemas.openxmlformats.org/officeDocument/2006/relationships/footer" Target="footer5.xml" Id="rId18" /><Relationship Type="http://schemas.openxmlformats.org/officeDocument/2006/relationships/image" Target="media/image8.png" Id="rId26" /><Relationship Type="http://schemas.openxmlformats.org/officeDocument/2006/relationships/customXml" Target="../customXml/item3.xml" Id="rId3" /><Relationship Type="http://schemas.openxmlformats.org/officeDocument/2006/relationships/image" Target="media/image3.png" Id="rId21" /><Relationship Type="http://schemas.openxmlformats.org/officeDocument/2006/relationships/customXml" Target="../customXml/item7.xml" Id="rId7" /><Relationship Type="http://schemas.openxmlformats.org/officeDocument/2006/relationships/footnotes" Target="footnotes.xml" Id="rId12" /><Relationship Type="http://schemas.openxmlformats.org/officeDocument/2006/relationships/footer" Target="footer4.xml" Id="rId17" /><Relationship Type="http://schemas.openxmlformats.org/officeDocument/2006/relationships/image" Target="media/image7.png" Id="rId25"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image" Target="media/image2.png" Id="rId20" /><Relationship Type="http://schemas.openxmlformats.org/officeDocument/2006/relationships/image" Target="media/image11.png"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webSettings" Target="webSettings.xml" Id="rId11" /><Relationship Type="http://schemas.openxmlformats.org/officeDocument/2006/relationships/image" Target="media/image6.png" Id="rId24"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image" Target="media/image5.png" Id="rId23" /><Relationship Type="http://schemas.openxmlformats.org/officeDocument/2006/relationships/image" Target="media/image10.png" Id="rId28" /><Relationship Type="http://schemas.openxmlformats.org/officeDocument/2006/relationships/settings" Target="settings.xml" Id="rId10" /><Relationship Type="http://schemas.openxmlformats.org/officeDocument/2006/relationships/image" Target="media/image1.png"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styles" Target="styles.xml" Id="rId9" /><Relationship Type="http://schemas.openxmlformats.org/officeDocument/2006/relationships/footer" Target="footer1.xml" Id="rId14" /><Relationship Type="http://schemas.openxmlformats.org/officeDocument/2006/relationships/image" Target="media/image4.png" Id="rId22" /><Relationship Type="http://schemas.openxmlformats.org/officeDocument/2006/relationships/image" Target="media/image9.png" Id="rId27" /><Relationship Type="http://schemas.openxmlformats.org/officeDocument/2006/relationships/fontTable" Target="fontTable.xml" Id="rId30" /><Relationship Type="http://schemas.microsoft.com/office/2011/relationships/people" Target="/word/people.xml" Id="Re6454add4b40494d" /><Relationship Type="http://schemas.openxmlformats.org/officeDocument/2006/relationships/glossaryDocument" Target="/word/glossary/document.xml" Id="R11e61234d1744521" /></Relationships>
</file>

<file path=word/_rels/footnotes.xml.rels>&#65279;<?xml version="1.0" encoding="utf-8"?><Relationships xmlns="http://schemas.openxmlformats.org/package/2006/relationships"><Relationship Type="http://schemas.openxmlformats.org/officeDocument/2006/relationships/hyperlink" Target="http://www.casarosada.gob.ar/objetivosdegobierno" TargetMode="External" Id="rId2" /><Relationship Type="http://schemas.openxmlformats.org/officeDocument/2006/relationships/hyperlink" Target="http://www.data.worldbank.org" TargetMode="External" Id="R5e1c57bd83814b54" /><Relationship Type="http://schemas.openxmlformats.org/officeDocument/2006/relationships/hyperlink" Target="http://www.infralatam.info" TargetMode="External" Id="R4264ae7debad4667" /><Relationship Type="http://schemas.openxmlformats.org/officeDocument/2006/relationships/hyperlink" Target="http://projects.worldbank.org/P155550?lang=en" TargetMode="External" Id="R27348ef1864c4f1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ed97bf3-fc77-4094-99b1-7c7ba1377ea9}"/>
      </w:docPartPr>
      <w:docPartBody>
        <w:p w14:paraId="27B24F7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ae61f9b1-e23d-4f49-b3d7-56b991556c4b" ContentTypeId="0x0101001A458A224826124E8B45B1D613300CFC" PreviousValue="false"/>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715BC19BE7C9F84E8D33E2364042F78F" ma:contentTypeVersion="31" ma:contentTypeDescription="A content type to manage public (operations) IDB documents" ma:contentTypeScope="" ma:versionID="f629cad56a2e9d8801413ed0346943bc">
  <xsd:schema xmlns:xsd="http://www.w3.org/2001/XMLSchema" xmlns:xs="http://www.w3.org/2001/XMLSchema" xmlns:p="http://schemas.microsoft.com/office/2006/metadata/properties" xmlns:ns2="cdc7663a-08f0-4737-9e8c-148ce897a09c" targetNamespace="http://schemas.microsoft.com/office/2006/metadata/properties" ma:root="true" ma:fieldsID="03e022d3dc90e78d60038ac843960ef3"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default="AR-L1281"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Record_x0020_Number xmlns="cdc7663a-08f0-4737-9e8c-148ce897a09c">R0001351816</Record_x0020_Number>
    <Key_x0020_Document xmlns="cdc7663a-08f0-4737-9e8c-148ce897a09c">false</Key_x0020_Document>
    <Other_x0020_Author xmlns="cdc7663a-08f0-4737-9e8c-148ce897a09c" xsi:nil="true"/>
    <Division_x0020_or_x0020_Unit xmlns="cdc7663a-08f0-4737-9e8c-148ce897a09c">IFD/CMF</Division_x0020_or_x0020_Unit>
    <IDBDocs_x0020_Number xmlns="cdc7663a-08f0-4737-9e8c-148ce897a09c" xsi:nil="true"/>
    <Document_x0020_Author xmlns="cdc7663a-08f0-4737-9e8c-148ce897a09c">Fonseca, Daniel Fernando</Document_x0020_Author>
    <_dlc_DocId xmlns="cdc7663a-08f0-4737-9e8c-148ce897a09c">EZSHARE-1703860781-17</_dlc_DocId>
    <Operation_x0020_Type xmlns="cdc7663a-08f0-4737-9e8c-148ce897a09c">Loan Operation</Operation_x0020_Type>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Argentina</TermName>
          <TermId xmlns="http://schemas.microsoft.com/office/infopath/2007/PartnerControls">eb1b705c-195f-4c3b-9661-b201f2fee3c5</TermId>
        </TermInfo>
      </Terms>
    </ic46d7e087fd4a108fb86518ca413cc6>
    <TaxCatchAll xmlns="cdc7663a-08f0-4737-9e8c-148ce897a09c">
      <Value>84</Value>
      <Value>5</Value>
      <Value>8</Value>
      <Value>226</Value>
      <Value>4</Value>
      <Value>272</Value>
    </TaxCatchAll>
    <Fiscal_x0020_Year_x0020_IDB xmlns="cdc7663a-08f0-4737-9e8c-148ce897a09c">2018</Fiscal_x0020_Year_x0020_IDB>
    <b26cdb1da78c4bb4b1c1bac2f6ac5911 xmlns="cdc7663a-08f0-4737-9e8c-148ce897a09c">
      <Terms xmlns="http://schemas.microsoft.com/office/infopath/2007/PartnerControls"/>
    </b26cdb1da78c4bb4b1c1bac2f6ac5911>
    <Project_x0020_Number xmlns="cdc7663a-08f0-4737-9e8c-148ce897a09c">AR-L1281</Project_x0020_Number>
    <Package_x0020_Code xmlns="cdc7663a-08f0-4737-9e8c-148ce897a09c" xsi:nil="true"/>
    <Migration_x0020_Info xmlns="cdc7663a-08f0-4737-9e8c-148ce897a09c" xsi:nil="true"/>
    <Approval_x0020_Number xmlns="cdc7663a-08f0-4737-9e8c-148ce897a09c">4502/OC-AR;</Approval_x0020_Number>
    <Business_x0020_Area xmlns="cdc7663a-08f0-4737-9e8c-148ce897a09c">Life Cycle</Business_x0020_Area>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Monitoring and Reporting</TermName>
          <TermId xmlns="http://schemas.microsoft.com/office/infopath/2007/PartnerControls">df3c2aa1-d63e-41aa-b1f5-bb15dee691ca</TermId>
        </TermInfo>
      </Terms>
    </e46fe2894295491da65140ffd2369f49>
    <Access_x0020_to_x0020_Information_x00a0_Policy xmlns="cdc7663a-08f0-4737-9e8c-148ce897a09c">Public</Access_x0020_to_x0020_Information_x00a0_Policy>
    <SISCOR_x0020_Number xmlns="cdc7663a-08f0-4737-9e8c-148ce897a09c" xsi:nil="true"/>
    <Identifier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FINANCIAL MARKETS</TermName>
          <TermId xmlns="http://schemas.microsoft.com/office/infopath/2007/PartnerControls">75500f29-2419-473a-bcd8-84901ddc2aa7</TermId>
        </TermInfo>
      </Terms>
    </nddeef1749674d76abdbe4b239a70bc6>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FINANCIAL MARKETS</TermName>
          <TermId xmlns="http://schemas.microsoft.com/office/infopath/2007/PartnerControls">5fb3c2b5-b55d-4fa3-955b-0672f2ff16b7</TermId>
        </TermInfo>
        <TermInfo xmlns="http://schemas.microsoft.com/office/infopath/2007/PartnerControls">
          <TermName xmlns="http://schemas.microsoft.com/office/infopath/2007/PartnerControls">RISK FINANCING</TermName>
          <TermId xmlns="http://schemas.microsoft.com/office/infopath/2007/PartnerControls">c5c38d86-fff1-494c-a3d8-b52714531aea</TermId>
        </TermInfo>
      </Terms>
    </b2ec7cfb18674cb8803df6b262e8b107>
    <Document_x0020_Language_x0020_IDB xmlns="cdc7663a-08f0-4737-9e8c-148ce897a09c">Spanish</Document_x0020_Language_x0020_IDB>
    <_dlc_DocIdUrl xmlns="cdc7663a-08f0-4737-9e8c-148ce897a09c">
      <Url>https://idbg.sharepoint.com/teams/EZ-AR-LON/AR-L1281/_layouts/15/DocIdRedir.aspx?ID=EZSHARE-1703860781-17</Url>
      <Description>EZSHARE-1703860781-17</Description>
    </_dlc_DocIdUrl>
    <Phase xmlns="cdc7663a-08f0-4737-9e8c-148ce897a09c">ACTIVE</Phase>
    <Related_x0020_SisCor_x0020_Number xmlns="cdc7663a-08f0-4737-9e8c-148ce897a09c" xsi:nil="true"/>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Banking and Financial Services;Finance;Financial and Capital Markets;Financial Risk Management;Financial Sector Development;Fiscal Issues and Public Finance;</Webtopic>
    <Abstract xmlns="cdc7663a-08f0-4737-9e8c-148ce897a09c" xsi:nil="true"/>
    <Publishing_x0020_House xmlns="cdc7663a-08f0-4737-9e8c-148ce897a09c" xsi:nil="tru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CAE9A-2839-4E24-A653-CE2599788227}">
  <ds:schemaRefs>
    <ds:schemaRef ds:uri="http://schemas.microsoft.com/sharepoint/v3/contenttype/forms"/>
  </ds:schemaRefs>
</ds:datastoreItem>
</file>

<file path=customXml/itemProps2.xml><?xml version="1.0" encoding="utf-8"?>
<ds:datastoreItem xmlns:ds="http://schemas.openxmlformats.org/officeDocument/2006/customXml" ds:itemID="{0BF48F09-DDFE-4E30-85AC-0CC431A4987D}"/>
</file>

<file path=customXml/itemProps3.xml><?xml version="1.0" encoding="utf-8"?>
<ds:datastoreItem xmlns:ds="http://schemas.openxmlformats.org/officeDocument/2006/customXml" ds:itemID="{679717B6-5A2A-41A5-B882-24223068BE41}"/>
</file>

<file path=customXml/itemProps4.xml><?xml version="1.0" encoding="utf-8"?>
<ds:datastoreItem xmlns:ds="http://schemas.openxmlformats.org/officeDocument/2006/customXml" ds:itemID="{3F626FAE-9548-49B2-BFB5-E51623DA40BC}">
  <ds:schemaRefs>
    <ds:schemaRef ds:uri="http://schemas.microsoft.com/sharepoint/events"/>
  </ds:schemaRefs>
</ds:datastoreItem>
</file>

<file path=customXml/itemProps5.xml><?xml version="1.0" encoding="utf-8"?>
<ds:datastoreItem xmlns:ds="http://schemas.openxmlformats.org/officeDocument/2006/customXml" ds:itemID="{AE7D5E84-FBA6-478A-9DBA-47653D49D1B6}"/>
</file>

<file path=customXml/itemProps6.xml><?xml version="1.0" encoding="utf-8"?>
<ds:datastoreItem xmlns:ds="http://schemas.openxmlformats.org/officeDocument/2006/customXml" ds:itemID="{A0EDBA9B-8181-4462-98CB-1576E9497AA7}">
  <ds:schemaRefs>
    <ds:schemaRef ds:uri="http://schemas.microsoft.com/office/2006/metadata/properties"/>
    <ds:schemaRef ds:uri="http://schemas.microsoft.com/office/infopath/2007/PartnerControls"/>
    <ds:schemaRef ds:uri="cdc7663a-08f0-4737-9e8c-148ce897a09c"/>
  </ds:schemaRefs>
</ds:datastoreItem>
</file>

<file path=customXml/itemProps7.xml><?xml version="1.0" encoding="utf-8"?>
<ds:datastoreItem xmlns:ds="http://schemas.openxmlformats.org/officeDocument/2006/customXml" ds:itemID="{F9C46E77-1257-49BE-B7E3-F13597DD485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Inter-American Development Bank</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mcabrerae@IADB.ORG</dc:creator>
  <cp:keywords/>
  <dc:description/>
  <cp:lastModifiedBy>Cabrera Escalante, Maria</cp:lastModifiedBy>
  <cp:revision>6</cp:revision>
  <cp:lastPrinted>2014-08-22T15:30:00Z</cp:lastPrinted>
  <dcterms:created xsi:type="dcterms:W3CDTF">2018-01-23T01:11:00Z</dcterms:created>
  <dcterms:modified xsi:type="dcterms:W3CDTF">2018-02-06T20:13:22Z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272;#FINANCIAL MARKETS|5fb3c2b5-b55d-4fa3-955b-0672f2ff16b7;#226;#RISK FINANCING|c5c38d86-fff1-494c-a3d8-b52714531aea</vt:lpwstr>
  </property>
  <property fmtid="{D5CDD505-2E9C-101B-9397-08002B2CF9AE}" pid="7" name="Country">
    <vt:lpwstr>5;#Argentina|eb1b705c-195f-4c3b-9661-b201f2fee3c5</vt:lpwstr>
  </property>
  <property fmtid="{D5CDD505-2E9C-101B-9397-08002B2CF9AE}" pid="8" name="Fund IDB">
    <vt:lpwstr>4;#ORC|c028a4b2-ad8b-4cf4-9cac-a2ae6a778e23</vt:lpwstr>
  </property>
  <property fmtid="{D5CDD505-2E9C-101B-9397-08002B2CF9AE}" pid="9" name="_dlc_DocIdItemGuid">
    <vt:lpwstr>8f82ff00-94bf-4c37-8555-6d0211380cab</vt:lpwstr>
  </property>
  <property fmtid="{D5CDD505-2E9C-101B-9397-08002B2CF9AE}" pid="10" name="Sector IDB">
    <vt:lpwstr>84;#FINANCIAL MARKETS|75500f29-2419-473a-bcd8-84901ddc2aa7</vt:lpwstr>
  </property>
  <property fmtid="{D5CDD505-2E9C-101B-9397-08002B2CF9AE}" pid="11" name="Function Operations IDB">
    <vt:lpwstr>8;#Monitoring and Reporting|df3c2aa1-d63e-41aa-b1f5-bb15dee691ca</vt:lpwstr>
  </property>
  <property fmtid="{D5CDD505-2E9C-101B-9397-08002B2CF9AE}" pid="12" name="RecordPoint_ActiveItemMoved">
    <vt:lpwstr>/teams/EZ-AR-LON/AR-L1281/15 LifeCycle Milestones/Draft Area/AR-L1281-DLP. Análisis Financiero del Proyecto.docx</vt:lpwstr>
  </property>
  <property fmtid="{D5CDD505-2E9C-101B-9397-08002B2CF9AE}" pid="13" name="RecordStorageActiveId">
    <vt:lpwstr>9adf1ec4-dd70-4293-b733-5d066a642561</vt:lpwstr>
  </property>
  <property fmtid="{D5CDD505-2E9C-101B-9397-08002B2CF9AE}" pid="14" name="Disclosure Activity">
    <vt:lpwstr>Loan Proposal</vt:lpwstr>
  </property>
  <property fmtid="{D5CDD505-2E9C-101B-9397-08002B2CF9AE}" pid="15" name="ContentTypeId">
    <vt:lpwstr>0x0101001A458A224826124E8B45B1D613300CFC00715BC19BE7C9F84E8D33E2364042F78F</vt:lpwstr>
  </property>
</Properties>
</file>