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3560" w14:textId="02F9DF5B" w:rsidR="00E86AE4" w:rsidRDefault="00ED6883" w:rsidP="000A0F15">
      <w:pPr>
        <w:spacing w:line="252" w:lineRule="auto"/>
        <w:ind w:firstLine="720"/>
        <w:jc w:val="center"/>
        <w:rPr>
          <w:rFonts w:ascii="Arial" w:hAnsi="Arial" w:cs="Arial"/>
          <w:b/>
          <w:bCs/>
          <w:szCs w:val="24"/>
          <w:lang w:val="es-ES"/>
        </w:rPr>
      </w:pPr>
      <w:r w:rsidRPr="004E07FA">
        <w:rPr>
          <w:rFonts w:ascii="Arial" w:hAnsi="Arial" w:cs="Arial"/>
          <w:b/>
          <w:bCs/>
          <w:szCs w:val="24"/>
          <w:lang w:val="es-ES"/>
        </w:rPr>
        <w:t>Reformulación</w:t>
      </w:r>
      <w:r w:rsidR="00E86AE4">
        <w:rPr>
          <w:rFonts w:ascii="Arial" w:hAnsi="Arial" w:cs="Arial"/>
          <w:b/>
          <w:bCs/>
          <w:szCs w:val="24"/>
          <w:lang w:val="es-ES"/>
        </w:rPr>
        <w:t xml:space="preserve"> del </w:t>
      </w:r>
      <w:r w:rsidR="00B8283E" w:rsidRPr="00B8283E">
        <w:rPr>
          <w:rFonts w:ascii="Arial" w:hAnsi="Arial" w:cs="Arial"/>
          <w:b/>
          <w:bCs/>
          <w:szCs w:val="24"/>
          <w:lang w:val="es-ES"/>
        </w:rPr>
        <w:t xml:space="preserve">Programa de </w:t>
      </w:r>
      <w:r w:rsidR="00372DFD">
        <w:rPr>
          <w:rFonts w:ascii="Arial" w:hAnsi="Arial" w:cs="Arial"/>
          <w:b/>
          <w:bCs/>
          <w:szCs w:val="24"/>
          <w:lang w:val="es-ES"/>
        </w:rPr>
        <w:t>B</w:t>
      </w:r>
      <w:r w:rsidR="00B8283E" w:rsidRPr="00B8283E">
        <w:rPr>
          <w:rFonts w:ascii="Arial" w:hAnsi="Arial" w:cs="Arial"/>
          <w:b/>
          <w:bCs/>
          <w:szCs w:val="24"/>
          <w:lang w:val="es-ES"/>
        </w:rPr>
        <w:t xml:space="preserve">ecas en </w:t>
      </w:r>
      <w:r w:rsidR="00372DFD">
        <w:rPr>
          <w:rFonts w:ascii="Arial" w:hAnsi="Arial" w:cs="Arial"/>
          <w:b/>
          <w:bCs/>
          <w:szCs w:val="24"/>
          <w:lang w:val="es-ES"/>
        </w:rPr>
        <w:t>C</w:t>
      </w:r>
      <w:r w:rsidR="00B8283E" w:rsidRPr="00B8283E">
        <w:rPr>
          <w:rFonts w:ascii="Arial" w:hAnsi="Arial" w:cs="Arial"/>
          <w:b/>
          <w:bCs/>
          <w:szCs w:val="24"/>
          <w:lang w:val="es-ES"/>
        </w:rPr>
        <w:t xml:space="preserve">iencia y </w:t>
      </w:r>
      <w:r w:rsidR="00372DFD">
        <w:rPr>
          <w:rFonts w:ascii="Arial" w:hAnsi="Arial" w:cs="Arial"/>
          <w:b/>
          <w:bCs/>
          <w:szCs w:val="24"/>
          <w:lang w:val="es-ES"/>
        </w:rPr>
        <w:t>T</w:t>
      </w:r>
      <w:r w:rsidR="00B8283E" w:rsidRPr="00B8283E">
        <w:rPr>
          <w:rFonts w:ascii="Arial" w:hAnsi="Arial" w:cs="Arial"/>
          <w:b/>
          <w:bCs/>
          <w:szCs w:val="24"/>
          <w:lang w:val="es-ES"/>
        </w:rPr>
        <w:t>ecnología - Programa BECAR</w:t>
      </w:r>
    </w:p>
    <w:p w14:paraId="09070585" w14:textId="0B4DA88B" w:rsidR="00ED6883" w:rsidRDefault="00437492" w:rsidP="00433369">
      <w:pPr>
        <w:spacing w:after="160" w:line="252" w:lineRule="auto"/>
        <w:jc w:val="center"/>
        <w:rPr>
          <w:rFonts w:ascii="Arial" w:hAnsi="Arial" w:cs="Arial"/>
          <w:b/>
          <w:bCs/>
          <w:szCs w:val="24"/>
          <w:lang w:val="pt-BR"/>
        </w:rPr>
      </w:pPr>
      <w:r w:rsidRPr="00E86AE4">
        <w:rPr>
          <w:rFonts w:ascii="Arial" w:hAnsi="Arial" w:cs="Arial"/>
          <w:b/>
          <w:bCs/>
          <w:szCs w:val="24"/>
          <w:lang w:val="pt-BR"/>
        </w:rPr>
        <w:t>(</w:t>
      </w:r>
      <w:bookmarkStart w:id="0" w:name="_Hlk40980254"/>
      <w:r w:rsidR="006C101B">
        <w:rPr>
          <w:rFonts w:ascii="Arial" w:hAnsi="Arial" w:cs="Arial"/>
          <w:b/>
          <w:bCs/>
          <w:szCs w:val="24"/>
          <w:lang w:val="pt-BR"/>
        </w:rPr>
        <w:t xml:space="preserve">Operación </w:t>
      </w:r>
      <w:r w:rsidR="00B8283E">
        <w:rPr>
          <w:rFonts w:ascii="Arial" w:hAnsi="Arial" w:cs="Arial"/>
          <w:b/>
          <w:bCs/>
          <w:szCs w:val="24"/>
          <w:lang w:val="pt-BR"/>
        </w:rPr>
        <w:t xml:space="preserve">AR-L1156; </w:t>
      </w:r>
      <w:r w:rsidR="006C101B">
        <w:rPr>
          <w:rFonts w:ascii="Arial" w:hAnsi="Arial" w:cs="Arial"/>
          <w:b/>
          <w:bCs/>
          <w:szCs w:val="24"/>
          <w:lang w:val="pt-BR"/>
        </w:rPr>
        <w:t xml:space="preserve">Contrato de préstamo </w:t>
      </w:r>
      <w:r w:rsidR="00B8283E">
        <w:rPr>
          <w:rFonts w:ascii="Arial" w:hAnsi="Arial" w:cs="Arial"/>
          <w:b/>
          <w:bCs/>
          <w:szCs w:val="24"/>
          <w:lang w:val="pt-BR"/>
        </w:rPr>
        <w:t>3066</w:t>
      </w:r>
      <w:r w:rsidRPr="00E86AE4">
        <w:rPr>
          <w:rFonts w:ascii="Arial" w:hAnsi="Arial" w:cs="Arial"/>
          <w:b/>
          <w:bCs/>
          <w:szCs w:val="24"/>
          <w:lang w:val="pt-BR"/>
        </w:rPr>
        <w:t>/</w:t>
      </w:r>
      <w:r w:rsidR="008A2104" w:rsidRPr="00E86AE4">
        <w:rPr>
          <w:rFonts w:ascii="Arial" w:hAnsi="Arial" w:cs="Arial"/>
          <w:b/>
          <w:bCs/>
          <w:szCs w:val="24"/>
          <w:lang w:val="pt-BR"/>
        </w:rPr>
        <w:t>O</w:t>
      </w:r>
      <w:r w:rsidRPr="00E86AE4">
        <w:rPr>
          <w:rFonts w:ascii="Arial" w:hAnsi="Arial" w:cs="Arial"/>
          <w:b/>
          <w:bCs/>
          <w:szCs w:val="24"/>
          <w:lang w:val="pt-BR"/>
        </w:rPr>
        <w:t>C-AR</w:t>
      </w:r>
      <w:bookmarkEnd w:id="0"/>
      <w:r w:rsidR="00E56384" w:rsidRPr="00E86AE4">
        <w:rPr>
          <w:rFonts w:ascii="Arial" w:hAnsi="Arial" w:cs="Arial"/>
          <w:b/>
          <w:bCs/>
          <w:szCs w:val="24"/>
          <w:lang w:val="pt-BR"/>
        </w:rPr>
        <w:t>)</w:t>
      </w:r>
    </w:p>
    <w:p w14:paraId="1A21A2C5" w14:textId="6FA5C6FA" w:rsidR="002964C5" w:rsidRPr="0020207D" w:rsidRDefault="00D2605A" w:rsidP="00B7706B">
      <w:pPr>
        <w:pStyle w:val="ListParagraph"/>
        <w:numPr>
          <w:ilvl w:val="0"/>
          <w:numId w:val="3"/>
        </w:numPr>
        <w:spacing w:after="160" w:line="252" w:lineRule="auto"/>
        <w:rPr>
          <w:rFonts w:ascii="Arial" w:hAnsi="Arial" w:cs="Arial"/>
          <w:b/>
          <w:sz w:val="22"/>
          <w:szCs w:val="22"/>
          <w:lang w:val="es-MX"/>
        </w:rPr>
      </w:pPr>
      <w:r w:rsidRPr="0020207D">
        <w:rPr>
          <w:rFonts w:ascii="Arial" w:hAnsi="Arial" w:cs="Arial"/>
          <w:b/>
          <w:sz w:val="22"/>
          <w:szCs w:val="22"/>
          <w:lang w:val="es-MX"/>
        </w:rPr>
        <w:t>Descripción del cambio propuesto</w:t>
      </w:r>
    </w:p>
    <w:p w14:paraId="13084882" w14:textId="4D41D539" w:rsidR="000B1C7E" w:rsidRDefault="007810B3" w:rsidP="00B7706B">
      <w:pPr>
        <w:pStyle w:val="Paragraph"/>
        <w:numPr>
          <w:ilvl w:val="1"/>
          <w:numId w:val="3"/>
        </w:numPr>
        <w:ind w:left="720" w:hanging="630"/>
        <w:rPr>
          <w:rFonts w:ascii="Arial" w:eastAsia="Arial" w:hAnsi="Arial" w:cs="Arial"/>
          <w:b/>
          <w:sz w:val="18"/>
          <w:szCs w:val="18"/>
        </w:rPr>
      </w:pPr>
      <w:r w:rsidRPr="00A21DCC">
        <w:rPr>
          <w:rFonts w:ascii="Arial" w:hAnsi="Arial" w:cs="Arial"/>
          <w:b/>
          <w:bCs/>
          <w:iCs/>
          <w:sz w:val="22"/>
          <w:szCs w:val="22"/>
        </w:rPr>
        <w:t>Reorientación de fondos</w:t>
      </w:r>
      <w:r w:rsidR="006F29CB">
        <w:rPr>
          <w:rFonts w:ascii="Arial" w:hAnsi="Arial" w:cs="Arial"/>
          <w:b/>
          <w:bCs/>
          <w:iCs/>
          <w:sz w:val="22"/>
          <w:szCs w:val="22"/>
        </w:rPr>
        <w:t>.</w:t>
      </w:r>
      <w:r w:rsidRPr="00A21DCC">
        <w:rPr>
          <w:rFonts w:ascii="Arial" w:hAnsi="Arial" w:cs="Arial"/>
          <w:iCs/>
          <w:sz w:val="22"/>
          <w:szCs w:val="22"/>
        </w:rPr>
        <w:t xml:space="preserve"> </w:t>
      </w:r>
      <w:r w:rsidR="00F93785" w:rsidRPr="001B7B09">
        <w:rPr>
          <w:rFonts w:ascii="Arial" w:hAnsi="Arial" w:cs="Arial"/>
          <w:iCs/>
          <w:sz w:val="22"/>
          <w:szCs w:val="22"/>
        </w:rPr>
        <w:t xml:space="preserve">La reorientación de fondos solicitada al </w:t>
      </w:r>
      <w:r w:rsidR="00B8283E" w:rsidRPr="00B8283E">
        <w:rPr>
          <w:rFonts w:ascii="Arial" w:hAnsi="Arial" w:cs="Arial"/>
          <w:iCs/>
          <w:sz w:val="22"/>
          <w:szCs w:val="22"/>
        </w:rPr>
        <w:t xml:space="preserve">Programa de </w:t>
      </w:r>
      <w:r w:rsidR="00372DFD">
        <w:rPr>
          <w:rFonts w:ascii="Arial" w:hAnsi="Arial" w:cs="Arial"/>
          <w:iCs/>
          <w:sz w:val="22"/>
          <w:szCs w:val="22"/>
        </w:rPr>
        <w:t>B</w:t>
      </w:r>
      <w:r w:rsidR="00B8283E" w:rsidRPr="00B8283E">
        <w:rPr>
          <w:rFonts w:ascii="Arial" w:hAnsi="Arial" w:cs="Arial"/>
          <w:iCs/>
          <w:sz w:val="22"/>
          <w:szCs w:val="22"/>
        </w:rPr>
        <w:t xml:space="preserve">ecas en </w:t>
      </w:r>
      <w:r w:rsidR="00372DFD">
        <w:rPr>
          <w:rFonts w:ascii="Arial" w:hAnsi="Arial" w:cs="Arial"/>
          <w:iCs/>
          <w:sz w:val="22"/>
          <w:szCs w:val="22"/>
        </w:rPr>
        <w:t>C</w:t>
      </w:r>
      <w:r w:rsidR="00B8283E" w:rsidRPr="00B8283E">
        <w:rPr>
          <w:rFonts w:ascii="Arial" w:hAnsi="Arial" w:cs="Arial"/>
          <w:iCs/>
          <w:sz w:val="22"/>
          <w:szCs w:val="22"/>
        </w:rPr>
        <w:t xml:space="preserve">iencia y </w:t>
      </w:r>
      <w:r w:rsidR="00372DFD">
        <w:rPr>
          <w:rFonts w:ascii="Arial" w:hAnsi="Arial" w:cs="Arial"/>
          <w:iCs/>
          <w:sz w:val="22"/>
          <w:szCs w:val="22"/>
        </w:rPr>
        <w:t>T</w:t>
      </w:r>
      <w:r w:rsidR="00B8283E" w:rsidRPr="00B8283E">
        <w:rPr>
          <w:rFonts w:ascii="Arial" w:hAnsi="Arial" w:cs="Arial"/>
          <w:iCs/>
          <w:sz w:val="22"/>
          <w:szCs w:val="22"/>
        </w:rPr>
        <w:t>ecnología - Programa BECAR</w:t>
      </w:r>
      <w:r w:rsidR="00C02952">
        <w:rPr>
          <w:rFonts w:ascii="Arial" w:hAnsi="Arial" w:cs="Arial"/>
          <w:iCs/>
          <w:sz w:val="22"/>
          <w:szCs w:val="22"/>
        </w:rPr>
        <w:t xml:space="preserve"> (</w:t>
      </w:r>
      <w:r w:rsidR="00372DFD">
        <w:rPr>
          <w:rFonts w:ascii="Arial" w:hAnsi="Arial" w:cs="Arial"/>
          <w:iCs/>
          <w:sz w:val="22"/>
          <w:szCs w:val="22"/>
        </w:rPr>
        <w:t xml:space="preserve">contrato de préstamo </w:t>
      </w:r>
      <w:r w:rsidR="00B8283E">
        <w:rPr>
          <w:rFonts w:ascii="Arial" w:hAnsi="Arial" w:cs="Arial"/>
          <w:iCs/>
          <w:sz w:val="22"/>
          <w:szCs w:val="22"/>
        </w:rPr>
        <w:t>3066</w:t>
      </w:r>
      <w:r w:rsidR="00933EAF" w:rsidRPr="001B7B09">
        <w:rPr>
          <w:rFonts w:ascii="Arial" w:hAnsi="Arial" w:cs="Arial"/>
          <w:iCs/>
          <w:sz w:val="22"/>
          <w:szCs w:val="22"/>
        </w:rPr>
        <w:t>/</w:t>
      </w:r>
      <w:r w:rsidR="00153A63">
        <w:rPr>
          <w:rFonts w:ascii="Arial" w:hAnsi="Arial" w:cs="Arial"/>
          <w:iCs/>
          <w:sz w:val="22"/>
          <w:szCs w:val="22"/>
        </w:rPr>
        <w:t>O</w:t>
      </w:r>
      <w:r w:rsidR="00933EAF" w:rsidRPr="001B7B09">
        <w:rPr>
          <w:rFonts w:ascii="Arial" w:hAnsi="Arial" w:cs="Arial"/>
          <w:iCs/>
          <w:sz w:val="22"/>
          <w:szCs w:val="22"/>
        </w:rPr>
        <w:t>C-AR</w:t>
      </w:r>
      <w:r w:rsidR="00C02952">
        <w:rPr>
          <w:rFonts w:ascii="Arial" w:hAnsi="Arial" w:cs="Arial"/>
          <w:iCs/>
          <w:sz w:val="22"/>
          <w:szCs w:val="22"/>
        </w:rPr>
        <w:t>)</w:t>
      </w:r>
      <w:r w:rsidR="00F93785" w:rsidRPr="001B7B09">
        <w:rPr>
          <w:rFonts w:ascii="Arial" w:hAnsi="Arial" w:cs="Arial"/>
          <w:iCs/>
          <w:sz w:val="22"/>
          <w:szCs w:val="22"/>
        </w:rPr>
        <w:t xml:space="preserve"> </w:t>
      </w:r>
      <w:r w:rsidR="00AC39B3" w:rsidRPr="001B7B09">
        <w:rPr>
          <w:rFonts w:ascii="Arial" w:hAnsi="Arial" w:cs="Arial"/>
          <w:iCs/>
          <w:sz w:val="22"/>
          <w:szCs w:val="22"/>
        </w:rPr>
        <w:t xml:space="preserve">tiene como propósito </w:t>
      </w:r>
      <w:r w:rsidR="001B7B09" w:rsidRPr="001B7B09">
        <w:rPr>
          <w:rFonts w:ascii="Arial" w:hAnsi="Arial" w:cs="Arial"/>
          <w:iCs/>
          <w:sz w:val="22"/>
          <w:szCs w:val="22"/>
        </w:rPr>
        <w:t xml:space="preserve">apoyar la sostenibilidad de las Micro, Pequeñas y Medianas Empresas (MIPYME) como sostén del empleo en Argentina en el contexto de crisis generada por la pandemia COVID-19. </w:t>
      </w:r>
      <w:r w:rsidRPr="001B7B09">
        <w:rPr>
          <w:rFonts w:ascii="Arial" w:hAnsi="Arial" w:cs="Arial"/>
          <w:iCs/>
          <w:sz w:val="22"/>
          <w:szCs w:val="22"/>
        </w:rPr>
        <w:t>Dichos</w:t>
      </w:r>
      <w:r w:rsidR="00F93785" w:rsidRPr="001B7B09">
        <w:rPr>
          <w:rFonts w:ascii="Arial" w:hAnsi="Arial" w:cs="Arial"/>
          <w:iCs/>
          <w:sz w:val="22"/>
          <w:szCs w:val="22"/>
        </w:rPr>
        <w:t xml:space="preserve"> </w:t>
      </w:r>
      <w:r w:rsidRPr="001B7B09">
        <w:rPr>
          <w:rFonts w:ascii="Arial" w:hAnsi="Arial" w:cs="Arial"/>
          <w:iCs/>
          <w:sz w:val="22"/>
          <w:szCs w:val="22"/>
        </w:rPr>
        <w:t>fondos serán</w:t>
      </w:r>
      <w:r w:rsidR="00F93785" w:rsidRPr="001B7B09">
        <w:rPr>
          <w:rFonts w:ascii="Arial" w:hAnsi="Arial" w:cs="Arial"/>
          <w:iCs/>
          <w:sz w:val="22"/>
          <w:szCs w:val="22"/>
        </w:rPr>
        <w:t xml:space="preserve"> destinados a </w:t>
      </w:r>
      <w:r w:rsidR="001B7B09" w:rsidRPr="001B7B09">
        <w:rPr>
          <w:rFonts w:ascii="Arial" w:hAnsi="Arial" w:cs="Arial"/>
          <w:iCs/>
          <w:sz w:val="22"/>
          <w:szCs w:val="22"/>
        </w:rPr>
        <w:t xml:space="preserve">facilitar el acceso a crédito </w:t>
      </w:r>
      <w:r w:rsidR="001B7B09">
        <w:rPr>
          <w:rFonts w:ascii="Arial" w:hAnsi="Arial" w:cs="Arial"/>
          <w:iCs/>
          <w:sz w:val="22"/>
          <w:szCs w:val="22"/>
        </w:rPr>
        <w:t xml:space="preserve">de </w:t>
      </w:r>
      <w:r w:rsidR="001B7B09" w:rsidRPr="001B7B09">
        <w:rPr>
          <w:rFonts w:ascii="Arial" w:hAnsi="Arial" w:cs="Arial"/>
          <w:iCs/>
          <w:sz w:val="22"/>
          <w:szCs w:val="22"/>
        </w:rPr>
        <w:t>las MIPYME para apoyar su sostenibilidad financiera y promover su recuperación económica</w:t>
      </w:r>
      <w:bookmarkStart w:id="1" w:name="_Hlk36433509"/>
      <w:r w:rsidR="001B7B09" w:rsidRPr="001B7B09">
        <w:rPr>
          <w:rFonts w:ascii="Arial" w:hAnsi="Arial" w:cs="Arial"/>
          <w:iCs/>
          <w:sz w:val="22"/>
          <w:szCs w:val="22"/>
        </w:rPr>
        <w:t xml:space="preserve"> a través del </w:t>
      </w:r>
      <w:r w:rsidR="003D3BCA">
        <w:rPr>
          <w:rFonts w:ascii="Arial" w:hAnsi="Arial" w:cs="Arial"/>
          <w:iCs/>
          <w:sz w:val="22"/>
          <w:szCs w:val="22"/>
        </w:rPr>
        <w:t>Programa Global de Crédito para la Reactivación del Sector Productivo</w:t>
      </w:r>
      <w:r w:rsidR="001B7B09" w:rsidRPr="001B7B09">
        <w:rPr>
          <w:rFonts w:ascii="Arial" w:hAnsi="Arial" w:cs="Arial"/>
          <w:iCs/>
          <w:sz w:val="22"/>
          <w:szCs w:val="22"/>
        </w:rPr>
        <w:t xml:space="preserve"> (AR-L1328)</w:t>
      </w:r>
      <w:r w:rsidR="002A1E1C" w:rsidRPr="001B7B09">
        <w:rPr>
          <w:rFonts w:ascii="Arial" w:hAnsi="Arial" w:cs="Arial"/>
          <w:iCs/>
          <w:sz w:val="22"/>
          <w:szCs w:val="22"/>
        </w:rPr>
        <w:t>.</w:t>
      </w:r>
    </w:p>
    <w:p w14:paraId="6A4919AC" w14:textId="616209EA" w:rsidR="00DE7009" w:rsidRPr="00096B1D" w:rsidRDefault="00096B1D" w:rsidP="00B7706B">
      <w:pPr>
        <w:pStyle w:val="Paragraph"/>
        <w:numPr>
          <w:ilvl w:val="1"/>
          <w:numId w:val="3"/>
        </w:numPr>
        <w:ind w:left="720" w:hanging="630"/>
        <w:rPr>
          <w:rFonts w:ascii="Arial" w:hAnsi="Arial" w:cs="Arial"/>
          <w:bCs/>
          <w:sz w:val="22"/>
          <w:szCs w:val="22"/>
        </w:rPr>
      </w:pPr>
      <w:r w:rsidRPr="00096B1D">
        <w:rPr>
          <w:rFonts w:ascii="Arial" w:hAnsi="Arial" w:cs="Arial"/>
          <w:b/>
          <w:bCs/>
          <w:sz w:val="22"/>
          <w:szCs w:val="22"/>
          <w:lang w:val="es-AR"/>
        </w:rPr>
        <w:t>Estado del proyecto en ejecución.</w:t>
      </w:r>
      <w:r w:rsidRPr="00096B1D">
        <w:rPr>
          <w:rFonts w:ascii="Arial" w:hAnsi="Arial" w:cs="Arial"/>
          <w:sz w:val="22"/>
          <w:szCs w:val="22"/>
          <w:lang w:val="es-AR"/>
        </w:rPr>
        <w:t xml:space="preserve"> Se trata de un préstamo de inversión de tipo específico (ESP). A junio de 2020, la operación tiene desembolsados U</w:t>
      </w:r>
      <w:r w:rsidR="000A170B">
        <w:rPr>
          <w:rFonts w:ascii="Arial" w:hAnsi="Arial" w:cs="Arial"/>
          <w:sz w:val="22"/>
          <w:szCs w:val="22"/>
          <w:lang w:val="es-AR"/>
        </w:rPr>
        <w:t>S</w:t>
      </w:r>
      <w:r w:rsidRPr="00096B1D">
        <w:rPr>
          <w:rFonts w:ascii="Arial" w:hAnsi="Arial" w:cs="Arial"/>
          <w:sz w:val="22"/>
          <w:szCs w:val="22"/>
          <w:lang w:val="es-AR"/>
        </w:rPr>
        <w:t xml:space="preserve">$16 millones, 67% del monto total del financiamiento del Banco. El </w:t>
      </w:r>
      <w:r w:rsidR="00BC0E3E">
        <w:rPr>
          <w:rFonts w:ascii="Arial" w:hAnsi="Arial" w:cs="Arial"/>
          <w:sz w:val="22"/>
          <w:szCs w:val="22"/>
          <w:lang w:val="es-AR"/>
        </w:rPr>
        <w:t>p</w:t>
      </w:r>
      <w:r w:rsidRPr="00096B1D">
        <w:rPr>
          <w:rFonts w:ascii="Arial" w:hAnsi="Arial" w:cs="Arial"/>
          <w:sz w:val="22"/>
          <w:szCs w:val="22"/>
          <w:lang w:val="es-AR"/>
        </w:rPr>
        <w:t xml:space="preserve">rograma ha otorgado 680 becas para formar recursos humanos en el exterior en áreas científicas y tecnológicas, según el siguiente detalle: </w:t>
      </w:r>
      <w:r w:rsidRPr="00096B1D">
        <w:rPr>
          <w:rFonts w:ascii="Arial" w:hAnsi="Arial" w:cs="Arial"/>
          <w:sz w:val="22"/>
          <w:szCs w:val="22"/>
          <w:lang w:val="es-ES_tradnl"/>
        </w:rPr>
        <w:t>(i) maestrías (418); (ii) estancias cortas para MIPYMES (26); (iii)</w:t>
      </w:r>
      <w:r w:rsidR="002F3467">
        <w:rPr>
          <w:rFonts w:ascii="Arial" w:hAnsi="Arial" w:cs="Arial"/>
          <w:sz w:val="22"/>
          <w:szCs w:val="22"/>
          <w:lang w:val="es-ES_tradnl"/>
        </w:rPr>
        <w:t> </w:t>
      </w:r>
      <w:r w:rsidRPr="00096B1D">
        <w:rPr>
          <w:rFonts w:ascii="Arial" w:hAnsi="Arial" w:cs="Arial"/>
          <w:sz w:val="22"/>
          <w:szCs w:val="22"/>
          <w:lang w:val="es-ES_tradnl"/>
        </w:rPr>
        <w:t>estancias cortas para grandes empresas (29); (iv)</w:t>
      </w:r>
      <w:r w:rsidR="000A170B">
        <w:rPr>
          <w:rFonts w:ascii="Arial" w:hAnsi="Arial" w:cs="Arial"/>
          <w:sz w:val="22"/>
          <w:szCs w:val="22"/>
          <w:lang w:val="es-ES_tradnl"/>
        </w:rPr>
        <w:t> </w:t>
      </w:r>
      <w:r w:rsidRPr="00096B1D">
        <w:rPr>
          <w:rFonts w:ascii="Arial" w:hAnsi="Arial" w:cs="Arial"/>
          <w:sz w:val="22"/>
          <w:szCs w:val="22"/>
          <w:lang w:val="es-ES_tradnl"/>
        </w:rPr>
        <w:t xml:space="preserve">estancias cortas para instituciones de CTI (94); (v) cursos cortos de especialización (38); </w:t>
      </w:r>
      <w:r w:rsidR="00BC0E3E">
        <w:rPr>
          <w:rFonts w:ascii="Arial" w:hAnsi="Arial" w:cs="Arial"/>
          <w:sz w:val="22"/>
          <w:szCs w:val="22"/>
          <w:lang w:val="es-ES_tradnl"/>
        </w:rPr>
        <w:t>y</w:t>
      </w:r>
      <w:r w:rsidRPr="00096B1D">
        <w:rPr>
          <w:rFonts w:ascii="Arial" w:hAnsi="Arial" w:cs="Arial"/>
          <w:sz w:val="22"/>
          <w:szCs w:val="22"/>
          <w:lang w:val="es-ES_tradnl"/>
        </w:rPr>
        <w:t>(vi) doctorados (75).</w:t>
      </w:r>
    </w:p>
    <w:p w14:paraId="482D52C5" w14:textId="2126D86A" w:rsidR="006F29CB" w:rsidRPr="006F29CB" w:rsidRDefault="006F29CB" w:rsidP="00B7706B">
      <w:pPr>
        <w:pStyle w:val="Paragraph"/>
        <w:numPr>
          <w:ilvl w:val="1"/>
          <w:numId w:val="3"/>
        </w:numPr>
        <w:ind w:left="720" w:hanging="630"/>
        <w:rPr>
          <w:rFonts w:ascii="Arial" w:hAnsi="Arial" w:cs="Arial"/>
          <w:bCs/>
          <w:sz w:val="22"/>
          <w:szCs w:val="22"/>
        </w:rPr>
      </w:pPr>
      <w:r>
        <w:rPr>
          <w:rFonts w:ascii="Arial" w:hAnsi="Arial" w:cs="Arial"/>
          <w:b/>
          <w:sz w:val="22"/>
          <w:szCs w:val="22"/>
        </w:rPr>
        <w:t>Cambio en el objetivo</w:t>
      </w:r>
      <w:r w:rsidR="00153A63">
        <w:rPr>
          <w:rFonts w:ascii="Arial" w:hAnsi="Arial" w:cs="Arial"/>
          <w:b/>
          <w:sz w:val="22"/>
          <w:szCs w:val="22"/>
        </w:rPr>
        <w:t xml:space="preserve"> para el proyecto en ejecución</w:t>
      </w:r>
      <w:r>
        <w:rPr>
          <w:rFonts w:ascii="Arial" w:hAnsi="Arial" w:cs="Arial"/>
          <w:b/>
          <w:sz w:val="22"/>
          <w:szCs w:val="22"/>
        </w:rPr>
        <w:t>.</w:t>
      </w:r>
      <w:r>
        <w:rPr>
          <w:rFonts w:ascii="Arial" w:hAnsi="Arial" w:cs="Arial"/>
          <w:bCs/>
          <w:sz w:val="22"/>
          <w:szCs w:val="22"/>
        </w:rPr>
        <w:t xml:space="preserve"> </w:t>
      </w:r>
      <w:r w:rsidR="00E86AE4">
        <w:rPr>
          <w:rFonts w:ascii="Arial" w:hAnsi="Arial" w:cs="Arial"/>
          <w:bCs/>
          <w:sz w:val="22"/>
          <w:szCs w:val="22"/>
        </w:rPr>
        <w:t xml:space="preserve">El objetivo del proyecto es </w:t>
      </w:r>
      <w:r w:rsidR="00B8283E" w:rsidRPr="00B8283E">
        <w:rPr>
          <w:rFonts w:ascii="Arial" w:hAnsi="Arial" w:cs="Arial"/>
          <w:bCs/>
          <w:sz w:val="22"/>
          <w:szCs w:val="22"/>
        </w:rPr>
        <w:t>contribuir al aumento de la productividad de la economía a través del mejoramiento de la oferta del capital humano avanzado en áreas científicas y tecnológicas</w:t>
      </w:r>
      <w:r w:rsidR="00B8283E">
        <w:rPr>
          <w:rFonts w:ascii="Arial" w:hAnsi="Arial" w:cs="Arial"/>
          <w:bCs/>
          <w:sz w:val="22"/>
          <w:szCs w:val="22"/>
        </w:rPr>
        <w:t>.</w:t>
      </w:r>
      <w:r w:rsidR="00E86AE4">
        <w:rPr>
          <w:rFonts w:ascii="Arial" w:hAnsi="Arial" w:cs="Arial"/>
          <w:bCs/>
          <w:sz w:val="22"/>
          <w:szCs w:val="22"/>
        </w:rPr>
        <w:t xml:space="preserve"> </w:t>
      </w:r>
      <w:r>
        <w:rPr>
          <w:rFonts w:ascii="Arial" w:hAnsi="Arial" w:cs="Arial"/>
          <w:iCs/>
          <w:sz w:val="22"/>
          <w:szCs w:val="22"/>
        </w:rPr>
        <w:t>La reorientación de los recursos no implicará cambios a</w:t>
      </w:r>
      <w:r>
        <w:rPr>
          <w:rFonts w:ascii="Arial" w:hAnsi="Arial" w:cs="Arial"/>
          <w:bCs/>
          <w:sz w:val="22"/>
          <w:szCs w:val="22"/>
          <w:lang w:val="es-MX"/>
        </w:rPr>
        <w:t>l objetivo</w:t>
      </w:r>
      <w:r w:rsidR="00C059DA">
        <w:rPr>
          <w:rFonts w:ascii="Arial" w:hAnsi="Arial" w:cs="Arial"/>
          <w:bCs/>
          <w:sz w:val="22"/>
          <w:szCs w:val="22"/>
          <w:lang w:val="es-MX"/>
        </w:rPr>
        <w:t xml:space="preserve"> original del proyecto</w:t>
      </w:r>
      <w:r w:rsidR="00C059DA">
        <w:rPr>
          <w:rStyle w:val="FootnoteReference"/>
          <w:rFonts w:ascii="Arial" w:hAnsi="Arial" w:cs="Arial"/>
          <w:bCs/>
          <w:sz w:val="22"/>
          <w:szCs w:val="22"/>
          <w:lang w:val="es-MX"/>
        </w:rPr>
        <w:footnoteReference w:id="2"/>
      </w:r>
      <w:r w:rsidR="00C059DA">
        <w:rPr>
          <w:rFonts w:ascii="Arial" w:hAnsi="Arial" w:cs="Arial"/>
          <w:bCs/>
          <w:sz w:val="22"/>
          <w:szCs w:val="22"/>
          <w:lang w:val="es-MX"/>
        </w:rPr>
        <w:t xml:space="preserve">. </w:t>
      </w:r>
    </w:p>
    <w:p w14:paraId="24F2383E" w14:textId="7138812C" w:rsidR="00035964" w:rsidRPr="000B1C7E" w:rsidRDefault="00D4007D" w:rsidP="00B7706B">
      <w:pPr>
        <w:pStyle w:val="Paragraph"/>
        <w:numPr>
          <w:ilvl w:val="1"/>
          <w:numId w:val="3"/>
        </w:numPr>
        <w:ind w:left="720" w:hanging="630"/>
        <w:rPr>
          <w:rFonts w:ascii="Arial" w:hAnsi="Arial" w:cs="Arial"/>
          <w:bCs/>
          <w:sz w:val="22"/>
          <w:szCs w:val="22"/>
        </w:rPr>
      </w:pPr>
      <w:r w:rsidRPr="00A21DCC">
        <w:rPr>
          <w:rFonts w:ascii="Arial" w:hAnsi="Arial" w:cs="Arial"/>
          <w:b/>
          <w:bCs/>
          <w:iCs/>
          <w:sz w:val="22"/>
          <w:szCs w:val="22"/>
        </w:rPr>
        <w:t>Origen</w:t>
      </w:r>
      <w:r w:rsidR="00F97D54" w:rsidRPr="00A21DCC">
        <w:rPr>
          <w:rFonts w:ascii="Arial" w:hAnsi="Arial" w:cs="Arial"/>
          <w:b/>
          <w:bCs/>
          <w:iCs/>
          <w:sz w:val="22"/>
          <w:szCs w:val="22"/>
        </w:rPr>
        <w:t xml:space="preserve"> de los fondos</w:t>
      </w:r>
      <w:r w:rsidRPr="00A21DCC">
        <w:rPr>
          <w:rFonts w:ascii="Arial" w:hAnsi="Arial" w:cs="Arial"/>
          <w:b/>
          <w:bCs/>
          <w:iCs/>
          <w:sz w:val="22"/>
          <w:szCs w:val="22"/>
        </w:rPr>
        <w:t xml:space="preserve"> y componentes afectados del proyecto en ejecución</w:t>
      </w:r>
      <w:r w:rsidR="006F29CB">
        <w:rPr>
          <w:rFonts w:ascii="Arial" w:hAnsi="Arial" w:cs="Arial"/>
          <w:b/>
          <w:bCs/>
          <w:iCs/>
          <w:sz w:val="22"/>
          <w:szCs w:val="22"/>
        </w:rPr>
        <w:t>.</w:t>
      </w:r>
      <w:r w:rsidR="00F97D54" w:rsidRPr="00035964">
        <w:rPr>
          <w:rFonts w:ascii="Arial" w:hAnsi="Arial" w:cs="Arial"/>
          <w:b/>
          <w:bCs/>
          <w:i/>
          <w:sz w:val="22"/>
          <w:szCs w:val="22"/>
        </w:rPr>
        <w:t xml:space="preserve"> </w:t>
      </w:r>
      <w:r w:rsidRPr="00035964">
        <w:rPr>
          <w:rFonts w:ascii="Arial" w:hAnsi="Arial" w:cs="Arial"/>
          <w:bCs/>
          <w:sz w:val="22"/>
          <w:szCs w:val="22"/>
        </w:rPr>
        <w:t>La reorientación de US$</w:t>
      </w:r>
      <w:r w:rsidR="00B8283E">
        <w:rPr>
          <w:rFonts w:ascii="Arial" w:hAnsi="Arial" w:cs="Arial"/>
          <w:bCs/>
          <w:sz w:val="22"/>
          <w:szCs w:val="22"/>
        </w:rPr>
        <w:t>4</w:t>
      </w:r>
      <w:r w:rsidRPr="00035964">
        <w:rPr>
          <w:rFonts w:ascii="Arial" w:hAnsi="Arial" w:cs="Arial"/>
          <w:bCs/>
          <w:sz w:val="22"/>
          <w:szCs w:val="22"/>
        </w:rPr>
        <w:t xml:space="preserve"> millones representa una reducción del presupuesto original del programa </w:t>
      </w:r>
      <w:r w:rsidR="009D26CA">
        <w:rPr>
          <w:rFonts w:ascii="Arial" w:hAnsi="Arial" w:cs="Arial"/>
          <w:bCs/>
          <w:sz w:val="22"/>
          <w:szCs w:val="22"/>
        </w:rPr>
        <w:t xml:space="preserve">con cargo al financiamiento del Banco </w:t>
      </w:r>
      <w:r w:rsidRPr="00035964">
        <w:rPr>
          <w:rFonts w:ascii="Arial" w:hAnsi="Arial" w:cs="Arial"/>
          <w:bCs/>
          <w:sz w:val="22"/>
          <w:szCs w:val="22"/>
        </w:rPr>
        <w:t xml:space="preserve">del </w:t>
      </w:r>
      <w:r w:rsidR="00B8283E">
        <w:rPr>
          <w:rFonts w:ascii="Arial" w:hAnsi="Arial" w:cs="Arial"/>
          <w:bCs/>
          <w:sz w:val="22"/>
          <w:szCs w:val="22"/>
        </w:rPr>
        <w:t>16,7</w:t>
      </w:r>
      <w:r w:rsidRPr="00035964">
        <w:rPr>
          <w:rFonts w:ascii="Arial" w:hAnsi="Arial" w:cs="Arial"/>
          <w:bCs/>
          <w:sz w:val="22"/>
          <w:szCs w:val="22"/>
        </w:rPr>
        <w:t>%</w:t>
      </w:r>
      <w:r w:rsidR="00EF5D8B">
        <w:rPr>
          <w:rStyle w:val="FootnoteReference"/>
          <w:rFonts w:ascii="Arial" w:hAnsi="Arial" w:cs="Arial"/>
          <w:bCs/>
          <w:sz w:val="22"/>
          <w:szCs w:val="22"/>
        </w:rPr>
        <w:footnoteReference w:id="3"/>
      </w:r>
      <w:r w:rsidRPr="00035964">
        <w:rPr>
          <w:rFonts w:ascii="Arial" w:hAnsi="Arial" w:cs="Arial"/>
          <w:bCs/>
          <w:sz w:val="22"/>
          <w:szCs w:val="22"/>
        </w:rPr>
        <w:t xml:space="preserve"> y </w:t>
      </w:r>
      <w:r w:rsidR="00B8283E">
        <w:rPr>
          <w:rFonts w:ascii="Arial" w:hAnsi="Arial" w:cs="Arial"/>
          <w:bCs/>
          <w:sz w:val="22"/>
          <w:szCs w:val="22"/>
        </w:rPr>
        <w:t>50,6</w:t>
      </w:r>
      <w:r w:rsidRPr="00035964">
        <w:rPr>
          <w:rFonts w:ascii="Arial" w:hAnsi="Arial" w:cs="Arial"/>
          <w:bCs/>
          <w:sz w:val="22"/>
          <w:szCs w:val="22"/>
        </w:rPr>
        <w:t>% de los recursos disponibles actualmente.</w:t>
      </w:r>
      <w:r w:rsidR="000F5290" w:rsidRPr="00035964">
        <w:rPr>
          <w:rFonts w:ascii="Arial" w:hAnsi="Arial" w:cs="Arial"/>
          <w:bCs/>
          <w:sz w:val="22"/>
          <w:szCs w:val="22"/>
        </w:rPr>
        <w:t xml:space="preserve"> Las reasignaciones presupuestarias asociadas a los componentes (incluidos los correspondientes productos) y otros gastos</w:t>
      </w:r>
      <w:r w:rsidR="009F0577" w:rsidRPr="00035964">
        <w:rPr>
          <w:rFonts w:ascii="Arial" w:hAnsi="Arial" w:cs="Arial"/>
          <w:bCs/>
          <w:sz w:val="22"/>
          <w:szCs w:val="22"/>
        </w:rPr>
        <w:t xml:space="preserve"> del proyecto original</w:t>
      </w:r>
      <w:r w:rsidR="000F5290" w:rsidRPr="00035964">
        <w:rPr>
          <w:rFonts w:ascii="Arial" w:hAnsi="Arial" w:cs="Arial"/>
          <w:bCs/>
          <w:sz w:val="22"/>
          <w:szCs w:val="22"/>
        </w:rPr>
        <w:t xml:space="preserve"> que son afectados por la reformulación se detallan en </w:t>
      </w:r>
      <w:r w:rsidR="0084290C" w:rsidRPr="00035964">
        <w:rPr>
          <w:rFonts w:ascii="Arial" w:hAnsi="Arial" w:cs="Arial"/>
          <w:bCs/>
          <w:sz w:val="22"/>
          <w:szCs w:val="22"/>
        </w:rPr>
        <w:t>e</w:t>
      </w:r>
      <w:r w:rsidR="000F5290" w:rsidRPr="00035964">
        <w:rPr>
          <w:rFonts w:ascii="Arial" w:hAnsi="Arial" w:cs="Arial"/>
          <w:bCs/>
          <w:sz w:val="22"/>
          <w:szCs w:val="22"/>
        </w:rPr>
        <w:t xml:space="preserve">l siguiente </w:t>
      </w:r>
      <w:r w:rsidR="0084290C" w:rsidRPr="00035964">
        <w:rPr>
          <w:rFonts w:ascii="Arial" w:hAnsi="Arial" w:cs="Arial"/>
          <w:bCs/>
          <w:sz w:val="22"/>
          <w:szCs w:val="22"/>
        </w:rPr>
        <w:t>cuadro</w:t>
      </w:r>
      <w:r w:rsidR="000F5290" w:rsidRPr="00035964">
        <w:rPr>
          <w:rFonts w:ascii="Arial" w:hAnsi="Arial" w:cs="Arial"/>
          <w:bCs/>
          <w:sz w:val="22"/>
          <w:szCs w:val="22"/>
        </w:rPr>
        <w:t>:</w:t>
      </w:r>
    </w:p>
    <w:p w14:paraId="0B0649E6" w14:textId="77777777" w:rsidR="00096B1D" w:rsidRDefault="00096B1D">
      <w:pPr>
        <w:spacing w:after="160" w:line="259" w:lineRule="auto"/>
        <w:rPr>
          <w:rFonts w:ascii="Arial" w:hAnsi="Arial" w:cs="Arial"/>
          <w:b/>
          <w:sz w:val="20"/>
          <w:szCs w:val="24"/>
          <w:lang w:val="es-ES"/>
        </w:rPr>
      </w:pPr>
      <w:r>
        <w:rPr>
          <w:rFonts w:ascii="Arial" w:hAnsi="Arial" w:cs="Arial"/>
          <w:b/>
          <w:sz w:val="20"/>
          <w:szCs w:val="24"/>
        </w:rPr>
        <w:br w:type="page"/>
      </w:r>
    </w:p>
    <w:p w14:paraId="4BBA795F" w14:textId="7BE7E9EE" w:rsidR="00D4007D" w:rsidRDefault="00B87483" w:rsidP="006F29CB">
      <w:pPr>
        <w:pStyle w:val="Paragraph"/>
        <w:keepNext/>
        <w:keepLines/>
        <w:numPr>
          <w:ilvl w:val="0"/>
          <w:numId w:val="0"/>
        </w:numPr>
        <w:spacing w:after="40"/>
        <w:ind w:left="360"/>
        <w:jc w:val="center"/>
        <w:rPr>
          <w:rFonts w:ascii="Arial" w:hAnsi="Arial" w:cs="Arial"/>
          <w:b/>
          <w:sz w:val="20"/>
          <w:szCs w:val="24"/>
        </w:rPr>
      </w:pPr>
      <w:r w:rsidRPr="000B1C7E">
        <w:rPr>
          <w:rFonts w:ascii="Arial" w:hAnsi="Arial" w:cs="Arial"/>
          <w:b/>
          <w:sz w:val="20"/>
          <w:szCs w:val="24"/>
        </w:rPr>
        <w:lastRenderedPageBreak/>
        <w:t xml:space="preserve">Cuadro </w:t>
      </w:r>
      <w:r w:rsidR="002B18EB">
        <w:rPr>
          <w:rFonts w:ascii="Arial" w:hAnsi="Arial" w:cs="Arial"/>
          <w:b/>
          <w:sz w:val="20"/>
          <w:szCs w:val="24"/>
        </w:rPr>
        <w:t>1</w:t>
      </w:r>
      <w:r w:rsidR="0001556E" w:rsidRPr="000B1C7E">
        <w:rPr>
          <w:rFonts w:ascii="Arial" w:hAnsi="Arial" w:cs="Arial"/>
          <w:b/>
          <w:sz w:val="20"/>
          <w:szCs w:val="24"/>
        </w:rPr>
        <w:t xml:space="preserve">. </w:t>
      </w:r>
      <w:r w:rsidR="0084290C" w:rsidRPr="000B1C7E">
        <w:rPr>
          <w:rFonts w:ascii="Arial" w:hAnsi="Arial" w:cs="Arial"/>
          <w:b/>
          <w:sz w:val="20"/>
          <w:szCs w:val="24"/>
        </w:rPr>
        <w:t xml:space="preserve">Reasignación </w:t>
      </w:r>
      <w:r w:rsidR="002D489A">
        <w:rPr>
          <w:rFonts w:ascii="Arial" w:hAnsi="Arial" w:cs="Arial"/>
          <w:b/>
          <w:sz w:val="20"/>
          <w:szCs w:val="24"/>
        </w:rPr>
        <w:t>p</w:t>
      </w:r>
      <w:r w:rsidR="0084290C" w:rsidRPr="000B1C7E">
        <w:rPr>
          <w:rFonts w:ascii="Arial" w:hAnsi="Arial" w:cs="Arial"/>
          <w:b/>
          <w:sz w:val="20"/>
          <w:szCs w:val="24"/>
        </w:rPr>
        <w:t>resupuestaria</w:t>
      </w:r>
      <w:r w:rsidR="003F6809">
        <w:rPr>
          <w:rFonts w:ascii="Arial" w:hAnsi="Arial" w:cs="Arial"/>
          <w:b/>
          <w:sz w:val="20"/>
          <w:szCs w:val="24"/>
        </w:rPr>
        <w:t xml:space="preserve"> </w:t>
      </w:r>
      <w:r w:rsidR="00A21DCC">
        <w:rPr>
          <w:rFonts w:ascii="Arial" w:hAnsi="Arial" w:cs="Arial"/>
          <w:b/>
          <w:sz w:val="20"/>
          <w:szCs w:val="24"/>
        </w:rPr>
        <w:t xml:space="preserve">del proyecto en ejecución </w:t>
      </w:r>
      <w:r w:rsidR="003F6809">
        <w:rPr>
          <w:rFonts w:ascii="Arial" w:hAnsi="Arial" w:cs="Arial"/>
          <w:b/>
          <w:sz w:val="20"/>
          <w:szCs w:val="24"/>
        </w:rPr>
        <w:t>(US$ millones)</w:t>
      </w:r>
    </w:p>
    <w:tbl>
      <w:tblPr>
        <w:tblW w:w="9360" w:type="dxa"/>
        <w:tblCellMar>
          <w:left w:w="70" w:type="dxa"/>
          <w:right w:w="70" w:type="dxa"/>
        </w:tblCellMar>
        <w:tblLook w:val="04A0" w:firstRow="1" w:lastRow="0" w:firstColumn="1" w:lastColumn="0" w:noHBand="0" w:noVBand="1"/>
      </w:tblPr>
      <w:tblGrid>
        <w:gridCol w:w="2785"/>
        <w:gridCol w:w="919"/>
        <w:gridCol w:w="718"/>
        <w:gridCol w:w="882"/>
        <w:gridCol w:w="821"/>
        <w:gridCol w:w="855"/>
        <w:gridCol w:w="801"/>
        <w:gridCol w:w="810"/>
        <w:gridCol w:w="769"/>
      </w:tblGrid>
      <w:tr w:rsidR="000A0F15" w:rsidRPr="000B1C7E" w14:paraId="25D6C45B" w14:textId="77777777" w:rsidTr="00A97FB6">
        <w:trPr>
          <w:trHeight w:val="602"/>
        </w:trPr>
        <w:tc>
          <w:tcPr>
            <w:tcW w:w="2785" w:type="dxa"/>
            <w:vMerge w:val="restart"/>
            <w:tcBorders>
              <w:top w:val="single" w:sz="4" w:space="0" w:color="auto"/>
              <w:left w:val="single" w:sz="4" w:space="0" w:color="auto"/>
              <w:right w:val="single" w:sz="4" w:space="0" w:color="auto"/>
            </w:tcBorders>
            <w:shd w:val="clear" w:color="auto" w:fill="1F3864" w:themeFill="accent1" w:themeFillShade="80"/>
            <w:vAlign w:val="center"/>
            <w:hideMark/>
          </w:tcPr>
          <w:p w14:paraId="63ED066D" w14:textId="7A9277A4" w:rsidR="000A0F15" w:rsidRPr="000B1C7E" w:rsidRDefault="000A0F15" w:rsidP="001763A9">
            <w:pPr>
              <w:jc w:val="center"/>
              <w:rPr>
                <w:rFonts w:ascii="Arial" w:hAnsi="Arial" w:cs="Arial"/>
                <w:b/>
                <w:bCs/>
                <w:color w:val="FFFFFF" w:themeColor="background1"/>
                <w:sz w:val="20"/>
                <w:lang w:val="es-419" w:eastAsia="es-419"/>
              </w:rPr>
            </w:pPr>
            <w:r w:rsidRPr="000B1C7E">
              <w:rPr>
                <w:rFonts w:ascii="Arial" w:hAnsi="Arial" w:cs="Arial"/>
                <w:b/>
                <w:bCs/>
                <w:color w:val="FFFFFF" w:themeColor="background1"/>
                <w:sz w:val="20"/>
                <w:lang w:val="es-419" w:eastAsia="es-419"/>
              </w:rPr>
              <w:t>Componentes</w:t>
            </w:r>
          </w:p>
        </w:tc>
        <w:tc>
          <w:tcPr>
            <w:tcW w:w="1637" w:type="dxa"/>
            <w:gridSpan w:val="2"/>
            <w:tcBorders>
              <w:top w:val="single" w:sz="4" w:space="0" w:color="auto"/>
              <w:left w:val="nil"/>
              <w:bottom w:val="single" w:sz="4" w:space="0" w:color="auto"/>
              <w:right w:val="single" w:sz="4" w:space="0" w:color="auto"/>
            </w:tcBorders>
            <w:shd w:val="clear" w:color="auto" w:fill="1F3864" w:themeFill="accent1" w:themeFillShade="80"/>
            <w:vAlign w:val="center"/>
          </w:tcPr>
          <w:p w14:paraId="47AD5D84" w14:textId="4F8FC08F" w:rsidR="000A0F15" w:rsidRPr="000B1C7E" w:rsidRDefault="000A0F15" w:rsidP="001763A9">
            <w:pPr>
              <w:jc w:val="center"/>
              <w:rPr>
                <w:rFonts w:ascii="Arial" w:hAnsi="Arial" w:cs="Arial"/>
                <w:b/>
                <w:bCs/>
                <w:color w:val="FFFFFF" w:themeColor="background1"/>
                <w:sz w:val="20"/>
                <w:lang w:val="es-419" w:eastAsia="es-419"/>
              </w:rPr>
            </w:pPr>
            <w:r w:rsidRPr="000B1C7E">
              <w:rPr>
                <w:rFonts w:ascii="Arial" w:hAnsi="Arial" w:cs="Arial"/>
                <w:b/>
                <w:bCs/>
                <w:color w:val="FFFFFF" w:themeColor="background1"/>
                <w:sz w:val="20"/>
                <w:lang w:val="es-419" w:eastAsia="es-419"/>
              </w:rPr>
              <w:t xml:space="preserve">Presupuesto </w:t>
            </w:r>
            <w:r>
              <w:rPr>
                <w:rFonts w:ascii="Arial" w:hAnsi="Arial" w:cs="Arial"/>
                <w:b/>
                <w:bCs/>
                <w:color w:val="FFFFFF" w:themeColor="background1"/>
                <w:sz w:val="20"/>
                <w:lang w:val="es-419" w:eastAsia="es-419"/>
              </w:rPr>
              <w:t>a</w:t>
            </w:r>
            <w:r w:rsidRPr="000B1C7E">
              <w:rPr>
                <w:rFonts w:ascii="Arial" w:hAnsi="Arial" w:cs="Arial"/>
                <w:b/>
                <w:bCs/>
                <w:color w:val="FFFFFF" w:themeColor="background1"/>
                <w:sz w:val="20"/>
                <w:lang w:val="es-419" w:eastAsia="es-419"/>
              </w:rPr>
              <w:t>ctual</w:t>
            </w:r>
            <w:r w:rsidR="004D14F9">
              <w:rPr>
                <w:rFonts w:ascii="Arial" w:hAnsi="Arial" w:cs="Arial"/>
                <w:b/>
                <w:bCs/>
                <w:color w:val="FFFFFF" w:themeColor="background1"/>
                <w:sz w:val="20"/>
                <w:lang w:val="es-419" w:eastAsia="es-419"/>
              </w:rPr>
              <w:t xml:space="preserve"> vigente</w:t>
            </w:r>
          </w:p>
        </w:tc>
        <w:tc>
          <w:tcPr>
            <w:tcW w:w="1703"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hideMark/>
          </w:tcPr>
          <w:p w14:paraId="171C7D0F" w14:textId="273BDDCD" w:rsidR="000A0F15" w:rsidRPr="000B1C7E" w:rsidRDefault="000A0F15" w:rsidP="001763A9">
            <w:pPr>
              <w:jc w:val="center"/>
              <w:rPr>
                <w:rFonts w:ascii="Arial" w:hAnsi="Arial" w:cs="Arial"/>
                <w:b/>
                <w:bCs/>
                <w:color w:val="FFFFFF" w:themeColor="background1"/>
                <w:sz w:val="20"/>
                <w:lang w:val="es-419" w:eastAsia="es-419"/>
              </w:rPr>
            </w:pPr>
            <w:r w:rsidRPr="000B1C7E">
              <w:rPr>
                <w:rFonts w:ascii="Arial" w:hAnsi="Arial" w:cs="Arial"/>
                <w:b/>
                <w:bCs/>
                <w:color w:val="FFFFFF" w:themeColor="background1"/>
                <w:sz w:val="20"/>
                <w:lang w:val="es-419" w:eastAsia="es-419"/>
              </w:rPr>
              <w:t xml:space="preserve">Presupuesto </w:t>
            </w:r>
            <w:r>
              <w:rPr>
                <w:rFonts w:ascii="Arial" w:hAnsi="Arial" w:cs="Arial"/>
                <w:b/>
                <w:bCs/>
                <w:color w:val="FFFFFF" w:themeColor="background1"/>
                <w:sz w:val="20"/>
                <w:lang w:val="es-419" w:eastAsia="es-419"/>
              </w:rPr>
              <w:t>remanente</w:t>
            </w:r>
            <w:r w:rsidR="00802409">
              <w:rPr>
                <w:rStyle w:val="FootnoteReference"/>
                <w:rFonts w:ascii="Arial" w:hAnsi="Arial" w:cs="Arial"/>
                <w:b/>
                <w:bCs/>
                <w:color w:val="FFFFFF" w:themeColor="background1"/>
                <w:sz w:val="20"/>
                <w:lang w:val="es-419" w:eastAsia="es-419"/>
              </w:rPr>
              <w:footnoteReference w:id="4"/>
            </w:r>
          </w:p>
        </w:tc>
        <w:tc>
          <w:tcPr>
            <w:tcW w:w="1656" w:type="dxa"/>
            <w:gridSpan w:val="2"/>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3AF66CC9" w14:textId="03257966" w:rsidR="000A0F15" w:rsidRPr="000B1C7E" w:rsidRDefault="000A0F15" w:rsidP="001763A9">
            <w:pPr>
              <w:jc w:val="center"/>
              <w:rPr>
                <w:rFonts w:ascii="Arial" w:hAnsi="Arial" w:cs="Arial"/>
                <w:b/>
                <w:bCs/>
                <w:color w:val="FFFFFF" w:themeColor="background1"/>
                <w:sz w:val="20"/>
                <w:lang w:val="es-419" w:eastAsia="es-419"/>
              </w:rPr>
            </w:pPr>
            <w:r w:rsidRPr="000B1C7E">
              <w:rPr>
                <w:rFonts w:ascii="Arial" w:hAnsi="Arial" w:cs="Arial"/>
                <w:b/>
                <w:bCs/>
                <w:color w:val="FFFFFF" w:themeColor="background1"/>
                <w:sz w:val="20"/>
                <w:lang w:val="es-419" w:eastAsia="es-419"/>
              </w:rPr>
              <w:t xml:space="preserve">Presupuesto </w:t>
            </w:r>
            <w:r>
              <w:rPr>
                <w:rFonts w:ascii="Arial" w:hAnsi="Arial" w:cs="Arial"/>
                <w:b/>
                <w:bCs/>
                <w:color w:val="FFFFFF" w:themeColor="background1"/>
                <w:sz w:val="20"/>
                <w:lang w:val="es-419" w:eastAsia="es-419"/>
              </w:rPr>
              <w:t>r</w:t>
            </w:r>
            <w:r w:rsidRPr="000B1C7E">
              <w:rPr>
                <w:rFonts w:ascii="Arial" w:hAnsi="Arial" w:cs="Arial"/>
                <w:b/>
                <w:bCs/>
                <w:color w:val="FFFFFF" w:themeColor="background1"/>
                <w:sz w:val="20"/>
                <w:lang w:val="es-419" w:eastAsia="es-419"/>
              </w:rPr>
              <w:t>eformulado</w:t>
            </w:r>
          </w:p>
        </w:tc>
        <w:tc>
          <w:tcPr>
            <w:tcW w:w="1579" w:type="dxa"/>
            <w:gridSpan w:val="2"/>
            <w:tcBorders>
              <w:top w:val="single" w:sz="4" w:space="0" w:color="auto"/>
              <w:left w:val="nil"/>
              <w:bottom w:val="single" w:sz="4" w:space="0" w:color="auto"/>
              <w:right w:val="single" w:sz="4" w:space="0" w:color="auto"/>
            </w:tcBorders>
            <w:shd w:val="clear" w:color="auto" w:fill="1F3864" w:themeFill="accent1" w:themeFillShade="80"/>
            <w:vAlign w:val="center"/>
            <w:hideMark/>
          </w:tcPr>
          <w:p w14:paraId="1AB827AC" w14:textId="22F41EC2" w:rsidR="000A0F15" w:rsidRPr="000B1C7E" w:rsidRDefault="000A0F15" w:rsidP="001763A9">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 xml:space="preserve">Variación </w:t>
            </w:r>
            <w:r w:rsidRPr="000B1C7E">
              <w:rPr>
                <w:rFonts w:ascii="Arial" w:hAnsi="Arial" w:cs="Arial"/>
                <w:b/>
                <w:bCs/>
                <w:color w:val="FFFFFF" w:themeColor="background1"/>
                <w:sz w:val="20"/>
                <w:lang w:val="es-419" w:eastAsia="es-419"/>
              </w:rPr>
              <w:t xml:space="preserve">en </w:t>
            </w:r>
            <w:r>
              <w:rPr>
                <w:rFonts w:ascii="Arial" w:hAnsi="Arial" w:cs="Arial"/>
                <w:b/>
                <w:bCs/>
                <w:color w:val="FFFFFF" w:themeColor="background1"/>
                <w:sz w:val="20"/>
                <w:lang w:val="es-419" w:eastAsia="es-419"/>
              </w:rPr>
              <w:t>p</w:t>
            </w:r>
            <w:r w:rsidRPr="000B1C7E">
              <w:rPr>
                <w:rFonts w:ascii="Arial" w:hAnsi="Arial" w:cs="Arial"/>
                <w:b/>
                <w:bCs/>
                <w:color w:val="FFFFFF" w:themeColor="background1"/>
                <w:sz w:val="20"/>
                <w:lang w:val="es-419" w:eastAsia="es-419"/>
              </w:rPr>
              <w:t>resupuesto</w:t>
            </w:r>
          </w:p>
        </w:tc>
      </w:tr>
      <w:tr w:rsidR="000A0F15" w:rsidRPr="000B1C7E" w14:paraId="7534311C" w14:textId="77777777" w:rsidTr="005535AC">
        <w:trPr>
          <w:trHeight w:val="467"/>
        </w:trPr>
        <w:tc>
          <w:tcPr>
            <w:tcW w:w="2785" w:type="dxa"/>
            <w:vMerge/>
            <w:tcBorders>
              <w:left w:val="single" w:sz="4" w:space="0" w:color="auto"/>
              <w:bottom w:val="single" w:sz="4" w:space="0" w:color="auto"/>
              <w:right w:val="single" w:sz="4" w:space="0" w:color="auto"/>
            </w:tcBorders>
            <w:shd w:val="clear" w:color="auto" w:fill="1F3864" w:themeFill="accent1" w:themeFillShade="80"/>
            <w:vAlign w:val="center"/>
          </w:tcPr>
          <w:p w14:paraId="4737C7C9" w14:textId="77777777" w:rsidR="000A0F15" w:rsidRPr="000B1C7E" w:rsidRDefault="000A0F15" w:rsidP="000A0F15">
            <w:pPr>
              <w:jc w:val="center"/>
              <w:rPr>
                <w:rFonts w:ascii="Arial" w:hAnsi="Arial" w:cs="Arial"/>
                <w:b/>
                <w:bCs/>
                <w:color w:val="FFFFFF" w:themeColor="background1"/>
                <w:sz w:val="20"/>
                <w:lang w:val="es-419" w:eastAsia="es-419"/>
              </w:rPr>
            </w:pPr>
          </w:p>
        </w:tc>
        <w:tc>
          <w:tcPr>
            <w:tcW w:w="919"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02A025F2" w14:textId="2510E9BF"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BID</w:t>
            </w:r>
          </w:p>
        </w:tc>
        <w:tc>
          <w:tcPr>
            <w:tcW w:w="718"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1F83B51" w14:textId="6D4CF414"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Local</w:t>
            </w:r>
          </w:p>
        </w:tc>
        <w:tc>
          <w:tcPr>
            <w:tcW w:w="882"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32C20FB" w14:textId="0E748B4A"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BID</w:t>
            </w:r>
          </w:p>
        </w:tc>
        <w:tc>
          <w:tcPr>
            <w:tcW w:w="82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B086F56" w14:textId="281051AD"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Local</w:t>
            </w:r>
          </w:p>
        </w:tc>
        <w:tc>
          <w:tcPr>
            <w:tcW w:w="855"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7CDE3C4E" w14:textId="1A2AE16A"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BID</w:t>
            </w:r>
          </w:p>
        </w:tc>
        <w:tc>
          <w:tcPr>
            <w:tcW w:w="801"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3DA41913" w14:textId="7A165D9F" w:rsidR="000A0F15" w:rsidRPr="000B1C7E"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Local</w:t>
            </w:r>
          </w:p>
        </w:tc>
        <w:tc>
          <w:tcPr>
            <w:tcW w:w="810"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40DE5607" w14:textId="54F8F504" w:rsidR="000A0F15"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BID</w:t>
            </w:r>
          </w:p>
        </w:tc>
        <w:tc>
          <w:tcPr>
            <w:tcW w:w="769" w:type="dxa"/>
            <w:tcBorders>
              <w:top w:val="single" w:sz="4" w:space="0" w:color="auto"/>
              <w:left w:val="nil"/>
              <w:bottom w:val="single" w:sz="4" w:space="0" w:color="auto"/>
              <w:right w:val="single" w:sz="4" w:space="0" w:color="auto"/>
            </w:tcBorders>
            <w:shd w:val="clear" w:color="auto" w:fill="1F3864" w:themeFill="accent1" w:themeFillShade="80"/>
            <w:vAlign w:val="center"/>
          </w:tcPr>
          <w:p w14:paraId="5B62B7DB" w14:textId="6DDC78C9" w:rsidR="000A0F15" w:rsidRDefault="000A0F15" w:rsidP="000A0F15">
            <w:pPr>
              <w:jc w:val="center"/>
              <w:rPr>
                <w:rFonts w:ascii="Arial" w:hAnsi="Arial" w:cs="Arial"/>
                <w:b/>
                <w:bCs/>
                <w:color w:val="FFFFFF" w:themeColor="background1"/>
                <w:sz w:val="20"/>
                <w:lang w:val="es-419" w:eastAsia="es-419"/>
              </w:rPr>
            </w:pPr>
            <w:r>
              <w:rPr>
                <w:rFonts w:ascii="Arial" w:hAnsi="Arial" w:cs="Arial"/>
                <w:b/>
                <w:bCs/>
                <w:color w:val="FFFFFF" w:themeColor="background1"/>
                <w:sz w:val="20"/>
                <w:lang w:val="es-419" w:eastAsia="es-419"/>
              </w:rPr>
              <w:t>Local</w:t>
            </w:r>
          </w:p>
        </w:tc>
      </w:tr>
      <w:tr w:rsidR="000A0F15" w:rsidRPr="000B1C7E" w14:paraId="03A66D13" w14:textId="77777777" w:rsidTr="005535AC">
        <w:trPr>
          <w:trHeight w:val="251"/>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729584FC" w14:textId="1A752193" w:rsidR="000A0F15" w:rsidRPr="00756562" w:rsidRDefault="000A0F15" w:rsidP="00B7706B">
            <w:pPr>
              <w:pStyle w:val="ListParagraph"/>
              <w:numPr>
                <w:ilvl w:val="0"/>
                <w:numId w:val="5"/>
              </w:numPr>
              <w:ind w:left="288" w:hanging="270"/>
              <w:rPr>
                <w:rFonts w:ascii="Arial" w:hAnsi="Arial" w:cs="Arial"/>
                <w:b/>
                <w:bCs/>
                <w:sz w:val="20"/>
                <w:lang w:val="es-419" w:eastAsia="es-419"/>
              </w:rPr>
            </w:pPr>
            <w:r>
              <w:rPr>
                <w:rFonts w:ascii="Arial" w:hAnsi="Arial" w:cs="Arial"/>
                <w:b/>
                <w:bCs/>
                <w:sz w:val="20"/>
                <w:lang w:val="es-419" w:eastAsia="es-419"/>
              </w:rPr>
              <w:t>Becas para maestrías</w:t>
            </w:r>
          </w:p>
        </w:tc>
        <w:tc>
          <w:tcPr>
            <w:tcW w:w="919" w:type="dxa"/>
            <w:tcBorders>
              <w:top w:val="single" w:sz="4" w:space="0" w:color="auto"/>
              <w:left w:val="nil"/>
              <w:bottom w:val="single" w:sz="4" w:space="0" w:color="auto"/>
              <w:right w:val="single" w:sz="4" w:space="0" w:color="auto"/>
            </w:tcBorders>
            <w:vAlign w:val="center"/>
          </w:tcPr>
          <w:p w14:paraId="216AAF7B" w14:textId="66980481" w:rsidR="000A0F15" w:rsidRDefault="000A0F15" w:rsidP="000A0F15">
            <w:pPr>
              <w:jc w:val="right"/>
              <w:rPr>
                <w:rFonts w:ascii="Arial" w:hAnsi="Arial" w:cs="Arial"/>
                <w:b/>
                <w:bCs/>
                <w:sz w:val="20"/>
                <w:lang w:val="es-419" w:eastAsia="es-419"/>
              </w:rPr>
            </w:pPr>
            <w:r>
              <w:rPr>
                <w:rFonts w:ascii="Arial" w:hAnsi="Arial" w:cs="Arial"/>
                <w:b/>
                <w:bCs/>
                <w:sz w:val="20"/>
                <w:lang w:val="es-419" w:eastAsia="es-419"/>
              </w:rPr>
              <w:t>1</w:t>
            </w:r>
            <w:r w:rsidR="00ED4CBB">
              <w:rPr>
                <w:rFonts w:ascii="Arial" w:hAnsi="Arial" w:cs="Arial"/>
                <w:b/>
                <w:bCs/>
                <w:sz w:val="20"/>
                <w:lang w:val="es-419" w:eastAsia="es-419"/>
              </w:rPr>
              <w:t>9</w:t>
            </w:r>
            <w:r w:rsidR="000D39B8">
              <w:rPr>
                <w:rFonts w:ascii="Arial" w:hAnsi="Arial" w:cs="Arial"/>
                <w:b/>
                <w:bCs/>
                <w:sz w:val="20"/>
                <w:lang w:val="es-419" w:eastAsia="es-419"/>
              </w:rPr>
              <w:t>,9</w:t>
            </w:r>
          </w:p>
        </w:tc>
        <w:tc>
          <w:tcPr>
            <w:tcW w:w="718" w:type="dxa"/>
            <w:tcBorders>
              <w:top w:val="single" w:sz="4" w:space="0" w:color="auto"/>
              <w:left w:val="nil"/>
              <w:bottom w:val="single" w:sz="4" w:space="0" w:color="auto"/>
              <w:right w:val="single" w:sz="4" w:space="0" w:color="auto"/>
            </w:tcBorders>
            <w:vAlign w:val="center"/>
          </w:tcPr>
          <w:p w14:paraId="77FD2508" w14:textId="6F3915A6" w:rsidR="000A0F15" w:rsidRDefault="000A0F15" w:rsidP="000A0F15">
            <w:pPr>
              <w:jc w:val="right"/>
              <w:rPr>
                <w:rFonts w:ascii="Arial" w:hAnsi="Arial" w:cs="Arial"/>
                <w:b/>
                <w:bCs/>
                <w:sz w:val="20"/>
                <w:lang w:val="es-419" w:eastAsia="es-419"/>
              </w:rPr>
            </w:pPr>
            <w:r>
              <w:rPr>
                <w:rFonts w:ascii="Arial" w:hAnsi="Arial" w:cs="Arial"/>
                <w:b/>
                <w:bCs/>
                <w:sz w:val="20"/>
                <w:lang w:val="es-419" w:eastAsia="es-419"/>
              </w:rPr>
              <w:t>0,1</w:t>
            </w:r>
          </w:p>
        </w:tc>
        <w:tc>
          <w:tcPr>
            <w:tcW w:w="882" w:type="dxa"/>
            <w:tcBorders>
              <w:top w:val="nil"/>
              <w:left w:val="single" w:sz="4" w:space="0" w:color="auto"/>
              <w:bottom w:val="single" w:sz="4" w:space="0" w:color="auto"/>
              <w:right w:val="single" w:sz="4" w:space="0" w:color="auto"/>
            </w:tcBorders>
            <w:shd w:val="clear" w:color="auto" w:fill="auto"/>
            <w:noWrap/>
            <w:vAlign w:val="center"/>
            <w:hideMark/>
          </w:tcPr>
          <w:p w14:paraId="77B6157D" w14:textId="70F1C59E" w:rsidR="000A0F15" w:rsidRPr="000B1C7E" w:rsidRDefault="00DB34CE" w:rsidP="000A0F15">
            <w:pPr>
              <w:jc w:val="right"/>
              <w:rPr>
                <w:rFonts w:ascii="Arial" w:hAnsi="Arial" w:cs="Arial"/>
                <w:b/>
                <w:bCs/>
                <w:sz w:val="20"/>
                <w:lang w:val="es-419" w:eastAsia="es-419"/>
              </w:rPr>
            </w:pPr>
            <w:r>
              <w:rPr>
                <w:rFonts w:ascii="Arial" w:hAnsi="Arial" w:cs="Arial"/>
                <w:b/>
                <w:bCs/>
                <w:sz w:val="20"/>
                <w:lang w:val="es-419" w:eastAsia="es-419"/>
              </w:rPr>
              <w:t>7</w:t>
            </w:r>
            <w:r w:rsidR="000A0F15">
              <w:rPr>
                <w:rFonts w:ascii="Arial" w:hAnsi="Arial" w:cs="Arial"/>
                <w:b/>
                <w:bCs/>
                <w:sz w:val="20"/>
                <w:lang w:val="es-419" w:eastAsia="es-419"/>
              </w:rPr>
              <w:t>,0</w:t>
            </w:r>
          </w:p>
        </w:tc>
        <w:tc>
          <w:tcPr>
            <w:tcW w:w="821" w:type="dxa"/>
            <w:tcBorders>
              <w:top w:val="nil"/>
              <w:left w:val="single" w:sz="4" w:space="0" w:color="auto"/>
              <w:bottom w:val="single" w:sz="4" w:space="0" w:color="auto"/>
              <w:right w:val="single" w:sz="4" w:space="0" w:color="auto"/>
            </w:tcBorders>
            <w:shd w:val="clear" w:color="auto" w:fill="auto"/>
            <w:vAlign w:val="center"/>
          </w:tcPr>
          <w:p w14:paraId="6D1BA65D" w14:textId="063728CD"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F10D80">
              <w:rPr>
                <w:rFonts w:ascii="Arial" w:hAnsi="Arial" w:cs="Arial"/>
                <w:b/>
                <w:bCs/>
                <w:sz w:val="20"/>
                <w:lang w:val="es-419" w:eastAsia="es-419"/>
              </w:rPr>
              <w:t>4</w:t>
            </w:r>
          </w:p>
        </w:tc>
        <w:tc>
          <w:tcPr>
            <w:tcW w:w="855" w:type="dxa"/>
            <w:tcBorders>
              <w:top w:val="nil"/>
              <w:left w:val="nil"/>
              <w:bottom w:val="single" w:sz="4" w:space="0" w:color="auto"/>
              <w:right w:val="single" w:sz="4" w:space="0" w:color="auto"/>
            </w:tcBorders>
            <w:shd w:val="clear" w:color="auto" w:fill="auto"/>
            <w:noWrap/>
            <w:vAlign w:val="center"/>
            <w:hideMark/>
          </w:tcPr>
          <w:p w14:paraId="4F40E8F2" w14:textId="0D24F141" w:rsidR="000A0F15" w:rsidRPr="000B1C7E" w:rsidRDefault="002E70D2" w:rsidP="000A0F15">
            <w:pPr>
              <w:jc w:val="right"/>
              <w:rPr>
                <w:rFonts w:ascii="Arial" w:hAnsi="Arial" w:cs="Arial"/>
                <w:b/>
                <w:bCs/>
                <w:sz w:val="20"/>
                <w:lang w:val="es-419" w:eastAsia="es-419"/>
              </w:rPr>
            </w:pPr>
            <w:r>
              <w:rPr>
                <w:rFonts w:ascii="Arial" w:hAnsi="Arial" w:cs="Arial"/>
                <w:b/>
                <w:bCs/>
                <w:sz w:val="20"/>
                <w:lang w:val="es-419" w:eastAsia="es-419"/>
              </w:rPr>
              <w:t>3</w:t>
            </w:r>
            <w:r w:rsidR="000A0F15">
              <w:rPr>
                <w:rFonts w:ascii="Arial" w:hAnsi="Arial" w:cs="Arial"/>
                <w:b/>
                <w:bCs/>
                <w:sz w:val="20"/>
                <w:lang w:val="es-419" w:eastAsia="es-419"/>
              </w:rPr>
              <w:t>,0</w:t>
            </w:r>
          </w:p>
        </w:tc>
        <w:tc>
          <w:tcPr>
            <w:tcW w:w="801" w:type="dxa"/>
            <w:tcBorders>
              <w:top w:val="nil"/>
              <w:left w:val="nil"/>
              <w:bottom w:val="single" w:sz="4" w:space="0" w:color="auto"/>
              <w:right w:val="single" w:sz="4" w:space="0" w:color="auto"/>
            </w:tcBorders>
            <w:shd w:val="clear" w:color="auto" w:fill="auto"/>
            <w:vAlign w:val="center"/>
          </w:tcPr>
          <w:p w14:paraId="58CA3080" w14:textId="5D48079A"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015911">
              <w:rPr>
                <w:rFonts w:ascii="Arial" w:hAnsi="Arial" w:cs="Arial"/>
                <w:b/>
                <w:bCs/>
                <w:sz w:val="20"/>
                <w:lang w:val="es-419" w:eastAsia="es-419"/>
              </w:rPr>
              <w:t>4</w:t>
            </w:r>
          </w:p>
        </w:tc>
        <w:tc>
          <w:tcPr>
            <w:tcW w:w="810" w:type="dxa"/>
            <w:tcBorders>
              <w:top w:val="nil"/>
              <w:left w:val="nil"/>
              <w:bottom w:val="single" w:sz="4" w:space="0" w:color="auto"/>
              <w:right w:val="single" w:sz="4" w:space="0" w:color="auto"/>
            </w:tcBorders>
            <w:shd w:val="clear" w:color="auto" w:fill="auto"/>
            <w:noWrap/>
            <w:vAlign w:val="center"/>
            <w:hideMark/>
          </w:tcPr>
          <w:p w14:paraId="702E0735" w14:textId="2F58999B" w:rsidR="000A0F15" w:rsidRPr="000B1C7E" w:rsidRDefault="0026411E" w:rsidP="000A0F15">
            <w:pPr>
              <w:jc w:val="right"/>
              <w:rPr>
                <w:rFonts w:ascii="Arial" w:hAnsi="Arial" w:cs="Arial"/>
                <w:b/>
                <w:bCs/>
                <w:sz w:val="20"/>
                <w:lang w:val="es-419" w:eastAsia="es-419"/>
              </w:rPr>
            </w:pPr>
            <w:r>
              <w:rPr>
                <w:rFonts w:ascii="Arial" w:hAnsi="Arial" w:cs="Arial"/>
                <w:b/>
                <w:bCs/>
                <w:sz w:val="20"/>
                <w:lang w:val="es-419" w:eastAsia="es-419"/>
              </w:rPr>
              <w:t>-4</w:t>
            </w:r>
            <w:r w:rsidR="000A0F15" w:rsidRPr="00756562">
              <w:rPr>
                <w:rFonts w:ascii="Arial" w:hAnsi="Arial" w:cs="Arial"/>
                <w:b/>
                <w:bCs/>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5FB37BEF" w14:textId="70505C47"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0,0</w:t>
            </w:r>
          </w:p>
        </w:tc>
      </w:tr>
      <w:tr w:rsidR="000A0F15" w:rsidRPr="000B1C7E" w14:paraId="1B18499A" w14:textId="77777777" w:rsidTr="00A97FB6">
        <w:trPr>
          <w:trHeight w:val="420"/>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2DC27AF7" w14:textId="61F1ABA1" w:rsidR="000A0F15" w:rsidRDefault="000A0F15" w:rsidP="000A0F15">
            <w:pPr>
              <w:pStyle w:val="ListParagraph"/>
              <w:ind w:left="288"/>
              <w:rPr>
                <w:rFonts w:ascii="Arial" w:hAnsi="Arial" w:cs="Arial"/>
                <w:b/>
                <w:bCs/>
                <w:sz w:val="20"/>
                <w:lang w:val="es-419" w:eastAsia="es-419"/>
              </w:rPr>
            </w:pPr>
            <w:r>
              <w:rPr>
                <w:rFonts w:ascii="Arial" w:hAnsi="Arial" w:cs="Arial"/>
                <w:sz w:val="20"/>
                <w:lang w:val="es-419" w:eastAsia="es-419"/>
              </w:rPr>
              <w:t>1.1 Maestrías en áreas prioritarias</w:t>
            </w:r>
          </w:p>
        </w:tc>
        <w:tc>
          <w:tcPr>
            <w:tcW w:w="919" w:type="dxa"/>
            <w:tcBorders>
              <w:top w:val="single" w:sz="4" w:space="0" w:color="auto"/>
              <w:left w:val="nil"/>
              <w:bottom w:val="single" w:sz="4" w:space="0" w:color="auto"/>
              <w:right w:val="single" w:sz="4" w:space="0" w:color="auto"/>
            </w:tcBorders>
            <w:vAlign w:val="center"/>
          </w:tcPr>
          <w:p w14:paraId="43F4E70F" w14:textId="7509900B" w:rsidR="000A0F15" w:rsidRDefault="004D7892" w:rsidP="000A0F15">
            <w:pPr>
              <w:jc w:val="right"/>
              <w:rPr>
                <w:rFonts w:ascii="Arial" w:hAnsi="Arial" w:cs="Arial"/>
                <w:sz w:val="20"/>
                <w:lang w:val="es-419" w:eastAsia="es-419"/>
              </w:rPr>
            </w:pPr>
            <w:r>
              <w:rPr>
                <w:rFonts w:ascii="Arial" w:hAnsi="Arial" w:cs="Arial"/>
                <w:sz w:val="20"/>
                <w:lang w:val="es-419" w:eastAsia="es-419"/>
              </w:rPr>
              <w:t>19,9</w:t>
            </w:r>
          </w:p>
        </w:tc>
        <w:tc>
          <w:tcPr>
            <w:tcW w:w="718" w:type="dxa"/>
            <w:tcBorders>
              <w:top w:val="single" w:sz="4" w:space="0" w:color="auto"/>
              <w:left w:val="nil"/>
              <w:bottom w:val="single" w:sz="4" w:space="0" w:color="auto"/>
              <w:right w:val="single" w:sz="4" w:space="0" w:color="auto"/>
            </w:tcBorders>
            <w:vAlign w:val="center"/>
          </w:tcPr>
          <w:p w14:paraId="404BD301" w14:textId="0AE7F3CE" w:rsidR="000A0F15" w:rsidRDefault="005C3A38" w:rsidP="000A0F15">
            <w:pPr>
              <w:jc w:val="right"/>
              <w:rPr>
                <w:rFonts w:ascii="Arial" w:hAnsi="Arial" w:cs="Arial"/>
                <w:sz w:val="20"/>
                <w:lang w:val="es-419" w:eastAsia="es-419"/>
              </w:rPr>
            </w:pPr>
            <w:r>
              <w:rPr>
                <w:rFonts w:ascii="Arial" w:hAnsi="Arial" w:cs="Arial"/>
                <w:sz w:val="20"/>
                <w:lang w:val="es-419" w:eastAsia="es-419"/>
              </w:rPr>
              <w:t>9,5</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549CAA8D" w14:textId="7F80D869" w:rsidR="000A0F15" w:rsidRDefault="00082C2C" w:rsidP="000A0F15">
            <w:pPr>
              <w:jc w:val="right"/>
              <w:rPr>
                <w:rFonts w:ascii="Arial" w:hAnsi="Arial" w:cs="Arial"/>
                <w:b/>
                <w:bCs/>
                <w:sz w:val="20"/>
                <w:lang w:val="es-419" w:eastAsia="es-419"/>
              </w:rPr>
            </w:pPr>
            <w:r>
              <w:rPr>
                <w:rFonts w:ascii="Arial" w:hAnsi="Arial" w:cs="Arial"/>
                <w:sz w:val="20"/>
                <w:lang w:val="es-419" w:eastAsia="es-419"/>
              </w:rPr>
              <w:t>7,</w:t>
            </w:r>
            <w:r w:rsidR="000A0F15">
              <w:rPr>
                <w:rFonts w:ascii="Arial" w:hAnsi="Arial" w:cs="Arial"/>
                <w:sz w:val="20"/>
                <w:lang w:val="es-419" w:eastAsia="es-419"/>
              </w:rPr>
              <w:t>0</w:t>
            </w:r>
          </w:p>
        </w:tc>
        <w:tc>
          <w:tcPr>
            <w:tcW w:w="821" w:type="dxa"/>
            <w:tcBorders>
              <w:top w:val="nil"/>
              <w:left w:val="single" w:sz="4" w:space="0" w:color="auto"/>
              <w:bottom w:val="single" w:sz="4" w:space="0" w:color="auto"/>
              <w:right w:val="single" w:sz="4" w:space="0" w:color="auto"/>
            </w:tcBorders>
            <w:shd w:val="clear" w:color="auto" w:fill="auto"/>
            <w:vAlign w:val="center"/>
          </w:tcPr>
          <w:p w14:paraId="18F41DE4" w14:textId="0CFB254A"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00F10D80">
              <w:rPr>
                <w:rFonts w:ascii="Arial" w:hAnsi="Arial" w:cs="Arial"/>
                <w:sz w:val="20"/>
                <w:lang w:val="es-419" w:eastAsia="es-419"/>
              </w:rPr>
              <w:t>4</w:t>
            </w:r>
          </w:p>
        </w:tc>
        <w:tc>
          <w:tcPr>
            <w:tcW w:w="855" w:type="dxa"/>
            <w:tcBorders>
              <w:top w:val="nil"/>
              <w:left w:val="nil"/>
              <w:bottom w:val="single" w:sz="4" w:space="0" w:color="auto"/>
              <w:right w:val="single" w:sz="4" w:space="0" w:color="auto"/>
            </w:tcBorders>
            <w:shd w:val="clear" w:color="auto" w:fill="auto"/>
            <w:noWrap/>
            <w:vAlign w:val="center"/>
          </w:tcPr>
          <w:p w14:paraId="0F94642D" w14:textId="6EF7A45C" w:rsidR="000A0F15" w:rsidRDefault="00744961" w:rsidP="000A0F15">
            <w:pPr>
              <w:jc w:val="right"/>
              <w:rPr>
                <w:rFonts w:ascii="Arial" w:hAnsi="Arial" w:cs="Arial"/>
                <w:b/>
                <w:bCs/>
                <w:sz w:val="20"/>
                <w:lang w:val="es-419" w:eastAsia="es-419"/>
              </w:rPr>
            </w:pPr>
            <w:r>
              <w:rPr>
                <w:rFonts w:ascii="Arial" w:hAnsi="Arial" w:cs="Arial"/>
                <w:sz w:val="20"/>
                <w:lang w:val="es-419" w:eastAsia="es-419"/>
              </w:rPr>
              <w:t>3</w:t>
            </w:r>
            <w:r w:rsidR="00EF49ED">
              <w:rPr>
                <w:rFonts w:ascii="Arial" w:hAnsi="Arial" w:cs="Arial"/>
                <w:sz w:val="20"/>
                <w:lang w:val="es-419" w:eastAsia="es-419"/>
              </w:rPr>
              <w:t>,0</w:t>
            </w:r>
          </w:p>
        </w:tc>
        <w:tc>
          <w:tcPr>
            <w:tcW w:w="801" w:type="dxa"/>
            <w:tcBorders>
              <w:top w:val="nil"/>
              <w:left w:val="nil"/>
              <w:bottom w:val="single" w:sz="4" w:space="0" w:color="auto"/>
              <w:right w:val="single" w:sz="4" w:space="0" w:color="auto"/>
            </w:tcBorders>
            <w:shd w:val="clear" w:color="auto" w:fill="auto"/>
            <w:vAlign w:val="center"/>
          </w:tcPr>
          <w:p w14:paraId="682B643B" w14:textId="2D696199"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00015911">
              <w:rPr>
                <w:rFonts w:ascii="Arial" w:hAnsi="Arial" w:cs="Arial"/>
                <w:sz w:val="20"/>
                <w:lang w:val="es-419" w:eastAsia="es-419"/>
              </w:rPr>
              <w:t>4</w:t>
            </w:r>
          </w:p>
        </w:tc>
        <w:tc>
          <w:tcPr>
            <w:tcW w:w="810" w:type="dxa"/>
            <w:tcBorders>
              <w:top w:val="nil"/>
              <w:left w:val="nil"/>
              <w:bottom w:val="single" w:sz="4" w:space="0" w:color="auto"/>
              <w:right w:val="single" w:sz="4" w:space="0" w:color="auto"/>
            </w:tcBorders>
            <w:shd w:val="clear" w:color="auto" w:fill="auto"/>
            <w:noWrap/>
            <w:vAlign w:val="center"/>
          </w:tcPr>
          <w:p w14:paraId="75F4B93B" w14:textId="3ED1EDF1" w:rsidR="000A0F15" w:rsidRDefault="0026411E" w:rsidP="000A0F15">
            <w:pPr>
              <w:jc w:val="right"/>
              <w:rPr>
                <w:rFonts w:ascii="Arial" w:hAnsi="Arial" w:cs="Arial"/>
                <w:b/>
                <w:bCs/>
                <w:sz w:val="20"/>
                <w:lang w:val="es-419" w:eastAsia="es-419"/>
              </w:rPr>
            </w:pPr>
            <w:r>
              <w:rPr>
                <w:rFonts w:ascii="Arial" w:hAnsi="Arial" w:cs="Arial"/>
                <w:sz w:val="20"/>
                <w:lang w:val="es-419" w:eastAsia="es-419"/>
              </w:rPr>
              <w:t>-4</w:t>
            </w:r>
            <w:r w:rsidR="000A0F15" w:rsidRPr="00756562">
              <w:rPr>
                <w:rFonts w:ascii="Arial" w:hAnsi="Arial" w:cs="Arial"/>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63B1124F" w14:textId="55F10EDF" w:rsidR="000A0F15" w:rsidRDefault="000A0F15" w:rsidP="000A0F15">
            <w:pPr>
              <w:jc w:val="right"/>
              <w:rPr>
                <w:rFonts w:ascii="Arial" w:hAnsi="Arial" w:cs="Arial"/>
                <w:b/>
                <w:bCs/>
                <w:sz w:val="20"/>
                <w:lang w:val="es-419" w:eastAsia="es-419"/>
              </w:rPr>
            </w:pPr>
            <w:r>
              <w:rPr>
                <w:rFonts w:ascii="Arial" w:hAnsi="Arial" w:cs="Arial"/>
                <w:sz w:val="20"/>
                <w:lang w:val="es-419" w:eastAsia="es-419"/>
              </w:rPr>
              <w:t>0,0</w:t>
            </w:r>
          </w:p>
        </w:tc>
      </w:tr>
      <w:tr w:rsidR="000A0F15" w:rsidRPr="000B1C7E" w14:paraId="4B34B679" w14:textId="77777777" w:rsidTr="00A97FB6">
        <w:trPr>
          <w:trHeight w:val="420"/>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1BC5B02F" w14:textId="52F62651" w:rsidR="000A0F15" w:rsidRDefault="000A0F15" w:rsidP="000A0F15">
            <w:pPr>
              <w:pStyle w:val="ListParagraph"/>
              <w:ind w:left="288"/>
              <w:rPr>
                <w:rFonts w:ascii="Arial" w:hAnsi="Arial" w:cs="Arial"/>
                <w:b/>
                <w:bCs/>
                <w:sz w:val="20"/>
                <w:lang w:val="es-419" w:eastAsia="es-419"/>
              </w:rPr>
            </w:pPr>
            <w:r>
              <w:rPr>
                <w:rFonts w:ascii="Arial" w:hAnsi="Arial" w:cs="Arial"/>
                <w:sz w:val="20"/>
                <w:lang w:val="es-419" w:eastAsia="es-419"/>
              </w:rPr>
              <w:t>1.2 Comunicación y logística</w:t>
            </w:r>
          </w:p>
        </w:tc>
        <w:tc>
          <w:tcPr>
            <w:tcW w:w="919" w:type="dxa"/>
            <w:tcBorders>
              <w:top w:val="single" w:sz="4" w:space="0" w:color="auto"/>
              <w:left w:val="nil"/>
              <w:bottom w:val="single" w:sz="4" w:space="0" w:color="auto"/>
              <w:right w:val="single" w:sz="4" w:space="0" w:color="auto"/>
            </w:tcBorders>
            <w:vAlign w:val="center"/>
          </w:tcPr>
          <w:p w14:paraId="12DDEE57" w14:textId="16A21BB5"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00ED4CBB">
              <w:rPr>
                <w:rFonts w:ascii="Arial" w:hAnsi="Arial" w:cs="Arial"/>
                <w:sz w:val="20"/>
                <w:lang w:val="es-419" w:eastAsia="es-419"/>
              </w:rPr>
              <w:t>0</w:t>
            </w:r>
          </w:p>
        </w:tc>
        <w:tc>
          <w:tcPr>
            <w:tcW w:w="718" w:type="dxa"/>
            <w:tcBorders>
              <w:top w:val="single" w:sz="4" w:space="0" w:color="auto"/>
              <w:left w:val="nil"/>
              <w:bottom w:val="single" w:sz="4" w:space="0" w:color="auto"/>
              <w:right w:val="single" w:sz="4" w:space="0" w:color="auto"/>
            </w:tcBorders>
            <w:vAlign w:val="center"/>
          </w:tcPr>
          <w:p w14:paraId="409EA1BE" w14:textId="640DAA78"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002550A9">
              <w:rPr>
                <w:rFonts w:ascii="Arial" w:hAnsi="Arial" w:cs="Arial"/>
                <w:sz w:val="20"/>
                <w:lang w:val="es-419" w:eastAsia="es-419"/>
              </w:rPr>
              <w:t>0</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2F920F75" w14:textId="77777777"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21" w:type="dxa"/>
            <w:tcBorders>
              <w:top w:val="nil"/>
              <w:left w:val="single" w:sz="4" w:space="0" w:color="auto"/>
              <w:bottom w:val="single" w:sz="4" w:space="0" w:color="auto"/>
              <w:right w:val="single" w:sz="4" w:space="0" w:color="auto"/>
            </w:tcBorders>
            <w:shd w:val="clear" w:color="auto" w:fill="auto"/>
            <w:vAlign w:val="center"/>
          </w:tcPr>
          <w:p w14:paraId="0A04AC61" w14:textId="39285F16"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55" w:type="dxa"/>
            <w:tcBorders>
              <w:top w:val="nil"/>
              <w:left w:val="nil"/>
              <w:bottom w:val="single" w:sz="4" w:space="0" w:color="auto"/>
              <w:right w:val="single" w:sz="4" w:space="0" w:color="auto"/>
            </w:tcBorders>
            <w:shd w:val="clear" w:color="auto" w:fill="auto"/>
            <w:noWrap/>
            <w:vAlign w:val="center"/>
          </w:tcPr>
          <w:p w14:paraId="3F136D33" w14:textId="77777777"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Pr>
                <w:rFonts w:ascii="Arial" w:hAnsi="Arial" w:cs="Arial"/>
                <w:sz w:val="20"/>
                <w:lang w:val="es-419" w:eastAsia="es-419"/>
              </w:rPr>
              <w:t>0</w:t>
            </w:r>
          </w:p>
        </w:tc>
        <w:tc>
          <w:tcPr>
            <w:tcW w:w="801" w:type="dxa"/>
            <w:tcBorders>
              <w:top w:val="nil"/>
              <w:left w:val="nil"/>
              <w:bottom w:val="single" w:sz="4" w:space="0" w:color="auto"/>
              <w:right w:val="single" w:sz="4" w:space="0" w:color="auto"/>
            </w:tcBorders>
            <w:shd w:val="clear" w:color="auto" w:fill="auto"/>
            <w:vAlign w:val="center"/>
          </w:tcPr>
          <w:p w14:paraId="7055CCA4" w14:textId="4C877C0C"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10" w:type="dxa"/>
            <w:tcBorders>
              <w:top w:val="nil"/>
              <w:left w:val="nil"/>
              <w:bottom w:val="single" w:sz="4" w:space="0" w:color="auto"/>
              <w:right w:val="single" w:sz="4" w:space="0" w:color="auto"/>
            </w:tcBorders>
            <w:shd w:val="clear" w:color="auto" w:fill="auto"/>
            <w:noWrap/>
            <w:vAlign w:val="center"/>
          </w:tcPr>
          <w:p w14:paraId="1ECD6D41" w14:textId="77777777" w:rsidR="000A0F15" w:rsidRDefault="000A0F15" w:rsidP="000A0F15">
            <w:pPr>
              <w:jc w:val="right"/>
              <w:rPr>
                <w:rFonts w:ascii="Arial" w:hAnsi="Arial" w:cs="Arial"/>
                <w:b/>
                <w:bCs/>
                <w:sz w:val="20"/>
                <w:lang w:val="es-419" w:eastAsia="es-419"/>
              </w:rPr>
            </w:pPr>
            <w:r w:rsidRPr="00756562">
              <w:rPr>
                <w:rFonts w:ascii="Arial" w:hAnsi="Arial" w:cs="Arial"/>
                <w:sz w:val="20"/>
                <w:lang w:val="es-419" w:eastAsia="es-419"/>
              </w:rPr>
              <w:t>0,0</w:t>
            </w:r>
          </w:p>
        </w:tc>
        <w:tc>
          <w:tcPr>
            <w:tcW w:w="769" w:type="dxa"/>
            <w:tcBorders>
              <w:top w:val="nil"/>
              <w:left w:val="nil"/>
              <w:bottom w:val="single" w:sz="4" w:space="0" w:color="auto"/>
              <w:right w:val="single" w:sz="4" w:space="0" w:color="auto"/>
            </w:tcBorders>
            <w:shd w:val="clear" w:color="auto" w:fill="auto"/>
            <w:vAlign w:val="center"/>
          </w:tcPr>
          <w:p w14:paraId="2698B3C1" w14:textId="1BD45D40"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43378028" w14:textId="77777777" w:rsidTr="00A97FB6">
        <w:trPr>
          <w:trHeight w:val="42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22B31EF0" w14:textId="5C4AD09E" w:rsidR="000A0F15" w:rsidRPr="00756562" w:rsidRDefault="000A0F15" w:rsidP="00B7706B">
            <w:pPr>
              <w:pStyle w:val="ListParagraph"/>
              <w:numPr>
                <w:ilvl w:val="0"/>
                <w:numId w:val="5"/>
              </w:numPr>
              <w:ind w:left="288" w:hanging="270"/>
              <w:rPr>
                <w:rFonts w:ascii="Arial" w:hAnsi="Arial" w:cs="Arial"/>
                <w:b/>
                <w:bCs/>
                <w:sz w:val="20"/>
                <w:lang w:val="es-419" w:eastAsia="es-419"/>
              </w:rPr>
            </w:pPr>
            <w:r>
              <w:rPr>
                <w:rFonts w:ascii="Arial" w:hAnsi="Arial" w:cs="Arial"/>
                <w:b/>
                <w:bCs/>
                <w:sz w:val="20"/>
                <w:lang w:val="es-419" w:eastAsia="es-419"/>
              </w:rPr>
              <w:t>Becas para estancias cortas y doctorados</w:t>
            </w:r>
          </w:p>
        </w:tc>
        <w:tc>
          <w:tcPr>
            <w:tcW w:w="919" w:type="dxa"/>
            <w:tcBorders>
              <w:top w:val="single" w:sz="4" w:space="0" w:color="auto"/>
              <w:left w:val="nil"/>
              <w:bottom w:val="single" w:sz="4" w:space="0" w:color="auto"/>
              <w:right w:val="single" w:sz="4" w:space="0" w:color="auto"/>
            </w:tcBorders>
            <w:vAlign w:val="center"/>
          </w:tcPr>
          <w:p w14:paraId="4640A535" w14:textId="569AF521" w:rsidR="000A0F15" w:rsidRDefault="00336F84" w:rsidP="000A0F15">
            <w:pPr>
              <w:jc w:val="right"/>
              <w:rPr>
                <w:rFonts w:ascii="Arial" w:hAnsi="Arial" w:cs="Arial"/>
                <w:b/>
                <w:bCs/>
                <w:sz w:val="20"/>
                <w:lang w:val="es-419" w:eastAsia="es-419"/>
              </w:rPr>
            </w:pPr>
            <w:r>
              <w:rPr>
                <w:rFonts w:ascii="Arial" w:hAnsi="Arial" w:cs="Arial"/>
                <w:b/>
                <w:bCs/>
                <w:sz w:val="20"/>
                <w:lang w:val="es-419" w:eastAsia="es-419"/>
              </w:rPr>
              <w:t>2,</w:t>
            </w:r>
            <w:r w:rsidR="00A921AF">
              <w:rPr>
                <w:rFonts w:ascii="Arial" w:hAnsi="Arial" w:cs="Arial"/>
                <w:b/>
                <w:bCs/>
                <w:sz w:val="20"/>
                <w:lang w:val="es-419" w:eastAsia="es-419"/>
              </w:rPr>
              <w:t>9</w:t>
            </w:r>
          </w:p>
        </w:tc>
        <w:tc>
          <w:tcPr>
            <w:tcW w:w="718" w:type="dxa"/>
            <w:tcBorders>
              <w:top w:val="single" w:sz="4" w:space="0" w:color="auto"/>
              <w:left w:val="nil"/>
              <w:bottom w:val="single" w:sz="4" w:space="0" w:color="auto"/>
              <w:right w:val="single" w:sz="4" w:space="0" w:color="auto"/>
            </w:tcBorders>
            <w:vAlign w:val="center"/>
          </w:tcPr>
          <w:p w14:paraId="14A938BE" w14:textId="11BAE854" w:rsidR="000A0F15" w:rsidRDefault="002550A9" w:rsidP="000A0F15">
            <w:pPr>
              <w:jc w:val="right"/>
              <w:rPr>
                <w:rFonts w:ascii="Arial" w:hAnsi="Arial" w:cs="Arial"/>
                <w:b/>
                <w:bCs/>
                <w:sz w:val="20"/>
                <w:lang w:val="es-419" w:eastAsia="es-419"/>
              </w:rPr>
            </w:pPr>
            <w:r>
              <w:rPr>
                <w:rFonts w:ascii="Arial" w:hAnsi="Arial" w:cs="Arial"/>
                <w:b/>
                <w:bCs/>
                <w:sz w:val="20"/>
                <w:lang w:val="es-419" w:eastAsia="es-419"/>
              </w:rPr>
              <w:t>2,</w:t>
            </w:r>
            <w:r w:rsidR="000A0F15">
              <w:rPr>
                <w:rFonts w:ascii="Arial" w:hAnsi="Arial" w:cs="Arial"/>
                <w:b/>
                <w:bCs/>
                <w:sz w:val="20"/>
                <w:lang w:val="es-419" w:eastAsia="es-419"/>
              </w:rPr>
              <w:t>1</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04A0B214" w14:textId="4A6FA339"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7734E5">
              <w:rPr>
                <w:rFonts w:ascii="Arial" w:hAnsi="Arial" w:cs="Arial"/>
                <w:b/>
                <w:bCs/>
                <w:sz w:val="20"/>
                <w:lang w:val="es-419" w:eastAsia="es-419"/>
              </w:rPr>
              <w:t>8</w:t>
            </w:r>
          </w:p>
        </w:tc>
        <w:tc>
          <w:tcPr>
            <w:tcW w:w="821" w:type="dxa"/>
            <w:tcBorders>
              <w:top w:val="nil"/>
              <w:left w:val="single" w:sz="4" w:space="0" w:color="auto"/>
              <w:bottom w:val="single" w:sz="4" w:space="0" w:color="auto"/>
              <w:right w:val="single" w:sz="4" w:space="0" w:color="auto"/>
            </w:tcBorders>
            <w:shd w:val="clear" w:color="auto" w:fill="auto"/>
            <w:vAlign w:val="center"/>
          </w:tcPr>
          <w:p w14:paraId="4CB69708" w14:textId="37D5B133"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F10D80">
              <w:rPr>
                <w:rFonts w:ascii="Arial" w:hAnsi="Arial" w:cs="Arial"/>
                <w:b/>
                <w:bCs/>
                <w:sz w:val="20"/>
                <w:lang w:val="es-419" w:eastAsia="es-419"/>
              </w:rPr>
              <w:t>5</w:t>
            </w:r>
          </w:p>
        </w:tc>
        <w:tc>
          <w:tcPr>
            <w:tcW w:w="855" w:type="dxa"/>
            <w:tcBorders>
              <w:top w:val="nil"/>
              <w:left w:val="nil"/>
              <w:bottom w:val="single" w:sz="4" w:space="0" w:color="auto"/>
              <w:right w:val="single" w:sz="4" w:space="0" w:color="auto"/>
            </w:tcBorders>
            <w:shd w:val="clear" w:color="auto" w:fill="auto"/>
            <w:noWrap/>
            <w:vAlign w:val="center"/>
          </w:tcPr>
          <w:p w14:paraId="5DB81C4C" w14:textId="1BFBD629"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452E2C">
              <w:rPr>
                <w:rFonts w:ascii="Arial" w:hAnsi="Arial" w:cs="Arial"/>
                <w:b/>
                <w:bCs/>
                <w:sz w:val="20"/>
                <w:lang w:val="es-419" w:eastAsia="es-419"/>
              </w:rPr>
              <w:t>8</w:t>
            </w:r>
          </w:p>
        </w:tc>
        <w:tc>
          <w:tcPr>
            <w:tcW w:w="801" w:type="dxa"/>
            <w:tcBorders>
              <w:top w:val="nil"/>
              <w:left w:val="nil"/>
              <w:bottom w:val="single" w:sz="4" w:space="0" w:color="auto"/>
              <w:right w:val="single" w:sz="4" w:space="0" w:color="auto"/>
            </w:tcBorders>
            <w:shd w:val="clear" w:color="auto" w:fill="auto"/>
            <w:vAlign w:val="center"/>
          </w:tcPr>
          <w:p w14:paraId="13CCF071" w14:textId="27539433"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5A2DA4">
              <w:rPr>
                <w:rFonts w:ascii="Arial" w:hAnsi="Arial" w:cs="Arial"/>
                <w:b/>
                <w:bCs/>
                <w:sz w:val="20"/>
                <w:lang w:val="es-419" w:eastAsia="es-419"/>
              </w:rPr>
              <w:t>5</w:t>
            </w:r>
          </w:p>
        </w:tc>
        <w:tc>
          <w:tcPr>
            <w:tcW w:w="810" w:type="dxa"/>
            <w:tcBorders>
              <w:top w:val="nil"/>
              <w:left w:val="nil"/>
              <w:bottom w:val="single" w:sz="4" w:space="0" w:color="auto"/>
              <w:right w:val="single" w:sz="4" w:space="0" w:color="auto"/>
            </w:tcBorders>
            <w:shd w:val="clear" w:color="auto" w:fill="auto"/>
            <w:noWrap/>
            <w:vAlign w:val="center"/>
          </w:tcPr>
          <w:p w14:paraId="516446FC" w14:textId="77777777"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Pr="00756562">
              <w:rPr>
                <w:rFonts w:ascii="Arial" w:hAnsi="Arial" w:cs="Arial"/>
                <w:b/>
                <w:bCs/>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3830CD0F" w14:textId="3D0A2ABB"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0,0</w:t>
            </w:r>
          </w:p>
        </w:tc>
      </w:tr>
      <w:tr w:rsidR="000A0F15" w:rsidRPr="000B1C7E" w14:paraId="09BC8360" w14:textId="77777777" w:rsidTr="005535AC">
        <w:trPr>
          <w:trHeight w:val="305"/>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5873CA34" w14:textId="3B14FD10" w:rsidR="000A0F15" w:rsidRDefault="000A0F15" w:rsidP="000A0F15">
            <w:pPr>
              <w:pStyle w:val="ListParagraph"/>
              <w:ind w:left="288"/>
              <w:rPr>
                <w:rFonts w:ascii="Arial" w:hAnsi="Arial" w:cs="Arial"/>
                <w:b/>
                <w:bCs/>
                <w:sz w:val="20"/>
                <w:lang w:val="es-419" w:eastAsia="es-419"/>
              </w:rPr>
            </w:pPr>
            <w:r>
              <w:rPr>
                <w:rFonts w:ascii="Arial" w:hAnsi="Arial" w:cs="Arial"/>
                <w:sz w:val="20"/>
                <w:lang w:val="es-419" w:eastAsia="es-419"/>
              </w:rPr>
              <w:t>2.1 Estancias cortas</w:t>
            </w:r>
          </w:p>
        </w:tc>
        <w:tc>
          <w:tcPr>
            <w:tcW w:w="919" w:type="dxa"/>
            <w:tcBorders>
              <w:top w:val="single" w:sz="4" w:space="0" w:color="auto"/>
              <w:left w:val="nil"/>
              <w:bottom w:val="single" w:sz="4" w:space="0" w:color="auto"/>
              <w:right w:val="single" w:sz="4" w:space="0" w:color="auto"/>
            </w:tcBorders>
            <w:vAlign w:val="center"/>
          </w:tcPr>
          <w:p w14:paraId="1C69A47B" w14:textId="4C692FEF" w:rsidR="000A0F15" w:rsidRDefault="00D55787" w:rsidP="000A0F15">
            <w:pPr>
              <w:jc w:val="right"/>
              <w:rPr>
                <w:rFonts w:ascii="Arial" w:hAnsi="Arial" w:cs="Arial"/>
                <w:sz w:val="20"/>
                <w:lang w:val="es-419" w:eastAsia="es-419"/>
              </w:rPr>
            </w:pPr>
            <w:r>
              <w:rPr>
                <w:rFonts w:ascii="Arial" w:hAnsi="Arial" w:cs="Arial"/>
                <w:sz w:val="20"/>
                <w:lang w:val="es-419" w:eastAsia="es-419"/>
              </w:rPr>
              <w:t>1</w:t>
            </w:r>
            <w:r w:rsidR="00534CE2">
              <w:rPr>
                <w:rFonts w:ascii="Arial" w:hAnsi="Arial" w:cs="Arial"/>
                <w:sz w:val="20"/>
                <w:lang w:val="es-419" w:eastAsia="es-419"/>
              </w:rPr>
              <w:t>,0</w:t>
            </w:r>
          </w:p>
        </w:tc>
        <w:tc>
          <w:tcPr>
            <w:tcW w:w="718" w:type="dxa"/>
            <w:tcBorders>
              <w:top w:val="single" w:sz="4" w:space="0" w:color="auto"/>
              <w:left w:val="nil"/>
              <w:bottom w:val="single" w:sz="4" w:space="0" w:color="auto"/>
              <w:right w:val="single" w:sz="4" w:space="0" w:color="auto"/>
            </w:tcBorders>
            <w:vAlign w:val="center"/>
          </w:tcPr>
          <w:p w14:paraId="07B4B2F0" w14:textId="7A60C1A2" w:rsidR="000A0F15" w:rsidRDefault="002550A9" w:rsidP="000A0F15">
            <w:pPr>
              <w:jc w:val="right"/>
              <w:rPr>
                <w:rFonts w:ascii="Arial" w:hAnsi="Arial" w:cs="Arial"/>
                <w:sz w:val="20"/>
                <w:lang w:val="es-419" w:eastAsia="es-419"/>
              </w:rPr>
            </w:pPr>
            <w:r>
              <w:rPr>
                <w:rFonts w:ascii="Arial" w:hAnsi="Arial" w:cs="Arial"/>
                <w:sz w:val="20"/>
                <w:lang w:val="es-419" w:eastAsia="es-419"/>
              </w:rPr>
              <w:t>2,1</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74EBDC55" w14:textId="6CF14D93"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8F2ACA">
              <w:rPr>
                <w:rFonts w:ascii="Arial" w:hAnsi="Arial" w:cs="Arial"/>
                <w:sz w:val="20"/>
                <w:lang w:val="es-419" w:eastAsia="es-419"/>
              </w:rPr>
              <w:t>5</w:t>
            </w:r>
          </w:p>
        </w:tc>
        <w:tc>
          <w:tcPr>
            <w:tcW w:w="821" w:type="dxa"/>
            <w:tcBorders>
              <w:top w:val="nil"/>
              <w:left w:val="single" w:sz="4" w:space="0" w:color="auto"/>
              <w:bottom w:val="single" w:sz="4" w:space="0" w:color="auto"/>
              <w:right w:val="single" w:sz="4" w:space="0" w:color="auto"/>
            </w:tcBorders>
            <w:shd w:val="clear" w:color="auto" w:fill="auto"/>
            <w:vAlign w:val="center"/>
          </w:tcPr>
          <w:p w14:paraId="6D211DBB" w14:textId="0039E5A2"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F10D80">
              <w:rPr>
                <w:rFonts w:ascii="Arial" w:hAnsi="Arial" w:cs="Arial"/>
                <w:sz w:val="20"/>
                <w:lang w:val="es-419" w:eastAsia="es-419"/>
              </w:rPr>
              <w:t>5</w:t>
            </w:r>
          </w:p>
        </w:tc>
        <w:tc>
          <w:tcPr>
            <w:tcW w:w="855" w:type="dxa"/>
            <w:tcBorders>
              <w:top w:val="nil"/>
              <w:left w:val="nil"/>
              <w:bottom w:val="single" w:sz="4" w:space="0" w:color="auto"/>
              <w:right w:val="single" w:sz="4" w:space="0" w:color="auto"/>
            </w:tcBorders>
            <w:shd w:val="clear" w:color="auto" w:fill="auto"/>
            <w:noWrap/>
            <w:vAlign w:val="center"/>
          </w:tcPr>
          <w:p w14:paraId="07C0EBDA" w14:textId="482B3A9D"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184CC2">
              <w:rPr>
                <w:rFonts w:ascii="Arial" w:hAnsi="Arial" w:cs="Arial"/>
                <w:sz w:val="20"/>
                <w:lang w:val="es-419" w:eastAsia="es-419"/>
              </w:rPr>
              <w:t>5</w:t>
            </w:r>
          </w:p>
        </w:tc>
        <w:tc>
          <w:tcPr>
            <w:tcW w:w="801" w:type="dxa"/>
            <w:tcBorders>
              <w:top w:val="nil"/>
              <w:left w:val="nil"/>
              <w:bottom w:val="single" w:sz="4" w:space="0" w:color="auto"/>
              <w:right w:val="single" w:sz="4" w:space="0" w:color="auto"/>
            </w:tcBorders>
            <w:shd w:val="clear" w:color="auto" w:fill="auto"/>
            <w:vAlign w:val="center"/>
          </w:tcPr>
          <w:p w14:paraId="2A7E7DE7" w14:textId="3D746CCF"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5A2DA4">
              <w:rPr>
                <w:rFonts w:ascii="Arial" w:hAnsi="Arial" w:cs="Arial"/>
                <w:sz w:val="20"/>
                <w:lang w:val="es-419" w:eastAsia="es-419"/>
              </w:rPr>
              <w:t>5</w:t>
            </w:r>
          </w:p>
        </w:tc>
        <w:tc>
          <w:tcPr>
            <w:tcW w:w="810" w:type="dxa"/>
            <w:tcBorders>
              <w:top w:val="nil"/>
              <w:left w:val="nil"/>
              <w:bottom w:val="single" w:sz="4" w:space="0" w:color="auto"/>
              <w:right w:val="single" w:sz="4" w:space="0" w:color="auto"/>
            </w:tcBorders>
            <w:shd w:val="clear" w:color="auto" w:fill="auto"/>
            <w:noWrap/>
            <w:vAlign w:val="center"/>
          </w:tcPr>
          <w:p w14:paraId="1848EA97" w14:textId="77777777"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51B0E135" w14:textId="4A16108A"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743A9BA1" w14:textId="77777777" w:rsidTr="005535AC">
        <w:trPr>
          <w:trHeight w:val="323"/>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49EAE917" w14:textId="685A056D" w:rsidR="000A0F15" w:rsidRDefault="000A0F15" w:rsidP="000A0F15">
            <w:pPr>
              <w:pStyle w:val="ListParagraph"/>
              <w:ind w:left="288"/>
              <w:rPr>
                <w:rFonts w:ascii="Arial" w:hAnsi="Arial" w:cs="Arial"/>
                <w:sz w:val="20"/>
                <w:lang w:val="es-419" w:eastAsia="es-419"/>
              </w:rPr>
            </w:pPr>
            <w:r>
              <w:rPr>
                <w:rFonts w:ascii="Arial" w:hAnsi="Arial" w:cs="Arial"/>
                <w:sz w:val="20"/>
                <w:lang w:val="es-419" w:eastAsia="es-419"/>
              </w:rPr>
              <w:t>2.2 Doctorados</w:t>
            </w:r>
          </w:p>
        </w:tc>
        <w:tc>
          <w:tcPr>
            <w:tcW w:w="919" w:type="dxa"/>
            <w:tcBorders>
              <w:top w:val="single" w:sz="4" w:space="0" w:color="auto"/>
              <w:left w:val="nil"/>
              <w:bottom w:val="single" w:sz="4" w:space="0" w:color="auto"/>
              <w:right w:val="single" w:sz="4" w:space="0" w:color="auto"/>
            </w:tcBorders>
            <w:vAlign w:val="center"/>
          </w:tcPr>
          <w:p w14:paraId="53FCE5FE" w14:textId="367F05E9" w:rsidR="000A0F15" w:rsidRDefault="00534CE2" w:rsidP="000A0F15">
            <w:pPr>
              <w:jc w:val="right"/>
              <w:rPr>
                <w:rFonts w:ascii="Arial" w:hAnsi="Arial" w:cs="Arial"/>
                <w:sz w:val="20"/>
                <w:lang w:val="es-419" w:eastAsia="es-419"/>
              </w:rPr>
            </w:pPr>
            <w:r>
              <w:rPr>
                <w:rFonts w:ascii="Arial" w:hAnsi="Arial" w:cs="Arial"/>
                <w:sz w:val="20"/>
                <w:lang w:val="es-419" w:eastAsia="es-419"/>
              </w:rPr>
              <w:t>1,8</w:t>
            </w:r>
          </w:p>
        </w:tc>
        <w:tc>
          <w:tcPr>
            <w:tcW w:w="718" w:type="dxa"/>
            <w:tcBorders>
              <w:top w:val="single" w:sz="4" w:space="0" w:color="auto"/>
              <w:left w:val="nil"/>
              <w:bottom w:val="single" w:sz="4" w:space="0" w:color="auto"/>
              <w:right w:val="single" w:sz="4" w:space="0" w:color="auto"/>
            </w:tcBorders>
            <w:vAlign w:val="center"/>
          </w:tcPr>
          <w:p w14:paraId="28102022" w14:textId="7EB3ABCF"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0DAD908C" w14:textId="421284C6"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7734E5">
              <w:rPr>
                <w:rFonts w:ascii="Arial" w:hAnsi="Arial" w:cs="Arial"/>
                <w:sz w:val="20"/>
                <w:lang w:val="es-419" w:eastAsia="es-419"/>
              </w:rPr>
              <w:t>3</w:t>
            </w:r>
          </w:p>
        </w:tc>
        <w:tc>
          <w:tcPr>
            <w:tcW w:w="821" w:type="dxa"/>
            <w:tcBorders>
              <w:top w:val="nil"/>
              <w:left w:val="single" w:sz="4" w:space="0" w:color="auto"/>
              <w:bottom w:val="single" w:sz="4" w:space="0" w:color="auto"/>
              <w:right w:val="single" w:sz="4" w:space="0" w:color="auto"/>
            </w:tcBorders>
            <w:shd w:val="clear" w:color="auto" w:fill="auto"/>
            <w:vAlign w:val="center"/>
          </w:tcPr>
          <w:p w14:paraId="568EF651" w14:textId="35E7FF22"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55" w:type="dxa"/>
            <w:tcBorders>
              <w:top w:val="nil"/>
              <w:left w:val="nil"/>
              <w:bottom w:val="single" w:sz="4" w:space="0" w:color="auto"/>
              <w:right w:val="single" w:sz="4" w:space="0" w:color="auto"/>
            </w:tcBorders>
            <w:shd w:val="clear" w:color="auto" w:fill="auto"/>
            <w:noWrap/>
            <w:vAlign w:val="center"/>
          </w:tcPr>
          <w:p w14:paraId="458C68C0" w14:textId="5B7C848F"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452E2C">
              <w:rPr>
                <w:rFonts w:ascii="Arial" w:hAnsi="Arial" w:cs="Arial"/>
                <w:sz w:val="20"/>
                <w:lang w:val="es-419" w:eastAsia="es-419"/>
              </w:rPr>
              <w:t>3</w:t>
            </w:r>
          </w:p>
        </w:tc>
        <w:tc>
          <w:tcPr>
            <w:tcW w:w="801" w:type="dxa"/>
            <w:tcBorders>
              <w:top w:val="nil"/>
              <w:left w:val="nil"/>
              <w:bottom w:val="single" w:sz="4" w:space="0" w:color="auto"/>
              <w:right w:val="single" w:sz="4" w:space="0" w:color="auto"/>
            </w:tcBorders>
            <w:shd w:val="clear" w:color="auto" w:fill="auto"/>
            <w:vAlign w:val="center"/>
          </w:tcPr>
          <w:p w14:paraId="369B7A19" w14:textId="74C737CA"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10" w:type="dxa"/>
            <w:tcBorders>
              <w:top w:val="nil"/>
              <w:left w:val="nil"/>
              <w:bottom w:val="single" w:sz="4" w:space="0" w:color="auto"/>
              <w:right w:val="single" w:sz="4" w:space="0" w:color="auto"/>
            </w:tcBorders>
            <w:shd w:val="clear" w:color="auto" w:fill="auto"/>
            <w:noWrap/>
            <w:vAlign w:val="center"/>
          </w:tcPr>
          <w:p w14:paraId="05A7DD96" w14:textId="19B4429C"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13EC886E" w14:textId="336C28D3"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4D36137E" w14:textId="77777777" w:rsidTr="00A97FB6">
        <w:trPr>
          <w:trHeight w:val="420"/>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66C7C721" w14:textId="0099B70F" w:rsidR="000A0F15" w:rsidRDefault="000A0F15" w:rsidP="000A0F15">
            <w:pPr>
              <w:pStyle w:val="ListParagraph"/>
              <w:ind w:left="288"/>
              <w:rPr>
                <w:rFonts w:ascii="Arial" w:hAnsi="Arial" w:cs="Arial"/>
                <w:b/>
                <w:bCs/>
                <w:sz w:val="20"/>
                <w:lang w:val="es-419" w:eastAsia="es-419"/>
              </w:rPr>
            </w:pPr>
            <w:r>
              <w:rPr>
                <w:rFonts w:ascii="Arial" w:hAnsi="Arial" w:cs="Arial"/>
                <w:sz w:val="20"/>
                <w:lang w:val="es-419" w:eastAsia="es-419"/>
              </w:rPr>
              <w:t>2.3 Comunicación y logística</w:t>
            </w:r>
          </w:p>
        </w:tc>
        <w:tc>
          <w:tcPr>
            <w:tcW w:w="919" w:type="dxa"/>
            <w:tcBorders>
              <w:top w:val="single" w:sz="4" w:space="0" w:color="auto"/>
              <w:left w:val="nil"/>
              <w:bottom w:val="single" w:sz="4" w:space="0" w:color="auto"/>
              <w:right w:val="single" w:sz="4" w:space="0" w:color="auto"/>
            </w:tcBorders>
            <w:vAlign w:val="center"/>
          </w:tcPr>
          <w:p w14:paraId="056D8326" w14:textId="52F6399D"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00FB047F">
              <w:rPr>
                <w:rFonts w:ascii="Arial" w:hAnsi="Arial" w:cs="Arial"/>
                <w:sz w:val="20"/>
                <w:lang w:val="es-419" w:eastAsia="es-419"/>
              </w:rPr>
              <w:t>0</w:t>
            </w:r>
          </w:p>
        </w:tc>
        <w:tc>
          <w:tcPr>
            <w:tcW w:w="718" w:type="dxa"/>
            <w:tcBorders>
              <w:top w:val="single" w:sz="4" w:space="0" w:color="auto"/>
              <w:left w:val="nil"/>
              <w:bottom w:val="single" w:sz="4" w:space="0" w:color="auto"/>
              <w:right w:val="single" w:sz="4" w:space="0" w:color="auto"/>
            </w:tcBorders>
            <w:vAlign w:val="center"/>
          </w:tcPr>
          <w:p w14:paraId="798A5635" w14:textId="4B0D29CE"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002550A9">
              <w:rPr>
                <w:rFonts w:ascii="Arial" w:hAnsi="Arial" w:cs="Arial"/>
                <w:sz w:val="20"/>
                <w:lang w:val="es-419" w:eastAsia="es-419"/>
              </w:rPr>
              <w:t>0</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48C4755D" w14:textId="77777777"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21" w:type="dxa"/>
            <w:tcBorders>
              <w:top w:val="nil"/>
              <w:left w:val="single" w:sz="4" w:space="0" w:color="auto"/>
              <w:bottom w:val="single" w:sz="4" w:space="0" w:color="auto"/>
              <w:right w:val="single" w:sz="4" w:space="0" w:color="auto"/>
            </w:tcBorders>
            <w:shd w:val="clear" w:color="auto" w:fill="auto"/>
            <w:vAlign w:val="center"/>
          </w:tcPr>
          <w:p w14:paraId="192F309B" w14:textId="0139E2FF"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55" w:type="dxa"/>
            <w:tcBorders>
              <w:top w:val="nil"/>
              <w:left w:val="nil"/>
              <w:bottom w:val="single" w:sz="4" w:space="0" w:color="auto"/>
              <w:right w:val="single" w:sz="4" w:space="0" w:color="auto"/>
            </w:tcBorders>
            <w:shd w:val="clear" w:color="auto" w:fill="auto"/>
            <w:noWrap/>
            <w:vAlign w:val="center"/>
          </w:tcPr>
          <w:p w14:paraId="422C4BCD" w14:textId="77777777"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Pr>
                <w:rFonts w:ascii="Arial" w:hAnsi="Arial" w:cs="Arial"/>
                <w:sz w:val="20"/>
                <w:lang w:val="es-419" w:eastAsia="es-419"/>
              </w:rPr>
              <w:t>0</w:t>
            </w:r>
          </w:p>
        </w:tc>
        <w:tc>
          <w:tcPr>
            <w:tcW w:w="801" w:type="dxa"/>
            <w:tcBorders>
              <w:top w:val="nil"/>
              <w:left w:val="nil"/>
              <w:bottom w:val="single" w:sz="4" w:space="0" w:color="auto"/>
              <w:right w:val="single" w:sz="4" w:space="0" w:color="auto"/>
            </w:tcBorders>
            <w:shd w:val="clear" w:color="auto" w:fill="auto"/>
            <w:vAlign w:val="center"/>
          </w:tcPr>
          <w:p w14:paraId="42686833" w14:textId="3E5B40D3"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10" w:type="dxa"/>
            <w:tcBorders>
              <w:top w:val="nil"/>
              <w:left w:val="nil"/>
              <w:bottom w:val="single" w:sz="4" w:space="0" w:color="auto"/>
              <w:right w:val="single" w:sz="4" w:space="0" w:color="auto"/>
            </w:tcBorders>
            <w:shd w:val="clear" w:color="auto" w:fill="auto"/>
            <w:noWrap/>
            <w:vAlign w:val="center"/>
          </w:tcPr>
          <w:p w14:paraId="5FAEF297" w14:textId="77777777" w:rsidR="000A0F15" w:rsidRDefault="000A0F15" w:rsidP="000A0F15">
            <w:pPr>
              <w:jc w:val="right"/>
              <w:rPr>
                <w:rFonts w:ascii="Arial" w:hAnsi="Arial" w:cs="Arial"/>
                <w:b/>
                <w:bCs/>
                <w:sz w:val="20"/>
                <w:lang w:val="es-419" w:eastAsia="es-419"/>
              </w:rPr>
            </w:pPr>
            <w:r w:rsidRPr="00756562">
              <w:rPr>
                <w:rFonts w:ascii="Arial" w:hAnsi="Arial" w:cs="Arial"/>
                <w:sz w:val="20"/>
                <w:lang w:val="es-419" w:eastAsia="es-419"/>
              </w:rPr>
              <w:t>0,0</w:t>
            </w:r>
          </w:p>
        </w:tc>
        <w:tc>
          <w:tcPr>
            <w:tcW w:w="769" w:type="dxa"/>
            <w:tcBorders>
              <w:top w:val="nil"/>
              <w:left w:val="nil"/>
              <w:bottom w:val="single" w:sz="4" w:space="0" w:color="auto"/>
              <w:right w:val="single" w:sz="4" w:space="0" w:color="auto"/>
            </w:tcBorders>
            <w:shd w:val="clear" w:color="auto" w:fill="auto"/>
            <w:vAlign w:val="center"/>
          </w:tcPr>
          <w:p w14:paraId="3A7247B7" w14:textId="4B855859" w:rsidR="000A0F15" w:rsidRDefault="000A0F15" w:rsidP="000A0F15">
            <w:pPr>
              <w:jc w:val="right"/>
              <w:rPr>
                <w:rFonts w:ascii="Arial" w:hAnsi="Arial" w:cs="Arial"/>
                <w:b/>
                <w:bCs/>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2EE33BF9" w14:textId="77777777" w:rsidTr="00A97FB6">
        <w:trPr>
          <w:trHeight w:val="420"/>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433C51DA" w14:textId="5309A1A5" w:rsidR="000A0F15" w:rsidRPr="000B1C7E" w:rsidRDefault="000A0F15" w:rsidP="00B7706B">
            <w:pPr>
              <w:pStyle w:val="ListParagraph"/>
              <w:numPr>
                <w:ilvl w:val="0"/>
                <w:numId w:val="5"/>
              </w:numPr>
              <w:ind w:left="288" w:hanging="270"/>
              <w:rPr>
                <w:rFonts w:ascii="Arial" w:hAnsi="Arial" w:cs="Arial"/>
                <w:b/>
                <w:bCs/>
                <w:sz w:val="20"/>
                <w:lang w:val="es-419" w:eastAsia="es-419"/>
              </w:rPr>
            </w:pPr>
            <w:r>
              <w:rPr>
                <w:rFonts w:ascii="Arial" w:hAnsi="Arial" w:cs="Arial"/>
                <w:b/>
                <w:bCs/>
                <w:sz w:val="20"/>
                <w:lang w:val="es-419" w:eastAsia="es-419"/>
              </w:rPr>
              <w:t>Administración</w:t>
            </w:r>
            <w:r w:rsidR="00534CE2">
              <w:rPr>
                <w:rFonts w:ascii="Arial" w:hAnsi="Arial" w:cs="Arial"/>
                <w:b/>
                <w:bCs/>
                <w:sz w:val="20"/>
                <w:lang w:val="es-419" w:eastAsia="es-419"/>
              </w:rPr>
              <w:t>, auditoría</w:t>
            </w:r>
            <w:r>
              <w:rPr>
                <w:rFonts w:ascii="Arial" w:hAnsi="Arial" w:cs="Arial"/>
                <w:b/>
                <w:bCs/>
                <w:sz w:val="20"/>
                <w:lang w:val="es-419" w:eastAsia="es-419"/>
              </w:rPr>
              <w:t xml:space="preserve"> </w:t>
            </w:r>
            <w:r w:rsidR="006607B1">
              <w:rPr>
                <w:rFonts w:ascii="Arial" w:hAnsi="Arial" w:cs="Arial"/>
                <w:b/>
                <w:bCs/>
                <w:sz w:val="20"/>
                <w:lang w:val="es-419" w:eastAsia="es-419"/>
              </w:rPr>
              <w:t>y evaluación</w:t>
            </w:r>
          </w:p>
        </w:tc>
        <w:tc>
          <w:tcPr>
            <w:tcW w:w="919" w:type="dxa"/>
            <w:tcBorders>
              <w:top w:val="single" w:sz="4" w:space="0" w:color="auto"/>
              <w:left w:val="nil"/>
              <w:bottom w:val="single" w:sz="4" w:space="0" w:color="auto"/>
              <w:right w:val="single" w:sz="4" w:space="0" w:color="auto"/>
            </w:tcBorders>
            <w:vAlign w:val="center"/>
          </w:tcPr>
          <w:p w14:paraId="3DDF66BE" w14:textId="338B20AB" w:rsidR="000A0F15" w:rsidRDefault="000A0F15" w:rsidP="000A0F15">
            <w:pPr>
              <w:jc w:val="right"/>
              <w:rPr>
                <w:rFonts w:ascii="Arial" w:hAnsi="Arial" w:cs="Arial"/>
                <w:b/>
                <w:bCs/>
                <w:sz w:val="20"/>
                <w:lang w:val="es-419" w:eastAsia="es-419"/>
              </w:rPr>
            </w:pPr>
            <w:r>
              <w:rPr>
                <w:rFonts w:ascii="Arial" w:hAnsi="Arial" w:cs="Arial"/>
                <w:b/>
                <w:bCs/>
                <w:sz w:val="20"/>
                <w:lang w:val="es-419" w:eastAsia="es-419"/>
              </w:rPr>
              <w:t>1,</w:t>
            </w:r>
            <w:r w:rsidR="000D7C88">
              <w:rPr>
                <w:rFonts w:ascii="Arial" w:hAnsi="Arial" w:cs="Arial"/>
                <w:b/>
                <w:bCs/>
                <w:sz w:val="20"/>
                <w:lang w:val="es-419" w:eastAsia="es-419"/>
              </w:rPr>
              <w:t>2</w:t>
            </w:r>
          </w:p>
        </w:tc>
        <w:tc>
          <w:tcPr>
            <w:tcW w:w="718" w:type="dxa"/>
            <w:tcBorders>
              <w:top w:val="single" w:sz="4" w:space="0" w:color="auto"/>
              <w:left w:val="nil"/>
              <w:bottom w:val="single" w:sz="4" w:space="0" w:color="auto"/>
              <w:right w:val="single" w:sz="4" w:space="0" w:color="auto"/>
            </w:tcBorders>
            <w:vAlign w:val="center"/>
          </w:tcPr>
          <w:p w14:paraId="46D7CA76" w14:textId="7B70FEE8" w:rsidR="000A0F15" w:rsidRDefault="000A0F15" w:rsidP="000A0F15">
            <w:pPr>
              <w:jc w:val="right"/>
              <w:rPr>
                <w:rFonts w:ascii="Arial" w:hAnsi="Arial" w:cs="Arial"/>
                <w:b/>
                <w:bCs/>
                <w:sz w:val="20"/>
                <w:lang w:val="es-419" w:eastAsia="es-419"/>
              </w:rPr>
            </w:pPr>
            <w:r>
              <w:rPr>
                <w:rFonts w:ascii="Arial" w:hAnsi="Arial" w:cs="Arial"/>
                <w:b/>
                <w:bCs/>
                <w:sz w:val="20"/>
                <w:lang w:val="es-419" w:eastAsia="es-419"/>
              </w:rPr>
              <w:t>1,</w:t>
            </w:r>
            <w:r w:rsidR="00530F47">
              <w:rPr>
                <w:rFonts w:ascii="Arial" w:hAnsi="Arial" w:cs="Arial"/>
                <w:b/>
                <w:bCs/>
                <w:sz w:val="20"/>
                <w:lang w:val="es-419" w:eastAsia="es-419"/>
              </w:rPr>
              <w:t>8</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2E5C6217" w14:textId="38F012BA"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8F2ACA">
              <w:rPr>
                <w:rFonts w:ascii="Arial" w:hAnsi="Arial" w:cs="Arial"/>
                <w:b/>
                <w:bCs/>
                <w:sz w:val="20"/>
                <w:lang w:val="es-419" w:eastAsia="es-419"/>
              </w:rPr>
              <w:t>3</w:t>
            </w:r>
          </w:p>
        </w:tc>
        <w:tc>
          <w:tcPr>
            <w:tcW w:w="821" w:type="dxa"/>
            <w:tcBorders>
              <w:top w:val="nil"/>
              <w:left w:val="single" w:sz="4" w:space="0" w:color="auto"/>
              <w:bottom w:val="single" w:sz="4" w:space="0" w:color="auto"/>
              <w:right w:val="single" w:sz="4" w:space="0" w:color="auto"/>
            </w:tcBorders>
            <w:shd w:val="clear" w:color="auto" w:fill="auto"/>
            <w:vAlign w:val="center"/>
          </w:tcPr>
          <w:p w14:paraId="7C1CF16E" w14:textId="6D0B3A91"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FF1D6C">
              <w:rPr>
                <w:rFonts w:ascii="Arial" w:hAnsi="Arial" w:cs="Arial"/>
                <w:b/>
                <w:bCs/>
                <w:sz w:val="20"/>
                <w:lang w:val="es-419" w:eastAsia="es-419"/>
              </w:rPr>
              <w:t>1</w:t>
            </w:r>
          </w:p>
        </w:tc>
        <w:tc>
          <w:tcPr>
            <w:tcW w:w="855" w:type="dxa"/>
            <w:tcBorders>
              <w:top w:val="nil"/>
              <w:left w:val="nil"/>
              <w:bottom w:val="single" w:sz="4" w:space="0" w:color="auto"/>
              <w:right w:val="single" w:sz="4" w:space="0" w:color="auto"/>
            </w:tcBorders>
            <w:shd w:val="clear" w:color="auto" w:fill="auto"/>
            <w:noWrap/>
            <w:vAlign w:val="center"/>
          </w:tcPr>
          <w:p w14:paraId="5A69D94E" w14:textId="62D2B413"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6234FA">
              <w:rPr>
                <w:rFonts w:ascii="Arial" w:hAnsi="Arial" w:cs="Arial"/>
                <w:b/>
                <w:bCs/>
                <w:sz w:val="20"/>
                <w:lang w:val="es-419" w:eastAsia="es-419"/>
              </w:rPr>
              <w:t>3</w:t>
            </w:r>
          </w:p>
        </w:tc>
        <w:tc>
          <w:tcPr>
            <w:tcW w:w="801" w:type="dxa"/>
            <w:tcBorders>
              <w:top w:val="nil"/>
              <w:left w:val="nil"/>
              <w:bottom w:val="single" w:sz="4" w:space="0" w:color="auto"/>
              <w:right w:val="single" w:sz="4" w:space="0" w:color="auto"/>
            </w:tcBorders>
            <w:shd w:val="clear" w:color="auto" w:fill="auto"/>
            <w:vAlign w:val="center"/>
          </w:tcPr>
          <w:p w14:paraId="7D6715F9" w14:textId="48533038"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005A2DA4">
              <w:rPr>
                <w:rFonts w:ascii="Arial" w:hAnsi="Arial" w:cs="Arial"/>
                <w:b/>
                <w:bCs/>
                <w:sz w:val="20"/>
                <w:lang w:val="es-419" w:eastAsia="es-419"/>
              </w:rPr>
              <w:t>1</w:t>
            </w:r>
          </w:p>
        </w:tc>
        <w:tc>
          <w:tcPr>
            <w:tcW w:w="810" w:type="dxa"/>
            <w:tcBorders>
              <w:top w:val="nil"/>
              <w:left w:val="nil"/>
              <w:bottom w:val="single" w:sz="4" w:space="0" w:color="auto"/>
              <w:right w:val="single" w:sz="4" w:space="0" w:color="auto"/>
            </w:tcBorders>
            <w:shd w:val="clear" w:color="auto" w:fill="auto"/>
            <w:noWrap/>
            <w:vAlign w:val="center"/>
          </w:tcPr>
          <w:p w14:paraId="7A99F16B" w14:textId="77777777"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w:t>
            </w:r>
            <w:r w:rsidRPr="00756562">
              <w:rPr>
                <w:rFonts w:ascii="Arial" w:hAnsi="Arial" w:cs="Arial"/>
                <w:b/>
                <w:bCs/>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76C2EBF6" w14:textId="559B1C7B"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0,0</w:t>
            </w:r>
          </w:p>
        </w:tc>
      </w:tr>
      <w:tr w:rsidR="000A0F15" w:rsidRPr="000B1C7E" w14:paraId="26E1174A" w14:textId="77777777" w:rsidTr="005535AC">
        <w:trPr>
          <w:trHeight w:val="314"/>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14:paraId="5E807FD2" w14:textId="6A6FF651" w:rsidR="000A0F15" w:rsidRPr="000B1C7E" w:rsidRDefault="000A0F15" w:rsidP="000A0F15">
            <w:pPr>
              <w:ind w:firstLineChars="100" w:firstLine="200"/>
              <w:rPr>
                <w:rFonts w:ascii="Arial" w:hAnsi="Arial" w:cs="Arial"/>
                <w:sz w:val="20"/>
                <w:lang w:val="es-419" w:eastAsia="es-419"/>
              </w:rPr>
            </w:pPr>
            <w:r>
              <w:rPr>
                <w:rFonts w:ascii="Arial" w:hAnsi="Arial" w:cs="Arial"/>
                <w:sz w:val="20"/>
                <w:lang w:val="es-419" w:eastAsia="es-419"/>
              </w:rPr>
              <w:t>3.1 Administración</w:t>
            </w:r>
          </w:p>
        </w:tc>
        <w:tc>
          <w:tcPr>
            <w:tcW w:w="919" w:type="dxa"/>
            <w:tcBorders>
              <w:top w:val="single" w:sz="4" w:space="0" w:color="auto"/>
              <w:left w:val="nil"/>
              <w:bottom w:val="single" w:sz="4" w:space="0" w:color="auto"/>
              <w:right w:val="single" w:sz="4" w:space="0" w:color="auto"/>
            </w:tcBorders>
            <w:vAlign w:val="center"/>
          </w:tcPr>
          <w:p w14:paraId="08C47F0B" w14:textId="1A2250E2" w:rsidR="000A0F15" w:rsidRDefault="00D71CC5" w:rsidP="000A0F15">
            <w:pPr>
              <w:jc w:val="right"/>
              <w:rPr>
                <w:rFonts w:ascii="Arial" w:hAnsi="Arial" w:cs="Arial"/>
                <w:sz w:val="20"/>
                <w:lang w:val="es-419" w:eastAsia="es-419"/>
              </w:rPr>
            </w:pPr>
            <w:r>
              <w:rPr>
                <w:rFonts w:ascii="Arial" w:hAnsi="Arial" w:cs="Arial"/>
                <w:sz w:val="20"/>
                <w:lang w:val="es-419" w:eastAsia="es-419"/>
              </w:rPr>
              <w:t>1,</w:t>
            </w:r>
            <w:r w:rsidR="000A0F15">
              <w:rPr>
                <w:rFonts w:ascii="Arial" w:hAnsi="Arial" w:cs="Arial"/>
                <w:sz w:val="20"/>
                <w:lang w:val="es-419" w:eastAsia="es-419"/>
              </w:rPr>
              <w:t>0</w:t>
            </w:r>
          </w:p>
        </w:tc>
        <w:tc>
          <w:tcPr>
            <w:tcW w:w="718" w:type="dxa"/>
            <w:tcBorders>
              <w:top w:val="single" w:sz="4" w:space="0" w:color="auto"/>
              <w:left w:val="nil"/>
              <w:bottom w:val="single" w:sz="4" w:space="0" w:color="auto"/>
              <w:right w:val="single" w:sz="4" w:space="0" w:color="auto"/>
            </w:tcBorders>
            <w:vAlign w:val="center"/>
          </w:tcPr>
          <w:p w14:paraId="21752525" w14:textId="31F06718" w:rsidR="000A0F15" w:rsidRDefault="00530F47" w:rsidP="000A0F15">
            <w:pPr>
              <w:jc w:val="right"/>
              <w:rPr>
                <w:rFonts w:ascii="Arial" w:hAnsi="Arial" w:cs="Arial"/>
                <w:sz w:val="20"/>
                <w:lang w:val="es-419" w:eastAsia="es-419"/>
              </w:rPr>
            </w:pPr>
            <w:r>
              <w:rPr>
                <w:rFonts w:ascii="Arial" w:hAnsi="Arial" w:cs="Arial"/>
                <w:sz w:val="20"/>
                <w:lang w:val="es-419" w:eastAsia="es-419"/>
              </w:rPr>
              <w:t>1,6</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74D977E9" w14:textId="6EAFD577"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8F2ACA">
              <w:rPr>
                <w:rFonts w:ascii="Arial" w:hAnsi="Arial" w:cs="Arial"/>
                <w:sz w:val="20"/>
                <w:lang w:val="es-419" w:eastAsia="es-419"/>
              </w:rPr>
              <w:t>2</w:t>
            </w:r>
          </w:p>
        </w:tc>
        <w:tc>
          <w:tcPr>
            <w:tcW w:w="821" w:type="dxa"/>
            <w:tcBorders>
              <w:top w:val="nil"/>
              <w:left w:val="single" w:sz="4" w:space="0" w:color="auto"/>
              <w:bottom w:val="single" w:sz="4" w:space="0" w:color="auto"/>
              <w:right w:val="single" w:sz="4" w:space="0" w:color="auto"/>
            </w:tcBorders>
            <w:shd w:val="clear" w:color="auto" w:fill="auto"/>
            <w:vAlign w:val="center"/>
          </w:tcPr>
          <w:p w14:paraId="02B47642" w14:textId="5CC95080"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55" w:type="dxa"/>
            <w:tcBorders>
              <w:top w:val="nil"/>
              <w:left w:val="nil"/>
              <w:bottom w:val="single" w:sz="4" w:space="0" w:color="auto"/>
              <w:right w:val="single" w:sz="4" w:space="0" w:color="auto"/>
            </w:tcBorders>
            <w:shd w:val="clear" w:color="auto" w:fill="auto"/>
            <w:noWrap/>
            <w:vAlign w:val="center"/>
          </w:tcPr>
          <w:p w14:paraId="6DA93A25" w14:textId="6A9D1696"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1D61C2">
              <w:rPr>
                <w:rFonts w:ascii="Arial" w:hAnsi="Arial" w:cs="Arial"/>
                <w:sz w:val="20"/>
                <w:lang w:val="es-419" w:eastAsia="es-419"/>
              </w:rPr>
              <w:t>2</w:t>
            </w:r>
          </w:p>
        </w:tc>
        <w:tc>
          <w:tcPr>
            <w:tcW w:w="801" w:type="dxa"/>
            <w:tcBorders>
              <w:top w:val="nil"/>
              <w:left w:val="nil"/>
              <w:bottom w:val="single" w:sz="4" w:space="0" w:color="auto"/>
              <w:right w:val="single" w:sz="4" w:space="0" w:color="auto"/>
            </w:tcBorders>
            <w:shd w:val="clear" w:color="auto" w:fill="auto"/>
            <w:vAlign w:val="center"/>
          </w:tcPr>
          <w:p w14:paraId="602962B8" w14:textId="26CEB907"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10" w:type="dxa"/>
            <w:tcBorders>
              <w:top w:val="nil"/>
              <w:left w:val="nil"/>
              <w:bottom w:val="single" w:sz="4" w:space="0" w:color="auto"/>
              <w:right w:val="single" w:sz="4" w:space="0" w:color="auto"/>
            </w:tcBorders>
            <w:shd w:val="clear" w:color="auto" w:fill="auto"/>
            <w:noWrap/>
            <w:vAlign w:val="center"/>
          </w:tcPr>
          <w:p w14:paraId="12D64DD0" w14:textId="77777777"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2EBD1526" w14:textId="3AA085D5" w:rsidR="000A0F15" w:rsidRPr="000B1C7E"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3849B238" w14:textId="77777777" w:rsidTr="005535AC">
        <w:trPr>
          <w:trHeight w:val="377"/>
        </w:trPr>
        <w:tc>
          <w:tcPr>
            <w:tcW w:w="2785" w:type="dxa"/>
            <w:tcBorders>
              <w:top w:val="nil"/>
              <w:left w:val="single" w:sz="4" w:space="0" w:color="auto"/>
              <w:bottom w:val="single" w:sz="4" w:space="0" w:color="auto"/>
              <w:right w:val="single" w:sz="4" w:space="0" w:color="auto"/>
            </w:tcBorders>
            <w:shd w:val="clear" w:color="auto" w:fill="auto"/>
            <w:noWrap/>
            <w:vAlign w:val="center"/>
          </w:tcPr>
          <w:p w14:paraId="0A35BFA9" w14:textId="21D8D4CA" w:rsidR="000A0F15" w:rsidRDefault="000A0F15" w:rsidP="000A0F15">
            <w:pPr>
              <w:ind w:firstLineChars="100" w:firstLine="200"/>
              <w:rPr>
                <w:rFonts w:ascii="Arial" w:hAnsi="Arial" w:cs="Arial"/>
                <w:sz w:val="20"/>
                <w:lang w:val="es-419" w:eastAsia="es-419"/>
              </w:rPr>
            </w:pPr>
            <w:r>
              <w:rPr>
                <w:rFonts w:ascii="Arial" w:hAnsi="Arial" w:cs="Arial"/>
                <w:sz w:val="20"/>
                <w:lang w:val="es-419" w:eastAsia="es-419"/>
              </w:rPr>
              <w:t xml:space="preserve">3.2 </w:t>
            </w:r>
            <w:r w:rsidR="00977E0A">
              <w:rPr>
                <w:rFonts w:ascii="Arial" w:hAnsi="Arial" w:cs="Arial"/>
                <w:sz w:val="20"/>
                <w:lang w:val="es-419" w:eastAsia="es-419"/>
              </w:rPr>
              <w:t xml:space="preserve">Auditoría y </w:t>
            </w:r>
            <w:r>
              <w:rPr>
                <w:rFonts w:ascii="Arial" w:hAnsi="Arial" w:cs="Arial"/>
                <w:sz w:val="20"/>
                <w:lang w:val="es-419" w:eastAsia="es-419"/>
              </w:rPr>
              <w:t>Evaluación</w:t>
            </w:r>
          </w:p>
        </w:tc>
        <w:tc>
          <w:tcPr>
            <w:tcW w:w="919" w:type="dxa"/>
            <w:tcBorders>
              <w:top w:val="single" w:sz="4" w:space="0" w:color="auto"/>
              <w:left w:val="nil"/>
              <w:bottom w:val="single" w:sz="4" w:space="0" w:color="auto"/>
              <w:right w:val="single" w:sz="4" w:space="0" w:color="auto"/>
            </w:tcBorders>
            <w:vAlign w:val="center"/>
          </w:tcPr>
          <w:p w14:paraId="4B066B12" w14:textId="2778691C"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D71CC5">
              <w:rPr>
                <w:rFonts w:ascii="Arial" w:hAnsi="Arial" w:cs="Arial"/>
                <w:sz w:val="20"/>
                <w:lang w:val="es-419" w:eastAsia="es-419"/>
              </w:rPr>
              <w:t>3</w:t>
            </w:r>
          </w:p>
        </w:tc>
        <w:tc>
          <w:tcPr>
            <w:tcW w:w="718" w:type="dxa"/>
            <w:tcBorders>
              <w:top w:val="single" w:sz="4" w:space="0" w:color="auto"/>
              <w:left w:val="nil"/>
              <w:bottom w:val="single" w:sz="4" w:space="0" w:color="auto"/>
              <w:right w:val="single" w:sz="4" w:space="0" w:color="auto"/>
            </w:tcBorders>
            <w:vAlign w:val="center"/>
          </w:tcPr>
          <w:p w14:paraId="50465F9D" w14:textId="5165313C"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74413E">
              <w:rPr>
                <w:rFonts w:ascii="Arial" w:hAnsi="Arial" w:cs="Arial"/>
                <w:sz w:val="20"/>
                <w:lang w:val="es-419" w:eastAsia="es-419"/>
              </w:rPr>
              <w:t>2</w:t>
            </w:r>
          </w:p>
        </w:tc>
        <w:tc>
          <w:tcPr>
            <w:tcW w:w="882" w:type="dxa"/>
            <w:tcBorders>
              <w:top w:val="nil"/>
              <w:left w:val="single" w:sz="4" w:space="0" w:color="auto"/>
              <w:bottom w:val="single" w:sz="4" w:space="0" w:color="auto"/>
              <w:right w:val="single" w:sz="4" w:space="0" w:color="auto"/>
            </w:tcBorders>
            <w:shd w:val="clear" w:color="auto" w:fill="auto"/>
            <w:noWrap/>
            <w:vAlign w:val="center"/>
          </w:tcPr>
          <w:p w14:paraId="36CEEE37" w14:textId="321EB160"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8F2ACA">
              <w:rPr>
                <w:rFonts w:ascii="Arial" w:hAnsi="Arial" w:cs="Arial"/>
                <w:sz w:val="20"/>
                <w:lang w:val="es-419" w:eastAsia="es-419"/>
              </w:rPr>
              <w:t>1</w:t>
            </w:r>
          </w:p>
        </w:tc>
        <w:tc>
          <w:tcPr>
            <w:tcW w:w="821" w:type="dxa"/>
            <w:tcBorders>
              <w:top w:val="nil"/>
              <w:left w:val="single" w:sz="4" w:space="0" w:color="auto"/>
              <w:bottom w:val="single" w:sz="4" w:space="0" w:color="auto"/>
              <w:right w:val="single" w:sz="4" w:space="0" w:color="auto"/>
            </w:tcBorders>
            <w:shd w:val="clear" w:color="auto" w:fill="auto"/>
            <w:vAlign w:val="center"/>
          </w:tcPr>
          <w:p w14:paraId="3B958833" w14:textId="5E877CE6"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FF1D6C">
              <w:rPr>
                <w:rFonts w:ascii="Arial" w:hAnsi="Arial" w:cs="Arial"/>
                <w:sz w:val="20"/>
                <w:lang w:val="es-419" w:eastAsia="es-419"/>
              </w:rPr>
              <w:t>1</w:t>
            </w:r>
          </w:p>
        </w:tc>
        <w:tc>
          <w:tcPr>
            <w:tcW w:w="855" w:type="dxa"/>
            <w:tcBorders>
              <w:top w:val="nil"/>
              <w:left w:val="nil"/>
              <w:bottom w:val="single" w:sz="4" w:space="0" w:color="auto"/>
              <w:right w:val="single" w:sz="4" w:space="0" w:color="auto"/>
            </w:tcBorders>
            <w:shd w:val="clear" w:color="auto" w:fill="auto"/>
            <w:noWrap/>
            <w:vAlign w:val="center"/>
          </w:tcPr>
          <w:p w14:paraId="7296ECA8" w14:textId="0ECF7945"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6D0DFB">
              <w:rPr>
                <w:rFonts w:ascii="Arial" w:hAnsi="Arial" w:cs="Arial"/>
                <w:sz w:val="20"/>
                <w:lang w:val="es-419" w:eastAsia="es-419"/>
              </w:rPr>
              <w:t>1</w:t>
            </w:r>
          </w:p>
        </w:tc>
        <w:tc>
          <w:tcPr>
            <w:tcW w:w="801" w:type="dxa"/>
            <w:tcBorders>
              <w:top w:val="nil"/>
              <w:left w:val="nil"/>
              <w:bottom w:val="single" w:sz="4" w:space="0" w:color="auto"/>
              <w:right w:val="single" w:sz="4" w:space="0" w:color="auto"/>
            </w:tcBorders>
            <w:shd w:val="clear" w:color="auto" w:fill="auto"/>
            <w:vAlign w:val="center"/>
          </w:tcPr>
          <w:p w14:paraId="2301EAF6" w14:textId="486C0D41"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sidR="009570C8">
              <w:rPr>
                <w:rFonts w:ascii="Arial" w:hAnsi="Arial" w:cs="Arial"/>
                <w:sz w:val="20"/>
                <w:lang w:val="es-419" w:eastAsia="es-419"/>
              </w:rPr>
              <w:t>1</w:t>
            </w:r>
          </w:p>
        </w:tc>
        <w:tc>
          <w:tcPr>
            <w:tcW w:w="810" w:type="dxa"/>
            <w:tcBorders>
              <w:top w:val="nil"/>
              <w:left w:val="nil"/>
              <w:bottom w:val="single" w:sz="4" w:space="0" w:color="auto"/>
              <w:right w:val="single" w:sz="4" w:space="0" w:color="auto"/>
            </w:tcBorders>
            <w:shd w:val="clear" w:color="auto" w:fill="auto"/>
            <w:noWrap/>
            <w:vAlign w:val="center"/>
          </w:tcPr>
          <w:p w14:paraId="1B9F91A6" w14:textId="73BA070C"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769" w:type="dxa"/>
            <w:tcBorders>
              <w:top w:val="nil"/>
              <w:left w:val="nil"/>
              <w:bottom w:val="single" w:sz="4" w:space="0" w:color="auto"/>
              <w:right w:val="single" w:sz="4" w:space="0" w:color="auto"/>
            </w:tcBorders>
            <w:shd w:val="clear" w:color="auto" w:fill="auto"/>
            <w:vAlign w:val="center"/>
          </w:tcPr>
          <w:p w14:paraId="53A33C35" w14:textId="42AD529E" w:rsidR="000A0F15" w:rsidRDefault="000A0F15" w:rsidP="000A0F15">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0A0F15" w:rsidRPr="000B1C7E" w14:paraId="1F45A758" w14:textId="77777777" w:rsidTr="005535AC">
        <w:trPr>
          <w:trHeight w:val="341"/>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00839" w14:textId="3DF885C5" w:rsidR="000A0F15" w:rsidRPr="000B1C7E" w:rsidRDefault="000A0F15" w:rsidP="00143EE4">
            <w:pPr>
              <w:ind w:firstLineChars="100" w:firstLine="200"/>
              <w:rPr>
                <w:rFonts w:ascii="Arial" w:hAnsi="Arial" w:cs="Arial"/>
                <w:sz w:val="20"/>
                <w:lang w:val="es-419" w:eastAsia="es-419"/>
              </w:rPr>
            </w:pPr>
            <w:r>
              <w:rPr>
                <w:rFonts w:ascii="Arial" w:hAnsi="Arial" w:cs="Arial"/>
                <w:sz w:val="20"/>
                <w:lang w:val="es-419" w:eastAsia="es-419"/>
              </w:rPr>
              <w:t>3.4 Costos financieros</w:t>
            </w:r>
          </w:p>
        </w:tc>
        <w:tc>
          <w:tcPr>
            <w:tcW w:w="919" w:type="dxa"/>
            <w:tcBorders>
              <w:top w:val="single" w:sz="4" w:space="0" w:color="auto"/>
              <w:left w:val="nil"/>
              <w:bottom w:val="single" w:sz="4" w:space="0" w:color="auto"/>
              <w:right w:val="single" w:sz="4" w:space="0" w:color="auto"/>
            </w:tcBorders>
            <w:vAlign w:val="center"/>
          </w:tcPr>
          <w:p w14:paraId="534844E7" w14:textId="5B9F2248" w:rsidR="000A0F15" w:rsidRDefault="000A0F15" w:rsidP="00143EE4">
            <w:pPr>
              <w:jc w:val="right"/>
              <w:rPr>
                <w:rFonts w:ascii="Arial" w:hAnsi="Arial" w:cs="Arial"/>
                <w:sz w:val="20"/>
                <w:lang w:val="es-419" w:eastAsia="es-419"/>
              </w:rPr>
            </w:pPr>
            <w:r>
              <w:rPr>
                <w:rFonts w:ascii="Arial" w:hAnsi="Arial" w:cs="Arial"/>
                <w:sz w:val="20"/>
                <w:lang w:val="es-419" w:eastAsia="es-419"/>
              </w:rPr>
              <w:t>0,0</w:t>
            </w:r>
          </w:p>
        </w:tc>
        <w:tc>
          <w:tcPr>
            <w:tcW w:w="718" w:type="dxa"/>
            <w:tcBorders>
              <w:top w:val="single" w:sz="4" w:space="0" w:color="auto"/>
              <w:left w:val="nil"/>
              <w:bottom w:val="single" w:sz="4" w:space="0" w:color="auto"/>
              <w:right w:val="single" w:sz="4" w:space="0" w:color="auto"/>
            </w:tcBorders>
            <w:vAlign w:val="center"/>
          </w:tcPr>
          <w:p w14:paraId="168835BA" w14:textId="74455180" w:rsidR="000A0F15" w:rsidRDefault="000A0F15" w:rsidP="00143EE4">
            <w:pPr>
              <w:jc w:val="right"/>
              <w:rPr>
                <w:rFonts w:ascii="Arial" w:hAnsi="Arial" w:cs="Arial"/>
                <w:sz w:val="20"/>
                <w:lang w:val="es-419" w:eastAsia="es-419"/>
              </w:rPr>
            </w:pPr>
            <w:r>
              <w:rPr>
                <w:rFonts w:ascii="Arial" w:hAnsi="Arial" w:cs="Arial"/>
                <w:sz w:val="20"/>
                <w:lang w:val="es-419" w:eastAsia="es-419"/>
              </w:rPr>
              <w:t>0,</w:t>
            </w:r>
            <w:r w:rsidR="0074413E">
              <w:rPr>
                <w:rFonts w:ascii="Arial" w:hAnsi="Arial" w:cs="Arial"/>
                <w:sz w:val="20"/>
                <w:lang w:val="es-419" w:eastAsia="es-419"/>
              </w:rPr>
              <w:t>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1D1F4" w14:textId="77777777" w:rsidR="000A0F15" w:rsidRPr="000B1C7E" w:rsidRDefault="000A0F15" w:rsidP="00143EE4">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496025A7" w14:textId="77777777" w:rsidR="000A0F15" w:rsidRPr="000B1C7E" w:rsidRDefault="000A0F15" w:rsidP="00143EE4">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0891515D" w14:textId="77777777" w:rsidR="000A0F15" w:rsidRPr="000B1C7E" w:rsidRDefault="000A0F15" w:rsidP="00143EE4">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w:t>
            </w:r>
            <w:r>
              <w:rPr>
                <w:rFonts w:ascii="Arial" w:hAnsi="Arial" w:cs="Arial"/>
                <w:sz w:val="20"/>
                <w:lang w:val="es-419" w:eastAsia="es-419"/>
              </w:rPr>
              <w:t>0</w:t>
            </w:r>
          </w:p>
        </w:tc>
        <w:tc>
          <w:tcPr>
            <w:tcW w:w="801" w:type="dxa"/>
            <w:tcBorders>
              <w:top w:val="single" w:sz="4" w:space="0" w:color="auto"/>
              <w:left w:val="nil"/>
              <w:bottom w:val="single" w:sz="4" w:space="0" w:color="auto"/>
              <w:right w:val="single" w:sz="4" w:space="0" w:color="auto"/>
            </w:tcBorders>
            <w:shd w:val="clear" w:color="auto" w:fill="auto"/>
            <w:vAlign w:val="center"/>
          </w:tcPr>
          <w:p w14:paraId="49EB1129" w14:textId="77777777" w:rsidR="000A0F15" w:rsidRPr="000B1C7E" w:rsidRDefault="000A0F15" w:rsidP="00143EE4">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9FE2A75" w14:textId="77777777" w:rsidR="000A0F15" w:rsidRPr="000B1C7E" w:rsidRDefault="000A0F15" w:rsidP="00143EE4">
            <w:pPr>
              <w:jc w:val="right"/>
              <w:rPr>
                <w:rFonts w:ascii="Arial" w:hAnsi="Arial" w:cs="Arial"/>
                <w:sz w:val="20"/>
                <w:lang w:val="es-419" w:eastAsia="es-419"/>
              </w:rPr>
            </w:pPr>
            <w:r w:rsidRPr="00756562">
              <w:rPr>
                <w:rFonts w:ascii="Arial" w:hAnsi="Arial" w:cs="Arial"/>
                <w:sz w:val="20"/>
                <w:lang w:val="es-419" w:eastAsia="es-419"/>
              </w:rPr>
              <w:t>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6AFBF2C" w14:textId="77777777" w:rsidR="000A0F15" w:rsidRPr="000B1C7E" w:rsidRDefault="000A0F15" w:rsidP="00143EE4">
            <w:pPr>
              <w:jc w:val="right"/>
              <w:rPr>
                <w:rFonts w:ascii="Arial" w:hAnsi="Arial" w:cs="Arial"/>
                <w:sz w:val="20"/>
                <w:lang w:val="es-419" w:eastAsia="es-419"/>
              </w:rPr>
            </w:pPr>
            <w:r>
              <w:rPr>
                <w:rFonts w:ascii="Arial" w:hAnsi="Arial" w:cs="Arial"/>
                <w:sz w:val="20"/>
                <w:lang w:val="es-419" w:eastAsia="es-419"/>
              </w:rPr>
              <w:t>0</w:t>
            </w:r>
            <w:r w:rsidRPr="00756562">
              <w:rPr>
                <w:rFonts w:ascii="Arial" w:hAnsi="Arial" w:cs="Arial"/>
                <w:sz w:val="20"/>
                <w:lang w:val="es-419" w:eastAsia="es-419"/>
              </w:rPr>
              <w:t>,0</w:t>
            </w:r>
          </w:p>
        </w:tc>
      </w:tr>
      <w:tr w:rsidR="006607B1" w:rsidRPr="000B1C7E" w14:paraId="0C6B315B" w14:textId="77777777" w:rsidTr="005535AC">
        <w:trPr>
          <w:trHeight w:val="269"/>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4C034" w14:textId="00B0AA00" w:rsidR="006607B1" w:rsidRPr="00A97FB6" w:rsidRDefault="002943E5" w:rsidP="005535AC">
            <w:pPr>
              <w:pStyle w:val="ListParagraph"/>
              <w:numPr>
                <w:ilvl w:val="0"/>
                <w:numId w:val="5"/>
              </w:numPr>
              <w:ind w:left="288" w:hanging="270"/>
              <w:rPr>
                <w:rFonts w:ascii="Arial" w:hAnsi="Arial" w:cs="Arial"/>
                <w:b/>
                <w:bCs/>
                <w:sz w:val="20"/>
                <w:lang w:val="es-419" w:eastAsia="es-419"/>
              </w:rPr>
            </w:pPr>
            <w:r w:rsidRPr="00A97FB6">
              <w:rPr>
                <w:rFonts w:ascii="Arial" w:hAnsi="Arial" w:cs="Arial"/>
                <w:b/>
                <w:bCs/>
                <w:sz w:val="20"/>
                <w:lang w:val="es-419" w:eastAsia="es-419"/>
              </w:rPr>
              <w:t>Imprevistos</w:t>
            </w:r>
          </w:p>
        </w:tc>
        <w:tc>
          <w:tcPr>
            <w:tcW w:w="919" w:type="dxa"/>
            <w:tcBorders>
              <w:top w:val="single" w:sz="4" w:space="0" w:color="auto"/>
              <w:left w:val="nil"/>
              <w:bottom w:val="single" w:sz="4" w:space="0" w:color="auto"/>
              <w:right w:val="single" w:sz="4" w:space="0" w:color="auto"/>
            </w:tcBorders>
            <w:shd w:val="clear" w:color="auto" w:fill="auto"/>
            <w:vAlign w:val="center"/>
          </w:tcPr>
          <w:p w14:paraId="2B8E4BDB" w14:textId="590755F9" w:rsidR="006607B1" w:rsidRPr="00A97FB6" w:rsidRDefault="000D39B8" w:rsidP="00143EE4">
            <w:pPr>
              <w:jc w:val="right"/>
              <w:rPr>
                <w:rFonts w:ascii="Arial" w:hAnsi="Arial" w:cs="Arial"/>
                <w:b/>
                <w:bCs/>
                <w:sz w:val="20"/>
                <w:lang w:val="es-419" w:eastAsia="es-419"/>
              </w:rPr>
            </w:pPr>
            <w:r w:rsidRPr="00A97FB6">
              <w:rPr>
                <w:rFonts w:ascii="Arial" w:hAnsi="Arial" w:cs="Arial"/>
                <w:b/>
                <w:bCs/>
                <w:sz w:val="20"/>
                <w:lang w:val="es-419" w:eastAsia="es-419"/>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0D00D68C" w14:textId="02779417" w:rsidR="006607B1" w:rsidRPr="00A97FB6" w:rsidRDefault="0074413E" w:rsidP="00143EE4">
            <w:pPr>
              <w:jc w:val="right"/>
              <w:rPr>
                <w:rFonts w:ascii="Arial" w:hAnsi="Arial" w:cs="Arial"/>
                <w:b/>
                <w:bCs/>
                <w:sz w:val="20"/>
                <w:lang w:val="es-419" w:eastAsia="es-419"/>
              </w:rPr>
            </w:pPr>
            <w:r w:rsidRPr="00A97FB6">
              <w:rPr>
                <w:rFonts w:ascii="Arial" w:hAnsi="Arial" w:cs="Arial"/>
                <w:b/>
                <w:bCs/>
                <w:sz w:val="20"/>
                <w:lang w:val="es-419" w:eastAsia="es-419"/>
              </w:rPr>
              <w:t>0,0</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35EFF" w14:textId="348499A5" w:rsidR="006607B1" w:rsidRPr="00A97FB6" w:rsidRDefault="008F2ACA" w:rsidP="00143EE4">
            <w:pPr>
              <w:jc w:val="right"/>
              <w:rPr>
                <w:rFonts w:ascii="Arial" w:hAnsi="Arial" w:cs="Arial"/>
                <w:b/>
                <w:bCs/>
                <w:sz w:val="20"/>
                <w:lang w:val="es-419" w:eastAsia="es-419"/>
              </w:rPr>
            </w:pPr>
            <w:r w:rsidRPr="00A97FB6">
              <w:rPr>
                <w:rFonts w:ascii="Arial" w:hAnsi="Arial" w:cs="Arial"/>
                <w:b/>
                <w:bCs/>
                <w:sz w:val="20"/>
                <w:lang w:val="es-419" w:eastAsia="es-419"/>
              </w:rPr>
              <w:t>0</w:t>
            </w:r>
            <w:r w:rsidR="00AA68A7" w:rsidRPr="00A97FB6">
              <w:rPr>
                <w:rFonts w:ascii="Arial" w:hAnsi="Arial" w:cs="Arial"/>
                <w:b/>
                <w:bCs/>
                <w:sz w:val="20"/>
                <w:lang w:val="es-419" w:eastAsia="es-419"/>
              </w:rPr>
              <w:t>,0</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71D047EE" w14:textId="1A42E69C" w:rsidR="006607B1" w:rsidRPr="00A97FB6" w:rsidRDefault="00FF1D6C" w:rsidP="00143EE4">
            <w:pPr>
              <w:jc w:val="right"/>
              <w:rPr>
                <w:rFonts w:ascii="Arial" w:hAnsi="Arial" w:cs="Arial"/>
                <w:b/>
                <w:bCs/>
                <w:sz w:val="20"/>
                <w:lang w:val="es-419" w:eastAsia="es-419"/>
              </w:rPr>
            </w:pPr>
            <w:r>
              <w:rPr>
                <w:rFonts w:ascii="Arial" w:hAnsi="Arial" w:cs="Arial"/>
                <w:b/>
                <w:bCs/>
                <w:sz w:val="20"/>
                <w:lang w:val="es-419" w:eastAsia="es-419"/>
              </w:rPr>
              <w:t>0,0</w:t>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5E6479DC" w14:textId="72FA323C" w:rsidR="006607B1" w:rsidRPr="00A97FB6" w:rsidRDefault="00744961" w:rsidP="00143EE4">
            <w:pPr>
              <w:jc w:val="right"/>
              <w:rPr>
                <w:rFonts w:ascii="Arial" w:hAnsi="Arial" w:cs="Arial"/>
                <w:b/>
                <w:bCs/>
                <w:sz w:val="20"/>
                <w:lang w:val="es-419" w:eastAsia="es-419"/>
              </w:rPr>
            </w:pPr>
            <w:r w:rsidRPr="00A97FB6">
              <w:rPr>
                <w:rFonts w:ascii="Arial" w:hAnsi="Arial" w:cs="Arial"/>
                <w:b/>
                <w:bCs/>
                <w:sz w:val="20"/>
                <w:lang w:val="es-419" w:eastAsia="es-419"/>
              </w:rPr>
              <w:t>0,0</w:t>
            </w:r>
          </w:p>
        </w:tc>
        <w:tc>
          <w:tcPr>
            <w:tcW w:w="801" w:type="dxa"/>
            <w:tcBorders>
              <w:top w:val="single" w:sz="4" w:space="0" w:color="auto"/>
              <w:left w:val="nil"/>
              <w:bottom w:val="single" w:sz="4" w:space="0" w:color="auto"/>
              <w:right w:val="single" w:sz="4" w:space="0" w:color="auto"/>
            </w:tcBorders>
            <w:shd w:val="clear" w:color="auto" w:fill="auto"/>
            <w:vAlign w:val="center"/>
          </w:tcPr>
          <w:p w14:paraId="4FA3C543" w14:textId="6FF635E9" w:rsidR="006607B1" w:rsidRPr="00A97FB6" w:rsidRDefault="00436897" w:rsidP="00143EE4">
            <w:pPr>
              <w:jc w:val="right"/>
              <w:rPr>
                <w:rFonts w:ascii="Arial" w:hAnsi="Arial" w:cs="Arial"/>
                <w:b/>
                <w:bCs/>
                <w:sz w:val="20"/>
                <w:lang w:val="es-419" w:eastAsia="es-419"/>
              </w:rPr>
            </w:pPr>
            <w:r>
              <w:rPr>
                <w:rFonts w:ascii="Arial" w:hAnsi="Arial" w:cs="Arial"/>
                <w:b/>
                <w:bCs/>
                <w:sz w:val="20"/>
                <w:lang w:val="es-419" w:eastAsia="es-419"/>
              </w:rPr>
              <w:t>0,0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8D37B19" w14:textId="01E0314E" w:rsidR="006607B1" w:rsidRPr="00A97FB6" w:rsidRDefault="00BC2499" w:rsidP="00143EE4">
            <w:pPr>
              <w:jc w:val="right"/>
              <w:rPr>
                <w:rFonts w:ascii="Arial" w:hAnsi="Arial" w:cs="Arial"/>
                <w:b/>
                <w:bCs/>
                <w:sz w:val="20"/>
                <w:lang w:val="es-419" w:eastAsia="es-419"/>
              </w:rPr>
            </w:pPr>
            <w:r>
              <w:rPr>
                <w:rFonts w:ascii="Arial" w:hAnsi="Arial" w:cs="Arial"/>
                <w:b/>
                <w:bCs/>
                <w:sz w:val="20"/>
                <w:lang w:val="es-419" w:eastAsia="es-419"/>
              </w:rPr>
              <w:t>0,0</w:t>
            </w:r>
          </w:p>
        </w:tc>
        <w:tc>
          <w:tcPr>
            <w:tcW w:w="769" w:type="dxa"/>
            <w:tcBorders>
              <w:top w:val="single" w:sz="4" w:space="0" w:color="auto"/>
              <w:left w:val="nil"/>
              <w:bottom w:val="single" w:sz="4" w:space="0" w:color="auto"/>
              <w:right w:val="single" w:sz="4" w:space="0" w:color="auto"/>
            </w:tcBorders>
            <w:shd w:val="clear" w:color="auto" w:fill="auto"/>
            <w:vAlign w:val="center"/>
          </w:tcPr>
          <w:p w14:paraId="44264D2B" w14:textId="67871AB5" w:rsidR="006607B1" w:rsidRPr="00A97FB6" w:rsidRDefault="00DD3352" w:rsidP="00143EE4">
            <w:pPr>
              <w:jc w:val="right"/>
              <w:rPr>
                <w:rFonts w:ascii="Arial" w:hAnsi="Arial" w:cs="Arial"/>
                <w:b/>
                <w:bCs/>
                <w:sz w:val="20"/>
                <w:lang w:val="es-419" w:eastAsia="es-419"/>
              </w:rPr>
            </w:pPr>
            <w:r>
              <w:rPr>
                <w:rFonts w:ascii="Arial" w:hAnsi="Arial" w:cs="Arial"/>
                <w:b/>
                <w:bCs/>
                <w:sz w:val="20"/>
                <w:lang w:val="es-419" w:eastAsia="es-419"/>
              </w:rPr>
              <w:t>0,0</w:t>
            </w:r>
          </w:p>
        </w:tc>
      </w:tr>
      <w:tr w:rsidR="000A0F15" w:rsidRPr="000B1C7E" w14:paraId="076BCF74" w14:textId="77777777" w:rsidTr="00A97FB6">
        <w:trPr>
          <w:trHeight w:val="467"/>
        </w:trPr>
        <w:tc>
          <w:tcPr>
            <w:tcW w:w="2785" w:type="dxa"/>
            <w:tcBorders>
              <w:top w:val="nil"/>
              <w:left w:val="single" w:sz="4" w:space="0" w:color="auto"/>
              <w:bottom w:val="single" w:sz="4" w:space="0" w:color="auto"/>
              <w:right w:val="single" w:sz="4" w:space="0" w:color="auto"/>
            </w:tcBorders>
            <w:shd w:val="clear" w:color="000000" w:fill="D9D9D9"/>
            <w:noWrap/>
            <w:vAlign w:val="center"/>
            <w:hideMark/>
          </w:tcPr>
          <w:p w14:paraId="7001B1AE" w14:textId="57F2A5F3" w:rsidR="000A0F15" w:rsidRPr="000B1C7E" w:rsidRDefault="000A0F15" w:rsidP="000A0F15">
            <w:pPr>
              <w:rPr>
                <w:rFonts w:ascii="Arial" w:hAnsi="Arial" w:cs="Arial"/>
                <w:b/>
                <w:bCs/>
                <w:sz w:val="20"/>
                <w:lang w:val="es-419" w:eastAsia="es-419"/>
              </w:rPr>
            </w:pPr>
            <w:r w:rsidRPr="000B1C7E">
              <w:rPr>
                <w:rFonts w:ascii="Arial" w:hAnsi="Arial" w:cs="Arial"/>
                <w:b/>
                <w:bCs/>
                <w:sz w:val="20"/>
                <w:lang w:val="es-419" w:eastAsia="es-419"/>
              </w:rPr>
              <w:t>Total</w:t>
            </w:r>
            <w:r>
              <w:rPr>
                <w:rFonts w:ascii="Arial" w:hAnsi="Arial" w:cs="Arial"/>
                <w:b/>
                <w:bCs/>
                <w:sz w:val="20"/>
                <w:lang w:val="es-419" w:eastAsia="es-419"/>
              </w:rPr>
              <w:t xml:space="preserve"> del proyecto en ejecución</w:t>
            </w:r>
          </w:p>
        </w:tc>
        <w:tc>
          <w:tcPr>
            <w:tcW w:w="919" w:type="dxa"/>
            <w:tcBorders>
              <w:top w:val="single" w:sz="4" w:space="0" w:color="auto"/>
              <w:left w:val="nil"/>
              <w:bottom w:val="single" w:sz="4" w:space="0" w:color="auto"/>
              <w:right w:val="single" w:sz="4" w:space="0" w:color="auto"/>
            </w:tcBorders>
            <w:shd w:val="clear" w:color="000000" w:fill="D9D9D9"/>
            <w:vAlign w:val="center"/>
          </w:tcPr>
          <w:p w14:paraId="2F971A65" w14:textId="55CA26C9" w:rsidR="000A0F15" w:rsidRDefault="000A0F15" w:rsidP="000A0F15">
            <w:pPr>
              <w:jc w:val="right"/>
              <w:rPr>
                <w:rFonts w:ascii="Arial" w:hAnsi="Arial" w:cs="Arial"/>
                <w:b/>
                <w:bCs/>
                <w:sz w:val="20"/>
                <w:lang w:val="es-419" w:eastAsia="es-419"/>
              </w:rPr>
            </w:pPr>
            <w:r>
              <w:rPr>
                <w:rFonts w:ascii="Arial" w:hAnsi="Arial" w:cs="Arial"/>
                <w:b/>
                <w:bCs/>
                <w:sz w:val="20"/>
                <w:lang w:val="es-419" w:eastAsia="es-419"/>
              </w:rPr>
              <w:t>24,0</w:t>
            </w:r>
          </w:p>
        </w:tc>
        <w:tc>
          <w:tcPr>
            <w:tcW w:w="718" w:type="dxa"/>
            <w:tcBorders>
              <w:top w:val="single" w:sz="4" w:space="0" w:color="auto"/>
              <w:left w:val="nil"/>
              <w:bottom w:val="single" w:sz="4" w:space="0" w:color="auto"/>
              <w:right w:val="single" w:sz="4" w:space="0" w:color="auto"/>
            </w:tcBorders>
            <w:shd w:val="clear" w:color="000000" w:fill="D9D9D9"/>
            <w:vAlign w:val="center"/>
          </w:tcPr>
          <w:p w14:paraId="05E3BECB" w14:textId="22548201" w:rsidR="000A0F15" w:rsidRDefault="0074413E" w:rsidP="000A0F15">
            <w:pPr>
              <w:jc w:val="right"/>
              <w:rPr>
                <w:rFonts w:ascii="Arial" w:hAnsi="Arial" w:cs="Arial"/>
                <w:b/>
                <w:bCs/>
                <w:sz w:val="20"/>
                <w:lang w:val="es-419" w:eastAsia="es-419"/>
              </w:rPr>
            </w:pPr>
            <w:r>
              <w:rPr>
                <w:rFonts w:ascii="Arial" w:hAnsi="Arial" w:cs="Arial"/>
                <w:b/>
                <w:bCs/>
                <w:sz w:val="20"/>
                <w:lang w:val="es-419" w:eastAsia="es-419"/>
              </w:rPr>
              <w:t>13,4</w:t>
            </w:r>
          </w:p>
        </w:tc>
        <w:tc>
          <w:tcPr>
            <w:tcW w:w="882" w:type="dxa"/>
            <w:tcBorders>
              <w:top w:val="nil"/>
              <w:left w:val="single" w:sz="4" w:space="0" w:color="auto"/>
              <w:bottom w:val="single" w:sz="4" w:space="0" w:color="auto"/>
              <w:right w:val="single" w:sz="4" w:space="0" w:color="auto"/>
            </w:tcBorders>
            <w:shd w:val="clear" w:color="000000" w:fill="D9D9D9"/>
            <w:noWrap/>
            <w:vAlign w:val="center"/>
          </w:tcPr>
          <w:p w14:paraId="1B784F3E" w14:textId="302AD0B5" w:rsidR="000A0F15" w:rsidRPr="000B1C7E" w:rsidRDefault="00AA68A7" w:rsidP="000A0F15">
            <w:pPr>
              <w:jc w:val="right"/>
              <w:rPr>
                <w:rFonts w:ascii="Arial" w:hAnsi="Arial" w:cs="Arial"/>
                <w:b/>
                <w:bCs/>
                <w:sz w:val="20"/>
                <w:lang w:val="es-419" w:eastAsia="es-419"/>
              </w:rPr>
            </w:pPr>
            <w:r>
              <w:rPr>
                <w:rFonts w:ascii="Arial" w:hAnsi="Arial" w:cs="Arial"/>
                <w:b/>
                <w:bCs/>
                <w:sz w:val="20"/>
                <w:lang w:val="es-419" w:eastAsia="es-419"/>
              </w:rPr>
              <w:t>8</w:t>
            </w:r>
            <w:r w:rsidR="000A0F15">
              <w:rPr>
                <w:rFonts w:ascii="Arial" w:hAnsi="Arial" w:cs="Arial"/>
                <w:b/>
                <w:bCs/>
                <w:sz w:val="20"/>
                <w:lang w:val="es-419" w:eastAsia="es-419"/>
              </w:rPr>
              <w:t>,</w:t>
            </w:r>
            <w:r w:rsidR="00DE21E0">
              <w:rPr>
                <w:rFonts w:ascii="Arial" w:hAnsi="Arial" w:cs="Arial"/>
                <w:b/>
                <w:bCs/>
                <w:sz w:val="20"/>
                <w:lang w:val="es-419" w:eastAsia="es-419"/>
              </w:rPr>
              <w:t>1</w:t>
            </w:r>
          </w:p>
        </w:tc>
        <w:tc>
          <w:tcPr>
            <w:tcW w:w="821" w:type="dxa"/>
            <w:tcBorders>
              <w:top w:val="nil"/>
              <w:left w:val="single" w:sz="4" w:space="0" w:color="auto"/>
              <w:bottom w:val="single" w:sz="4" w:space="0" w:color="auto"/>
              <w:right w:val="single" w:sz="4" w:space="0" w:color="auto"/>
            </w:tcBorders>
            <w:shd w:val="clear" w:color="000000" w:fill="D9D9D9"/>
            <w:vAlign w:val="center"/>
          </w:tcPr>
          <w:p w14:paraId="0C0A5D6B" w14:textId="010C4917" w:rsidR="000A0F15" w:rsidRPr="000B1C7E" w:rsidRDefault="002D1D8D" w:rsidP="000A0F15">
            <w:pPr>
              <w:jc w:val="right"/>
              <w:rPr>
                <w:rFonts w:ascii="Arial" w:hAnsi="Arial" w:cs="Arial"/>
                <w:b/>
                <w:bCs/>
                <w:sz w:val="20"/>
                <w:lang w:val="es-419" w:eastAsia="es-419"/>
              </w:rPr>
            </w:pPr>
            <w:r>
              <w:rPr>
                <w:rFonts w:ascii="Arial" w:hAnsi="Arial" w:cs="Arial"/>
                <w:b/>
                <w:bCs/>
                <w:sz w:val="20"/>
                <w:lang w:val="es-419" w:eastAsia="es-419"/>
              </w:rPr>
              <w:t>1</w:t>
            </w:r>
            <w:r w:rsidR="000A0F15">
              <w:rPr>
                <w:rFonts w:ascii="Arial" w:hAnsi="Arial" w:cs="Arial"/>
                <w:b/>
                <w:bCs/>
                <w:sz w:val="20"/>
                <w:lang w:val="es-419" w:eastAsia="es-419"/>
              </w:rPr>
              <w:t>,</w:t>
            </w:r>
            <w:r>
              <w:rPr>
                <w:rFonts w:ascii="Arial" w:hAnsi="Arial" w:cs="Arial"/>
                <w:b/>
                <w:bCs/>
                <w:sz w:val="20"/>
                <w:lang w:val="es-419" w:eastAsia="es-419"/>
              </w:rPr>
              <w:t>1</w:t>
            </w:r>
          </w:p>
        </w:tc>
        <w:tc>
          <w:tcPr>
            <w:tcW w:w="855" w:type="dxa"/>
            <w:tcBorders>
              <w:top w:val="nil"/>
              <w:left w:val="nil"/>
              <w:bottom w:val="single" w:sz="4" w:space="0" w:color="auto"/>
              <w:right w:val="single" w:sz="4" w:space="0" w:color="auto"/>
            </w:tcBorders>
            <w:shd w:val="clear" w:color="000000" w:fill="D9D9D9"/>
            <w:noWrap/>
            <w:vAlign w:val="center"/>
          </w:tcPr>
          <w:p w14:paraId="7316D4E9" w14:textId="304F07D9" w:rsidR="000A0F15" w:rsidRPr="000B1C7E" w:rsidRDefault="004E4037" w:rsidP="000A0F15">
            <w:pPr>
              <w:jc w:val="right"/>
              <w:rPr>
                <w:rFonts w:ascii="Arial" w:hAnsi="Arial" w:cs="Arial"/>
                <w:b/>
                <w:bCs/>
                <w:sz w:val="20"/>
                <w:lang w:val="es-419" w:eastAsia="es-419"/>
              </w:rPr>
            </w:pPr>
            <w:r>
              <w:rPr>
                <w:rFonts w:ascii="Arial" w:hAnsi="Arial" w:cs="Arial"/>
                <w:b/>
                <w:bCs/>
                <w:sz w:val="20"/>
                <w:lang w:val="es-419" w:eastAsia="es-419"/>
              </w:rPr>
              <w:t>4</w:t>
            </w:r>
            <w:r w:rsidR="000A0F15">
              <w:rPr>
                <w:rFonts w:ascii="Arial" w:hAnsi="Arial" w:cs="Arial"/>
                <w:b/>
                <w:bCs/>
                <w:sz w:val="20"/>
                <w:lang w:val="es-419" w:eastAsia="es-419"/>
              </w:rPr>
              <w:t>,</w:t>
            </w:r>
            <w:r>
              <w:rPr>
                <w:rFonts w:ascii="Arial" w:hAnsi="Arial" w:cs="Arial"/>
                <w:b/>
                <w:bCs/>
                <w:sz w:val="20"/>
                <w:lang w:val="es-419" w:eastAsia="es-419"/>
              </w:rPr>
              <w:t>1</w:t>
            </w:r>
          </w:p>
        </w:tc>
        <w:tc>
          <w:tcPr>
            <w:tcW w:w="801" w:type="dxa"/>
            <w:tcBorders>
              <w:top w:val="nil"/>
              <w:left w:val="nil"/>
              <w:bottom w:val="single" w:sz="4" w:space="0" w:color="auto"/>
              <w:right w:val="single" w:sz="4" w:space="0" w:color="auto"/>
            </w:tcBorders>
            <w:shd w:val="clear" w:color="000000" w:fill="D9D9D9"/>
            <w:vAlign w:val="center"/>
          </w:tcPr>
          <w:p w14:paraId="04AE996E" w14:textId="62ECDA02" w:rsidR="000A0F15" w:rsidRPr="000B1C7E" w:rsidRDefault="00436897" w:rsidP="000A0F15">
            <w:pPr>
              <w:jc w:val="right"/>
              <w:rPr>
                <w:rFonts w:ascii="Arial" w:hAnsi="Arial" w:cs="Arial"/>
                <w:b/>
                <w:bCs/>
                <w:sz w:val="20"/>
                <w:lang w:val="es-419" w:eastAsia="es-419"/>
              </w:rPr>
            </w:pPr>
            <w:r>
              <w:rPr>
                <w:rFonts w:ascii="Arial" w:hAnsi="Arial" w:cs="Arial"/>
                <w:b/>
                <w:bCs/>
                <w:sz w:val="20"/>
                <w:lang w:val="es-419" w:eastAsia="es-419"/>
              </w:rPr>
              <w:t>1,1</w:t>
            </w:r>
          </w:p>
        </w:tc>
        <w:tc>
          <w:tcPr>
            <w:tcW w:w="810" w:type="dxa"/>
            <w:tcBorders>
              <w:top w:val="nil"/>
              <w:left w:val="nil"/>
              <w:bottom w:val="single" w:sz="4" w:space="0" w:color="auto"/>
              <w:right w:val="single" w:sz="4" w:space="0" w:color="auto"/>
            </w:tcBorders>
            <w:shd w:val="clear" w:color="000000" w:fill="D9D9D9"/>
            <w:noWrap/>
            <w:vAlign w:val="center"/>
          </w:tcPr>
          <w:p w14:paraId="34CF8301" w14:textId="33747830" w:rsidR="000A0F15" w:rsidRPr="000B1C7E" w:rsidRDefault="0026411E" w:rsidP="000A0F15">
            <w:pPr>
              <w:jc w:val="right"/>
              <w:rPr>
                <w:rFonts w:ascii="Arial" w:hAnsi="Arial" w:cs="Arial"/>
                <w:b/>
                <w:bCs/>
                <w:sz w:val="20"/>
                <w:lang w:val="es-419" w:eastAsia="es-419"/>
              </w:rPr>
            </w:pPr>
            <w:r w:rsidRPr="00A97FB6">
              <w:rPr>
                <w:rFonts w:ascii="Arial" w:hAnsi="Arial" w:cs="Arial"/>
                <w:b/>
                <w:bCs/>
                <w:sz w:val="20"/>
                <w:lang w:val="es-419" w:eastAsia="es-419"/>
              </w:rPr>
              <w:t>-4</w:t>
            </w:r>
            <w:r w:rsidR="000A0F15" w:rsidRPr="004D291D">
              <w:rPr>
                <w:rFonts w:ascii="Arial" w:hAnsi="Arial" w:cs="Arial"/>
                <w:b/>
                <w:bCs/>
                <w:sz w:val="20"/>
                <w:lang w:val="es-419" w:eastAsia="es-419"/>
              </w:rPr>
              <w:t>,</w:t>
            </w:r>
            <w:r w:rsidR="000A0F15" w:rsidRPr="00756562">
              <w:rPr>
                <w:rFonts w:ascii="Arial" w:hAnsi="Arial" w:cs="Arial"/>
                <w:b/>
                <w:bCs/>
                <w:sz w:val="20"/>
                <w:lang w:val="es-419" w:eastAsia="es-419"/>
              </w:rPr>
              <w:t>0</w:t>
            </w:r>
          </w:p>
        </w:tc>
        <w:tc>
          <w:tcPr>
            <w:tcW w:w="769" w:type="dxa"/>
            <w:tcBorders>
              <w:top w:val="nil"/>
              <w:left w:val="nil"/>
              <w:bottom w:val="single" w:sz="4" w:space="0" w:color="auto"/>
              <w:right w:val="single" w:sz="4" w:space="0" w:color="auto"/>
            </w:tcBorders>
            <w:shd w:val="clear" w:color="000000" w:fill="D9D9D9"/>
            <w:vAlign w:val="center"/>
          </w:tcPr>
          <w:p w14:paraId="3940D658" w14:textId="22A6910F" w:rsidR="000A0F15" w:rsidRPr="000B1C7E" w:rsidRDefault="000A0F15" w:rsidP="000A0F15">
            <w:pPr>
              <w:jc w:val="right"/>
              <w:rPr>
                <w:rFonts w:ascii="Arial" w:hAnsi="Arial" w:cs="Arial"/>
                <w:b/>
                <w:bCs/>
                <w:sz w:val="20"/>
                <w:lang w:val="es-419" w:eastAsia="es-419"/>
              </w:rPr>
            </w:pPr>
            <w:r>
              <w:rPr>
                <w:rFonts w:ascii="Arial" w:hAnsi="Arial" w:cs="Arial"/>
                <w:b/>
                <w:bCs/>
                <w:sz w:val="20"/>
                <w:lang w:val="es-419" w:eastAsia="es-419"/>
              </w:rPr>
              <w:t>0,0</w:t>
            </w:r>
          </w:p>
        </w:tc>
      </w:tr>
    </w:tbl>
    <w:p w14:paraId="28C5235C" w14:textId="1880F0F7" w:rsidR="001E1A0C" w:rsidRDefault="001E1A0C" w:rsidP="00716632">
      <w:pPr>
        <w:pStyle w:val="ListParagraph"/>
        <w:keepNext/>
        <w:tabs>
          <w:tab w:val="left" w:pos="720"/>
        </w:tabs>
        <w:spacing w:before="120" w:after="120" w:line="257" w:lineRule="auto"/>
        <w:ind w:left="792"/>
        <w:jc w:val="both"/>
        <w:rPr>
          <w:rFonts w:ascii="Arial" w:hAnsi="Arial" w:cs="Arial"/>
          <w:sz w:val="22"/>
          <w:szCs w:val="22"/>
          <w:lang w:val="es-ES"/>
        </w:rPr>
      </w:pPr>
    </w:p>
    <w:p w14:paraId="0F4615DA" w14:textId="300D703F" w:rsidR="00835BE7" w:rsidRPr="00CF6C80" w:rsidRDefault="00A21DCC" w:rsidP="00B7706B">
      <w:pPr>
        <w:pStyle w:val="Paragraph"/>
        <w:numPr>
          <w:ilvl w:val="1"/>
          <w:numId w:val="3"/>
        </w:numPr>
        <w:ind w:left="720" w:hanging="630"/>
        <w:rPr>
          <w:rFonts w:ascii="Arial" w:hAnsi="Arial" w:cs="Arial"/>
          <w:b/>
          <w:sz w:val="22"/>
          <w:szCs w:val="22"/>
          <w:lang w:val="es-MX"/>
        </w:rPr>
      </w:pPr>
      <w:r>
        <w:rPr>
          <w:rFonts w:ascii="Arial" w:hAnsi="Arial" w:cs="Arial"/>
          <w:b/>
          <w:bCs/>
          <w:iCs/>
          <w:sz w:val="22"/>
          <w:szCs w:val="22"/>
        </w:rPr>
        <w:t xml:space="preserve">Cambios propuestos </w:t>
      </w:r>
      <w:r w:rsidR="006F29CB">
        <w:rPr>
          <w:rFonts w:ascii="Arial" w:hAnsi="Arial" w:cs="Arial"/>
          <w:b/>
          <w:bCs/>
          <w:iCs/>
          <w:sz w:val="22"/>
          <w:szCs w:val="22"/>
        </w:rPr>
        <w:t>a la matriz de resultados</w:t>
      </w:r>
      <w:r w:rsidR="00153A63">
        <w:rPr>
          <w:rFonts w:ascii="Arial" w:hAnsi="Arial" w:cs="Arial"/>
          <w:b/>
          <w:bCs/>
          <w:iCs/>
          <w:sz w:val="22"/>
          <w:szCs w:val="22"/>
        </w:rPr>
        <w:t xml:space="preserve"> para el proyecto en ejecución.</w:t>
      </w:r>
      <w:r w:rsidR="00CF6C80" w:rsidRPr="00A21DCC">
        <w:rPr>
          <w:rFonts w:ascii="Arial" w:hAnsi="Arial" w:cs="Arial"/>
          <w:iCs/>
          <w:sz w:val="22"/>
          <w:szCs w:val="22"/>
        </w:rPr>
        <w:t xml:space="preserve"> </w:t>
      </w:r>
      <w:bookmarkEnd w:id="1"/>
      <w:r>
        <w:rPr>
          <w:rFonts w:ascii="Arial" w:hAnsi="Arial" w:cs="Arial"/>
          <w:iCs/>
          <w:sz w:val="22"/>
          <w:szCs w:val="22"/>
        </w:rPr>
        <w:t xml:space="preserve">La reorientación de los recursos no implicará cambios a: (i) </w:t>
      </w:r>
      <w:r w:rsidR="006F29CB">
        <w:rPr>
          <w:rFonts w:ascii="Arial" w:hAnsi="Arial" w:cs="Arial"/>
          <w:bCs/>
          <w:sz w:val="22"/>
          <w:szCs w:val="22"/>
          <w:lang w:val="es-MX"/>
        </w:rPr>
        <w:t>los impactos</w:t>
      </w:r>
      <w:r>
        <w:rPr>
          <w:rFonts w:ascii="Arial" w:hAnsi="Arial" w:cs="Arial"/>
          <w:bCs/>
          <w:sz w:val="22"/>
          <w:szCs w:val="22"/>
          <w:lang w:val="es-MX"/>
        </w:rPr>
        <w:t xml:space="preserve">; (ii) los </w:t>
      </w:r>
      <w:r w:rsidR="006F29CB">
        <w:rPr>
          <w:rFonts w:ascii="Arial" w:hAnsi="Arial" w:cs="Arial"/>
          <w:bCs/>
          <w:sz w:val="22"/>
          <w:szCs w:val="22"/>
          <w:lang w:val="es-MX"/>
        </w:rPr>
        <w:t>resultados</w:t>
      </w:r>
      <w:r w:rsidR="00D029C8">
        <w:rPr>
          <w:rFonts w:ascii="Arial" w:hAnsi="Arial" w:cs="Arial"/>
          <w:bCs/>
          <w:sz w:val="22"/>
          <w:szCs w:val="22"/>
          <w:lang w:val="es-MX"/>
        </w:rPr>
        <w:t xml:space="preserve">. Los </w:t>
      </w:r>
      <w:r w:rsidR="006F29CB">
        <w:rPr>
          <w:rFonts w:ascii="Arial" w:hAnsi="Arial" w:cs="Arial"/>
          <w:bCs/>
          <w:sz w:val="22"/>
          <w:szCs w:val="22"/>
          <w:lang w:val="es-MX"/>
        </w:rPr>
        <w:t>productos</w:t>
      </w:r>
      <w:r w:rsidR="003926B3">
        <w:rPr>
          <w:rFonts w:ascii="Arial" w:hAnsi="Arial" w:cs="Arial"/>
          <w:bCs/>
          <w:sz w:val="22"/>
          <w:szCs w:val="22"/>
          <w:lang w:val="es-MX"/>
        </w:rPr>
        <w:t>, si bien han sido prácticamente alcanzados en casi todas sus metas</w:t>
      </w:r>
      <w:r w:rsidR="00EF5D8B">
        <w:rPr>
          <w:rStyle w:val="FootnoteReference"/>
          <w:rFonts w:ascii="Arial" w:hAnsi="Arial" w:cs="Arial"/>
          <w:bCs/>
          <w:sz w:val="22"/>
          <w:szCs w:val="22"/>
          <w:lang w:val="es-MX"/>
        </w:rPr>
        <w:footnoteReference w:id="5"/>
      </w:r>
      <w:r w:rsidR="003926B3">
        <w:rPr>
          <w:rFonts w:ascii="Arial" w:hAnsi="Arial" w:cs="Arial"/>
          <w:bCs/>
          <w:sz w:val="22"/>
          <w:szCs w:val="22"/>
          <w:lang w:val="es-MX"/>
        </w:rPr>
        <w:t xml:space="preserve">, serán revisados en un taller </w:t>
      </w:r>
      <w:r w:rsidR="00435468">
        <w:rPr>
          <w:rFonts w:ascii="Arial" w:hAnsi="Arial" w:cs="Arial"/>
          <w:bCs/>
          <w:sz w:val="22"/>
          <w:szCs w:val="22"/>
          <w:lang w:val="es-MX"/>
        </w:rPr>
        <w:t>de planificación</w:t>
      </w:r>
      <w:r w:rsidR="007D41B6">
        <w:rPr>
          <w:rFonts w:ascii="Arial" w:hAnsi="Arial" w:cs="Arial"/>
          <w:bCs/>
          <w:sz w:val="22"/>
          <w:szCs w:val="22"/>
          <w:lang w:val="es-MX"/>
        </w:rPr>
        <w:t xml:space="preserve"> a realizarse en el mes </w:t>
      </w:r>
      <w:r w:rsidR="00BB6A4F">
        <w:rPr>
          <w:rFonts w:ascii="Arial" w:hAnsi="Arial" w:cs="Arial"/>
          <w:bCs/>
          <w:sz w:val="22"/>
          <w:szCs w:val="22"/>
          <w:lang w:val="es-MX"/>
        </w:rPr>
        <w:t>de</w:t>
      </w:r>
      <w:r w:rsidR="00154428">
        <w:rPr>
          <w:rFonts w:ascii="Arial" w:hAnsi="Arial" w:cs="Arial"/>
          <w:bCs/>
          <w:sz w:val="22"/>
          <w:szCs w:val="22"/>
          <w:lang w:val="es-MX"/>
        </w:rPr>
        <w:t xml:space="preserve"> junio </w:t>
      </w:r>
      <w:r w:rsidR="00BB6A4F">
        <w:rPr>
          <w:rFonts w:ascii="Arial" w:hAnsi="Arial" w:cs="Arial"/>
          <w:bCs/>
          <w:sz w:val="22"/>
          <w:szCs w:val="22"/>
          <w:lang w:val="es-MX"/>
        </w:rPr>
        <w:t>de 2020</w:t>
      </w:r>
      <w:r w:rsidR="00435468">
        <w:rPr>
          <w:rFonts w:ascii="Arial" w:hAnsi="Arial" w:cs="Arial"/>
          <w:bCs/>
          <w:sz w:val="22"/>
          <w:szCs w:val="22"/>
          <w:lang w:val="es-MX"/>
        </w:rPr>
        <w:t xml:space="preserve">. </w:t>
      </w:r>
      <w:r w:rsidR="007E4917">
        <w:rPr>
          <w:rFonts w:ascii="Arial" w:hAnsi="Arial" w:cs="Arial"/>
          <w:bCs/>
          <w:sz w:val="22"/>
          <w:szCs w:val="22"/>
          <w:lang w:val="es-MX"/>
        </w:rPr>
        <w:t>S</w:t>
      </w:r>
      <w:r w:rsidR="00E03D42">
        <w:rPr>
          <w:rFonts w:ascii="Arial" w:hAnsi="Arial" w:cs="Arial"/>
          <w:bCs/>
          <w:sz w:val="22"/>
          <w:szCs w:val="22"/>
          <w:lang w:val="es-MX"/>
        </w:rPr>
        <w:t xml:space="preserve">e registró un cambio </w:t>
      </w:r>
      <w:r w:rsidR="003E28DB">
        <w:rPr>
          <w:rFonts w:ascii="Arial" w:hAnsi="Arial" w:cs="Arial"/>
          <w:bCs/>
          <w:sz w:val="22"/>
          <w:szCs w:val="22"/>
          <w:lang w:val="es-MX"/>
        </w:rPr>
        <w:t xml:space="preserve">en la matriz </w:t>
      </w:r>
      <w:r w:rsidR="002C65B1">
        <w:rPr>
          <w:rFonts w:ascii="Arial" w:hAnsi="Arial" w:cs="Arial"/>
          <w:bCs/>
          <w:sz w:val="22"/>
          <w:szCs w:val="22"/>
          <w:lang w:val="es-MX"/>
        </w:rPr>
        <w:t xml:space="preserve">a nivel </w:t>
      </w:r>
      <w:r w:rsidR="003E28DB">
        <w:rPr>
          <w:rFonts w:ascii="Arial" w:hAnsi="Arial" w:cs="Arial"/>
          <w:bCs/>
          <w:sz w:val="22"/>
          <w:szCs w:val="22"/>
          <w:lang w:val="es-MX"/>
        </w:rPr>
        <w:t>productos en 2018: se incluyó un nuevo indicador “</w:t>
      </w:r>
      <w:r w:rsidR="007E4917">
        <w:rPr>
          <w:rFonts w:ascii="Arial" w:hAnsi="Arial" w:cs="Arial"/>
          <w:bCs/>
          <w:sz w:val="22"/>
          <w:szCs w:val="22"/>
          <w:lang w:val="es-MX"/>
        </w:rPr>
        <w:t>C</w:t>
      </w:r>
      <w:r w:rsidR="003E28DB">
        <w:rPr>
          <w:rFonts w:ascii="Arial" w:hAnsi="Arial" w:cs="Arial"/>
          <w:bCs/>
          <w:sz w:val="22"/>
          <w:szCs w:val="22"/>
          <w:lang w:val="es-MX"/>
        </w:rPr>
        <w:t xml:space="preserve">ursos cortos de especialización”. </w:t>
      </w:r>
    </w:p>
    <w:p w14:paraId="3E30030B" w14:textId="77777777" w:rsidR="00F93785" w:rsidRPr="00035964" w:rsidRDefault="00F93785" w:rsidP="00433369">
      <w:pPr>
        <w:pStyle w:val="ListParagraph"/>
        <w:keepNext/>
        <w:keepLines/>
        <w:spacing w:after="160" w:line="252" w:lineRule="auto"/>
        <w:rPr>
          <w:rFonts w:ascii="Arial" w:hAnsi="Arial" w:cs="Arial"/>
          <w:sz w:val="22"/>
          <w:szCs w:val="22"/>
          <w:lang w:val="es-MX"/>
        </w:rPr>
      </w:pPr>
    </w:p>
    <w:p w14:paraId="65A0F59A" w14:textId="2E0FE139" w:rsidR="00CE4B69" w:rsidRPr="00035964" w:rsidRDefault="00CE4B69" w:rsidP="00B7706B">
      <w:pPr>
        <w:pStyle w:val="ListParagraph"/>
        <w:numPr>
          <w:ilvl w:val="0"/>
          <w:numId w:val="3"/>
        </w:numPr>
        <w:spacing w:after="160" w:line="252" w:lineRule="auto"/>
        <w:rPr>
          <w:rFonts w:ascii="Arial" w:hAnsi="Arial" w:cs="Arial"/>
          <w:b/>
          <w:sz w:val="22"/>
          <w:szCs w:val="22"/>
          <w:lang w:val="es-MX"/>
        </w:rPr>
      </w:pPr>
      <w:r w:rsidRPr="00035964">
        <w:rPr>
          <w:rFonts w:ascii="Arial" w:hAnsi="Arial" w:cs="Arial"/>
          <w:b/>
          <w:sz w:val="22"/>
          <w:szCs w:val="22"/>
          <w:lang w:val="es-MX"/>
        </w:rPr>
        <w:t>Riesgos ambientales y sociales</w:t>
      </w:r>
      <w:r w:rsidR="00153A63">
        <w:rPr>
          <w:rFonts w:ascii="Arial" w:hAnsi="Arial" w:cs="Arial"/>
          <w:b/>
          <w:sz w:val="22"/>
          <w:szCs w:val="22"/>
          <w:lang w:val="es-MX"/>
        </w:rPr>
        <w:t xml:space="preserve"> para el proyecto en ejecución</w:t>
      </w:r>
    </w:p>
    <w:p w14:paraId="1CB64B3E" w14:textId="4C0451BF" w:rsidR="00CE4B69" w:rsidRPr="00035964" w:rsidRDefault="00CE4B69" w:rsidP="00CE4B69">
      <w:pPr>
        <w:pStyle w:val="ListParagraph"/>
        <w:ind w:left="360"/>
        <w:rPr>
          <w:rFonts w:ascii="Arial" w:hAnsi="Arial" w:cs="Arial"/>
          <w:b/>
          <w:sz w:val="22"/>
          <w:szCs w:val="22"/>
          <w:lang w:val="es-MX"/>
        </w:rPr>
      </w:pPr>
    </w:p>
    <w:p w14:paraId="589071DB" w14:textId="0F09CFFB" w:rsidR="00EA181A" w:rsidRPr="00EA181A" w:rsidRDefault="006E7E58" w:rsidP="00B7706B">
      <w:pPr>
        <w:pStyle w:val="Paragraph"/>
        <w:numPr>
          <w:ilvl w:val="1"/>
          <w:numId w:val="3"/>
        </w:numPr>
        <w:ind w:left="720" w:hanging="630"/>
        <w:rPr>
          <w:rFonts w:ascii="Arial" w:hAnsi="Arial" w:cs="Arial"/>
          <w:bCs/>
          <w:sz w:val="22"/>
          <w:szCs w:val="22"/>
          <w:lang w:val="es-ES_tradnl"/>
        </w:rPr>
      </w:pPr>
      <w:r>
        <w:rPr>
          <w:rFonts w:ascii="Arial" w:hAnsi="Arial" w:cs="Arial"/>
          <w:bCs/>
          <w:sz w:val="22"/>
          <w:szCs w:val="22"/>
          <w:lang w:val="es-ES_tradnl"/>
        </w:rPr>
        <w:t xml:space="preserve">La </w:t>
      </w:r>
      <w:r w:rsidRPr="00A97FB6">
        <w:rPr>
          <w:rFonts w:ascii="Arial" w:hAnsi="Arial" w:cs="Arial"/>
          <w:bCs/>
          <w:sz w:val="22"/>
          <w:szCs w:val="22"/>
          <w:lang w:val="es-MX"/>
        </w:rPr>
        <w:t>reformulación</w:t>
      </w:r>
      <w:r>
        <w:rPr>
          <w:rFonts w:ascii="Arial" w:hAnsi="Arial" w:cs="Arial"/>
          <w:bCs/>
          <w:sz w:val="22"/>
          <w:szCs w:val="22"/>
          <w:lang w:val="es-ES_tradnl"/>
        </w:rPr>
        <w:t xml:space="preserve"> </w:t>
      </w:r>
      <w:r w:rsidR="00EA181A">
        <w:rPr>
          <w:rFonts w:ascii="Arial" w:hAnsi="Arial" w:cs="Arial"/>
          <w:bCs/>
          <w:sz w:val="22"/>
          <w:szCs w:val="22"/>
          <w:lang w:val="es-ES_tradnl"/>
        </w:rPr>
        <w:t xml:space="preserve">no modifica los </w:t>
      </w:r>
      <w:r w:rsidR="00CE4B69" w:rsidRPr="00035964">
        <w:rPr>
          <w:rFonts w:ascii="Arial" w:hAnsi="Arial" w:cs="Arial"/>
          <w:bCs/>
          <w:sz w:val="22"/>
          <w:szCs w:val="22"/>
          <w:lang w:val="es-ES_tradnl"/>
        </w:rPr>
        <w:t>riesgos ambientales y sociales</w:t>
      </w:r>
      <w:r w:rsidR="00EA181A">
        <w:rPr>
          <w:rFonts w:ascii="Arial" w:hAnsi="Arial" w:cs="Arial"/>
          <w:bCs/>
          <w:sz w:val="22"/>
          <w:szCs w:val="22"/>
          <w:lang w:val="es-ES_tradnl"/>
        </w:rPr>
        <w:t xml:space="preserve"> identificados e</w:t>
      </w:r>
      <w:r w:rsidR="00EA181A" w:rsidRPr="00EA181A">
        <w:rPr>
          <w:rFonts w:ascii="Arial" w:hAnsi="Arial" w:cs="Arial"/>
          <w:bCs/>
          <w:sz w:val="22"/>
          <w:szCs w:val="22"/>
          <w:lang w:val="es-ES_tradnl"/>
        </w:rPr>
        <w:t>n el proyecto original</w:t>
      </w:r>
      <w:r w:rsidR="00A72DEF">
        <w:rPr>
          <w:rFonts w:ascii="Arial" w:hAnsi="Arial" w:cs="Arial"/>
          <w:bCs/>
          <w:sz w:val="22"/>
          <w:szCs w:val="22"/>
          <w:lang w:val="es-ES_tradnl"/>
        </w:rPr>
        <w:t xml:space="preserve"> ni su gestión</w:t>
      </w:r>
      <w:r w:rsidR="00CE4B69" w:rsidRPr="00EA181A">
        <w:rPr>
          <w:rFonts w:ascii="Arial" w:hAnsi="Arial" w:cs="Arial"/>
          <w:bCs/>
          <w:sz w:val="22"/>
          <w:szCs w:val="22"/>
          <w:lang w:val="es-ES_tradnl"/>
        </w:rPr>
        <w:t xml:space="preserve">, </w:t>
      </w:r>
      <w:r w:rsidR="00EA181A" w:rsidRPr="00EA181A">
        <w:rPr>
          <w:rFonts w:ascii="Arial" w:hAnsi="Arial" w:cs="Arial"/>
          <w:bCs/>
          <w:sz w:val="22"/>
          <w:szCs w:val="22"/>
          <w:lang w:val="es-ES_tradnl"/>
        </w:rPr>
        <w:t xml:space="preserve">toda vez que </w:t>
      </w:r>
      <w:r w:rsidR="00EA181A">
        <w:rPr>
          <w:rFonts w:ascii="Arial" w:hAnsi="Arial" w:cs="Arial"/>
          <w:bCs/>
          <w:sz w:val="22"/>
          <w:szCs w:val="22"/>
          <w:lang w:val="es-ES_tradnl"/>
        </w:rPr>
        <w:t xml:space="preserve">el tipo de </w:t>
      </w:r>
      <w:r w:rsidR="00EA181A" w:rsidRPr="00EA181A">
        <w:rPr>
          <w:rFonts w:ascii="Arial" w:hAnsi="Arial" w:cs="Arial"/>
          <w:bCs/>
          <w:sz w:val="22"/>
          <w:szCs w:val="22"/>
          <w:lang w:val="es-ES_tradnl"/>
        </w:rPr>
        <w:t>actividades a implementar no ha sido alterad</w:t>
      </w:r>
      <w:r w:rsidR="00EA181A">
        <w:rPr>
          <w:rFonts w:ascii="Arial" w:hAnsi="Arial" w:cs="Arial"/>
          <w:bCs/>
          <w:sz w:val="22"/>
          <w:szCs w:val="22"/>
          <w:lang w:val="es-ES_tradnl"/>
        </w:rPr>
        <w:t>o</w:t>
      </w:r>
      <w:r w:rsidR="00EA181A" w:rsidRPr="00EA181A">
        <w:rPr>
          <w:rFonts w:ascii="Arial" w:hAnsi="Arial" w:cs="Arial"/>
          <w:bCs/>
          <w:sz w:val="22"/>
          <w:szCs w:val="22"/>
          <w:lang w:val="es-ES_tradnl"/>
        </w:rPr>
        <w:t>.</w:t>
      </w:r>
    </w:p>
    <w:p w14:paraId="26DC43F6" w14:textId="03562EB8" w:rsidR="00D2605A" w:rsidRPr="002D489A" w:rsidRDefault="00D2605A" w:rsidP="00B7706B">
      <w:pPr>
        <w:pStyle w:val="ListParagraph"/>
        <w:numPr>
          <w:ilvl w:val="0"/>
          <w:numId w:val="3"/>
        </w:numPr>
        <w:spacing w:after="160" w:line="252" w:lineRule="auto"/>
        <w:rPr>
          <w:rFonts w:ascii="Arial" w:hAnsi="Arial" w:cs="Arial"/>
          <w:b/>
          <w:sz w:val="22"/>
          <w:szCs w:val="22"/>
          <w:lang w:val="es-MX"/>
        </w:rPr>
      </w:pPr>
      <w:r w:rsidRPr="002D489A">
        <w:rPr>
          <w:rFonts w:ascii="Arial" w:hAnsi="Arial" w:cs="Arial"/>
          <w:b/>
          <w:sz w:val="22"/>
          <w:szCs w:val="22"/>
          <w:lang w:val="es-MX"/>
        </w:rPr>
        <w:t>Matriz de resultados actualizada</w:t>
      </w:r>
      <w:r w:rsidR="00154428">
        <w:rPr>
          <w:rFonts w:ascii="Arial" w:hAnsi="Arial" w:cs="Arial"/>
          <w:b/>
          <w:sz w:val="22"/>
          <w:szCs w:val="22"/>
          <w:lang w:val="es-MX"/>
        </w:rPr>
        <w:t>.</w:t>
      </w:r>
    </w:p>
    <w:p w14:paraId="366E5BEE" w14:textId="5C6D96CA" w:rsidR="00221674" w:rsidRDefault="00564AD9" w:rsidP="005535AC">
      <w:pPr>
        <w:spacing w:after="160" w:line="252" w:lineRule="auto"/>
        <w:jc w:val="both"/>
        <w:rPr>
          <w:rFonts w:ascii="Arial" w:hAnsi="Arial" w:cs="Arial"/>
          <w:sz w:val="22"/>
          <w:szCs w:val="22"/>
          <w:lang w:val="es-MX"/>
        </w:rPr>
      </w:pPr>
      <w:r>
        <w:rPr>
          <w:rFonts w:ascii="Arial" w:hAnsi="Arial" w:cs="Arial"/>
          <w:sz w:val="22"/>
          <w:szCs w:val="22"/>
          <w:lang w:val="es-MX"/>
        </w:rPr>
        <w:t>N</w:t>
      </w:r>
      <w:r w:rsidR="00570E70">
        <w:rPr>
          <w:rFonts w:ascii="Arial" w:hAnsi="Arial" w:cs="Arial"/>
          <w:sz w:val="22"/>
          <w:szCs w:val="22"/>
          <w:lang w:val="es-MX"/>
        </w:rPr>
        <w:t>o se registra</w:t>
      </w:r>
      <w:r w:rsidR="00CB0E59">
        <w:rPr>
          <w:rFonts w:ascii="Arial" w:hAnsi="Arial" w:cs="Arial"/>
          <w:sz w:val="22"/>
          <w:szCs w:val="22"/>
          <w:lang w:val="es-MX"/>
        </w:rPr>
        <w:t>n</w:t>
      </w:r>
      <w:r w:rsidR="00570E70">
        <w:rPr>
          <w:rFonts w:ascii="Arial" w:hAnsi="Arial" w:cs="Arial"/>
          <w:sz w:val="22"/>
          <w:szCs w:val="22"/>
          <w:lang w:val="es-MX"/>
        </w:rPr>
        <w:t xml:space="preserve"> modificaciones </w:t>
      </w:r>
      <w:r w:rsidR="00CB0E59">
        <w:rPr>
          <w:rFonts w:ascii="Arial" w:hAnsi="Arial" w:cs="Arial"/>
          <w:sz w:val="22"/>
          <w:szCs w:val="22"/>
          <w:lang w:val="es-MX"/>
        </w:rPr>
        <w:t xml:space="preserve">a la matriz de resultados </w:t>
      </w:r>
      <w:r w:rsidR="00C6238B">
        <w:rPr>
          <w:rFonts w:ascii="Arial" w:hAnsi="Arial" w:cs="Arial"/>
          <w:sz w:val="22"/>
          <w:szCs w:val="22"/>
          <w:lang w:val="es-MX"/>
        </w:rPr>
        <w:t>originalmente aprobada</w:t>
      </w:r>
      <w:r w:rsidR="00B31C55">
        <w:rPr>
          <w:rFonts w:ascii="Arial" w:hAnsi="Arial" w:cs="Arial"/>
          <w:sz w:val="22"/>
          <w:szCs w:val="22"/>
          <w:lang w:val="es-MX"/>
        </w:rPr>
        <w:t xml:space="preserve"> por el Directorio</w:t>
      </w:r>
      <w:r w:rsidR="00275EA8">
        <w:rPr>
          <w:rFonts w:ascii="Arial" w:hAnsi="Arial" w:cs="Arial"/>
          <w:sz w:val="22"/>
          <w:szCs w:val="22"/>
          <w:lang w:val="es-MX"/>
        </w:rPr>
        <w:t xml:space="preserve"> del Banco</w:t>
      </w:r>
      <w:r w:rsidR="00C6238B">
        <w:rPr>
          <w:rFonts w:ascii="Arial" w:hAnsi="Arial" w:cs="Arial"/>
          <w:sz w:val="22"/>
          <w:szCs w:val="22"/>
          <w:lang w:val="es-MX"/>
        </w:rPr>
        <w:t xml:space="preserve">. </w:t>
      </w:r>
      <w:r w:rsidR="00415C02">
        <w:rPr>
          <w:rFonts w:ascii="Arial" w:hAnsi="Arial" w:cs="Arial"/>
          <w:sz w:val="22"/>
          <w:szCs w:val="22"/>
          <w:lang w:val="es-MX"/>
        </w:rPr>
        <w:t>L</w:t>
      </w:r>
      <w:r w:rsidR="00D03736">
        <w:rPr>
          <w:rFonts w:ascii="Arial" w:hAnsi="Arial" w:cs="Arial"/>
          <w:sz w:val="22"/>
          <w:szCs w:val="22"/>
          <w:lang w:val="es-MX"/>
        </w:rPr>
        <w:t xml:space="preserve">a misma puede observarse en </w:t>
      </w:r>
      <w:r w:rsidR="00415C02">
        <w:rPr>
          <w:rFonts w:ascii="Arial" w:hAnsi="Arial" w:cs="Arial"/>
          <w:sz w:val="22"/>
          <w:szCs w:val="22"/>
          <w:lang w:val="es-MX"/>
        </w:rPr>
        <w:t>el Anexo I.</w:t>
      </w:r>
      <w:r w:rsidR="00221674">
        <w:rPr>
          <w:rFonts w:ascii="Arial" w:hAnsi="Arial" w:cs="Arial"/>
          <w:sz w:val="22"/>
          <w:szCs w:val="22"/>
          <w:lang w:val="es-MX"/>
        </w:rPr>
        <w:br w:type="page"/>
      </w:r>
    </w:p>
    <w:p w14:paraId="24C53AB9" w14:textId="77777777" w:rsidR="00221674" w:rsidRDefault="00221674" w:rsidP="00A97FB6">
      <w:pPr>
        <w:spacing w:after="160" w:line="252" w:lineRule="auto"/>
        <w:jc w:val="both"/>
        <w:rPr>
          <w:rFonts w:ascii="Arial" w:hAnsi="Arial" w:cs="Arial"/>
          <w:sz w:val="22"/>
          <w:szCs w:val="22"/>
          <w:lang w:val="es-MX"/>
        </w:rPr>
        <w:sectPr w:rsidR="00221674" w:rsidSect="002D489A">
          <w:headerReference w:type="default" r:id="rId11"/>
          <w:type w:val="continuous"/>
          <w:pgSz w:w="12240" w:h="15840"/>
          <w:pgMar w:top="1440" w:right="1440" w:bottom="1440" w:left="1440" w:header="720" w:footer="720" w:gutter="0"/>
          <w:cols w:space="720"/>
          <w:docGrid w:linePitch="360"/>
        </w:sectPr>
      </w:pPr>
    </w:p>
    <w:tbl>
      <w:tblPr>
        <w:tblW w:w="13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0"/>
        <w:gridCol w:w="12330"/>
      </w:tblGrid>
      <w:tr w:rsidR="00221674" w:rsidRPr="002F3467" w14:paraId="74AEB5F9" w14:textId="77777777" w:rsidTr="00724613">
        <w:trPr>
          <w:cantSplit/>
          <w:trHeight w:val="347"/>
        </w:trPr>
        <w:tc>
          <w:tcPr>
            <w:tcW w:w="13770" w:type="dxa"/>
            <w:gridSpan w:val="2"/>
            <w:tcBorders>
              <w:top w:val="nil"/>
              <w:left w:val="nil"/>
              <w:bottom w:val="single" w:sz="4" w:space="0" w:color="auto"/>
              <w:right w:val="nil"/>
            </w:tcBorders>
            <w:shd w:val="clear" w:color="auto" w:fill="auto"/>
            <w:hideMark/>
          </w:tcPr>
          <w:p w14:paraId="2119C531" w14:textId="3DAF5359" w:rsidR="00221674" w:rsidRPr="00861CCB" w:rsidRDefault="00C4298F" w:rsidP="00861CCB">
            <w:pPr>
              <w:rPr>
                <w:rFonts w:ascii="Arial" w:hAnsi="Arial" w:cs="Arial"/>
                <w:b/>
                <w:iCs/>
                <w:sz w:val="22"/>
                <w:szCs w:val="22"/>
                <w:lang w:val="pt-BR"/>
              </w:rPr>
            </w:pPr>
            <w:r w:rsidRPr="00861CCB">
              <w:rPr>
                <w:rFonts w:ascii="Arial" w:hAnsi="Arial" w:cs="Arial"/>
                <w:b/>
                <w:iCs/>
                <w:sz w:val="22"/>
                <w:szCs w:val="22"/>
                <w:lang w:val="pt-BR"/>
              </w:rPr>
              <w:lastRenderedPageBreak/>
              <w:t xml:space="preserve">Anexo I. </w:t>
            </w:r>
            <w:r w:rsidR="00221674" w:rsidRPr="00861CCB">
              <w:rPr>
                <w:rFonts w:ascii="Arial" w:hAnsi="Arial" w:cs="Arial"/>
                <w:b/>
                <w:iCs/>
                <w:sz w:val="22"/>
                <w:szCs w:val="22"/>
                <w:lang w:val="pt-BR"/>
              </w:rPr>
              <w:t>Matriz de Resultados</w:t>
            </w:r>
          </w:p>
        </w:tc>
      </w:tr>
      <w:tr w:rsidR="00221674" w:rsidRPr="00F72361" w14:paraId="1575167C" w14:textId="77777777" w:rsidTr="00ED08F6">
        <w:trPr>
          <w:cantSplit/>
          <w:trHeight w:val="347"/>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8151B" w14:textId="03F662FF" w:rsidR="00221674" w:rsidRPr="00EC6EF8" w:rsidRDefault="00221674" w:rsidP="00724613">
            <w:pPr>
              <w:rPr>
                <w:rFonts w:ascii="Arial" w:hAnsi="Arial" w:cs="Arial"/>
                <w:b/>
                <w:bCs/>
                <w:sz w:val="18"/>
                <w:szCs w:val="18"/>
                <w:lang w:val="es-PY"/>
              </w:rPr>
            </w:pPr>
            <w:r w:rsidRPr="00EC6EF8">
              <w:rPr>
                <w:rFonts w:ascii="Arial" w:hAnsi="Arial" w:cs="Arial"/>
                <w:b/>
                <w:bCs/>
                <w:sz w:val="18"/>
                <w:szCs w:val="18"/>
                <w:lang w:val="es-PY"/>
              </w:rPr>
              <w:t>Objetivos</w:t>
            </w:r>
            <w:r w:rsidR="00ED08F6" w:rsidRPr="00EC6EF8">
              <w:rPr>
                <w:rFonts w:ascii="Arial" w:hAnsi="Arial" w:cs="Arial"/>
                <w:b/>
                <w:bCs/>
                <w:sz w:val="18"/>
                <w:szCs w:val="18"/>
                <w:lang w:val="es-PY"/>
              </w:rPr>
              <w:t>:</w:t>
            </w:r>
          </w:p>
        </w:tc>
        <w:tc>
          <w:tcPr>
            <w:tcW w:w="12330" w:type="dxa"/>
            <w:tcBorders>
              <w:top w:val="single" w:sz="4" w:space="0" w:color="auto"/>
              <w:left w:val="single" w:sz="4" w:space="0" w:color="auto"/>
              <w:bottom w:val="single" w:sz="4" w:space="0" w:color="auto"/>
              <w:right w:val="single" w:sz="4" w:space="0" w:color="auto"/>
            </w:tcBorders>
          </w:tcPr>
          <w:p w14:paraId="189E8C32" w14:textId="77777777" w:rsidR="00221674" w:rsidRPr="00EC6EF8" w:rsidRDefault="00221674" w:rsidP="00724613">
            <w:pPr>
              <w:rPr>
                <w:rFonts w:ascii="Arial" w:hAnsi="Arial" w:cs="Arial"/>
                <w:iCs/>
                <w:sz w:val="18"/>
                <w:szCs w:val="18"/>
                <w:lang w:val="es-ES"/>
              </w:rPr>
            </w:pPr>
            <w:r w:rsidRPr="00EC6EF8">
              <w:rPr>
                <w:rFonts w:ascii="Arial" w:hAnsi="Arial" w:cs="Arial"/>
                <w:iCs/>
                <w:sz w:val="18"/>
                <w:szCs w:val="18"/>
                <w:lang w:val="es-ES"/>
              </w:rPr>
              <w:t>El objetivo del programa es contribuir al aumento de la productividad de la economía a través del mejoramiento de la oferta del capital humano avanzado en áreas científicas y tecnológicas. Para lograr estos objetivos, el programa incluirá dos componentes con acciones e instrumentos para ayudar a que más profesionales argentinos se formen a nivel de maestría en el exterior y un mayor número de empresas y de instituciones de ciencia y tecnología capaciten a sus recursos humanos en centros de excelencia internacionales.</w:t>
            </w:r>
          </w:p>
        </w:tc>
      </w:tr>
    </w:tbl>
    <w:p w14:paraId="207CFCDB" w14:textId="4545E07D" w:rsidR="0087041E" w:rsidRPr="00035173" w:rsidRDefault="0087041E" w:rsidP="0087041E">
      <w:pPr>
        <w:pStyle w:val="ListParagraph"/>
        <w:spacing w:before="240" w:after="240"/>
        <w:ind w:left="360"/>
        <w:jc w:val="center"/>
        <w:textAlignment w:val="baseline"/>
        <w:rPr>
          <w:rFonts w:ascii="Arial" w:hAnsi="Arial" w:cs="Arial"/>
          <w:sz w:val="18"/>
          <w:szCs w:val="18"/>
          <w:lang w:val="es-419"/>
        </w:rPr>
      </w:pPr>
      <w:r>
        <w:rPr>
          <w:rFonts w:ascii="Arial" w:hAnsi="Arial" w:cs="Arial"/>
          <w:b/>
          <w:bCs/>
          <w:smallCaps/>
          <w:color w:val="000000"/>
          <w:sz w:val="18"/>
          <w:szCs w:val="18"/>
          <w:lang w:val="es-419"/>
        </w:rPr>
        <w:t>Impactos</w:t>
      </w:r>
    </w:p>
    <w:tbl>
      <w:tblPr>
        <w:tblW w:w="13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1080"/>
        <w:gridCol w:w="990"/>
        <w:gridCol w:w="1170"/>
        <w:gridCol w:w="5750"/>
        <w:gridCol w:w="1890"/>
      </w:tblGrid>
      <w:tr w:rsidR="00221674" w:rsidRPr="00EC6EF8" w14:paraId="375ACA8D" w14:textId="142D7627" w:rsidTr="00ED08F6">
        <w:trPr>
          <w:cantSplit/>
          <w:trHeight w:val="184"/>
        </w:trPr>
        <w:tc>
          <w:tcPr>
            <w:tcW w:w="2880" w:type="dxa"/>
            <w:shd w:val="clear" w:color="auto" w:fill="F2F2F2" w:themeFill="background1" w:themeFillShade="F2"/>
            <w:vAlign w:val="center"/>
            <w:hideMark/>
          </w:tcPr>
          <w:p w14:paraId="5457E225"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Impactos</w:t>
            </w:r>
          </w:p>
        </w:tc>
        <w:tc>
          <w:tcPr>
            <w:tcW w:w="1080" w:type="dxa"/>
            <w:shd w:val="clear" w:color="auto" w:fill="F2F2F2" w:themeFill="background1" w:themeFillShade="F2"/>
            <w:vAlign w:val="center"/>
            <w:hideMark/>
          </w:tcPr>
          <w:p w14:paraId="4A8B8833"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Unidad de medida</w:t>
            </w:r>
          </w:p>
        </w:tc>
        <w:tc>
          <w:tcPr>
            <w:tcW w:w="990" w:type="dxa"/>
            <w:shd w:val="clear" w:color="auto" w:fill="F2F2F2" w:themeFill="background1" w:themeFillShade="F2"/>
            <w:vAlign w:val="center"/>
            <w:hideMark/>
          </w:tcPr>
          <w:p w14:paraId="65F4E670"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Base 2012</w:t>
            </w:r>
          </w:p>
        </w:tc>
        <w:tc>
          <w:tcPr>
            <w:tcW w:w="1170" w:type="dxa"/>
            <w:shd w:val="clear" w:color="auto" w:fill="F2F2F2" w:themeFill="background1" w:themeFillShade="F2"/>
            <w:vAlign w:val="center"/>
            <w:hideMark/>
          </w:tcPr>
          <w:p w14:paraId="7F3955B0"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 xml:space="preserve">Meta </w:t>
            </w:r>
          </w:p>
          <w:p w14:paraId="55993C91"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 xml:space="preserve">final </w:t>
            </w:r>
          </w:p>
        </w:tc>
        <w:tc>
          <w:tcPr>
            <w:tcW w:w="5750" w:type="dxa"/>
            <w:shd w:val="clear" w:color="auto" w:fill="F2F2F2" w:themeFill="background1" w:themeFillShade="F2"/>
            <w:vAlign w:val="center"/>
            <w:hideMark/>
          </w:tcPr>
          <w:p w14:paraId="72B57BC9"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Medios de Verificación / Comentarios</w:t>
            </w:r>
          </w:p>
        </w:tc>
        <w:tc>
          <w:tcPr>
            <w:tcW w:w="1890" w:type="dxa"/>
            <w:shd w:val="clear" w:color="auto" w:fill="F2F2F2" w:themeFill="background1" w:themeFillShade="F2"/>
          </w:tcPr>
          <w:p w14:paraId="79A6E982" w14:textId="77777777"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 xml:space="preserve">Cambios a </w:t>
            </w:r>
          </w:p>
          <w:p w14:paraId="2F1A6B4B" w14:textId="06AB6DFB" w:rsidR="00221674" w:rsidRPr="00EC6EF8" w:rsidRDefault="00221674" w:rsidP="00724613">
            <w:pPr>
              <w:jc w:val="center"/>
              <w:rPr>
                <w:rFonts w:ascii="Arial" w:hAnsi="Arial" w:cs="Arial"/>
                <w:b/>
                <w:bCs/>
                <w:sz w:val="18"/>
                <w:szCs w:val="18"/>
                <w:lang w:val="es-PY"/>
              </w:rPr>
            </w:pPr>
            <w:r w:rsidRPr="00EC6EF8">
              <w:rPr>
                <w:rFonts w:ascii="Arial" w:hAnsi="Arial" w:cs="Arial"/>
                <w:b/>
                <w:bCs/>
                <w:sz w:val="18"/>
                <w:szCs w:val="18"/>
                <w:lang w:val="es-PY"/>
              </w:rPr>
              <w:t>la matriz original</w:t>
            </w:r>
          </w:p>
        </w:tc>
      </w:tr>
      <w:tr w:rsidR="00221674" w:rsidRPr="00EC6EF8" w14:paraId="614EEC19" w14:textId="2392EDC5" w:rsidTr="00221674">
        <w:trPr>
          <w:trHeight w:val="184"/>
        </w:trPr>
        <w:tc>
          <w:tcPr>
            <w:tcW w:w="2880" w:type="dxa"/>
            <w:vAlign w:val="center"/>
          </w:tcPr>
          <w:p w14:paraId="311958DE" w14:textId="77777777" w:rsidR="00221674" w:rsidRPr="00EC6EF8" w:rsidRDefault="00221674" w:rsidP="00B7706B">
            <w:pPr>
              <w:numPr>
                <w:ilvl w:val="0"/>
                <w:numId w:val="8"/>
              </w:numPr>
              <w:ind w:left="567" w:hanging="283"/>
              <w:rPr>
                <w:rFonts w:ascii="Arial" w:hAnsi="Arial" w:cs="Arial"/>
                <w:sz w:val="18"/>
                <w:szCs w:val="18"/>
                <w:lang w:val="es-PY"/>
              </w:rPr>
            </w:pPr>
            <w:r w:rsidRPr="00EC6EF8">
              <w:rPr>
                <w:rFonts w:ascii="Arial" w:hAnsi="Arial" w:cs="Arial"/>
                <w:sz w:val="18"/>
                <w:szCs w:val="18"/>
                <w:lang w:val="es-PY"/>
              </w:rPr>
              <w:t>Crecimiento de la productividad total de los factores (diferencia en el cambio porcentual en la productividad total de los factores entre las empresas beneficiarias y el grupo de control).</w:t>
            </w:r>
          </w:p>
        </w:tc>
        <w:tc>
          <w:tcPr>
            <w:tcW w:w="1080" w:type="dxa"/>
            <w:vAlign w:val="center"/>
          </w:tcPr>
          <w:p w14:paraId="347307BA"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Índice</w:t>
            </w:r>
          </w:p>
        </w:tc>
        <w:tc>
          <w:tcPr>
            <w:tcW w:w="990" w:type="dxa"/>
            <w:vAlign w:val="center"/>
          </w:tcPr>
          <w:p w14:paraId="3BFC448F"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1,00</w:t>
            </w:r>
          </w:p>
        </w:tc>
        <w:tc>
          <w:tcPr>
            <w:tcW w:w="1170" w:type="dxa"/>
            <w:vAlign w:val="center"/>
          </w:tcPr>
          <w:p w14:paraId="57DF018E"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1,15</w:t>
            </w:r>
          </w:p>
        </w:tc>
        <w:tc>
          <w:tcPr>
            <w:tcW w:w="5750" w:type="dxa"/>
            <w:vAlign w:val="center"/>
          </w:tcPr>
          <w:p w14:paraId="214B9C19" w14:textId="77777777" w:rsidR="00221674" w:rsidRPr="00EC6EF8" w:rsidRDefault="00221674" w:rsidP="00724613">
            <w:pPr>
              <w:rPr>
                <w:rFonts w:ascii="Arial" w:hAnsi="Arial" w:cs="Arial"/>
                <w:iCs/>
                <w:sz w:val="18"/>
                <w:szCs w:val="18"/>
                <w:lang w:val="es-ES"/>
              </w:rPr>
            </w:pPr>
            <w:r w:rsidRPr="00EC6EF8">
              <w:rPr>
                <w:rFonts w:ascii="Arial" w:hAnsi="Arial" w:cs="Arial"/>
                <w:iCs/>
                <w:sz w:val="18"/>
                <w:szCs w:val="18"/>
                <w:lang w:val="es-ES"/>
              </w:rPr>
              <w:t>El indicador se calcula como el índice relativo de la productividad total de los factores de las empresas beneficiarias, relativo al grupo de control. Se calcula:</w:t>
            </w:r>
          </w:p>
          <w:p w14:paraId="6CB03A0E" w14:textId="77777777" w:rsidR="00221674" w:rsidRPr="00EC6EF8" w:rsidRDefault="00221674" w:rsidP="00724613">
            <w:pPr>
              <w:jc w:val="center"/>
              <w:rPr>
                <w:rFonts w:ascii="Arial" w:hAnsi="Arial" w:cs="Arial"/>
                <w:iCs/>
                <w:sz w:val="18"/>
                <w:szCs w:val="18"/>
                <w:lang w:val="es-ES"/>
              </w:rPr>
            </w:pPr>
            <w:r w:rsidRPr="00EC6EF8">
              <w:rPr>
                <w:rFonts w:ascii="Arial" w:hAnsi="Arial" w:cs="Arial"/>
                <w:position w:val="-38"/>
                <w:sz w:val="18"/>
                <w:szCs w:val="18"/>
                <w:lang w:val="es-ES"/>
              </w:rPr>
              <w:object w:dxaOrig="2820" w:dyaOrig="920" w14:anchorId="7EEA7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36.3pt" o:ole="">
                  <v:imagedata r:id="rId12" o:title=""/>
                </v:shape>
                <o:OLEObject Type="Embed" ProgID="Equation.3" ShapeID="_x0000_i1025" DrawAspect="Content" ObjectID="_1653315051" r:id="rId13"/>
              </w:object>
            </w:r>
          </w:p>
          <w:p w14:paraId="3FB01629" w14:textId="77777777" w:rsidR="00221674" w:rsidRPr="00EC6EF8" w:rsidRDefault="00221674" w:rsidP="00724613">
            <w:pPr>
              <w:ind w:right="100"/>
              <w:jc w:val="both"/>
              <w:rPr>
                <w:rFonts w:ascii="Arial" w:hAnsi="Arial" w:cs="Arial"/>
                <w:iCs/>
                <w:sz w:val="18"/>
                <w:szCs w:val="18"/>
              </w:rPr>
            </w:pPr>
            <w:r w:rsidRPr="00EC6EF8">
              <w:rPr>
                <w:rFonts w:ascii="Arial" w:hAnsi="Arial" w:cs="Arial"/>
                <w:iCs/>
                <w:sz w:val="18"/>
                <w:szCs w:val="18"/>
                <w:lang w:val="es-ES"/>
              </w:rPr>
              <w:t xml:space="preserve">Donde t=2012 en la línea base y t=2018 en la meta. El índice de 1 implica que el grupo de beneficiarios y el grupo de control tienen la misma productividad total de los factores en la línea base. El valor (en nivel) presente de la línea de base de la TFP no se reporta ya que esta se presenta en la literatura generalmente como un índice (y su evolución temporal). Para obtener la información se realizará una encuesta con las empresas beneficiarias y con el grupo de control (línea de base y seguimiento). Para ello, se requerirá el compromiso firmado de todas las empresas que se postulen a la beca de contestar la encuesta de seguimiento independientemente de si recibieron el beneficio o no. Como referencias de la situación de base, la productividad laboral de las empresas argentinas del sector manufacturero es equivalente a un 17.9% de la productividad de las empresas de los Estados Unidos. </w:t>
            </w:r>
            <w:r w:rsidRPr="00EC6EF8">
              <w:rPr>
                <w:rFonts w:ascii="Arial" w:hAnsi="Arial" w:cs="Arial"/>
                <w:iCs/>
                <w:sz w:val="18"/>
                <w:szCs w:val="18"/>
              </w:rPr>
              <w:t>Estos datos corresponden al Enterprise Survey 2010 y al Survey of Business Owners 2007. Asimismo, según el Mapa Pyme del Ministerio de Industria, en 2008, las ventas por ocupado eran de $178.000 en el sector manufacturero, $391.000 en el comercio y $81.900 en los servicios. Por último, según el Censo Económico 2004/2005 del INDEC, el valor de producción por ocupado en el sector manufacturero fue de $227.000 en el año 2003.</w:t>
            </w:r>
          </w:p>
        </w:tc>
        <w:tc>
          <w:tcPr>
            <w:tcW w:w="1890" w:type="dxa"/>
          </w:tcPr>
          <w:p w14:paraId="56B86A05" w14:textId="2C36474B" w:rsidR="00221674" w:rsidRPr="00EC6EF8" w:rsidRDefault="00221674" w:rsidP="00221674">
            <w:pPr>
              <w:ind w:left="90"/>
              <w:jc w:val="center"/>
              <w:rPr>
                <w:rFonts w:ascii="Arial" w:hAnsi="Arial" w:cs="Arial"/>
                <w:iCs/>
                <w:sz w:val="18"/>
                <w:szCs w:val="18"/>
                <w:lang w:val="es-ES"/>
              </w:rPr>
            </w:pPr>
            <w:r w:rsidRPr="00EC6EF8">
              <w:rPr>
                <w:rFonts w:ascii="Arial" w:hAnsi="Arial" w:cs="Arial"/>
                <w:iCs/>
                <w:sz w:val="18"/>
                <w:szCs w:val="18"/>
                <w:lang w:val="es-ES"/>
              </w:rPr>
              <w:t>No se registran.</w:t>
            </w:r>
          </w:p>
        </w:tc>
      </w:tr>
      <w:tr w:rsidR="00221674" w:rsidRPr="00EC6EF8" w14:paraId="17D0F7E7" w14:textId="7BC81848" w:rsidTr="00221674">
        <w:trPr>
          <w:trHeight w:val="184"/>
        </w:trPr>
        <w:tc>
          <w:tcPr>
            <w:tcW w:w="2880" w:type="dxa"/>
            <w:vAlign w:val="center"/>
          </w:tcPr>
          <w:p w14:paraId="2BC466AE" w14:textId="3FF029AA" w:rsidR="00221674" w:rsidRPr="00EC6EF8" w:rsidRDefault="00221674" w:rsidP="00B7706B">
            <w:pPr>
              <w:numPr>
                <w:ilvl w:val="0"/>
                <w:numId w:val="8"/>
              </w:numPr>
              <w:ind w:left="567" w:hanging="283"/>
              <w:rPr>
                <w:rFonts w:ascii="Arial" w:hAnsi="Arial" w:cs="Arial"/>
                <w:sz w:val="18"/>
                <w:szCs w:val="18"/>
                <w:lang w:val="es-PY"/>
              </w:rPr>
            </w:pPr>
            <w:r w:rsidRPr="00EC6EF8">
              <w:rPr>
                <w:rFonts w:ascii="Arial" w:hAnsi="Arial" w:cs="Arial"/>
                <w:sz w:val="18"/>
                <w:szCs w:val="18"/>
                <w:lang w:val="es-PY"/>
              </w:rPr>
              <w:t>Aumento del % de investigadores en el sector privado</w:t>
            </w:r>
            <w:r w:rsidRPr="00EC6EF8">
              <w:rPr>
                <w:rFonts w:ascii="Arial" w:hAnsi="Arial" w:cs="Arial"/>
                <w:sz w:val="18"/>
                <w:szCs w:val="18"/>
                <w:vertAlign w:val="superscript"/>
                <w:lang w:val="es-PY"/>
              </w:rPr>
              <w:footnoteReference w:id="6"/>
            </w:r>
            <w:r w:rsidR="0087041E" w:rsidRPr="00EC6EF8">
              <w:rPr>
                <w:rFonts w:ascii="Arial" w:hAnsi="Arial" w:cs="Arial"/>
                <w:sz w:val="18"/>
                <w:szCs w:val="18"/>
                <w:lang w:val="es-PY"/>
              </w:rPr>
              <w:t>.</w:t>
            </w:r>
            <w:r w:rsidRPr="00EC6EF8">
              <w:rPr>
                <w:rFonts w:ascii="Arial" w:hAnsi="Arial" w:cs="Arial"/>
                <w:sz w:val="18"/>
                <w:szCs w:val="18"/>
                <w:lang w:val="es-PY"/>
              </w:rPr>
              <w:t xml:space="preserve"> </w:t>
            </w:r>
          </w:p>
        </w:tc>
        <w:tc>
          <w:tcPr>
            <w:tcW w:w="1080" w:type="dxa"/>
            <w:vAlign w:val="center"/>
          </w:tcPr>
          <w:p w14:paraId="28A3F4C2"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w:t>
            </w:r>
          </w:p>
        </w:tc>
        <w:tc>
          <w:tcPr>
            <w:tcW w:w="990" w:type="dxa"/>
            <w:vAlign w:val="center"/>
          </w:tcPr>
          <w:p w14:paraId="34F17E42"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9,6</w:t>
            </w:r>
          </w:p>
        </w:tc>
        <w:tc>
          <w:tcPr>
            <w:tcW w:w="1170" w:type="dxa"/>
            <w:vAlign w:val="center"/>
          </w:tcPr>
          <w:p w14:paraId="2F858444" w14:textId="77777777" w:rsidR="00221674" w:rsidRPr="00EC6EF8" w:rsidRDefault="00221674" w:rsidP="00724613">
            <w:pPr>
              <w:jc w:val="center"/>
              <w:rPr>
                <w:rFonts w:ascii="Arial" w:hAnsi="Arial" w:cs="Arial"/>
                <w:bCs/>
                <w:sz w:val="18"/>
                <w:szCs w:val="18"/>
                <w:lang w:val="es-PY"/>
              </w:rPr>
            </w:pPr>
            <w:r w:rsidRPr="00EC6EF8">
              <w:rPr>
                <w:rFonts w:ascii="Arial" w:hAnsi="Arial" w:cs="Arial"/>
                <w:bCs/>
                <w:sz w:val="18"/>
                <w:szCs w:val="18"/>
                <w:lang w:val="es-PY"/>
              </w:rPr>
              <w:t>17</w:t>
            </w:r>
          </w:p>
        </w:tc>
        <w:tc>
          <w:tcPr>
            <w:tcW w:w="5750" w:type="dxa"/>
            <w:vAlign w:val="center"/>
          </w:tcPr>
          <w:p w14:paraId="302FF9D3" w14:textId="77777777" w:rsidR="00221674" w:rsidRPr="00EC6EF8" w:rsidRDefault="00221674" w:rsidP="00724613">
            <w:pPr>
              <w:ind w:right="100"/>
              <w:jc w:val="both"/>
              <w:rPr>
                <w:rFonts w:ascii="Arial" w:hAnsi="Arial" w:cs="Arial"/>
                <w:iCs/>
                <w:sz w:val="18"/>
                <w:szCs w:val="18"/>
                <w:lang w:val="es-ES"/>
              </w:rPr>
            </w:pPr>
            <w:r w:rsidRPr="00EC6EF8">
              <w:rPr>
                <w:rFonts w:ascii="Arial" w:hAnsi="Arial" w:cs="Arial"/>
                <w:iCs/>
                <w:sz w:val="18"/>
                <w:szCs w:val="18"/>
                <w:lang w:val="es-ES"/>
              </w:rPr>
              <w:t xml:space="preserve">Indicador de impacto alineado con la estrategia de país del Banco con Argentina. </w:t>
            </w:r>
          </w:p>
          <w:p w14:paraId="3B8FD451" w14:textId="77777777" w:rsidR="00221674" w:rsidRPr="00EC6EF8" w:rsidRDefault="00221674" w:rsidP="00724613">
            <w:pPr>
              <w:ind w:right="100"/>
              <w:jc w:val="both"/>
              <w:rPr>
                <w:rFonts w:ascii="Arial" w:hAnsi="Arial" w:cs="Arial"/>
                <w:iCs/>
                <w:sz w:val="18"/>
                <w:szCs w:val="18"/>
                <w:lang w:val="es-ES"/>
              </w:rPr>
            </w:pPr>
            <w:r w:rsidRPr="00EC6EF8">
              <w:rPr>
                <w:rFonts w:ascii="Arial" w:hAnsi="Arial" w:cs="Arial"/>
                <w:iCs/>
                <w:sz w:val="18"/>
                <w:szCs w:val="18"/>
                <w:lang w:val="es-ES"/>
              </w:rPr>
              <w:t xml:space="preserve">Fuente: Estrategia del Banco con Argentina: </w:t>
            </w:r>
            <w:r w:rsidRPr="00EC6EF8">
              <w:rPr>
                <w:rFonts w:ascii="Arial" w:hAnsi="Arial" w:cs="Arial"/>
                <w:sz w:val="18"/>
                <w:szCs w:val="18"/>
                <w:lang w:val="es-ES"/>
              </w:rPr>
              <w:t>(EBP) 2012-2015 (GN-2687)</w:t>
            </w:r>
            <w:r w:rsidRPr="00EC6EF8">
              <w:rPr>
                <w:rFonts w:ascii="Arial" w:hAnsi="Arial" w:cs="Arial"/>
                <w:iCs/>
                <w:sz w:val="18"/>
                <w:szCs w:val="18"/>
                <w:lang w:val="es-ES"/>
              </w:rPr>
              <w:t>. Información recopilada por la RICYT y UNESCO.</w:t>
            </w:r>
          </w:p>
        </w:tc>
        <w:tc>
          <w:tcPr>
            <w:tcW w:w="1890" w:type="dxa"/>
          </w:tcPr>
          <w:p w14:paraId="46587386" w14:textId="77777777" w:rsidR="00221674" w:rsidRPr="00EC6EF8" w:rsidRDefault="00221674" w:rsidP="00221674">
            <w:pPr>
              <w:tabs>
                <w:tab w:val="center" w:pos="138"/>
              </w:tabs>
              <w:ind w:right="100"/>
              <w:jc w:val="both"/>
              <w:rPr>
                <w:rFonts w:ascii="Arial" w:hAnsi="Arial" w:cs="Arial"/>
                <w:iCs/>
                <w:sz w:val="18"/>
                <w:szCs w:val="18"/>
                <w:lang w:val="es-ES"/>
              </w:rPr>
            </w:pPr>
          </w:p>
        </w:tc>
      </w:tr>
    </w:tbl>
    <w:p w14:paraId="46C30F8A" w14:textId="77777777" w:rsidR="00221674" w:rsidRPr="00221674" w:rsidRDefault="00221674" w:rsidP="00221674">
      <w:pPr>
        <w:spacing w:line="360" w:lineRule="auto"/>
        <w:rPr>
          <w:rFonts w:ascii="Arial" w:hAnsi="Arial" w:cs="Arial"/>
          <w:b/>
          <w:sz w:val="20"/>
          <w:lang w:val="es-PY"/>
        </w:rPr>
      </w:pPr>
    </w:p>
    <w:p w14:paraId="49F0A43B" w14:textId="77777777" w:rsidR="00A84B67" w:rsidRDefault="00A84B67" w:rsidP="00A84B67">
      <w:pPr>
        <w:pStyle w:val="ListParagraph"/>
        <w:spacing w:before="240" w:after="240"/>
        <w:ind w:left="360"/>
        <w:jc w:val="center"/>
        <w:textAlignment w:val="baseline"/>
        <w:rPr>
          <w:rFonts w:ascii="Arial" w:hAnsi="Arial" w:cs="Arial"/>
          <w:b/>
          <w:bCs/>
          <w:smallCaps/>
          <w:color w:val="000000"/>
          <w:sz w:val="18"/>
          <w:szCs w:val="18"/>
          <w:lang w:val="es-419"/>
        </w:rPr>
      </w:pPr>
    </w:p>
    <w:p w14:paraId="3E5473D1" w14:textId="77777777" w:rsidR="00A84B67" w:rsidRDefault="00A84B67" w:rsidP="00A84B67">
      <w:pPr>
        <w:pStyle w:val="ListParagraph"/>
        <w:spacing w:before="240" w:after="240"/>
        <w:ind w:left="360"/>
        <w:jc w:val="center"/>
        <w:textAlignment w:val="baseline"/>
        <w:rPr>
          <w:rFonts w:ascii="Arial" w:hAnsi="Arial" w:cs="Arial"/>
          <w:b/>
          <w:bCs/>
          <w:smallCaps/>
          <w:color w:val="000000"/>
          <w:sz w:val="18"/>
          <w:szCs w:val="18"/>
          <w:lang w:val="es-419"/>
        </w:rPr>
      </w:pPr>
    </w:p>
    <w:p w14:paraId="66D50FCC" w14:textId="2FD94C64" w:rsidR="00A84B67" w:rsidRPr="00035173" w:rsidRDefault="00A84B67" w:rsidP="00A84B67">
      <w:pPr>
        <w:pStyle w:val="ListParagraph"/>
        <w:spacing w:before="240" w:after="240"/>
        <w:ind w:left="360"/>
        <w:jc w:val="center"/>
        <w:textAlignment w:val="baseline"/>
        <w:rPr>
          <w:rFonts w:ascii="Arial" w:hAnsi="Arial" w:cs="Arial"/>
          <w:sz w:val="18"/>
          <w:szCs w:val="18"/>
          <w:lang w:val="es-419"/>
        </w:rPr>
      </w:pPr>
      <w:r w:rsidRPr="00035173">
        <w:rPr>
          <w:rFonts w:ascii="Arial" w:hAnsi="Arial" w:cs="Arial"/>
          <w:b/>
          <w:bCs/>
          <w:smallCaps/>
          <w:color w:val="000000"/>
          <w:sz w:val="18"/>
          <w:szCs w:val="18"/>
          <w:lang w:val="es-419"/>
        </w:rPr>
        <w:lastRenderedPageBreak/>
        <w:t>Resultados Esperados</w:t>
      </w:r>
    </w:p>
    <w:tbl>
      <w:tblPr>
        <w:tblW w:w="13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0"/>
        <w:gridCol w:w="1080"/>
        <w:gridCol w:w="1080"/>
        <w:gridCol w:w="1440"/>
        <w:gridCol w:w="5210"/>
        <w:gridCol w:w="180"/>
        <w:gridCol w:w="1710"/>
      </w:tblGrid>
      <w:tr w:rsidR="00221674" w:rsidRPr="00B17644" w14:paraId="2D1165A7" w14:textId="0C7CD69C" w:rsidTr="0087041E">
        <w:trPr>
          <w:cantSplit/>
          <w:trHeight w:val="184"/>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083895" w14:textId="77777777" w:rsidR="00221674" w:rsidRPr="00B17644" w:rsidRDefault="00221674" w:rsidP="00724613">
            <w:pPr>
              <w:rPr>
                <w:rFonts w:ascii="Arial" w:hAnsi="Arial" w:cs="Arial"/>
                <w:b/>
                <w:bCs/>
                <w:sz w:val="18"/>
                <w:szCs w:val="18"/>
                <w:lang w:val="es-PY"/>
              </w:rPr>
            </w:pPr>
            <w:r w:rsidRPr="00B17644">
              <w:rPr>
                <w:rFonts w:ascii="Arial" w:hAnsi="Arial" w:cs="Arial"/>
                <w:b/>
                <w:bCs/>
                <w:sz w:val="18"/>
                <w:szCs w:val="18"/>
                <w:lang w:val="es-PY"/>
              </w:rPr>
              <w:t>Componente I:</w:t>
            </w:r>
          </w:p>
        </w:tc>
        <w:tc>
          <w:tcPr>
            <w:tcW w:w="881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F8A17" w14:textId="77777777" w:rsidR="00221674" w:rsidRPr="00B17644" w:rsidRDefault="00221674" w:rsidP="00724613">
            <w:pPr>
              <w:rPr>
                <w:rFonts w:ascii="Arial" w:hAnsi="Arial" w:cs="Arial"/>
                <w:b/>
                <w:bCs/>
                <w:sz w:val="18"/>
                <w:szCs w:val="18"/>
                <w:lang w:val="es-PY"/>
              </w:rPr>
            </w:pPr>
            <w:r w:rsidRPr="00B17644">
              <w:rPr>
                <w:rFonts w:ascii="Arial" w:hAnsi="Arial" w:cs="Arial"/>
                <w:b/>
                <w:bCs/>
                <w:sz w:val="18"/>
                <w:szCs w:val="18"/>
                <w:lang w:val="es-PY"/>
              </w:rPr>
              <w:t xml:space="preserve"> Mejoramiento del capital humano avanzado a través del otorgamiento de becas para maestrías en áreas prioritarias de ciencia y tecnología</w:t>
            </w:r>
          </w:p>
        </w:tc>
        <w:tc>
          <w:tcPr>
            <w:tcW w:w="189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C41D452" w14:textId="198EAA56" w:rsidR="00221674" w:rsidRPr="00B17644" w:rsidRDefault="00221674" w:rsidP="00221674">
            <w:pPr>
              <w:jc w:val="center"/>
              <w:rPr>
                <w:rFonts w:ascii="Arial" w:hAnsi="Arial" w:cs="Arial"/>
                <w:b/>
                <w:bCs/>
                <w:sz w:val="18"/>
                <w:szCs w:val="18"/>
                <w:lang w:val="es-PY"/>
              </w:rPr>
            </w:pPr>
            <w:r w:rsidRPr="00B17644">
              <w:rPr>
                <w:rFonts w:ascii="Arial" w:hAnsi="Arial" w:cs="Arial"/>
                <w:b/>
                <w:bCs/>
                <w:sz w:val="18"/>
                <w:szCs w:val="18"/>
                <w:lang w:val="es-PY"/>
              </w:rPr>
              <w:t>Cambios a la matriz original.</w:t>
            </w:r>
          </w:p>
        </w:tc>
      </w:tr>
      <w:tr w:rsidR="00221674" w:rsidRPr="00B17644" w14:paraId="1B64A447" w14:textId="747B29B9" w:rsidTr="0087041E">
        <w:trPr>
          <w:cantSplit/>
          <w:trHeight w:val="184"/>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759495" w14:textId="77777777" w:rsidR="00221674" w:rsidRPr="00B17644" w:rsidRDefault="00221674" w:rsidP="00B17644">
            <w:pPr>
              <w:jc w:val="center"/>
              <w:rPr>
                <w:rFonts w:ascii="Arial" w:hAnsi="Arial" w:cs="Arial"/>
                <w:b/>
                <w:bCs/>
                <w:sz w:val="18"/>
                <w:szCs w:val="18"/>
                <w:lang w:val="es-PY"/>
              </w:rPr>
            </w:pPr>
            <w:r w:rsidRPr="00B17644">
              <w:rPr>
                <w:rFonts w:ascii="Arial" w:hAnsi="Arial" w:cs="Arial"/>
                <w:b/>
                <w:bCs/>
                <w:sz w:val="18"/>
                <w:szCs w:val="18"/>
                <w:lang w:val="es-PY"/>
              </w:rPr>
              <w:t>Resultados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D1D499"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Unidad de medida</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5BB77"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Base 2012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857B75"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 xml:space="preserve">Meta </w:t>
            </w:r>
          </w:p>
          <w:p w14:paraId="3DDDE5F6"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final</w:t>
            </w:r>
          </w:p>
        </w:tc>
        <w:tc>
          <w:tcPr>
            <w:tcW w:w="5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CBD986"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Medios de Verificación / Comentarios</w:t>
            </w:r>
          </w:p>
        </w:tc>
        <w:tc>
          <w:tcPr>
            <w:tcW w:w="1890" w:type="dxa"/>
            <w:gridSpan w:val="2"/>
            <w:vMerge/>
            <w:tcBorders>
              <w:left w:val="single" w:sz="4" w:space="0" w:color="auto"/>
              <w:bottom w:val="single" w:sz="4" w:space="0" w:color="auto"/>
              <w:right w:val="single" w:sz="4" w:space="0" w:color="auto"/>
            </w:tcBorders>
            <w:shd w:val="clear" w:color="auto" w:fill="F2F2F2" w:themeFill="background1" w:themeFillShade="F2"/>
          </w:tcPr>
          <w:p w14:paraId="33FC998A" w14:textId="77777777" w:rsidR="00221674" w:rsidRPr="00B17644" w:rsidRDefault="00221674" w:rsidP="00724613">
            <w:pPr>
              <w:jc w:val="center"/>
              <w:rPr>
                <w:rFonts w:ascii="Arial" w:hAnsi="Arial" w:cs="Arial"/>
                <w:b/>
                <w:bCs/>
                <w:sz w:val="18"/>
                <w:szCs w:val="18"/>
                <w:lang w:val="es-PY"/>
              </w:rPr>
            </w:pPr>
          </w:p>
        </w:tc>
      </w:tr>
      <w:tr w:rsidR="00221674" w:rsidRPr="00B17644" w14:paraId="20D7B286" w14:textId="7C9B1C5E" w:rsidTr="00221674">
        <w:trPr>
          <w:trHeight w:val="293"/>
        </w:trPr>
        <w:tc>
          <w:tcPr>
            <w:tcW w:w="3060" w:type="dxa"/>
            <w:tcBorders>
              <w:top w:val="single" w:sz="4" w:space="0" w:color="auto"/>
              <w:left w:val="single" w:sz="4" w:space="0" w:color="auto"/>
              <w:bottom w:val="single" w:sz="4" w:space="0" w:color="auto"/>
              <w:right w:val="single" w:sz="4" w:space="0" w:color="auto"/>
            </w:tcBorders>
          </w:tcPr>
          <w:p w14:paraId="7EFEECEA" w14:textId="77777777" w:rsidR="00221674" w:rsidRPr="00B17644" w:rsidRDefault="00221674" w:rsidP="00B7706B">
            <w:pPr>
              <w:numPr>
                <w:ilvl w:val="0"/>
                <w:numId w:val="9"/>
              </w:numPr>
              <w:ind w:left="567" w:hanging="283"/>
              <w:rPr>
                <w:rFonts w:ascii="Arial" w:hAnsi="Arial" w:cs="Arial"/>
                <w:sz w:val="18"/>
                <w:szCs w:val="18"/>
                <w:lang w:val="es-PY"/>
              </w:rPr>
            </w:pPr>
            <w:r w:rsidRPr="00B17644">
              <w:rPr>
                <w:rFonts w:ascii="Arial" w:hAnsi="Arial" w:cs="Arial"/>
                <w:sz w:val="18"/>
                <w:szCs w:val="18"/>
                <w:shd w:val="clear" w:color="auto" w:fill="FFFFFF"/>
                <w:lang w:val="es-ES"/>
              </w:rPr>
              <w:t>Diferencia en el cambio porcentual del nivel de ingresos entre becados de maestrías en CyT beneficiarios del programa y el grupo de control.</w:t>
            </w:r>
          </w:p>
        </w:tc>
        <w:tc>
          <w:tcPr>
            <w:tcW w:w="1080" w:type="dxa"/>
            <w:tcBorders>
              <w:top w:val="single" w:sz="4" w:space="0" w:color="auto"/>
              <w:left w:val="single" w:sz="4" w:space="0" w:color="auto"/>
              <w:bottom w:val="single" w:sz="4" w:space="0" w:color="auto"/>
              <w:right w:val="single" w:sz="4" w:space="0" w:color="auto"/>
            </w:tcBorders>
          </w:tcPr>
          <w:p w14:paraId="14D3C4E5" w14:textId="77777777" w:rsidR="00221674" w:rsidRPr="00B17644" w:rsidRDefault="00221674" w:rsidP="00724613">
            <w:pPr>
              <w:jc w:val="center"/>
              <w:rPr>
                <w:rFonts w:ascii="Arial" w:hAnsi="Arial" w:cs="Arial"/>
                <w:bCs/>
                <w:sz w:val="18"/>
                <w:szCs w:val="18"/>
                <w:lang w:val="es-PY"/>
              </w:rPr>
            </w:pPr>
            <w:r w:rsidRPr="00B17644">
              <w:rPr>
                <w:rFonts w:ascii="Arial" w:hAnsi="Arial" w:cs="Arial"/>
                <w:sz w:val="18"/>
                <w:szCs w:val="18"/>
                <w:lang w:val="es-ES"/>
              </w:rPr>
              <w:t>%</w:t>
            </w:r>
          </w:p>
        </w:tc>
        <w:tc>
          <w:tcPr>
            <w:tcW w:w="1080" w:type="dxa"/>
            <w:tcBorders>
              <w:top w:val="single" w:sz="4" w:space="0" w:color="auto"/>
              <w:left w:val="single" w:sz="4" w:space="0" w:color="auto"/>
              <w:bottom w:val="single" w:sz="4" w:space="0" w:color="auto"/>
              <w:right w:val="single" w:sz="4" w:space="0" w:color="auto"/>
            </w:tcBorders>
          </w:tcPr>
          <w:p w14:paraId="1B3550A6"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0</w:t>
            </w:r>
          </w:p>
        </w:tc>
        <w:tc>
          <w:tcPr>
            <w:tcW w:w="1440" w:type="dxa"/>
            <w:tcBorders>
              <w:top w:val="single" w:sz="4" w:space="0" w:color="auto"/>
              <w:left w:val="single" w:sz="4" w:space="0" w:color="auto"/>
              <w:bottom w:val="single" w:sz="4" w:space="0" w:color="auto"/>
              <w:right w:val="single" w:sz="4" w:space="0" w:color="auto"/>
            </w:tcBorders>
          </w:tcPr>
          <w:p w14:paraId="6763A068" w14:textId="77777777" w:rsidR="00221674" w:rsidRPr="00B17644" w:rsidRDefault="00221674" w:rsidP="00724613">
            <w:pPr>
              <w:contextualSpacing/>
              <w:jc w:val="center"/>
              <w:rPr>
                <w:rFonts w:ascii="Arial" w:hAnsi="Arial" w:cs="Arial"/>
                <w:bCs/>
                <w:sz w:val="18"/>
                <w:szCs w:val="18"/>
                <w:lang w:val="es-PY"/>
              </w:rPr>
            </w:pPr>
            <w:r w:rsidRPr="00B17644">
              <w:rPr>
                <w:rFonts w:ascii="Arial" w:hAnsi="Arial" w:cs="Arial"/>
                <w:bCs/>
                <w:sz w:val="18"/>
                <w:szCs w:val="18"/>
                <w:lang w:val="es-PY"/>
              </w:rPr>
              <w:t>70%</w:t>
            </w:r>
          </w:p>
        </w:tc>
        <w:tc>
          <w:tcPr>
            <w:tcW w:w="5210" w:type="dxa"/>
            <w:tcBorders>
              <w:top w:val="single" w:sz="4" w:space="0" w:color="auto"/>
              <w:left w:val="single" w:sz="4" w:space="0" w:color="auto"/>
              <w:bottom w:val="single" w:sz="4" w:space="0" w:color="auto"/>
              <w:right w:val="single" w:sz="4" w:space="0" w:color="auto"/>
            </w:tcBorders>
          </w:tcPr>
          <w:p w14:paraId="740DA725" w14:textId="77777777" w:rsidR="00221674" w:rsidRPr="00B17644" w:rsidRDefault="00221674" w:rsidP="00724613">
            <w:pPr>
              <w:ind w:right="100"/>
              <w:jc w:val="both"/>
              <w:rPr>
                <w:rFonts w:ascii="Arial" w:hAnsi="Arial" w:cs="Arial"/>
                <w:iCs/>
                <w:sz w:val="18"/>
                <w:szCs w:val="18"/>
                <w:lang w:val="es-ES"/>
              </w:rPr>
            </w:pPr>
            <w:r w:rsidRPr="00B17644">
              <w:rPr>
                <w:rFonts w:ascii="Arial" w:hAnsi="Arial" w:cs="Arial"/>
                <w:sz w:val="18"/>
                <w:szCs w:val="18"/>
                <w:lang w:val="es-ES"/>
              </w:rPr>
              <w:t>Se calcula a través del método de diferencias en diferencias entre becados y no becados que aplicaron al programa. Se utiliza la base de datos de la unidad ejecutora (seguimiento semestral de los beneficiarios a fin de conocer su situación laboral y de ingresos durante un periodo de al menos dos años a partir de la finalización de la beca) y encuestas ad-hoc (s</w:t>
            </w:r>
            <w:r w:rsidRPr="00B17644">
              <w:rPr>
                <w:rFonts w:ascii="Arial" w:hAnsi="Arial" w:cs="Arial"/>
                <w:iCs/>
                <w:sz w:val="18"/>
                <w:szCs w:val="18"/>
                <w:lang w:val="es-ES"/>
              </w:rPr>
              <w:t xml:space="preserve">e requerirá el compromiso firmado de todas las personas que se postulen a la beca de contestar las encuestas de seguimiento independientemente de si recibieron el beneficio o no). </w:t>
            </w:r>
          </w:p>
          <w:p w14:paraId="4AD22FD3" w14:textId="3EB2B1B7" w:rsidR="00221674" w:rsidRPr="00B17644" w:rsidRDefault="00221674" w:rsidP="00724613">
            <w:pPr>
              <w:ind w:right="100"/>
              <w:jc w:val="both"/>
              <w:rPr>
                <w:rFonts w:ascii="Arial" w:hAnsi="Arial" w:cs="Arial"/>
                <w:iCs/>
                <w:sz w:val="18"/>
                <w:szCs w:val="18"/>
                <w:lang w:val="es-ES"/>
              </w:rPr>
            </w:pPr>
            <w:r w:rsidRPr="00B17644">
              <w:rPr>
                <w:rFonts w:ascii="Arial" w:hAnsi="Arial" w:cs="Arial"/>
                <w:iCs/>
                <w:sz w:val="18"/>
                <w:szCs w:val="18"/>
                <w:lang w:val="es-ES"/>
              </w:rPr>
              <w:t>Como referencia de la situación de base se toma el ingreso anual promedio de personas con educación terciaria/universitaria completa, el cual fue equivalente a US$13</w:t>
            </w:r>
            <w:r w:rsidR="00C4298F" w:rsidRPr="00B17644">
              <w:rPr>
                <w:rFonts w:ascii="Arial" w:hAnsi="Arial" w:cs="Arial"/>
                <w:iCs/>
                <w:sz w:val="18"/>
                <w:szCs w:val="18"/>
                <w:lang w:val="es-ES"/>
              </w:rPr>
              <w:t>.</w:t>
            </w:r>
            <w:r w:rsidRPr="00B17644">
              <w:rPr>
                <w:rFonts w:ascii="Arial" w:hAnsi="Arial" w:cs="Arial"/>
                <w:iCs/>
                <w:sz w:val="18"/>
                <w:szCs w:val="18"/>
                <w:lang w:val="es-ES"/>
              </w:rPr>
              <w:t xml:space="preserve">200 en 2012. La fuente de la información de base es la Encuesta Permanente de Hogares del INDEC. </w:t>
            </w:r>
          </w:p>
          <w:p w14:paraId="7C819561" w14:textId="77777777" w:rsidR="00221674" w:rsidRPr="00B17644" w:rsidRDefault="00221674" w:rsidP="00724613">
            <w:pPr>
              <w:ind w:right="100"/>
              <w:jc w:val="both"/>
              <w:rPr>
                <w:rFonts w:ascii="Arial" w:hAnsi="Arial" w:cs="Arial"/>
                <w:iCs/>
                <w:sz w:val="18"/>
                <w:szCs w:val="18"/>
                <w:lang w:val="es-ES"/>
              </w:rPr>
            </w:pPr>
            <w:r w:rsidRPr="00B17644">
              <w:rPr>
                <w:rFonts w:ascii="Arial" w:hAnsi="Arial" w:cs="Arial"/>
                <w:iCs/>
                <w:sz w:val="18"/>
                <w:szCs w:val="18"/>
                <w:lang w:val="es-ES"/>
              </w:rPr>
              <w:t>La meta fue establecida en función de la experiencia previa y es consistente con un valor presente neto positivo para el Componente I.</w:t>
            </w:r>
          </w:p>
          <w:p w14:paraId="124CA161" w14:textId="77777777" w:rsidR="00221674" w:rsidRPr="00B17644" w:rsidRDefault="00221674" w:rsidP="00724613">
            <w:pPr>
              <w:ind w:right="100"/>
              <w:jc w:val="both"/>
              <w:rPr>
                <w:rFonts w:ascii="Arial" w:hAnsi="Arial" w:cs="Arial"/>
                <w:iCs/>
                <w:sz w:val="18"/>
                <w:szCs w:val="18"/>
                <w:lang w:val="es-ES"/>
              </w:rPr>
            </w:pPr>
            <w:r w:rsidRPr="00B17644">
              <w:rPr>
                <w:rFonts w:ascii="Arial" w:hAnsi="Arial" w:cs="Arial"/>
                <w:iCs/>
                <w:sz w:val="18"/>
                <w:szCs w:val="18"/>
                <w:lang w:val="es-ES"/>
              </w:rPr>
              <w:t>Información adicional: se espera que un 90% de los becarios de maestrías en áreas prioritarias de ciencia y tecnología se gradúen de sus respectivos programas y que un 80% de los becarios se reinserten en el sector productivo (empresas privadas y públicas e instituciones que prestan servicios tecnológicos).</w:t>
            </w:r>
          </w:p>
        </w:tc>
        <w:tc>
          <w:tcPr>
            <w:tcW w:w="1890" w:type="dxa"/>
            <w:gridSpan w:val="2"/>
            <w:tcBorders>
              <w:top w:val="single" w:sz="4" w:space="0" w:color="auto"/>
              <w:left w:val="single" w:sz="4" w:space="0" w:color="auto"/>
              <w:bottom w:val="single" w:sz="4" w:space="0" w:color="auto"/>
              <w:right w:val="single" w:sz="4" w:space="0" w:color="auto"/>
            </w:tcBorders>
          </w:tcPr>
          <w:p w14:paraId="659C4F29" w14:textId="6866D8F4" w:rsidR="00221674" w:rsidRPr="00B17644" w:rsidRDefault="00221674" w:rsidP="00221674">
            <w:pPr>
              <w:ind w:right="100"/>
              <w:jc w:val="center"/>
              <w:rPr>
                <w:rFonts w:ascii="Arial" w:hAnsi="Arial" w:cs="Arial"/>
                <w:sz w:val="18"/>
                <w:szCs w:val="18"/>
                <w:lang w:val="es-ES"/>
              </w:rPr>
            </w:pPr>
            <w:r w:rsidRPr="00B17644">
              <w:rPr>
                <w:rFonts w:ascii="Arial" w:hAnsi="Arial" w:cs="Arial"/>
                <w:sz w:val="18"/>
                <w:szCs w:val="18"/>
                <w:lang w:val="es-ES"/>
              </w:rPr>
              <w:t>No se registran.</w:t>
            </w:r>
          </w:p>
        </w:tc>
      </w:tr>
      <w:tr w:rsidR="00221674" w:rsidRPr="00B17644" w14:paraId="6CB1C0B5" w14:textId="3895D267" w:rsidTr="0087041E">
        <w:trPr>
          <w:trHeight w:val="293"/>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87F92" w14:textId="6D04F2E6" w:rsidR="00221674" w:rsidRPr="00B17644" w:rsidRDefault="00221674" w:rsidP="00724613">
            <w:pPr>
              <w:ind w:left="284"/>
              <w:rPr>
                <w:rFonts w:ascii="Arial" w:hAnsi="Arial" w:cs="Arial"/>
                <w:sz w:val="18"/>
                <w:szCs w:val="18"/>
                <w:lang w:val="es-ES"/>
              </w:rPr>
            </w:pPr>
            <w:r>
              <w:br w:type="page"/>
            </w:r>
            <w:r w:rsidRPr="00B17644">
              <w:rPr>
                <w:rFonts w:ascii="Arial" w:hAnsi="Arial" w:cs="Arial"/>
                <w:b/>
                <w:bCs/>
                <w:sz w:val="18"/>
                <w:szCs w:val="18"/>
                <w:lang w:val="es-PY"/>
              </w:rPr>
              <w:t>Componente II:</w:t>
            </w:r>
          </w:p>
        </w:tc>
        <w:tc>
          <w:tcPr>
            <w:tcW w:w="89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2C30E" w14:textId="77777777" w:rsidR="00221674" w:rsidRPr="00B17644" w:rsidRDefault="00221674" w:rsidP="00724613">
            <w:pPr>
              <w:rPr>
                <w:rFonts w:ascii="Arial" w:hAnsi="Arial" w:cs="Arial"/>
                <w:bCs/>
                <w:sz w:val="18"/>
                <w:szCs w:val="18"/>
                <w:lang w:val="es-ES"/>
              </w:rPr>
            </w:pPr>
            <w:r w:rsidRPr="00B17644">
              <w:rPr>
                <w:rFonts w:ascii="Arial" w:hAnsi="Arial" w:cs="Arial"/>
                <w:b/>
                <w:bCs/>
                <w:sz w:val="18"/>
                <w:szCs w:val="18"/>
                <w:lang w:val="es-ES"/>
              </w:rPr>
              <w:t xml:space="preserve"> Mejoramiento del capital humano avanzado a través del otorgamiento de </w:t>
            </w:r>
            <w:r w:rsidRPr="00B17644">
              <w:rPr>
                <w:rFonts w:ascii="Arial" w:hAnsi="Arial" w:cs="Arial"/>
                <w:b/>
                <w:bCs/>
                <w:sz w:val="18"/>
                <w:szCs w:val="18"/>
                <w:lang w:val="es-PY"/>
              </w:rPr>
              <w:t>becas para estancias cortas de formación en ciencia y tecnología</w:t>
            </w:r>
          </w:p>
        </w:tc>
        <w:tc>
          <w:tcPr>
            <w:tcW w:w="17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6B59295" w14:textId="5EA9BAED" w:rsidR="00221674" w:rsidRPr="00B17644" w:rsidRDefault="00221674" w:rsidP="00221674">
            <w:pPr>
              <w:ind w:firstLine="90"/>
              <w:jc w:val="center"/>
              <w:rPr>
                <w:rFonts w:ascii="Arial" w:hAnsi="Arial" w:cs="Arial"/>
                <w:b/>
                <w:bCs/>
                <w:sz w:val="18"/>
                <w:szCs w:val="18"/>
                <w:lang w:val="es-ES"/>
              </w:rPr>
            </w:pPr>
            <w:r w:rsidRPr="00B17644">
              <w:rPr>
                <w:rFonts w:ascii="Arial" w:hAnsi="Arial" w:cs="Arial"/>
                <w:b/>
                <w:bCs/>
                <w:sz w:val="18"/>
                <w:szCs w:val="18"/>
                <w:lang w:val="es-ES"/>
              </w:rPr>
              <w:t>Cambios a la matriz original.</w:t>
            </w:r>
          </w:p>
        </w:tc>
      </w:tr>
      <w:tr w:rsidR="00221674" w:rsidRPr="00B17644" w14:paraId="4BD4E595" w14:textId="5EC53DD0" w:rsidTr="0087041E">
        <w:trPr>
          <w:trHeight w:val="293"/>
        </w:trPr>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ACAAC" w14:textId="77777777" w:rsidR="00221674" w:rsidRPr="00B17644" w:rsidRDefault="00221674" w:rsidP="00724613">
            <w:pPr>
              <w:ind w:left="284"/>
              <w:rPr>
                <w:rFonts w:ascii="Arial" w:hAnsi="Arial" w:cs="Arial"/>
                <w:sz w:val="18"/>
                <w:szCs w:val="18"/>
                <w:lang w:val="es-ES"/>
              </w:rPr>
            </w:pPr>
            <w:r w:rsidRPr="00B17644">
              <w:rPr>
                <w:rFonts w:ascii="Arial" w:hAnsi="Arial" w:cs="Arial"/>
                <w:b/>
                <w:bCs/>
                <w:sz w:val="18"/>
                <w:szCs w:val="18"/>
                <w:lang w:val="es-PY"/>
              </w:rPr>
              <w:t>Resultados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E307B" w14:textId="77777777" w:rsidR="00221674" w:rsidRPr="00B17644" w:rsidRDefault="00221674" w:rsidP="00724613">
            <w:pPr>
              <w:jc w:val="center"/>
              <w:rPr>
                <w:rFonts w:ascii="Arial" w:hAnsi="Arial" w:cs="Arial"/>
                <w:bCs/>
                <w:sz w:val="18"/>
                <w:szCs w:val="18"/>
                <w:lang w:val="es-ES"/>
              </w:rPr>
            </w:pPr>
            <w:r w:rsidRPr="00B17644">
              <w:rPr>
                <w:rFonts w:ascii="Arial" w:hAnsi="Arial" w:cs="Arial"/>
                <w:b/>
                <w:bCs/>
                <w:sz w:val="18"/>
                <w:szCs w:val="18"/>
                <w:lang w:val="es-PY"/>
              </w:rPr>
              <w:t>Unidad de medida</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6AC3C" w14:textId="77777777" w:rsidR="00221674" w:rsidRPr="00B17644" w:rsidRDefault="00221674" w:rsidP="00724613">
            <w:pPr>
              <w:jc w:val="center"/>
              <w:rPr>
                <w:rFonts w:ascii="Arial" w:hAnsi="Arial" w:cs="Arial"/>
                <w:bCs/>
                <w:sz w:val="18"/>
                <w:szCs w:val="18"/>
                <w:lang w:val="es-ES"/>
              </w:rPr>
            </w:pPr>
            <w:r w:rsidRPr="00B17644">
              <w:rPr>
                <w:rFonts w:ascii="Arial" w:hAnsi="Arial" w:cs="Arial"/>
                <w:b/>
                <w:bCs/>
                <w:sz w:val="18"/>
                <w:szCs w:val="18"/>
                <w:lang w:val="es-PY"/>
              </w:rPr>
              <w:t>Base 2012</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A5390" w14:textId="77777777" w:rsidR="00221674" w:rsidRPr="00B17644" w:rsidRDefault="00221674" w:rsidP="00724613">
            <w:pPr>
              <w:jc w:val="center"/>
              <w:rPr>
                <w:rFonts w:ascii="Arial" w:hAnsi="Arial" w:cs="Arial"/>
                <w:b/>
                <w:bCs/>
                <w:sz w:val="18"/>
                <w:szCs w:val="18"/>
                <w:lang w:val="es-PY"/>
              </w:rPr>
            </w:pPr>
            <w:r w:rsidRPr="00B17644">
              <w:rPr>
                <w:rFonts w:ascii="Arial" w:hAnsi="Arial" w:cs="Arial"/>
                <w:b/>
                <w:bCs/>
                <w:sz w:val="18"/>
                <w:szCs w:val="18"/>
                <w:lang w:val="es-PY"/>
              </w:rPr>
              <w:t xml:space="preserve">Meta </w:t>
            </w:r>
          </w:p>
          <w:p w14:paraId="22C48605" w14:textId="77777777" w:rsidR="00221674" w:rsidRPr="00B17644" w:rsidRDefault="00221674" w:rsidP="00724613">
            <w:pPr>
              <w:jc w:val="center"/>
              <w:rPr>
                <w:rFonts w:ascii="Arial" w:hAnsi="Arial" w:cs="Arial"/>
                <w:bCs/>
                <w:sz w:val="18"/>
                <w:szCs w:val="18"/>
                <w:lang w:val="es-ES"/>
              </w:rPr>
            </w:pPr>
            <w:r w:rsidRPr="00B17644">
              <w:rPr>
                <w:rFonts w:ascii="Arial" w:hAnsi="Arial" w:cs="Arial"/>
                <w:b/>
                <w:bCs/>
                <w:sz w:val="18"/>
                <w:szCs w:val="18"/>
                <w:lang w:val="es-PY"/>
              </w:rPr>
              <w:t>final</w:t>
            </w:r>
          </w:p>
        </w:tc>
        <w:tc>
          <w:tcPr>
            <w:tcW w:w="53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624F6" w14:textId="77777777" w:rsidR="00221674" w:rsidRPr="00B17644" w:rsidRDefault="00221674" w:rsidP="00724613">
            <w:pPr>
              <w:rPr>
                <w:rFonts w:ascii="Arial" w:hAnsi="Arial" w:cs="Arial"/>
                <w:bCs/>
                <w:sz w:val="18"/>
                <w:szCs w:val="18"/>
                <w:lang w:val="es-ES"/>
              </w:rPr>
            </w:pPr>
            <w:r w:rsidRPr="00B17644">
              <w:rPr>
                <w:rFonts w:ascii="Arial" w:hAnsi="Arial" w:cs="Arial"/>
                <w:b/>
                <w:bCs/>
                <w:sz w:val="18"/>
                <w:szCs w:val="18"/>
                <w:lang w:val="es-PY"/>
              </w:rPr>
              <w:t>Medios de Verificación / Comentarios</w:t>
            </w:r>
          </w:p>
        </w:tc>
        <w:tc>
          <w:tcPr>
            <w:tcW w:w="1710" w:type="dxa"/>
            <w:vMerge/>
            <w:tcBorders>
              <w:left w:val="single" w:sz="4" w:space="0" w:color="auto"/>
              <w:bottom w:val="single" w:sz="4" w:space="0" w:color="auto"/>
              <w:right w:val="single" w:sz="4" w:space="0" w:color="auto"/>
            </w:tcBorders>
            <w:shd w:val="clear" w:color="auto" w:fill="F2F2F2" w:themeFill="background1" w:themeFillShade="F2"/>
          </w:tcPr>
          <w:p w14:paraId="4FE12CAD" w14:textId="77777777" w:rsidR="00221674" w:rsidRPr="00B17644" w:rsidRDefault="00221674" w:rsidP="00724613">
            <w:pPr>
              <w:rPr>
                <w:rFonts w:ascii="Arial" w:hAnsi="Arial" w:cs="Arial"/>
                <w:b/>
                <w:bCs/>
                <w:sz w:val="18"/>
                <w:szCs w:val="18"/>
                <w:lang w:val="es-PY"/>
              </w:rPr>
            </w:pPr>
          </w:p>
        </w:tc>
      </w:tr>
      <w:tr w:rsidR="00221674" w:rsidRPr="00B17644" w14:paraId="0A27F8C4" w14:textId="0C7BDA11" w:rsidTr="00EE7E3E">
        <w:trPr>
          <w:trHeight w:val="293"/>
        </w:trPr>
        <w:tc>
          <w:tcPr>
            <w:tcW w:w="3060" w:type="dxa"/>
            <w:tcBorders>
              <w:top w:val="single" w:sz="4" w:space="0" w:color="auto"/>
              <w:left w:val="single" w:sz="4" w:space="0" w:color="auto"/>
              <w:bottom w:val="single" w:sz="4" w:space="0" w:color="auto"/>
              <w:right w:val="single" w:sz="4" w:space="0" w:color="auto"/>
            </w:tcBorders>
            <w:vAlign w:val="center"/>
          </w:tcPr>
          <w:p w14:paraId="41785467" w14:textId="29935344" w:rsidR="00221674" w:rsidRPr="00B17644" w:rsidRDefault="00221674" w:rsidP="00B7706B">
            <w:pPr>
              <w:numPr>
                <w:ilvl w:val="0"/>
                <w:numId w:val="9"/>
              </w:numPr>
              <w:ind w:left="567" w:hanging="283"/>
              <w:rPr>
                <w:rFonts w:ascii="Arial" w:hAnsi="Arial" w:cs="Arial"/>
                <w:sz w:val="18"/>
                <w:szCs w:val="18"/>
                <w:shd w:val="clear" w:color="auto" w:fill="FFFFFF"/>
                <w:lang w:val="es-ES"/>
              </w:rPr>
            </w:pPr>
            <w:r w:rsidRPr="00B17644">
              <w:rPr>
                <w:rFonts w:ascii="Arial" w:hAnsi="Arial" w:cs="Arial"/>
                <w:sz w:val="18"/>
                <w:szCs w:val="18"/>
                <w:shd w:val="clear" w:color="auto" w:fill="FFFFFF"/>
                <w:lang w:val="es-ES"/>
              </w:rPr>
              <w:t xml:space="preserve">Diferencia en el cambio porcentual de la productividad del trabajo entre las empresas beneficiarias y el grupo de control. </w:t>
            </w:r>
          </w:p>
        </w:tc>
        <w:tc>
          <w:tcPr>
            <w:tcW w:w="1080" w:type="dxa"/>
            <w:tcBorders>
              <w:top w:val="single" w:sz="4" w:space="0" w:color="auto"/>
              <w:left w:val="single" w:sz="4" w:space="0" w:color="auto"/>
              <w:bottom w:val="single" w:sz="4" w:space="0" w:color="auto"/>
              <w:right w:val="single" w:sz="4" w:space="0" w:color="auto"/>
            </w:tcBorders>
            <w:vAlign w:val="center"/>
          </w:tcPr>
          <w:p w14:paraId="404AD400"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w:t>
            </w:r>
          </w:p>
        </w:tc>
        <w:tc>
          <w:tcPr>
            <w:tcW w:w="1080" w:type="dxa"/>
            <w:tcBorders>
              <w:top w:val="single" w:sz="4" w:space="0" w:color="auto"/>
              <w:left w:val="single" w:sz="4" w:space="0" w:color="auto"/>
              <w:bottom w:val="single" w:sz="4" w:space="0" w:color="auto"/>
              <w:right w:val="single" w:sz="4" w:space="0" w:color="auto"/>
            </w:tcBorders>
            <w:vAlign w:val="center"/>
          </w:tcPr>
          <w:p w14:paraId="11B3E303" w14:textId="77777777" w:rsidR="00221674" w:rsidRPr="00B17644" w:rsidRDefault="00221674" w:rsidP="00724613">
            <w:pPr>
              <w:jc w:val="center"/>
              <w:rPr>
                <w:rFonts w:ascii="Arial" w:hAnsi="Arial" w:cs="Arial"/>
                <w:sz w:val="18"/>
                <w:szCs w:val="18"/>
                <w:lang w:val="es-PY"/>
              </w:rPr>
            </w:pPr>
            <w:r w:rsidRPr="00B17644">
              <w:rPr>
                <w:rFonts w:ascii="Arial" w:hAnsi="Arial" w:cs="Arial"/>
                <w:sz w:val="18"/>
                <w:szCs w:val="18"/>
                <w:lang w:val="es-PY"/>
              </w:rPr>
              <w:t>0</w:t>
            </w:r>
          </w:p>
        </w:tc>
        <w:tc>
          <w:tcPr>
            <w:tcW w:w="1440" w:type="dxa"/>
            <w:tcBorders>
              <w:top w:val="single" w:sz="4" w:space="0" w:color="auto"/>
              <w:left w:val="single" w:sz="4" w:space="0" w:color="auto"/>
              <w:bottom w:val="single" w:sz="4" w:space="0" w:color="auto"/>
              <w:right w:val="single" w:sz="4" w:space="0" w:color="auto"/>
            </w:tcBorders>
            <w:vAlign w:val="center"/>
          </w:tcPr>
          <w:p w14:paraId="3D18A9DB"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10%</w:t>
            </w:r>
          </w:p>
        </w:tc>
        <w:tc>
          <w:tcPr>
            <w:tcW w:w="5390" w:type="dxa"/>
            <w:gridSpan w:val="2"/>
            <w:tcBorders>
              <w:top w:val="single" w:sz="4" w:space="0" w:color="auto"/>
              <w:left w:val="single" w:sz="4" w:space="0" w:color="auto"/>
              <w:bottom w:val="single" w:sz="4" w:space="0" w:color="auto"/>
              <w:right w:val="single" w:sz="4" w:space="0" w:color="auto"/>
            </w:tcBorders>
            <w:vAlign w:val="center"/>
          </w:tcPr>
          <w:p w14:paraId="76390023" w14:textId="77777777" w:rsidR="00221674" w:rsidRPr="00B17644" w:rsidRDefault="00221674" w:rsidP="00724613">
            <w:pPr>
              <w:ind w:right="100"/>
              <w:jc w:val="both"/>
              <w:rPr>
                <w:rFonts w:ascii="Arial" w:hAnsi="Arial" w:cs="Arial"/>
                <w:sz w:val="18"/>
                <w:szCs w:val="18"/>
                <w:lang w:val="es-ES"/>
              </w:rPr>
            </w:pPr>
            <w:r w:rsidRPr="00B17644">
              <w:rPr>
                <w:rFonts w:ascii="Arial" w:hAnsi="Arial" w:cs="Arial"/>
                <w:sz w:val="18"/>
                <w:szCs w:val="18"/>
                <w:lang w:val="es-ES"/>
              </w:rPr>
              <w:t xml:space="preserve">Se calcula a través del método de diferencias en diferencias entre empresas con becados por el programa y empresas no becados que aplicaron al programa pero no recibieron beca alguna. Fuente: Se realizará una encuesta con las empresas beneficiarias y con el grupo de control (línea de base y seguimiento). Para ello, se requerirá el compromiso firmado de todas las empresas que se postulen a la beca de contestar la encuesta de seguimiento independientemente de si recibieron el beneficio o no. </w:t>
            </w:r>
          </w:p>
          <w:p w14:paraId="03C726CB" w14:textId="77777777" w:rsidR="00221674" w:rsidRPr="00B17644" w:rsidRDefault="00221674" w:rsidP="00724613">
            <w:pPr>
              <w:ind w:right="100"/>
              <w:jc w:val="both"/>
              <w:rPr>
                <w:rFonts w:ascii="Arial" w:hAnsi="Arial" w:cs="Arial"/>
                <w:sz w:val="18"/>
                <w:szCs w:val="18"/>
                <w:lang w:val="es-ES"/>
              </w:rPr>
            </w:pPr>
            <w:r w:rsidRPr="00B17644">
              <w:rPr>
                <w:rFonts w:ascii="Arial" w:hAnsi="Arial" w:cs="Arial"/>
                <w:sz w:val="18"/>
                <w:szCs w:val="18"/>
                <w:lang w:val="es-ES"/>
              </w:rPr>
              <w:t xml:space="preserve">Como aproximación a la productividad del trabajo en la línea de base, en 2012, la remuneración mensual promedio de los asalariados registrados del sector privado fue de $6.389. La fuente es el Observatorio de Empleo y Dinámica Empresarial del Ministerio de Trabajo. Por su parte, para establecer la meta se consideró el trabajo de Crespi, G., Maffioli and Meléndez, M. (2013), quienes en encuentran en el caso de Colombia un impacto de intervenciones similares de alrededor de entre 10 y 15% en la </w:t>
            </w:r>
            <w:r w:rsidRPr="00B17644">
              <w:rPr>
                <w:rFonts w:ascii="Arial" w:hAnsi="Arial" w:cs="Arial"/>
                <w:sz w:val="18"/>
                <w:szCs w:val="18"/>
                <w:lang w:val="es-ES"/>
              </w:rPr>
              <w:lastRenderedPageBreak/>
              <w:t xml:space="preserve">productividad del trabajo. Donde el promedio del log de la productividad del trabajo es 10.93. </w:t>
            </w:r>
          </w:p>
        </w:tc>
        <w:tc>
          <w:tcPr>
            <w:tcW w:w="1710" w:type="dxa"/>
            <w:tcBorders>
              <w:top w:val="single" w:sz="4" w:space="0" w:color="auto"/>
              <w:left w:val="single" w:sz="4" w:space="0" w:color="auto"/>
              <w:bottom w:val="single" w:sz="4" w:space="0" w:color="auto"/>
              <w:right w:val="single" w:sz="4" w:space="0" w:color="auto"/>
            </w:tcBorders>
          </w:tcPr>
          <w:p w14:paraId="06698343" w14:textId="4A7F98DD" w:rsidR="00221674" w:rsidRPr="00B17644" w:rsidRDefault="00221674" w:rsidP="00221674">
            <w:pPr>
              <w:ind w:right="100"/>
              <w:jc w:val="center"/>
              <w:rPr>
                <w:rFonts w:ascii="Arial" w:hAnsi="Arial" w:cs="Arial"/>
                <w:sz w:val="18"/>
                <w:szCs w:val="18"/>
                <w:lang w:val="es-ES"/>
              </w:rPr>
            </w:pPr>
            <w:r w:rsidRPr="00B17644">
              <w:rPr>
                <w:rFonts w:ascii="Arial" w:hAnsi="Arial" w:cs="Arial"/>
                <w:sz w:val="18"/>
                <w:szCs w:val="18"/>
                <w:lang w:val="es-ES"/>
              </w:rPr>
              <w:lastRenderedPageBreak/>
              <w:t>No se registran.</w:t>
            </w:r>
          </w:p>
        </w:tc>
      </w:tr>
      <w:tr w:rsidR="00221674" w:rsidRPr="00B17644" w14:paraId="4F901A99" w14:textId="18DD66F3" w:rsidTr="00EE7E3E">
        <w:trPr>
          <w:trHeight w:val="293"/>
        </w:trPr>
        <w:tc>
          <w:tcPr>
            <w:tcW w:w="3060" w:type="dxa"/>
            <w:tcBorders>
              <w:top w:val="single" w:sz="4" w:space="0" w:color="auto"/>
              <w:left w:val="single" w:sz="4" w:space="0" w:color="auto"/>
              <w:bottom w:val="single" w:sz="4" w:space="0" w:color="auto"/>
              <w:right w:val="single" w:sz="4" w:space="0" w:color="auto"/>
            </w:tcBorders>
            <w:vAlign w:val="center"/>
          </w:tcPr>
          <w:p w14:paraId="3A7F2177" w14:textId="77777777" w:rsidR="00221674" w:rsidRPr="00B17644" w:rsidRDefault="00221674" w:rsidP="00B7706B">
            <w:pPr>
              <w:numPr>
                <w:ilvl w:val="0"/>
                <w:numId w:val="9"/>
              </w:numPr>
              <w:ind w:left="567" w:hanging="283"/>
              <w:rPr>
                <w:rFonts w:ascii="Arial" w:hAnsi="Arial" w:cs="Arial"/>
                <w:sz w:val="18"/>
                <w:szCs w:val="18"/>
                <w:lang w:val="es-PY"/>
              </w:rPr>
            </w:pPr>
            <w:r w:rsidRPr="00B17644">
              <w:rPr>
                <w:rFonts w:ascii="Arial" w:hAnsi="Arial" w:cs="Arial"/>
                <w:sz w:val="18"/>
                <w:szCs w:val="18"/>
                <w:shd w:val="clear" w:color="auto" w:fill="FFFFFF"/>
                <w:lang w:val="es-ES"/>
              </w:rPr>
              <w:t>Diferencia en el cambio porcentual en la inversión en actividades de innovación</w:t>
            </w:r>
            <w:r w:rsidRPr="00B17644">
              <w:rPr>
                <w:rFonts w:ascii="Arial" w:hAnsi="Arial" w:cs="Arial"/>
                <w:sz w:val="18"/>
                <w:szCs w:val="18"/>
                <w:shd w:val="clear" w:color="auto" w:fill="FFFFFF"/>
                <w:vertAlign w:val="superscript"/>
                <w:lang w:val="es-ES"/>
              </w:rPr>
              <w:footnoteReference w:id="7"/>
            </w:r>
            <w:r w:rsidRPr="00B17644">
              <w:rPr>
                <w:rFonts w:ascii="Arial" w:hAnsi="Arial" w:cs="Arial"/>
                <w:sz w:val="18"/>
                <w:szCs w:val="18"/>
                <w:shd w:val="clear" w:color="auto" w:fill="FFFFFF"/>
                <w:lang w:val="es-ES"/>
              </w:rPr>
              <w:t xml:space="preserve"> entre las empresas beneficiarias y el grupo de control.</w:t>
            </w:r>
          </w:p>
        </w:tc>
        <w:tc>
          <w:tcPr>
            <w:tcW w:w="1080" w:type="dxa"/>
            <w:tcBorders>
              <w:top w:val="single" w:sz="4" w:space="0" w:color="auto"/>
              <w:left w:val="single" w:sz="4" w:space="0" w:color="auto"/>
              <w:bottom w:val="single" w:sz="4" w:space="0" w:color="auto"/>
              <w:right w:val="single" w:sz="4" w:space="0" w:color="auto"/>
            </w:tcBorders>
            <w:vAlign w:val="center"/>
          </w:tcPr>
          <w:p w14:paraId="3A3396CA"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w:t>
            </w:r>
          </w:p>
        </w:tc>
        <w:tc>
          <w:tcPr>
            <w:tcW w:w="1080" w:type="dxa"/>
            <w:tcBorders>
              <w:top w:val="single" w:sz="4" w:space="0" w:color="auto"/>
              <w:left w:val="single" w:sz="4" w:space="0" w:color="auto"/>
              <w:bottom w:val="single" w:sz="4" w:space="0" w:color="auto"/>
              <w:right w:val="single" w:sz="4" w:space="0" w:color="auto"/>
            </w:tcBorders>
            <w:vAlign w:val="center"/>
          </w:tcPr>
          <w:p w14:paraId="682CA4F0" w14:textId="77777777" w:rsidR="00221674" w:rsidRPr="00B17644" w:rsidRDefault="00221674" w:rsidP="00724613">
            <w:pPr>
              <w:jc w:val="center"/>
              <w:rPr>
                <w:rFonts w:ascii="Arial" w:hAnsi="Arial" w:cs="Arial"/>
                <w:sz w:val="18"/>
                <w:szCs w:val="18"/>
                <w:lang w:val="es-PY"/>
              </w:rPr>
            </w:pPr>
            <w:r w:rsidRPr="00B17644">
              <w:rPr>
                <w:rFonts w:ascii="Arial" w:hAnsi="Arial" w:cs="Arial"/>
                <w:sz w:val="18"/>
                <w:szCs w:val="18"/>
                <w:lang w:val="es-PY"/>
              </w:rPr>
              <w:t>0</w:t>
            </w:r>
          </w:p>
        </w:tc>
        <w:tc>
          <w:tcPr>
            <w:tcW w:w="1440" w:type="dxa"/>
            <w:tcBorders>
              <w:top w:val="single" w:sz="4" w:space="0" w:color="auto"/>
              <w:left w:val="single" w:sz="4" w:space="0" w:color="auto"/>
              <w:bottom w:val="single" w:sz="4" w:space="0" w:color="auto"/>
              <w:right w:val="single" w:sz="4" w:space="0" w:color="auto"/>
            </w:tcBorders>
            <w:vAlign w:val="center"/>
          </w:tcPr>
          <w:p w14:paraId="13C07810"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15%</w:t>
            </w:r>
          </w:p>
        </w:tc>
        <w:tc>
          <w:tcPr>
            <w:tcW w:w="5390" w:type="dxa"/>
            <w:gridSpan w:val="2"/>
            <w:tcBorders>
              <w:top w:val="single" w:sz="4" w:space="0" w:color="auto"/>
              <w:left w:val="single" w:sz="4" w:space="0" w:color="auto"/>
              <w:bottom w:val="single" w:sz="4" w:space="0" w:color="auto"/>
              <w:right w:val="single" w:sz="4" w:space="0" w:color="auto"/>
            </w:tcBorders>
            <w:vAlign w:val="center"/>
          </w:tcPr>
          <w:p w14:paraId="59CAAE5D" w14:textId="77777777" w:rsidR="00221674" w:rsidRPr="00B17644" w:rsidRDefault="00221674" w:rsidP="00724613">
            <w:pPr>
              <w:ind w:right="100"/>
              <w:jc w:val="both"/>
              <w:rPr>
                <w:rFonts w:ascii="Arial" w:hAnsi="Arial" w:cs="Arial"/>
                <w:sz w:val="18"/>
                <w:szCs w:val="18"/>
                <w:lang w:val="es-ES"/>
              </w:rPr>
            </w:pPr>
            <w:r w:rsidRPr="00B17644">
              <w:rPr>
                <w:rFonts w:ascii="Arial" w:hAnsi="Arial" w:cs="Arial"/>
                <w:sz w:val="18"/>
                <w:szCs w:val="18"/>
                <w:lang w:val="es-ES"/>
              </w:rPr>
              <w:t>Se calcula a través del método de diferencias en diferencias entre empresas con becados por el programa y empresas no becados que aplicaron al programa pero no recibieron beca alguna. Se realizará una encuesta con las empresas beneficiarias y con el grupo de control (línea de base y seguimiento). Para ello, se requerirá el compromiso firmado de todas las empresas de contestar la encuesta de seguimiento independientemente de si recibieron el beneficio o no. En cuanto a la situación de base, en 2007, según el INDEC, la inversión en actividades innovativas en relación a las ventas fue de 1,43%. Para establecer la meta se consideraron los resultados de programas de la región para promover la innovación empresarial.</w:t>
            </w:r>
          </w:p>
        </w:tc>
        <w:tc>
          <w:tcPr>
            <w:tcW w:w="1710" w:type="dxa"/>
            <w:tcBorders>
              <w:top w:val="single" w:sz="4" w:space="0" w:color="auto"/>
              <w:left w:val="single" w:sz="4" w:space="0" w:color="auto"/>
              <w:bottom w:val="single" w:sz="4" w:space="0" w:color="auto"/>
              <w:right w:val="single" w:sz="4" w:space="0" w:color="auto"/>
            </w:tcBorders>
          </w:tcPr>
          <w:p w14:paraId="00C3484E" w14:textId="15BA5D20" w:rsidR="00221674" w:rsidRPr="00B17644" w:rsidRDefault="00221674" w:rsidP="00221674">
            <w:pPr>
              <w:ind w:right="100"/>
              <w:jc w:val="center"/>
              <w:rPr>
                <w:rFonts w:ascii="Arial" w:hAnsi="Arial" w:cs="Arial"/>
                <w:sz w:val="18"/>
                <w:szCs w:val="18"/>
                <w:lang w:val="es-ES"/>
              </w:rPr>
            </w:pPr>
            <w:r w:rsidRPr="00B17644">
              <w:rPr>
                <w:rFonts w:ascii="Arial" w:hAnsi="Arial" w:cs="Arial"/>
                <w:sz w:val="18"/>
                <w:szCs w:val="18"/>
                <w:lang w:val="es-ES"/>
              </w:rPr>
              <w:t>No se registran.</w:t>
            </w:r>
          </w:p>
        </w:tc>
      </w:tr>
      <w:tr w:rsidR="00221674" w:rsidRPr="00B17644" w14:paraId="53E33679" w14:textId="5EB98B83" w:rsidTr="00EE7E3E">
        <w:trPr>
          <w:trHeight w:val="293"/>
        </w:trPr>
        <w:tc>
          <w:tcPr>
            <w:tcW w:w="3060" w:type="dxa"/>
            <w:tcBorders>
              <w:top w:val="single" w:sz="4" w:space="0" w:color="auto"/>
              <w:left w:val="single" w:sz="4" w:space="0" w:color="auto"/>
              <w:bottom w:val="single" w:sz="4" w:space="0" w:color="auto"/>
              <w:right w:val="single" w:sz="4" w:space="0" w:color="auto"/>
            </w:tcBorders>
            <w:vAlign w:val="center"/>
          </w:tcPr>
          <w:p w14:paraId="6659403D" w14:textId="77777777" w:rsidR="00221674" w:rsidRPr="00B17644" w:rsidRDefault="00221674" w:rsidP="00B7706B">
            <w:pPr>
              <w:numPr>
                <w:ilvl w:val="0"/>
                <w:numId w:val="9"/>
              </w:numPr>
              <w:ind w:left="567" w:hanging="283"/>
              <w:rPr>
                <w:rFonts w:ascii="Arial" w:hAnsi="Arial" w:cs="Arial"/>
                <w:sz w:val="18"/>
                <w:szCs w:val="18"/>
                <w:lang w:val="es-PY"/>
              </w:rPr>
            </w:pPr>
            <w:r w:rsidRPr="00B17644">
              <w:rPr>
                <w:rFonts w:ascii="Arial" w:hAnsi="Arial" w:cs="Arial"/>
                <w:sz w:val="18"/>
                <w:szCs w:val="18"/>
                <w:shd w:val="clear" w:color="auto" w:fill="FFFFFF"/>
                <w:lang w:val="es-ES"/>
              </w:rPr>
              <w:t>Diferencia en la producción científica (medida por cantidad de publicaciones) entre los beneficiarios de las becas para doctorados y personal de instituciones de CTI y el grupo de control.</w:t>
            </w:r>
          </w:p>
        </w:tc>
        <w:tc>
          <w:tcPr>
            <w:tcW w:w="1080" w:type="dxa"/>
            <w:tcBorders>
              <w:top w:val="single" w:sz="4" w:space="0" w:color="auto"/>
              <w:left w:val="single" w:sz="4" w:space="0" w:color="auto"/>
              <w:bottom w:val="single" w:sz="4" w:space="0" w:color="auto"/>
              <w:right w:val="single" w:sz="4" w:space="0" w:color="auto"/>
            </w:tcBorders>
            <w:vAlign w:val="center"/>
          </w:tcPr>
          <w:p w14:paraId="09024A24"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w:t>
            </w:r>
          </w:p>
        </w:tc>
        <w:tc>
          <w:tcPr>
            <w:tcW w:w="1080" w:type="dxa"/>
            <w:tcBorders>
              <w:top w:val="single" w:sz="4" w:space="0" w:color="auto"/>
              <w:left w:val="single" w:sz="4" w:space="0" w:color="auto"/>
              <w:bottom w:val="single" w:sz="4" w:space="0" w:color="auto"/>
              <w:right w:val="single" w:sz="4" w:space="0" w:color="auto"/>
            </w:tcBorders>
            <w:vAlign w:val="center"/>
          </w:tcPr>
          <w:p w14:paraId="37E302B9" w14:textId="77777777" w:rsidR="00221674" w:rsidRPr="00B17644" w:rsidRDefault="00221674" w:rsidP="00724613">
            <w:pPr>
              <w:jc w:val="center"/>
              <w:rPr>
                <w:rFonts w:ascii="Arial" w:hAnsi="Arial" w:cs="Arial"/>
                <w:sz w:val="18"/>
                <w:szCs w:val="18"/>
                <w:lang w:val="es-PY"/>
              </w:rPr>
            </w:pPr>
            <w:r w:rsidRPr="00B17644">
              <w:rPr>
                <w:rFonts w:ascii="Arial" w:hAnsi="Arial" w:cs="Arial"/>
                <w:sz w:val="18"/>
                <w:szCs w:val="18"/>
                <w:lang w:val="es-PY"/>
              </w:rPr>
              <w:t>0</w:t>
            </w:r>
          </w:p>
        </w:tc>
        <w:tc>
          <w:tcPr>
            <w:tcW w:w="1440" w:type="dxa"/>
            <w:tcBorders>
              <w:top w:val="single" w:sz="4" w:space="0" w:color="auto"/>
              <w:left w:val="single" w:sz="4" w:space="0" w:color="auto"/>
              <w:bottom w:val="single" w:sz="4" w:space="0" w:color="auto"/>
              <w:right w:val="single" w:sz="4" w:space="0" w:color="auto"/>
            </w:tcBorders>
            <w:vAlign w:val="center"/>
          </w:tcPr>
          <w:p w14:paraId="1AEC3D2A" w14:textId="77777777" w:rsidR="00221674" w:rsidRPr="00B17644" w:rsidRDefault="00221674" w:rsidP="00724613">
            <w:pPr>
              <w:jc w:val="center"/>
              <w:rPr>
                <w:rFonts w:ascii="Arial" w:hAnsi="Arial" w:cs="Arial"/>
                <w:bCs/>
                <w:sz w:val="18"/>
                <w:szCs w:val="18"/>
                <w:lang w:val="es-PY"/>
              </w:rPr>
            </w:pPr>
            <w:r w:rsidRPr="00B17644">
              <w:rPr>
                <w:rFonts w:ascii="Arial" w:hAnsi="Arial" w:cs="Arial"/>
                <w:bCs/>
                <w:sz w:val="18"/>
                <w:szCs w:val="18"/>
                <w:lang w:val="es-PY"/>
              </w:rPr>
              <w:t>40%</w:t>
            </w:r>
          </w:p>
        </w:tc>
        <w:tc>
          <w:tcPr>
            <w:tcW w:w="5390" w:type="dxa"/>
            <w:gridSpan w:val="2"/>
            <w:tcBorders>
              <w:top w:val="single" w:sz="4" w:space="0" w:color="auto"/>
              <w:left w:val="single" w:sz="4" w:space="0" w:color="auto"/>
              <w:bottom w:val="single" w:sz="4" w:space="0" w:color="auto"/>
              <w:right w:val="single" w:sz="4" w:space="0" w:color="auto"/>
            </w:tcBorders>
            <w:vAlign w:val="center"/>
          </w:tcPr>
          <w:p w14:paraId="73F33272" w14:textId="68588B26" w:rsidR="00221674" w:rsidRPr="00B17644" w:rsidRDefault="00221674" w:rsidP="00724613">
            <w:pPr>
              <w:ind w:right="100"/>
              <w:jc w:val="both"/>
              <w:rPr>
                <w:rFonts w:ascii="Arial" w:hAnsi="Arial" w:cs="Arial"/>
                <w:sz w:val="18"/>
                <w:szCs w:val="18"/>
                <w:lang w:val="es-ES"/>
              </w:rPr>
            </w:pPr>
            <w:r w:rsidRPr="00B17644">
              <w:rPr>
                <w:rFonts w:ascii="Arial" w:hAnsi="Arial" w:cs="Arial"/>
                <w:iCs/>
                <w:sz w:val="18"/>
                <w:szCs w:val="18"/>
                <w:lang w:val="es-ES"/>
              </w:rPr>
              <w:t xml:space="preserve">Se </w:t>
            </w:r>
            <w:r w:rsidR="000D551C" w:rsidRPr="00B17644">
              <w:rPr>
                <w:rFonts w:ascii="Arial" w:hAnsi="Arial" w:cs="Arial"/>
                <w:iCs/>
                <w:sz w:val="18"/>
                <w:szCs w:val="18"/>
                <w:lang w:val="es-ES"/>
              </w:rPr>
              <w:t>utilizará</w:t>
            </w:r>
            <w:r w:rsidRPr="00B17644">
              <w:rPr>
                <w:rFonts w:ascii="Arial" w:hAnsi="Arial" w:cs="Arial"/>
                <w:iCs/>
                <w:sz w:val="18"/>
                <w:szCs w:val="18"/>
                <w:lang w:val="es-ES"/>
              </w:rPr>
              <w:t xml:space="preserve"> la base de datos de la unidad ejecutora y bases de datos de publicaciones científicas y tecnológicas (SCI, SCOPUS). Esta información se complementará con una encuesta con los beneficiarios de las becas para doctorados y personal de instituciones de CTI y el grupo de control (línea de base y seguimiento). </w:t>
            </w:r>
            <w:r w:rsidRPr="00B17644">
              <w:rPr>
                <w:rFonts w:ascii="Arial" w:hAnsi="Arial" w:cs="Arial"/>
                <w:sz w:val="18"/>
                <w:szCs w:val="18"/>
                <w:lang w:val="es-ES"/>
              </w:rPr>
              <w:t xml:space="preserve">En cuanto a la línea de base, en 2010, por cada 100 investigadores a tiempo completo se registraron 11,4 publicaciones en el Índice de Citas Científicas (SCI por sus siglas en inglés). Con respecto a la meta, se tomó en cuenta el trabajo de </w:t>
            </w:r>
            <w:r w:rsidRPr="00B17644">
              <w:rPr>
                <w:rFonts w:ascii="Arial" w:hAnsi="Arial" w:cs="Arial"/>
                <w:sz w:val="18"/>
                <w:szCs w:val="18"/>
              </w:rPr>
              <w:t>Benavente, J., Crespi, G., Figal Garone, L., Maffioli, A., (2012), quienes encuentran que en el caso de FONDECYT de Chile</w:t>
            </w:r>
            <w:r w:rsidRPr="00B17644">
              <w:rPr>
                <w:rFonts w:ascii="Arial" w:hAnsi="Arial" w:cs="Arial"/>
                <w:sz w:val="18"/>
                <w:szCs w:val="18"/>
                <w:lang w:val="es-ES"/>
              </w:rPr>
              <w:t xml:space="preserve"> hubo un impacto de alrededor de 3 publicaciones adicionales en una ventana de seis años. Donde el promedio para esa ventana es de 4 publicaciones (con un desvío de 12). </w:t>
            </w:r>
          </w:p>
        </w:tc>
        <w:tc>
          <w:tcPr>
            <w:tcW w:w="1710" w:type="dxa"/>
            <w:tcBorders>
              <w:top w:val="single" w:sz="4" w:space="0" w:color="auto"/>
              <w:left w:val="single" w:sz="4" w:space="0" w:color="auto"/>
              <w:bottom w:val="single" w:sz="4" w:space="0" w:color="auto"/>
              <w:right w:val="single" w:sz="4" w:space="0" w:color="auto"/>
            </w:tcBorders>
          </w:tcPr>
          <w:p w14:paraId="0F29FCC2" w14:textId="13EE2BDA" w:rsidR="00221674" w:rsidRPr="00B17644" w:rsidRDefault="00221674" w:rsidP="00221674">
            <w:pPr>
              <w:ind w:right="100"/>
              <w:jc w:val="center"/>
              <w:rPr>
                <w:rFonts w:ascii="Arial" w:hAnsi="Arial" w:cs="Arial"/>
                <w:iCs/>
                <w:sz w:val="18"/>
                <w:szCs w:val="18"/>
                <w:lang w:val="es-ES"/>
              </w:rPr>
            </w:pPr>
            <w:r w:rsidRPr="00B17644">
              <w:rPr>
                <w:rFonts w:ascii="Arial" w:hAnsi="Arial" w:cs="Arial"/>
                <w:sz w:val="18"/>
                <w:szCs w:val="18"/>
                <w:lang w:val="es-ES"/>
              </w:rPr>
              <w:t>No se registran.</w:t>
            </w:r>
          </w:p>
        </w:tc>
      </w:tr>
    </w:tbl>
    <w:p w14:paraId="4EADB1EC" w14:textId="77777777" w:rsidR="00221674" w:rsidRPr="00221674" w:rsidRDefault="00221674" w:rsidP="00221674">
      <w:pPr>
        <w:rPr>
          <w:rFonts w:ascii="Arial" w:hAnsi="Arial" w:cs="Arial"/>
          <w:b/>
          <w:sz w:val="20"/>
          <w:lang w:val="es-PY"/>
        </w:rPr>
      </w:pPr>
    </w:p>
    <w:p w14:paraId="36731AD7" w14:textId="55AA315B" w:rsidR="00221674" w:rsidRPr="00BC257C" w:rsidRDefault="00BC257C" w:rsidP="00BC257C">
      <w:pPr>
        <w:pStyle w:val="ListParagraph"/>
        <w:spacing w:before="240" w:after="240"/>
        <w:ind w:left="360"/>
        <w:jc w:val="center"/>
        <w:textAlignment w:val="baseline"/>
        <w:rPr>
          <w:rFonts w:ascii="Arial" w:hAnsi="Arial" w:cs="Arial"/>
          <w:sz w:val="18"/>
          <w:szCs w:val="18"/>
          <w:lang w:val="es-419"/>
        </w:rPr>
      </w:pPr>
      <w:r>
        <w:rPr>
          <w:rFonts w:ascii="Arial" w:hAnsi="Arial" w:cs="Arial"/>
          <w:b/>
          <w:bCs/>
          <w:smallCaps/>
          <w:color w:val="000000"/>
          <w:sz w:val="18"/>
          <w:szCs w:val="18"/>
          <w:lang w:val="es-419"/>
        </w:rPr>
        <w:t>Productos</w:t>
      </w:r>
      <w:r w:rsidRPr="00035173">
        <w:rPr>
          <w:rFonts w:ascii="Arial" w:hAnsi="Arial" w:cs="Arial"/>
          <w:b/>
          <w:bCs/>
          <w:smallCaps/>
          <w:color w:val="000000"/>
          <w:sz w:val="18"/>
          <w:szCs w:val="18"/>
          <w:lang w:val="es-419"/>
        </w:rPr>
        <w:t xml:space="preserve"> Esperados</w:t>
      </w:r>
    </w:p>
    <w:tbl>
      <w:tblPr>
        <w:tblpPr w:leftFromText="141" w:rightFromText="141" w:vertAnchor="text"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810"/>
        <w:gridCol w:w="810"/>
        <w:gridCol w:w="810"/>
        <w:gridCol w:w="810"/>
        <w:gridCol w:w="810"/>
        <w:gridCol w:w="810"/>
        <w:gridCol w:w="900"/>
        <w:gridCol w:w="900"/>
        <w:gridCol w:w="810"/>
        <w:gridCol w:w="990"/>
        <w:gridCol w:w="1800"/>
        <w:gridCol w:w="1800"/>
      </w:tblGrid>
      <w:tr w:rsidR="006E779D" w:rsidRPr="00B17644" w14:paraId="1A4CF196" w14:textId="32AD3572" w:rsidTr="00E273B5">
        <w:trPr>
          <w:tblHeader/>
        </w:trPr>
        <w:tc>
          <w:tcPr>
            <w:tcW w:w="2515" w:type="dxa"/>
            <w:shd w:val="clear" w:color="auto" w:fill="F2F2F2" w:themeFill="background1" w:themeFillShade="F2"/>
            <w:vAlign w:val="center"/>
          </w:tcPr>
          <w:p w14:paraId="78D97DF2" w14:textId="77777777" w:rsidR="006E779D" w:rsidRPr="00B17644" w:rsidRDefault="006E779D" w:rsidP="00724613">
            <w:pPr>
              <w:rPr>
                <w:rFonts w:ascii="Arial" w:hAnsi="Arial" w:cs="Arial"/>
                <w:b/>
                <w:i/>
                <w:sz w:val="18"/>
                <w:szCs w:val="18"/>
                <w:lang w:val="es-PY"/>
              </w:rPr>
            </w:pPr>
            <w:r w:rsidRPr="00B17644">
              <w:rPr>
                <w:rFonts w:ascii="Arial" w:hAnsi="Arial" w:cs="Arial"/>
                <w:b/>
                <w:i/>
                <w:sz w:val="18"/>
                <w:szCs w:val="18"/>
                <w:lang w:val="es-PY"/>
              </w:rPr>
              <w:t>Componente</w:t>
            </w:r>
          </w:p>
        </w:tc>
        <w:tc>
          <w:tcPr>
            <w:tcW w:w="810" w:type="dxa"/>
            <w:shd w:val="clear" w:color="auto" w:fill="F2F2F2" w:themeFill="background1" w:themeFillShade="F2"/>
            <w:vAlign w:val="center"/>
          </w:tcPr>
          <w:p w14:paraId="4AC1B6EF"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Base</w:t>
            </w:r>
          </w:p>
        </w:tc>
        <w:tc>
          <w:tcPr>
            <w:tcW w:w="810" w:type="dxa"/>
            <w:shd w:val="clear" w:color="auto" w:fill="F2F2F2" w:themeFill="background1" w:themeFillShade="F2"/>
            <w:vAlign w:val="center"/>
          </w:tcPr>
          <w:p w14:paraId="0493B8C8"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1</w:t>
            </w:r>
          </w:p>
        </w:tc>
        <w:tc>
          <w:tcPr>
            <w:tcW w:w="810" w:type="dxa"/>
            <w:shd w:val="clear" w:color="auto" w:fill="F2F2F2" w:themeFill="background1" w:themeFillShade="F2"/>
            <w:vAlign w:val="center"/>
          </w:tcPr>
          <w:p w14:paraId="32248ED9"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2</w:t>
            </w:r>
          </w:p>
        </w:tc>
        <w:tc>
          <w:tcPr>
            <w:tcW w:w="810" w:type="dxa"/>
            <w:shd w:val="clear" w:color="auto" w:fill="F2F2F2" w:themeFill="background1" w:themeFillShade="F2"/>
            <w:vAlign w:val="center"/>
          </w:tcPr>
          <w:p w14:paraId="3F88EB88"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3</w:t>
            </w:r>
          </w:p>
        </w:tc>
        <w:tc>
          <w:tcPr>
            <w:tcW w:w="810" w:type="dxa"/>
            <w:shd w:val="clear" w:color="auto" w:fill="F2F2F2" w:themeFill="background1" w:themeFillShade="F2"/>
            <w:vAlign w:val="center"/>
          </w:tcPr>
          <w:p w14:paraId="02C08BF0"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4</w:t>
            </w:r>
          </w:p>
        </w:tc>
        <w:tc>
          <w:tcPr>
            <w:tcW w:w="810" w:type="dxa"/>
            <w:shd w:val="clear" w:color="auto" w:fill="F2F2F2" w:themeFill="background1" w:themeFillShade="F2"/>
            <w:vAlign w:val="center"/>
          </w:tcPr>
          <w:p w14:paraId="2FC52D43"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5</w:t>
            </w:r>
          </w:p>
        </w:tc>
        <w:tc>
          <w:tcPr>
            <w:tcW w:w="900" w:type="dxa"/>
            <w:shd w:val="clear" w:color="auto" w:fill="F2F2F2" w:themeFill="background1" w:themeFillShade="F2"/>
            <w:vAlign w:val="center"/>
          </w:tcPr>
          <w:p w14:paraId="3A662A3A"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6</w:t>
            </w:r>
          </w:p>
        </w:tc>
        <w:tc>
          <w:tcPr>
            <w:tcW w:w="900" w:type="dxa"/>
            <w:shd w:val="clear" w:color="auto" w:fill="F2F2F2" w:themeFill="background1" w:themeFillShade="F2"/>
            <w:vAlign w:val="center"/>
          </w:tcPr>
          <w:p w14:paraId="7C6EB71A"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Año 7</w:t>
            </w:r>
          </w:p>
        </w:tc>
        <w:tc>
          <w:tcPr>
            <w:tcW w:w="810" w:type="dxa"/>
            <w:shd w:val="clear" w:color="auto" w:fill="F2F2F2" w:themeFill="background1" w:themeFillShade="F2"/>
            <w:vAlign w:val="center"/>
          </w:tcPr>
          <w:p w14:paraId="3E735DF3"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Total</w:t>
            </w:r>
          </w:p>
        </w:tc>
        <w:tc>
          <w:tcPr>
            <w:tcW w:w="990" w:type="dxa"/>
            <w:shd w:val="clear" w:color="auto" w:fill="F2F2F2" w:themeFill="background1" w:themeFillShade="F2"/>
            <w:vAlign w:val="center"/>
          </w:tcPr>
          <w:p w14:paraId="6AE816B4"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sz w:val="18"/>
                <w:szCs w:val="18"/>
                <w:lang w:val="es-PY"/>
              </w:rPr>
              <w:t>Unidad de medida</w:t>
            </w:r>
          </w:p>
        </w:tc>
        <w:tc>
          <w:tcPr>
            <w:tcW w:w="1800" w:type="dxa"/>
            <w:shd w:val="clear" w:color="auto" w:fill="F2F2F2" w:themeFill="background1" w:themeFillShade="F2"/>
            <w:vAlign w:val="center"/>
          </w:tcPr>
          <w:p w14:paraId="64BBF904" w14:textId="77777777" w:rsidR="006E779D" w:rsidRPr="00B17644" w:rsidRDefault="006E779D" w:rsidP="00724613">
            <w:pPr>
              <w:jc w:val="center"/>
              <w:rPr>
                <w:rFonts w:ascii="Arial" w:hAnsi="Arial" w:cs="Arial"/>
                <w:b/>
                <w:bCs/>
                <w:sz w:val="18"/>
                <w:szCs w:val="18"/>
                <w:lang w:val="es-PY"/>
              </w:rPr>
            </w:pPr>
            <w:r w:rsidRPr="00B17644">
              <w:rPr>
                <w:rFonts w:ascii="Arial" w:hAnsi="Arial" w:cs="Arial"/>
                <w:b/>
                <w:bCs/>
                <w:color w:val="000000"/>
                <w:sz w:val="18"/>
                <w:szCs w:val="18"/>
                <w:lang w:val="es-PY"/>
              </w:rPr>
              <w:t>Medios de Verificación / Comentarios</w:t>
            </w:r>
          </w:p>
        </w:tc>
        <w:tc>
          <w:tcPr>
            <w:tcW w:w="1800" w:type="dxa"/>
            <w:shd w:val="clear" w:color="auto" w:fill="F2F2F2" w:themeFill="background1" w:themeFillShade="F2"/>
            <w:vAlign w:val="center"/>
          </w:tcPr>
          <w:p w14:paraId="39E82B9C" w14:textId="0B115211" w:rsidR="006E779D" w:rsidRPr="00B17644" w:rsidRDefault="006E779D" w:rsidP="00533683">
            <w:pPr>
              <w:jc w:val="center"/>
              <w:rPr>
                <w:rFonts w:ascii="Arial" w:hAnsi="Arial" w:cs="Arial"/>
                <w:b/>
                <w:bCs/>
                <w:color w:val="000000"/>
                <w:sz w:val="18"/>
                <w:szCs w:val="18"/>
                <w:lang w:val="es-PY"/>
              </w:rPr>
            </w:pPr>
            <w:r w:rsidRPr="00B17644">
              <w:rPr>
                <w:rFonts w:ascii="Arial" w:hAnsi="Arial" w:cs="Arial"/>
                <w:b/>
                <w:bCs/>
                <w:color w:val="000000"/>
                <w:sz w:val="18"/>
                <w:szCs w:val="18"/>
                <w:lang w:val="es-PY"/>
              </w:rPr>
              <w:t>Cambios a la matriz original</w:t>
            </w:r>
          </w:p>
        </w:tc>
      </w:tr>
      <w:tr w:rsidR="006E779D" w:rsidRPr="00B17644" w14:paraId="74C69933" w14:textId="6280884C" w:rsidTr="006E779D">
        <w:tc>
          <w:tcPr>
            <w:tcW w:w="12775" w:type="dxa"/>
            <w:gridSpan w:val="12"/>
            <w:shd w:val="clear" w:color="auto" w:fill="ACB9CA" w:themeFill="text2" w:themeFillTint="66"/>
          </w:tcPr>
          <w:p w14:paraId="14DCC6E2" w14:textId="77777777" w:rsidR="006E779D" w:rsidRPr="00B17644" w:rsidRDefault="006E779D" w:rsidP="00724613">
            <w:pPr>
              <w:jc w:val="both"/>
              <w:rPr>
                <w:rFonts w:ascii="Arial" w:hAnsi="Arial" w:cs="Arial"/>
                <w:b/>
                <w:sz w:val="18"/>
                <w:szCs w:val="18"/>
                <w:lang w:val="es-PY"/>
              </w:rPr>
            </w:pPr>
            <w:r w:rsidRPr="00B17644">
              <w:rPr>
                <w:rFonts w:ascii="Arial" w:hAnsi="Arial" w:cs="Arial"/>
                <w:b/>
                <w:bCs/>
                <w:sz w:val="18"/>
                <w:szCs w:val="18"/>
                <w:lang w:val="es-PY"/>
              </w:rPr>
              <w:t xml:space="preserve">Componente I: </w:t>
            </w:r>
            <w:r w:rsidRPr="00B17644">
              <w:rPr>
                <w:rFonts w:ascii="Arial" w:hAnsi="Arial" w:cs="Arial"/>
                <w:b/>
                <w:bCs/>
                <w:sz w:val="18"/>
                <w:szCs w:val="18"/>
                <w:lang w:val="es-ES"/>
              </w:rPr>
              <w:t xml:space="preserve">Mejoramiento del capital humano avanzado a través del otorgamiento de </w:t>
            </w:r>
            <w:r w:rsidRPr="00B17644">
              <w:rPr>
                <w:rFonts w:ascii="Arial" w:hAnsi="Arial" w:cs="Arial"/>
                <w:b/>
                <w:bCs/>
                <w:sz w:val="18"/>
                <w:szCs w:val="18"/>
                <w:lang w:val="es-PY"/>
              </w:rPr>
              <w:t>becas de maestrías en áreas prioritarias de ciencia y tecnología.</w:t>
            </w:r>
          </w:p>
        </w:tc>
        <w:tc>
          <w:tcPr>
            <w:tcW w:w="1800" w:type="dxa"/>
            <w:shd w:val="clear" w:color="auto" w:fill="ACB9CA" w:themeFill="text2" w:themeFillTint="66"/>
          </w:tcPr>
          <w:p w14:paraId="77F9B1E2" w14:textId="77777777" w:rsidR="006E779D" w:rsidRPr="00B17644" w:rsidRDefault="006E779D" w:rsidP="00724613">
            <w:pPr>
              <w:jc w:val="both"/>
              <w:rPr>
                <w:rFonts w:ascii="Arial" w:hAnsi="Arial" w:cs="Arial"/>
                <w:b/>
                <w:bCs/>
                <w:sz w:val="18"/>
                <w:szCs w:val="18"/>
                <w:lang w:val="es-PY"/>
              </w:rPr>
            </w:pPr>
          </w:p>
        </w:tc>
      </w:tr>
      <w:tr w:rsidR="006E779D" w:rsidRPr="00B17644" w14:paraId="30A87ED7" w14:textId="1C945082" w:rsidTr="006E779D">
        <w:tc>
          <w:tcPr>
            <w:tcW w:w="2515" w:type="dxa"/>
            <w:shd w:val="clear" w:color="auto" w:fill="D9D9D9"/>
          </w:tcPr>
          <w:p w14:paraId="01F03636" w14:textId="77777777" w:rsidR="006E779D" w:rsidRPr="00B17644" w:rsidRDefault="006E779D" w:rsidP="00B7706B">
            <w:pPr>
              <w:numPr>
                <w:ilvl w:val="0"/>
                <w:numId w:val="7"/>
              </w:numPr>
              <w:ind w:left="426" w:hanging="284"/>
              <w:contextualSpacing/>
              <w:jc w:val="both"/>
              <w:rPr>
                <w:rFonts w:ascii="Arial" w:hAnsi="Arial" w:cs="Arial"/>
                <w:sz w:val="18"/>
                <w:szCs w:val="18"/>
                <w:lang w:val="es-PY"/>
              </w:rPr>
            </w:pPr>
            <w:r w:rsidRPr="00B17644">
              <w:rPr>
                <w:rFonts w:ascii="Arial" w:hAnsi="Arial" w:cs="Arial"/>
                <w:b/>
                <w:sz w:val="18"/>
                <w:szCs w:val="18"/>
                <w:lang w:val="es-PY"/>
              </w:rPr>
              <w:t xml:space="preserve">Indicador de Producto 1: </w:t>
            </w:r>
          </w:p>
        </w:tc>
        <w:tc>
          <w:tcPr>
            <w:tcW w:w="10260" w:type="dxa"/>
            <w:gridSpan w:val="11"/>
            <w:shd w:val="clear" w:color="auto" w:fill="D9D9D9"/>
          </w:tcPr>
          <w:p w14:paraId="775C72AE" w14:textId="77777777" w:rsidR="006E779D" w:rsidRPr="00B17644" w:rsidRDefault="006E779D" w:rsidP="00101CB9">
            <w:pPr>
              <w:jc w:val="both"/>
              <w:rPr>
                <w:rFonts w:ascii="Arial" w:hAnsi="Arial" w:cs="Arial"/>
                <w:b/>
                <w:sz w:val="18"/>
                <w:szCs w:val="18"/>
                <w:lang w:val="es-PY"/>
              </w:rPr>
            </w:pPr>
            <w:r w:rsidRPr="00B17644">
              <w:rPr>
                <w:rFonts w:ascii="Arial" w:hAnsi="Arial" w:cs="Arial"/>
                <w:b/>
                <w:sz w:val="18"/>
                <w:szCs w:val="18"/>
                <w:lang w:val="es-PY"/>
              </w:rPr>
              <w:t>Becas para maestrías en ciencia y tecnología</w:t>
            </w:r>
          </w:p>
        </w:tc>
        <w:tc>
          <w:tcPr>
            <w:tcW w:w="1800" w:type="dxa"/>
            <w:shd w:val="clear" w:color="auto" w:fill="D9D9D9"/>
          </w:tcPr>
          <w:p w14:paraId="00E14DD8" w14:textId="70044FF2" w:rsidR="006E779D" w:rsidRPr="00B17644" w:rsidRDefault="00873EDB" w:rsidP="00873EDB">
            <w:pPr>
              <w:jc w:val="both"/>
              <w:rPr>
                <w:rFonts w:ascii="Arial" w:hAnsi="Arial" w:cs="Arial"/>
                <w:b/>
                <w:sz w:val="18"/>
                <w:szCs w:val="18"/>
                <w:lang w:val="es-PY"/>
              </w:rPr>
            </w:pPr>
            <w:r w:rsidRPr="00B17644">
              <w:rPr>
                <w:rFonts w:ascii="Arial" w:hAnsi="Arial" w:cs="Arial"/>
                <w:sz w:val="18"/>
                <w:szCs w:val="18"/>
                <w:lang w:val="es-ES"/>
              </w:rPr>
              <w:t xml:space="preserve">No se registran cambios en el </w:t>
            </w:r>
            <w:r w:rsidR="00FA136E" w:rsidRPr="00B17644">
              <w:rPr>
                <w:rFonts w:ascii="Arial" w:hAnsi="Arial" w:cs="Arial"/>
                <w:sz w:val="18"/>
                <w:szCs w:val="18"/>
                <w:lang w:val="es-ES"/>
              </w:rPr>
              <w:t>indicador</w:t>
            </w:r>
            <w:r w:rsidRPr="00B17644">
              <w:rPr>
                <w:rFonts w:ascii="Arial" w:hAnsi="Arial" w:cs="Arial"/>
                <w:sz w:val="18"/>
                <w:szCs w:val="18"/>
                <w:lang w:val="es-ES"/>
              </w:rPr>
              <w:t>.</w:t>
            </w:r>
          </w:p>
        </w:tc>
      </w:tr>
      <w:tr w:rsidR="006E779D" w:rsidRPr="00B17644" w14:paraId="39E79E63" w14:textId="0C23698B" w:rsidTr="006E779D">
        <w:tc>
          <w:tcPr>
            <w:tcW w:w="2515" w:type="dxa"/>
            <w:shd w:val="clear" w:color="auto" w:fill="auto"/>
          </w:tcPr>
          <w:p w14:paraId="4B16D1CD" w14:textId="77777777" w:rsidR="006E779D" w:rsidRPr="00B17644" w:rsidRDefault="006E779D" w:rsidP="00B7706B">
            <w:pPr>
              <w:numPr>
                <w:ilvl w:val="0"/>
                <w:numId w:val="6"/>
              </w:numPr>
              <w:ind w:left="426" w:hanging="284"/>
              <w:contextualSpacing/>
              <w:rPr>
                <w:rFonts w:ascii="Arial" w:hAnsi="Arial" w:cs="Arial"/>
                <w:sz w:val="18"/>
                <w:szCs w:val="18"/>
                <w:lang w:val="es-PY"/>
              </w:rPr>
            </w:pPr>
            <w:r w:rsidRPr="00B17644">
              <w:rPr>
                <w:rFonts w:ascii="Arial" w:hAnsi="Arial" w:cs="Arial"/>
                <w:sz w:val="18"/>
                <w:szCs w:val="18"/>
                <w:lang w:val="es-PY"/>
              </w:rPr>
              <w:t>Becas otorgadas</w:t>
            </w:r>
          </w:p>
        </w:tc>
        <w:tc>
          <w:tcPr>
            <w:tcW w:w="810" w:type="dxa"/>
            <w:shd w:val="clear" w:color="auto" w:fill="FFFFFF"/>
            <w:vAlign w:val="center"/>
          </w:tcPr>
          <w:p w14:paraId="457B7B31"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50</w:t>
            </w:r>
          </w:p>
        </w:tc>
        <w:tc>
          <w:tcPr>
            <w:tcW w:w="810" w:type="dxa"/>
            <w:shd w:val="clear" w:color="auto" w:fill="FFFFFF"/>
            <w:vAlign w:val="center"/>
          </w:tcPr>
          <w:p w14:paraId="2D31D8D9"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40</w:t>
            </w:r>
          </w:p>
        </w:tc>
        <w:tc>
          <w:tcPr>
            <w:tcW w:w="810" w:type="dxa"/>
            <w:shd w:val="clear" w:color="auto" w:fill="FFFFFF"/>
            <w:vAlign w:val="center"/>
          </w:tcPr>
          <w:p w14:paraId="6C58D2B3"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200</w:t>
            </w:r>
          </w:p>
        </w:tc>
        <w:tc>
          <w:tcPr>
            <w:tcW w:w="810" w:type="dxa"/>
            <w:shd w:val="clear" w:color="auto" w:fill="FFFFFF"/>
            <w:vAlign w:val="center"/>
          </w:tcPr>
          <w:p w14:paraId="2697FD03"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210</w:t>
            </w:r>
          </w:p>
        </w:tc>
        <w:tc>
          <w:tcPr>
            <w:tcW w:w="810" w:type="dxa"/>
            <w:shd w:val="clear" w:color="auto" w:fill="FFFFFF"/>
            <w:vAlign w:val="center"/>
          </w:tcPr>
          <w:p w14:paraId="2FD229CB"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2C9A1216"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2DB49874"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04497868"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119CCE3A" w14:textId="77777777" w:rsidR="006E779D" w:rsidRPr="00B17644" w:rsidRDefault="006E779D" w:rsidP="00724613">
            <w:pPr>
              <w:jc w:val="center"/>
              <w:rPr>
                <w:rFonts w:ascii="Arial" w:hAnsi="Arial" w:cs="Arial"/>
                <w:b/>
                <w:sz w:val="18"/>
                <w:szCs w:val="18"/>
                <w:lang w:val="es-PY"/>
              </w:rPr>
            </w:pPr>
            <w:r w:rsidRPr="00B17644">
              <w:rPr>
                <w:rFonts w:ascii="Arial" w:hAnsi="Arial" w:cs="Arial"/>
                <w:b/>
                <w:sz w:val="18"/>
                <w:szCs w:val="18"/>
                <w:lang w:val="es-PY"/>
              </w:rPr>
              <w:t>450</w:t>
            </w:r>
          </w:p>
        </w:tc>
        <w:tc>
          <w:tcPr>
            <w:tcW w:w="990" w:type="dxa"/>
            <w:shd w:val="clear" w:color="auto" w:fill="auto"/>
            <w:vAlign w:val="center"/>
          </w:tcPr>
          <w:p w14:paraId="47A0537F"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shd w:val="clear" w:color="auto" w:fill="auto"/>
            <w:vAlign w:val="center"/>
          </w:tcPr>
          <w:p w14:paraId="6CB01377"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ES"/>
              </w:rPr>
              <w:t>Base de datos de la unidad ejecutora</w:t>
            </w:r>
          </w:p>
        </w:tc>
        <w:tc>
          <w:tcPr>
            <w:tcW w:w="1800" w:type="dxa"/>
          </w:tcPr>
          <w:p w14:paraId="4594A867" w14:textId="4EDD6B32" w:rsidR="006E779D" w:rsidRPr="00B17644" w:rsidRDefault="006E779D" w:rsidP="00724613">
            <w:pPr>
              <w:rPr>
                <w:rFonts w:ascii="Arial" w:hAnsi="Arial" w:cs="Arial"/>
                <w:sz w:val="18"/>
                <w:szCs w:val="18"/>
                <w:lang w:val="es-ES"/>
              </w:rPr>
            </w:pPr>
          </w:p>
        </w:tc>
      </w:tr>
      <w:tr w:rsidR="006E779D" w:rsidRPr="00B17644" w14:paraId="6870549C" w14:textId="4D430818" w:rsidTr="006E779D">
        <w:tc>
          <w:tcPr>
            <w:tcW w:w="12775" w:type="dxa"/>
            <w:gridSpan w:val="12"/>
            <w:shd w:val="clear" w:color="auto" w:fill="ACB9CA" w:themeFill="text2" w:themeFillTint="66"/>
          </w:tcPr>
          <w:p w14:paraId="05B41402" w14:textId="77777777" w:rsidR="006E779D" w:rsidRPr="00B17644" w:rsidRDefault="006E779D" w:rsidP="00724613">
            <w:pPr>
              <w:jc w:val="both"/>
              <w:rPr>
                <w:rFonts w:ascii="Arial" w:hAnsi="Arial" w:cs="Arial"/>
                <w:b/>
                <w:sz w:val="18"/>
                <w:szCs w:val="18"/>
                <w:lang w:val="es-PY"/>
              </w:rPr>
            </w:pPr>
            <w:r w:rsidRPr="00B17644">
              <w:rPr>
                <w:rFonts w:ascii="Arial" w:hAnsi="Arial" w:cs="Arial"/>
                <w:b/>
                <w:bCs/>
                <w:sz w:val="18"/>
                <w:szCs w:val="18"/>
                <w:lang w:val="es-PY"/>
              </w:rPr>
              <w:t xml:space="preserve">Componente II: </w:t>
            </w:r>
            <w:r w:rsidRPr="00B17644">
              <w:rPr>
                <w:rFonts w:ascii="Arial" w:hAnsi="Arial" w:cs="Arial"/>
                <w:b/>
                <w:bCs/>
                <w:sz w:val="18"/>
                <w:szCs w:val="18"/>
                <w:lang w:val="es-ES"/>
              </w:rPr>
              <w:t xml:space="preserve"> Mejoramiento del capital humano avanzado a través del otorgamiento de </w:t>
            </w:r>
            <w:r w:rsidRPr="00B17644">
              <w:rPr>
                <w:rFonts w:ascii="Arial" w:hAnsi="Arial" w:cs="Arial"/>
                <w:b/>
                <w:bCs/>
                <w:sz w:val="18"/>
                <w:szCs w:val="18"/>
                <w:lang w:val="es-PY"/>
              </w:rPr>
              <w:t>becas para estancias cortas de formación en ciencia y tecnología.</w:t>
            </w:r>
          </w:p>
        </w:tc>
        <w:tc>
          <w:tcPr>
            <w:tcW w:w="1800" w:type="dxa"/>
            <w:shd w:val="clear" w:color="auto" w:fill="ACB9CA" w:themeFill="text2" w:themeFillTint="66"/>
          </w:tcPr>
          <w:p w14:paraId="1F9A637A" w14:textId="77777777" w:rsidR="006E779D" w:rsidRPr="00B17644" w:rsidRDefault="006E779D" w:rsidP="00724613">
            <w:pPr>
              <w:jc w:val="both"/>
              <w:rPr>
                <w:rFonts w:ascii="Arial" w:hAnsi="Arial" w:cs="Arial"/>
                <w:b/>
                <w:bCs/>
                <w:sz w:val="18"/>
                <w:szCs w:val="18"/>
                <w:lang w:val="es-PY"/>
              </w:rPr>
            </w:pPr>
          </w:p>
        </w:tc>
      </w:tr>
      <w:tr w:rsidR="006E779D" w:rsidRPr="00B17644" w14:paraId="0ECBCD06" w14:textId="6B470085" w:rsidTr="006E779D">
        <w:tc>
          <w:tcPr>
            <w:tcW w:w="2515" w:type="dxa"/>
            <w:shd w:val="clear" w:color="auto" w:fill="D9D9D9"/>
          </w:tcPr>
          <w:p w14:paraId="386AD43E" w14:textId="77777777" w:rsidR="006E779D" w:rsidRPr="00B17644" w:rsidRDefault="006E779D" w:rsidP="00B7706B">
            <w:pPr>
              <w:numPr>
                <w:ilvl w:val="0"/>
                <w:numId w:val="7"/>
              </w:numPr>
              <w:ind w:left="426" w:hanging="284"/>
              <w:contextualSpacing/>
              <w:jc w:val="both"/>
              <w:rPr>
                <w:rFonts w:ascii="Arial" w:hAnsi="Arial" w:cs="Arial"/>
                <w:sz w:val="18"/>
                <w:szCs w:val="18"/>
                <w:lang w:val="es-PY"/>
              </w:rPr>
            </w:pPr>
            <w:r w:rsidRPr="00B17644">
              <w:rPr>
                <w:rFonts w:ascii="Arial" w:hAnsi="Arial" w:cs="Arial"/>
                <w:b/>
                <w:sz w:val="18"/>
                <w:szCs w:val="18"/>
                <w:lang w:val="es-PY"/>
              </w:rPr>
              <w:lastRenderedPageBreak/>
              <w:t>Indicador de Producto 2:</w:t>
            </w:r>
          </w:p>
        </w:tc>
        <w:tc>
          <w:tcPr>
            <w:tcW w:w="10260" w:type="dxa"/>
            <w:gridSpan w:val="11"/>
            <w:shd w:val="clear" w:color="auto" w:fill="D9D9D9"/>
          </w:tcPr>
          <w:p w14:paraId="755D13C1" w14:textId="77777777" w:rsidR="006E779D" w:rsidRPr="00B17644" w:rsidRDefault="006E779D" w:rsidP="00101CB9">
            <w:pPr>
              <w:jc w:val="both"/>
              <w:rPr>
                <w:rFonts w:ascii="Arial" w:hAnsi="Arial" w:cs="Arial"/>
                <w:b/>
                <w:sz w:val="18"/>
                <w:szCs w:val="18"/>
                <w:lang w:val="es-PY"/>
              </w:rPr>
            </w:pPr>
            <w:r w:rsidRPr="00B17644">
              <w:rPr>
                <w:rFonts w:ascii="Arial" w:hAnsi="Arial" w:cs="Arial"/>
                <w:b/>
                <w:sz w:val="18"/>
                <w:szCs w:val="18"/>
                <w:lang w:val="es-PY"/>
              </w:rPr>
              <w:t>Becas para estancias cortas para Pymes</w:t>
            </w:r>
          </w:p>
        </w:tc>
        <w:tc>
          <w:tcPr>
            <w:tcW w:w="1800" w:type="dxa"/>
            <w:shd w:val="clear" w:color="auto" w:fill="D9D9D9"/>
          </w:tcPr>
          <w:p w14:paraId="1DEBEED2" w14:textId="6F07B8AA" w:rsidR="006E779D" w:rsidRPr="00B17644" w:rsidRDefault="00873EDB" w:rsidP="00873EDB">
            <w:pPr>
              <w:jc w:val="both"/>
              <w:rPr>
                <w:rFonts w:ascii="Arial" w:hAnsi="Arial" w:cs="Arial"/>
                <w:b/>
                <w:sz w:val="18"/>
                <w:szCs w:val="18"/>
                <w:lang w:val="es-PY"/>
              </w:rPr>
            </w:pPr>
            <w:r w:rsidRPr="00B17644">
              <w:rPr>
                <w:rFonts w:ascii="Arial" w:hAnsi="Arial" w:cs="Arial"/>
                <w:sz w:val="18"/>
                <w:szCs w:val="18"/>
                <w:lang w:val="es-ES"/>
              </w:rPr>
              <w:t>No se registran cambios</w:t>
            </w:r>
            <w:r w:rsidR="00FA136E" w:rsidRPr="00B17644">
              <w:rPr>
                <w:rFonts w:ascii="Arial" w:hAnsi="Arial" w:cs="Arial"/>
                <w:sz w:val="18"/>
                <w:szCs w:val="18"/>
                <w:lang w:val="es-ES"/>
              </w:rPr>
              <w:t xml:space="preserve"> en el indicador</w:t>
            </w:r>
            <w:r w:rsidRPr="00B17644">
              <w:rPr>
                <w:rFonts w:ascii="Arial" w:hAnsi="Arial" w:cs="Arial"/>
                <w:sz w:val="18"/>
                <w:szCs w:val="18"/>
                <w:lang w:val="es-ES"/>
              </w:rPr>
              <w:t>.</w:t>
            </w:r>
          </w:p>
        </w:tc>
      </w:tr>
      <w:tr w:rsidR="006E779D" w:rsidRPr="00B17644" w14:paraId="0F3997A8" w14:textId="0D37770E" w:rsidTr="006E779D">
        <w:tc>
          <w:tcPr>
            <w:tcW w:w="2515" w:type="dxa"/>
            <w:shd w:val="clear" w:color="auto" w:fill="auto"/>
          </w:tcPr>
          <w:p w14:paraId="3B852709" w14:textId="77777777" w:rsidR="006E779D" w:rsidRPr="00B17644" w:rsidRDefault="006E779D" w:rsidP="00B7706B">
            <w:pPr>
              <w:numPr>
                <w:ilvl w:val="0"/>
                <w:numId w:val="6"/>
              </w:numPr>
              <w:ind w:left="426" w:hanging="284"/>
              <w:contextualSpacing/>
              <w:rPr>
                <w:rFonts w:ascii="Arial" w:hAnsi="Arial" w:cs="Arial"/>
                <w:sz w:val="18"/>
                <w:szCs w:val="18"/>
                <w:lang w:val="es-PY"/>
              </w:rPr>
            </w:pPr>
            <w:r w:rsidRPr="00B17644">
              <w:rPr>
                <w:rFonts w:ascii="Arial" w:hAnsi="Arial" w:cs="Arial"/>
                <w:sz w:val="18"/>
                <w:szCs w:val="18"/>
                <w:lang w:val="es-PY"/>
              </w:rPr>
              <w:t>Becas otorgadas</w:t>
            </w:r>
          </w:p>
        </w:tc>
        <w:tc>
          <w:tcPr>
            <w:tcW w:w="810" w:type="dxa"/>
            <w:shd w:val="clear" w:color="auto" w:fill="FFFFFF"/>
            <w:vAlign w:val="center"/>
          </w:tcPr>
          <w:p w14:paraId="7E376586"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40</w:t>
            </w:r>
          </w:p>
        </w:tc>
        <w:tc>
          <w:tcPr>
            <w:tcW w:w="810" w:type="dxa"/>
            <w:shd w:val="clear" w:color="auto" w:fill="FFFFFF"/>
            <w:vAlign w:val="center"/>
          </w:tcPr>
          <w:p w14:paraId="2E3EBD0B"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37E7101C"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60</w:t>
            </w:r>
          </w:p>
        </w:tc>
        <w:tc>
          <w:tcPr>
            <w:tcW w:w="810" w:type="dxa"/>
            <w:shd w:val="clear" w:color="auto" w:fill="FFFFFF"/>
            <w:vAlign w:val="center"/>
          </w:tcPr>
          <w:p w14:paraId="3661D618"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60</w:t>
            </w:r>
          </w:p>
        </w:tc>
        <w:tc>
          <w:tcPr>
            <w:tcW w:w="810" w:type="dxa"/>
            <w:shd w:val="clear" w:color="auto" w:fill="FFFFFF"/>
            <w:vAlign w:val="center"/>
          </w:tcPr>
          <w:p w14:paraId="625F1AFA"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759AD4DD"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4FE51FA4"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23FBAC13"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0905120C" w14:textId="77777777" w:rsidR="006E779D" w:rsidRPr="00B17644" w:rsidRDefault="006E779D" w:rsidP="00724613">
            <w:pPr>
              <w:jc w:val="center"/>
              <w:rPr>
                <w:rFonts w:ascii="Arial" w:hAnsi="Arial" w:cs="Arial"/>
                <w:b/>
                <w:sz w:val="18"/>
                <w:szCs w:val="18"/>
                <w:lang w:val="es-PY"/>
              </w:rPr>
            </w:pPr>
            <w:r w:rsidRPr="00B17644">
              <w:rPr>
                <w:rFonts w:ascii="Arial" w:hAnsi="Arial" w:cs="Arial"/>
                <w:b/>
                <w:sz w:val="18"/>
                <w:szCs w:val="18"/>
                <w:lang w:val="es-PY"/>
              </w:rPr>
              <w:t>120</w:t>
            </w:r>
          </w:p>
        </w:tc>
        <w:tc>
          <w:tcPr>
            <w:tcW w:w="990" w:type="dxa"/>
            <w:shd w:val="clear" w:color="auto" w:fill="auto"/>
            <w:vAlign w:val="center"/>
          </w:tcPr>
          <w:p w14:paraId="2292123B"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shd w:val="clear" w:color="auto" w:fill="auto"/>
            <w:vAlign w:val="center"/>
          </w:tcPr>
          <w:p w14:paraId="58D219EE"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ES"/>
              </w:rPr>
              <w:t>Base de datos de la unidad ejecutora</w:t>
            </w:r>
          </w:p>
        </w:tc>
        <w:tc>
          <w:tcPr>
            <w:tcW w:w="1800" w:type="dxa"/>
          </w:tcPr>
          <w:p w14:paraId="23DEF9B4" w14:textId="77777777" w:rsidR="006E779D" w:rsidRPr="00B17644" w:rsidRDefault="006E779D" w:rsidP="00724613">
            <w:pPr>
              <w:rPr>
                <w:rFonts w:ascii="Arial" w:hAnsi="Arial" w:cs="Arial"/>
                <w:sz w:val="18"/>
                <w:szCs w:val="18"/>
                <w:lang w:val="es-ES"/>
              </w:rPr>
            </w:pPr>
          </w:p>
        </w:tc>
      </w:tr>
      <w:tr w:rsidR="006E779D" w:rsidRPr="00B17644" w14:paraId="4FF97DA4" w14:textId="60FAEBE6" w:rsidTr="006E779D">
        <w:tc>
          <w:tcPr>
            <w:tcW w:w="2515" w:type="dxa"/>
            <w:shd w:val="clear" w:color="auto" w:fill="D9D9D9"/>
          </w:tcPr>
          <w:p w14:paraId="2F7BB37E" w14:textId="77777777" w:rsidR="006E779D" w:rsidRPr="00B17644" w:rsidRDefault="006E779D" w:rsidP="00B7706B">
            <w:pPr>
              <w:numPr>
                <w:ilvl w:val="0"/>
                <w:numId w:val="7"/>
              </w:numPr>
              <w:ind w:left="426" w:hanging="284"/>
              <w:contextualSpacing/>
              <w:jc w:val="both"/>
              <w:rPr>
                <w:rFonts w:ascii="Arial" w:hAnsi="Arial" w:cs="Arial"/>
                <w:sz w:val="18"/>
                <w:szCs w:val="18"/>
                <w:lang w:val="es-PY"/>
              </w:rPr>
            </w:pPr>
            <w:r w:rsidRPr="00B17644">
              <w:rPr>
                <w:rFonts w:ascii="Arial" w:hAnsi="Arial" w:cs="Arial"/>
                <w:b/>
                <w:sz w:val="18"/>
                <w:szCs w:val="18"/>
                <w:lang w:val="es-PY"/>
              </w:rPr>
              <w:t>Indicador de Producto 3:</w:t>
            </w:r>
          </w:p>
        </w:tc>
        <w:tc>
          <w:tcPr>
            <w:tcW w:w="10260" w:type="dxa"/>
            <w:gridSpan w:val="11"/>
            <w:shd w:val="clear" w:color="auto" w:fill="D9D9D9"/>
          </w:tcPr>
          <w:p w14:paraId="37A1A9BD" w14:textId="77777777" w:rsidR="006E779D" w:rsidRPr="00B17644" w:rsidRDefault="006E779D" w:rsidP="00A54E30">
            <w:pPr>
              <w:jc w:val="both"/>
              <w:rPr>
                <w:rFonts w:ascii="Arial" w:hAnsi="Arial" w:cs="Arial"/>
                <w:b/>
                <w:sz w:val="18"/>
                <w:szCs w:val="18"/>
                <w:lang w:val="es-PY"/>
              </w:rPr>
            </w:pPr>
            <w:r w:rsidRPr="00B17644">
              <w:rPr>
                <w:rFonts w:ascii="Arial" w:hAnsi="Arial" w:cs="Arial"/>
                <w:b/>
                <w:sz w:val="18"/>
                <w:szCs w:val="18"/>
                <w:lang w:val="es-PY"/>
              </w:rPr>
              <w:t>Becas para estancias cortas para Grandes Empresas</w:t>
            </w:r>
          </w:p>
        </w:tc>
        <w:tc>
          <w:tcPr>
            <w:tcW w:w="1800" w:type="dxa"/>
            <w:shd w:val="clear" w:color="auto" w:fill="D9D9D9"/>
          </w:tcPr>
          <w:p w14:paraId="1538C813" w14:textId="4AA5616F" w:rsidR="006E779D" w:rsidRPr="00B17644" w:rsidRDefault="00873EDB" w:rsidP="00873EDB">
            <w:pPr>
              <w:jc w:val="both"/>
              <w:rPr>
                <w:rFonts w:ascii="Arial" w:hAnsi="Arial" w:cs="Arial"/>
                <w:b/>
                <w:sz w:val="18"/>
                <w:szCs w:val="18"/>
                <w:lang w:val="es-PY"/>
              </w:rPr>
            </w:pPr>
            <w:r w:rsidRPr="00B17644">
              <w:rPr>
                <w:rFonts w:ascii="Arial" w:hAnsi="Arial" w:cs="Arial"/>
                <w:sz w:val="18"/>
                <w:szCs w:val="18"/>
                <w:lang w:val="es-ES"/>
              </w:rPr>
              <w:t>No se registran cambios</w:t>
            </w:r>
            <w:r w:rsidR="00FA136E" w:rsidRPr="00B17644">
              <w:rPr>
                <w:rFonts w:ascii="Arial" w:hAnsi="Arial" w:cs="Arial"/>
                <w:sz w:val="18"/>
                <w:szCs w:val="18"/>
                <w:lang w:val="es-ES"/>
              </w:rPr>
              <w:t xml:space="preserve"> en el indicador</w:t>
            </w:r>
            <w:r w:rsidRPr="00B17644">
              <w:rPr>
                <w:rFonts w:ascii="Arial" w:hAnsi="Arial" w:cs="Arial"/>
                <w:sz w:val="18"/>
                <w:szCs w:val="18"/>
                <w:lang w:val="es-ES"/>
              </w:rPr>
              <w:t>.</w:t>
            </w:r>
          </w:p>
        </w:tc>
      </w:tr>
      <w:tr w:rsidR="006E779D" w:rsidRPr="00B17644" w14:paraId="05886482" w14:textId="3B8995A6" w:rsidTr="006E779D">
        <w:tc>
          <w:tcPr>
            <w:tcW w:w="2515" w:type="dxa"/>
            <w:shd w:val="clear" w:color="auto" w:fill="auto"/>
          </w:tcPr>
          <w:p w14:paraId="3155EF72" w14:textId="77777777" w:rsidR="006E779D" w:rsidRPr="00B17644" w:rsidRDefault="006E779D" w:rsidP="00B7706B">
            <w:pPr>
              <w:numPr>
                <w:ilvl w:val="0"/>
                <w:numId w:val="6"/>
              </w:numPr>
              <w:ind w:left="426" w:hanging="284"/>
              <w:contextualSpacing/>
              <w:rPr>
                <w:rFonts w:ascii="Arial" w:hAnsi="Arial" w:cs="Arial"/>
                <w:sz w:val="18"/>
                <w:szCs w:val="18"/>
                <w:lang w:val="es-PY"/>
              </w:rPr>
            </w:pPr>
            <w:r w:rsidRPr="00B17644">
              <w:rPr>
                <w:rFonts w:ascii="Arial" w:hAnsi="Arial" w:cs="Arial"/>
                <w:sz w:val="18"/>
                <w:szCs w:val="18"/>
                <w:lang w:val="es-PY"/>
              </w:rPr>
              <w:t>Becas otorgadas</w:t>
            </w:r>
          </w:p>
        </w:tc>
        <w:tc>
          <w:tcPr>
            <w:tcW w:w="810" w:type="dxa"/>
            <w:shd w:val="clear" w:color="auto" w:fill="FFFFFF"/>
            <w:vAlign w:val="center"/>
          </w:tcPr>
          <w:p w14:paraId="48CFAD59"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623A0D5E"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681FA769"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30</w:t>
            </w:r>
          </w:p>
        </w:tc>
        <w:tc>
          <w:tcPr>
            <w:tcW w:w="810" w:type="dxa"/>
            <w:shd w:val="clear" w:color="auto" w:fill="FFFFFF"/>
            <w:vAlign w:val="center"/>
          </w:tcPr>
          <w:p w14:paraId="2166664D"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30</w:t>
            </w:r>
          </w:p>
        </w:tc>
        <w:tc>
          <w:tcPr>
            <w:tcW w:w="810" w:type="dxa"/>
            <w:shd w:val="clear" w:color="auto" w:fill="FFFFFF"/>
            <w:vAlign w:val="center"/>
          </w:tcPr>
          <w:p w14:paraId="706F54D0"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7A159C48"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2A196594"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shd w:val="clear" w:color="auto" w:fill="FFFFFF"/>
            <w:vAlign w:val="center"/>
          </w:tcPr>
          <w:p w14:paraId="2B5A9624"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shd w:val="clear" w:color="auto" w:fill="FFFFFF"/>
            <w:vAlign w:val="center"/>
          </w:tcPr>
          <w:p w14:paraId="4D3E9F78" w14:textId="77777777" w:rsidR="006E779D" w:rsidRPr="00B17644" w:rsidRDefault="006E779D" w:rsidP="00724613">
            <w:pPr>
              <w:jc w:val="center"/>
              <w:rPr>
                <w:rFonts w:ascii="Arial" w:hAnsi="Arial" w:cs="Arial"/>
                <w:b/>
                <w:sz w:val="18"/>
                <w:szCs w:val="18"/>
                <w:lang w:val="es-PY"/>
              </w:rPr>
            </w:pPr>
            <w:r w:rsidRPr="00B17644">
              <w:rPr>
                <w:rFonts w:ascii="Arial" w:hAnsi="Arial" w:cs="Arial"/>
                <w:b/>
                <w:sz w:val="18"/>
                <w:szCs w:val="18"/>
                <w:lang w:val="es-PY"/>
              </w:rPr>
              <w:t>60</w:t>
            </w:r>
          </w:p>
        </w:tc>
        <w:tc>
          <w:tcPr>
            <w:tcW w:w="990" w:type="dxa"/>
            <w:shd w:val="clear" w:color="auto" w:fill="auto"/>
            <w:vAlign w:val="center"/>
          </w:tcPr>
          <w:p w14:paraId="7678A7DD"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shd w:val="clear" w:color="auto" w:fill="auto"/>
            <w:vAlign w:val="center"/>
          </w:tcPr>
          <w:p w14:paraId="0DCCD15C"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ES"/>
              </w:rPr>
              <w:t>Base de datos de la unidad ejecutora</w:t>
            </w:r>
          </w:p>
        </w:tc>
        <w:tc>
          <w:tcPr>
            <w:tcW w:w="1800" w:type="dxa"/>
          </w:tcPr>
          <w:p w14:paraId="283ECCC2" w14:textId="77777777" w:rsidR="006E779D" w:rsidRPr="00B17644" w:rsidRDefault="006E779D" w:rsidP="00724613">
            <w:pPr>
              <w:rPr>
                <w:rFonts w:ascii="Arial" w:hAnsi="Arial" w:cs="Arial"/>
                <w:sz w:val="18"/>
                <w:szCs w:val="18"/>
                <w:lang w:val="es-ES"/>
              </w:rPr>
            </w:pPr>
          </w:p>
        </w:tc>
      </w:tr>
      <w:tr w:rsidR="006E779D" w:rsidRPr="00B17644" w14:paraId="27AE6E7F" w14:textId="1CDF4465" w:rsidTr="006E779D">
        <w:tc>
          <w:tcPr>
            <w:tcW w:w="2515" w:type="dxa"/>
            <w:tcBorders>
              <w:bottom w:val="single" w:sz="4" w:space="0" w:color="auto"/>
            </w:tcBorders>
            <w:shd w:val="clear" w:color="auto" w:fill="D9D9D9"/>
          </w:tcPr>
          <w:p w14:paraId="5C847789" w14:textId="77777777" w:rsidR="006E779D" w:rsidRPr="00B17644" w:rsidRDefault="006E779D" w:rsidP="00B7706B">
            <w:pPr>
              <w:numPr>
                <w:ilvl w:val="0"/>
                <w:numId w:val="7"/>
              </w:numPr>
              <w:ind w:left="426" w:hanging="284"/>
              <w:contextualSpacing/>
              <w:jc w:val="both"/>
              <w:rPr>
                <w:rFonts w:ascii="Arial" w:hAnsi="Arial" w:cs="Arial"/>
                <w:b/>
                <w:sz w:val="18"/>
                <w:szCs w:val="18"/>
                <w:lang w:val="es-PY"/>
              </w:rPr>
            </w:pPr>
            <w:r w:rsidRPr="00B17644">
              <w:rPr>
                <w:rFonts w:ascii="Arial" w:hAnsi="Arial" w:cs="Arial"/>
                <w:b/>
                <w:sz w:val="18"/>
                <w:szCs w:val="18"/>
                <w:lang w:val="es-PY"/>
              </w:rPr>
              <w:t>Indicador de Producto 4:</w:t>
            </w:r>
          </w:p>
        </w:tc>
        <w:tc>
          <w:tcPr>
            <w:tcW w:w="10260" w:type="dxa"/>
            <w:gridSpan w:val="11"/>
            <w:tcBorders>
              <w:bottom w:val="single" w:sz="4" w:space="0" w:color="auto"/>
            </w:tcBorders>
            <w:shd w:val="clear" w:color="auto" w:fill="D9D9D9"/>
          </w:tcPr>
          <w:p w14:paraId="60EAB855" w14:textId="77777777" w:rsidR="006E779D" w:rsidRPr="00B17644" w:rsidRDefault="006E779D" w:rsidP="00A54E30">
            <w:pPr>
              <w:jc w:val="both"/>
              <w:rPr>
                <w:rFonts w:ascii="Arial" w:hAnsi="Arial" w:cs="Arial"/>
                <w:b/>
                <w:sz w:val="18"/>
                <w:szCs w:val="18"/>
                <w:lang w:val="es-PY"/>
              </w:rPr>
            </w:pPr>
            <w:r w:rsidRPr="00B17644">
              <w:rPr>
                <w:rFonts w:ascii="Arial" w:hAnsi="Arial" w:cs="Arial"/>
                <w:b/>
                <w:sz w:val="18"/>
                <w:szCs w:val="18"/>
                <w:lang w:val="es-PY"/>
              </w:rPr>
              <w:t>Becas para estancias cortas para Instituciones de CTI</w:t>
            </w:r>
          </w:p>
        </w:tc>
        <w:tc>
          <w:tcPr>
            <w:tcW w:w="1800" w:type="dxa"/>
            <w:tcBorders>
              <w:bottom w:val="single" w:sz="4" w:space="0" w:color="auto"/>
            </w:tcBorders>
            <w:shd w:val="clear" w:color="auto" w:fill="D9D9D9"/>
          </w:tcPr>
          <w:p w14:paraId="3C4F940F" w14:textId="3BBB09A1" w:rsidR="006E779D" w:rsidRPr="00B17644" w:rsidRDefault="00873EDB" w:rsidP="00873EDB">
            <w:pPr>
              <w:jc w:val="both"/>
              <w:rPr>
                <w:rFonts w:ascii="Arial" w:hAnsi="Arial" w:cs="Arial"/>
                <w:b/>
                <w:sz w:val="18"/>
                <w:szCs w:val="18"/>
                <w:lang w:val="es-PY"/>
              </w:rPr>
            </w:pPr>
            <w:r w:rsidRPr="00B17644">
              <w:rPr>
                <w:rFonts w:ascii="Arial" w:hAnsi="Arial" w:cs="Arial"/>
                <w:sz w:val="18"/>
                <w:szCs w:val="18"/>
                <w:lang w:val="es-ES"/>
              </w:rPr>
              <w:t>No se registran cambios</w:t>
            </w:r>
            <w:r w:rsidR="00FA136E" w:rsidRPr="00B17644">
              <w:rPr>
                <w:rFonts w:ascii="Arial" w:hAnsi="Arial" w:cs="Arial"/>
                <w:sz w:val="18"/>
                <w:szCs w:val="18"/>
                <w:lang w:val="es-ES"/>
              </w:rPr>
              <w:t xml:space="preserve"> en el indicador</w:t>
            </w:r>
            <w:r w:rsidRPr="00B17644">
              <w:rPr>
                <w:rFonts w:ascii="Arial" w:hAnsi="Arial" w:cs="Arial"/>
                <w:sz w:val="18"/>
                <w:szCs w:val="18"/>
                <w:lang w:val="es-ES"/>
              </w:rPr>
              <w:t>.</w:t>
            </w:r>
          </w:p>
        </w:tc>
      </w:tr>
      <w:tr w:rsidR="006E779D" w:rsidRPr="00B17644" w14:paraId="12365095" w14:textId="4076E135" w:rsidTr="006E779D">
        <w:tc>
          <w:tcPr>
            <w:tcW w:w="2515" w:type="dxa"/>
            <w:tcBorders>
              <w:top w:val="single" w:sz="4" w:space="0" w:color="auto"/>
              <w:left w:val="single" w:sz="4" w:space="0" w:color="auto"/>
              <w:bottom w:val="single" w:sz="4" w:space="0" w:color="auto"/>
              <w:right w:val="single" w:sz="4" w:space="0" w:color="auto"/>
            </w:tcBorders>
            <w:shd w:val="clear" w:color="auto" w:fill="FFFFFF"/>
          </w:tcPr>
          <w:p w14:paraId="69D1BAE7" w14:textId="77777777" w:rsidR="006E779D" w:rsidRPr="00B17644" w:rsidRDefault="006E779D" w:rsidP="00B7706B">
            <w:pPr>
              <w:numPr>
                <w:ilvl w:val="0"/>
                <w:numId w:val="6"/>
              </w:numPr>
              <w:ind w:left="426" w:hanging="284"/>
              <w:contextualSpacing/>
              <w:rPr>
                <w:rFonts w:ascii="Arial" w:hAnsi="Arial" w:cs="Arial"/>
                <w:sz w:val="18"/>
                <w:szCs w:val="18"/>
                <w:lang w:val="es-PY"/>
              </w:rPr>
            </w:pPr>
            <w:r w:rsidRPr="00B17644">
              <w:rPr>
                <w:rFonts w:ascii="Arial" w:hAnsi="Arial" w:cs="Arial"/>
                <w:sz w:val="18"/>
                <w:szCs w:val="18"/>
                <w:lang w:val="es-PY"/>
              </w:rPr>
              <w:t>Becas otorgadas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DFC15AC"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AD83496"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36634D0"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304CCA1"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20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A2B17BF"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20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23B03BB"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D0AF4D4"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85F1EF6"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433BB2D" w14:textId="77777777" w:rsidR="006E779D" w:rsidRPr="00B17644" w:rsidRDefault="006E779D" w:rsidP="00724613">
            <w:pPr>
              <w:jc w:val="center"/>
              <w:rPr>
                <w:rFonts w:ascii="Arial" w:hAnsi="Arial" w:cs="Arial"/>
                <w:b/>
                <w:sz w:val="18"/>
                <w:szCs w:val="18"/>
                <w:lang w:val="es-PY"/>
              </w:rPr>
            </w:pPr>
            <w:r w:rsidRPr="00B17644">
              <w:rPr>
                <w:rFonts w:ascii="Arial" w:hAnsi="Arial" w:cs="Arial"/>
                <w:b/>
                <w:sz w:val="18"/>
                <w:szCs w:val="18"/>
                <w:lang w:val="es-PY"/>
              </w:rPr>
              <w:t>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7FA09844"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EFE70B3"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ES"/>
              </w:rPr>
              <w:t>Base de datos de la unidad ejecutora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BAA7583" w14:textId="77777777" w:rsidR="006E779D" w:rsidRPr="00B17644" w:rsidRDefault="006E779D" w:rsidP="00724613">
            <w:pPr>
              <w:rPr>
                <w:rFonts w:ascii="Arial" w:hAnsi="Arial" w:cs="Arial"/>
                <w:sz w:val="18"/>
                <w:szCs w:val="18"/>
                <w:lang w:val="es-ES"/>
              </w:rPr>
            </w:pPr>
          </w:p>
        </w:tc>
      </w:tr>
      <w:tr w:rsidR="006E779D" w:rsidRPr="00B17644" w14:paraId="7FE11AAE" w14:textId="04AEF1C9" w:rsidTr="006E779D">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E1788" w14:textId="77777777" w:rsidR="006E779D" w:rsidRPr="00B17644" w:rsidRDefault="006E779D" w:rsidP="00B7706B">
            <w:pPr>
              <w:pStyle w:val="ListParagraph"/>
              <w:numPr>
                <w:ilvl w:val="0"/>
                <w:numId w:val="11"/>
              </w:numPr>
              <w:ind w:left="430" w:hanging="270"/>
              <w:rPr>
                <w:rFonts w:ascii="Arial" w:hAnsi="Arial" w:cs="Arial"/>
                <w:b/>
                <w:bCs/>
                <w:sz w:val="18"/>
                <w:szCs w:val="18"/>
                <w:lang w:val="es-PY"/>
              </w:rPr>
            </w:pPr>
            <w:r w:rsidRPr="00B17644">
              <w:rPr>
                <w:rFonts w:ascii="Arial" w:hAnsi="Arial" w:cs="Arial"/>
                <w:b/>
                <w:bCs/>
                <w:sz w:val="18"/>
                <w:szCs w:val="18"/>
                <w:lang w:val="es-PY"/>
              </w:rPr>
              <w:t>Indicador de Producto 5:</w:t>
            </w:r>
          </w:p>
        </w:tc>
        <w:tc>
          <w:tcPr>
            <w:tcW w:w="102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871C" w14:textId="77777777" w:rsidR="006E779D" w:rsidRPr="00B17644" w:rsidRDefault="006E779D" w:rsidP="00A54E30">
            <w:pPr>
              <w:jc w:val="both"/>
              <w:rPr>
                <w:rFonts w:ascii="Arial" w:hAnsi="Arial" w:cs="Arial"/>
                <w:sz w:val="18"/>
                <w:szCs w:val="18"/>
                <w:lang w:val="es-ES"/>
              </w:rPr>
            </w:pPr>
            <w:r w:rsidRPr="00B17644">
              <w:rPr>
                <w:rFonts w:ascii="Arial" w:hAnsi="Arial" w:cs="Arial"/>
                <w:b/>
                <w:sz w:val="18"/>
                <w:szCs w:val="18"/>
                <w:lang w:val="es-PY"/>
              </w:rPr>
              <w:t>Becas para doctorados</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E6EC8" w14:textId="1A0B3AC0" w:rsidR="006E779D" w:rsidRPr="00B17644" w:rsidRDefault="00873EDB" w:rsidP="00873EDB">
            <w:pPr>
              <w:jc w:val="both"/>
              <w:rPr>
                <w:rFonts w:ascii="Arial" w:hAnsi="Arial" w:cs="Arial"/>
                <w:b/>
                <w:sz w:val="18"/>
                <w:szCs w:val="18"/>
                <w:lang w:val="es-PY"/>
              </w:rPr>
            </w:pPr>
            <w:r w:rsidRPr="00B17644">
              <w:rPr>
                <w:rFonts w:ascii="Arial" w:hAnsi="Arial" w:cs="Arial"/>
                <w:sz w:val="18"/>
                <w:szCs w:val="18"/>
                <w:lang w:val="es-ES"/>
              </w:rPr>
              <w:t>No se registran cambios</w:t>
            </w:r>
            <w:r w:rsidR="00FA136E" w:rsidRPr="00B17644">
              <w:rPr>
                <w:rFonts w:ascii="Arial" w:hAnsi="Arial" w:cs="Arial"/>
                <w:sz w:val="18"/>
                <w:szCs w:val="18"/>
                <w:lang w:val="es-ES"/>
              </w:rPr>
              <w:t xml:space="preserve"> en el indicador</w:t>
            </w:r>
            <w:r w:rsidRPr="00B17644">
              <w:rPr>
                <w:rFonts w:ascii="Arial" w:hAnsi="Arial" w:cs="Arial"/>
                <w:sz w:val="18"/>
                <w:szCs w:val="18"/>
                <w:lang w:val="es-ES"/>
              </w:rPr>
              <w:t>.</w:t>
            </w:r>
          </w:p>
        </w:tc>
      </w:tr>
      <w:tr w:rsidR="006E779D" w:rsidRPr="00B17644" w14:paraId="1B3F4676" w14:textId="3BBD3A85" w:rsidTr="006E779D">
        <w:tc>
          <w:tcPr>
            <w:tcW w:w="2515" w:type="dxa"/>
            <w:tcBorders>
              <w:top w:val="single" w:sz="4" w:space="0" w:color="auto"/>
              <w:left w:val="single" w:sz="4" w:space="0" w:color="auto"/>
              <w:bottom w:val="single" w:sz="4" w:space="0" w:color="auto"/>
              <w:right w:val="single" w:sz="4" w:space="0" w:color="auto"/>
            </w:tcBorders>
            <w:shd w:val="clear" w:color="auto" w:fill="FFFFFF"/>
          </w:tcPr>
          <w:p w14:paraId="79C9796C" w14:textId="77777777" w:rsidR="006E779D" w:rsidRPr="00B17644" w:rsidRDefault="006E779D" w:rsidP="00B7706B">
            <w:pPr>
              <w:numPr>
                <w:ilvl w:val="0"/>
                <w:numId w:val="6"/>
              </w:numPr>
              <w:ind w:left="426" w:hanging="284"/>
              <w:contextualSpacing/>
              <w:rPr>
                <w:rFonts w:ascii="Arial" w:hAnsi="Arial" w:cs="Arial"/>
                <w:sz w:val="18"/>
                <w:szCs w:val="18"/>
                <w:lang w:val="es-PY"/>
              </w:rPr>
            </w:pPr>
            <w:r w:rsidRPr="00B17644">
              <w:rPr>
                <w:rFonts w:ascii="Arial" w:hAnsi="Arial" w:cs="Arial"/>
                <w:sz w:val="18"/>
                <w:szCs w:val="18"/>
                <w:lang w:val="es-PY"/>
              </w:rPr>
              <w:t>Becas otorgadas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14419F2"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CA4408A"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44CCFFC"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45</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1D3FF71"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10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CFB667E"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397E4D0"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531CEEA"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2DBA832" w14:textId="77777777" w:rsidR="006E779D" w:rsidRPr="00B17644" w:rsidRDefault="006E779D"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FD0610E" w14:textId="77777777" w:rsidR="006E779D" w:rsidRPr="00B17644" w:rsidRDefault="006E779D" w:rsidP="00724613">
            <w:pPr>
              <w:jc w:val="center"/>
              <w:rPr>
                <w:rFonts w:ascii="Arial" w:hAnsi="Arial" w:cs="Arial"/>
                <w:b/>
                <w:sz w:val="18"/>
                <w:szCs w:val="18"/>
                <w:lang w:val="es-PY"/>
              </w:rPr>
            </w:pPr>
            <w:r w:rsidRPr="00B17644">
              <w:rPr>
                <w:rFonts w:ascii="Arial" w:hAnsi="Arial" w:cs="Arial"/>
                <w:b/>
                <w:sz w:val="18"/>
                <w:szCs w:val="18"/>
                <w:lang w:val="es-PY"/>
              </w:rPr>
              <w:t>55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828163A" w14:textId="77777777"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4E97521" w14:textId="77777777" w:rsidR="006E779D" w:rsidRPr="00B17644" w:rsidRDefault="006E779D" w:rsidP="00724613">
            <w:pPr>
              <w:rPr>
                <w:rFonts w:ascii="Arial" w:hAnsi="Arial" w:cs="Arial"/>
                <w:sz w:val="18"/>
                <w:szCs w:val="18"/>
                <w:lang w:val="es-ES"/>
              </w:rPr>
            </w:pPr>
            <w:r w:rsidRPr="00B17644">
              <w:rPr>
                <w:rFonts w:ascii="Arial" w:hAnsi="Arial" w:cs="Arial"/>
                <w:sz w:val="18"/>
                <w:szCs w:val="18"/>
                <w:lang w:val="es-ES"/>
              </w:rPr>
              <w:t>Base de datos de la unidad ejecutora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57ADD86" w14:textId="77777777" w:rsidR="006E779D" w:rsidRPr="00B17644" w:rsidRDefault="006E779D" w:rsidP="00724613">
            <w:pPr>
              <w:rPr>
                <w:rFonts w:ascii="Arial" w:hAnsi="Arial" w:cs="Arial"/>
                <w:sz w:val="18"/>
                <w:szCs w:val="18"/>
                <w:lang w:val="es-ES"/>
              </w:rPr>
            </w:pPr>
          </w:p>
        </w:tc>
      </w:tr>
      <w:tr w:rsidR="00FB23AB" w:rsidRPr="00B17644" w14:paraId="6C51E11F" w14:textId="0F64D782" w:rsidTr="00876D2A">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74A89" w14:textId="08937128" w:rsidR="00FB23AB" w:rsidRPr="00B17644" w:rsidRDefault="00FB23AB" w:rsidP="00B7706B">
            <w:pPr>
              <w:pStyle w:val="ListParagraph"/>
              <w:numPr>
                <w:ilvl w:val="0"/>
                <w:numId w:val="11"/>
              </w:numPr>
              <w:ind w:left="420" w:hanging="270"/>
              <w:rPr>
                <w:rFonts w:ascii="Arial" w:hAnsi="Arial" w:cs="Arial"/>
                <w:b/>
                <w:bCs/>
                <w:sz w:val="18"/>
                <w:szCs w:val="18"/>
                <w:lang w:val="es-PY"/>
              </w:rPr>
            </w:pPr>
            <w:r w:rsidRPr="00B17644">
              <w:rPr>
                <w:rFonts w:ascii="Arial" w:hAnsi="Arial" w:cs="Arial"/>
                <w:b/>
                <w:bCs/>
                <w:sz w:val="18"/>
                <w:szCs w:val="18"/>
                <w:lang w:val="es-PY"/>
              </w:rPr>
              <w:t>Indicador de Producto 6:</w:t>
            </w:r>
          </w:p>
        </w:tc>
        <w:tc>
          <w:tcPr>
            <w:tcW w:w="102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50D73" w14:textId="6E45FC31" w:rsidR="00FB23AB" w:rsidRPr="00B17644" w:rsidRDefault="00FB23AB" w:rsidP="00724613">
            <w:pPr>
              <w:rPr>
                <w:rFonts w:ascii="Arial" w:hAnsi="Arial" w:cs="Arial"/>
                <w:b/>
                <w:bCs/>
                <w:sz w:val="18"/>
                <w:szCs w:val="18"/>
                <w:lang w:val="es-ES"/>
              </w:rPr>
            </w:pPr>
            <w:r w:rsidRPr="00B17644">
              <w:rPr>
                <w:rFonts w:ascii="Arial" w:hAnsi="Arial" w:cs="Arial"/>
                <w:b/>
                <w:bCs/>
                <w:sz w:val="18"/>
                <w:szCs w:val="18"/>
                <w:lang w:val="es-ES"/>
              </w:rPr>
              <w:t>Cursos cortos de especialización</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C5CF6" w14:textId="393C2DC5" w:rsidR="00FB23AB" w:rsidRPr="00B17644" w:rsidRDefault="00E7295F" w:rsidP="00724613">
            <w:pPr>
              <w:rPr>
                <w:rFonts w:ascii="Arial" w:hAnsi="Arial" w:cs="Arial"/>
                <w:b/>
                <w:bCs/>
                <w:sz w:val="18"/>
                <w:szCs w:val="18"/>
                <w:lang w:val="es-ES"/>
              </w:rPr>
            </w:pPr>
            <w:r w:rsidRPr="00B17644">
              <w:rPr>
                <w:rFonts w:ascii="Arial" w:hAnsi="Arial" w:cs="Arial"/>
                <w:b/>
                <w:bCs/>
                <w:sz w:val="18"/>
                <w:szCs w:val="18"/>
                <w:lang w:val="es-ES"/>
              </w:rPr>
              <w:t>Nuevo indicador de producto que se incorpora en 2018.</w:t>
            </w:r>
          </w:p>
        </w:tc>
      </w:tr>
      <w:tr w:rsidR="006E779D" w:rsidRPr="00B17644" w14:paraId="65B121CB" w14:textId="4417D03A" w:rsidTr="006E779D">
        <w:tc>
          <w:tcPr>
            <w:tcW w:w="2515" w:type="dxa"/>
            <w:tcBorders>
              <w:top w:val="single" w:sz="4" w:space="0" w:color="auto"/>
              <w:left w:val="single" w:sz="4" w:space="0" w:color="auto"/>
              <w:bottom w:val="single" w:sz="4" w:space="0" w:color="auto"/>
              <w:right w:val="single" w:sz="4" w:space="0" w:color="auto"/>
            </w:tcBorders>
            <w:shd w:val="clear" w:color="auto" w:fill="FFFFFF"/>
          </w:tcPr>
          <w:p w14:paraId="2772431E" w14:textId="670BB33D" w:rsidR="006E779D" w:rsidRPr="00B17644" w:rsidRDefault="00FB23AB" w:rsidP="00B7706B">
            <w:pPr>
              <w:pStyle w:val="ListParagraph"/>
              <w:numPr>
                <w:ilvl w:val="0"/>
                <w:numId w:val="6"/>
              </w:numPr>
              <w:ind w:left="420" w:hanging="270"/>
              <w:rPr>
                <w:rFonts w:ascii="Arial" w:hAnsi="Arial" w:cs="Arial"/>
                <w:sz w:val="18"/>
                <w:szCs w:val="18"/>
                <w:lang w:val="es-PY"/>
              </w:rPr>
            </w:pPr>
            <w:r w:rsidRPr="00B17644">
              <w:rPr>
                <w:rFonts w:ascii="Arial" w:hAnsi="Arial" w:cs="Arial"/>
                <w:sz w:val="18"/>
                <w:szCs w:val="18"/>
                <w:lang w:val="es-PY"/>
              </w:rPr>
              <w:t>Becas otorgadas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58592E3" w14:textId="0A163C0D" w:rsidR="006E779D" w:rsidRPr="00B17644" w:rsidRDefault="009B69B8"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061091F" w14:textId="120A7ECA" w:rsidR="006E779D" w:rsidRPr="00B17644" w:rsidRDefault="009B69B8"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5A7D15D" w14:textId="37AECA79" w:rsidR="006E779D" w:rsidRPr="00B17644" w:rsidRDefault="009B69B8"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217B43B" w14:textId="479A5B8C" w:rsidR="006E779D" w:rsidRPr="00B17644" w:rsidRDefault="009B69B8"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269EDEF" w14:textId="07B6F0AA" w:rsidR="006E779D" w:rsidRPr="00B17644" w:rsidRDefault="009B69B8"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14D9D401" w14:textId="56B240B2" w:rsidR="006E779D" w:rsidRPr="00B17644" w:rsidRDefault="00876D2A" w:rsidP="00724613">
            <w:pPr>
              <w:jc w:val="center"/>
              <w:rPr>
                <w:rFonts w:ascii="Arial" w:hAnsi="Arial" w:cs="Arial"/>
                <w:sz w:val="18"/>
                <w:szCs w:val="18"/>
                <w:lang w:val="es-PY"/>
              </w:rPr>
            </w:pPr>
            <w:r w:rsidRPr="00B17644">
              <w:rPr>
                <w:rFonts w:ascii="Arial" w:hAnsi="Arial" w:cs="Arial"/>
                <w:sz w:val="18"/>
                <w:szCs w:val="18"/>
                <w:lang w:val="es-PY"/>
              </w:rPr>
              <w:t>18</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3A6DD3E" w14:textId="41D071D2" w:rsidR="006E779D" w:rsidRPr="00B17644" w:rsidRDefault="00876D2A" w:rsidP="00724613">
            <w:pPr>
              <w:jc w:val="center"/>
              <w:rPr>
                <w:rFonts w:ascii="Arial" w:hAnsi="Arial" w:cs="Arial"/>
                <w:sz w:val="18"/>
                <w:szCs w:val="18"/>
                <w:lang w:val="es-PY"/>
              </w:rPr>
            </w:pPr>
            <w:r w:rsidRPr="00B17644">
              <w:rPr>
                <w:rFonts w:ascii="Arial" w:hAnsi="Arial" w:cs="Arial"/>
                <w:sz w:val="18"/>
                <w:szCs w:val="18"/>
                <w:lang w:val="es-PY"/>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8253D0" w14:textId="74AB54DC" w:rsidR="006E779D" w:rsidRPr="00B17644" w:rsidRDefault="00876D2A" w:rsidP="00724613">
            <w:pPr>
              <w:jc w:val="center"/>
              <w:rPr>
                <w:rFonts w:ascii="Arial" w:hAnsi="Arial" w:cs="Arial"/>
                <w:sz w:val="18"/>
                <w:szCs w:val="18"/>
                <w:lang w:val="es-PY"/>
              </w:rPr>
            </w:pPr>
            <w:r w:rsidRPr="00B17644">
              <w:rPr>
                <w:rFonts w:ascii="Arial" w:hAnsi="Arial" w:cs="Arial"/>
                <w:sz w:val="18"/>
                <w:szCs w:val="18"/>
                <w:lang w:val="es-PY"/>
              </w:rPr>
              <w:t>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9D6268F" w14:textId="425947D9" w:rsidR="006E779D" w:rsidRPr="00B17644" w:rsidRDefault="00876D2A" w:rsidP="00724613">
            <w:pPr>
              <w:jc w:val="center"/>
              <w:rPr>
                <w:rFonts w:ascii="Arial" w:hAnsi="Arial" w:cs="Arial"/>
                <w:b/>
                <w:sz w:val="18"/>
                <w:szCs w:val="18"/>
                <w:lang w:val="es-PY"/>
              </w:rPr>
            </w:pPr>
            <w:r w:rsidRPr="00B17644">
              <w:rPr>
                <w:rFonts w:ascii="Arial" w:hAnsi="Arial" w:cs="Arial"/>
                <w:b/>
                <w:sz w:val="18"/>
                <w:szCs w:val="18"/>
                <w:lang w:val="es-PY"/>
              </w:rPr>
              <w:t>38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1792072E" w14:textId="0880AC5F" w:rsidR="006E779D" w:rsidRPr="00B17644" w:rsidRDefault="006E779D" w:rsidP="00724613">
            <w:pPr>
              <w:rPr>
                <w:rFonts w:ascii="Arial" w:hAnsi="Arial" w:cs="Arial"/>
                <w:sz w:val="18"/>
                <w:szCs w:val="18"/>
                <w:lang w:val="es-PY"/>
              </w:rPr>
            </w:pPr>
            <w:r w:rsidRPr="00B17644">
              <w:rPr>
                <w:rFonts w:ascii="Arial" w:hAnsi="Arial" w:cs="Arial"/>
                <w:sz w:val="18"/>
                <w:szCs w:val="18"/>
                <w:lang w:val="es-PY"/>
              </w:rPr>
              <w:t>Becas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82A3146" w14:textId="4B7DBA13" w:rsidR="006E779D" w:rsidRPr="00B17644" w:rsidRDefault="00876D2A" w:rsidP="00724613">
            <w:pPr>
              <w:rPr>
                <w:rFonts w:ascii="Arial" w:hAnsi="Arial" w:cs="Arial"/>
                <w:sz w:val="18"/>
                <w:szCs w:val="18"/>
                <w:lang w:val="es-ES"/>
              </w:rPr>
            </w:pPr>
            <w:r w:rsidRPr="00B17644">
              <w:rPr>
                <w:rFonts w:ascii="Arial" w:hAnsi="Arial" w:cs="Arial"/>
                <w:sz w:val="18"/>
                <w:szCs w:val="18"/>
                <w:lang w:val="es-ES"/>
              </w:rPr>
              <w:t>Base de datos de la unidad ejecutora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609C1C7B" w14:textId="77777777" w:rsidR="006E779D" w:rsidRPr="00B17644" w:rsidRDefault="006E779D" w:rsidP="00724613">
            <w:pPr>
              <w:rPr>
                <w:rFonts w:ascii="Arial" w:hAnsi="Arial" w:cs="Arial"/>
                <w:sz w:val="18"/>
                <w:szCs w:val="18"/>
                <w:lang w:val="es-ES"/>
              </w:rPr>
            </w:pPr>
          </w:p>
        </w:tc>
      </w:tr>
    </w:tbl>
    <w:p w14:paraId="202AA2F7" w14:textId="77777777" w:rsidR="006E779D" w:rsidRPr="00221674" w:rsidRDefault="006E779D" w:rsidP="00221674">
      <w:pPr>
        <w:rPr>
          <w:rFonts w:ascii="Arial" w:hAnsi="Arial" w:cs="Arial"/>
          <w:sz w:val="20"/>
        </w:rPr>
      </w:pPr>
    </w:p>
    <w:p w14:paraId="4F0B3A9F" w14:textId="77777777" w:rsidR="00221674" w:rsidRPr="00221674" w:rsidRDefault="00221674" w:rsidP="00221674">
      <w:pPr>
        <w:rPr>
          <w:rFonts w:ascii="Arial" w:hAnsi="Arial" w:cs="Arial"/>
          <w:sz w:val="20"/>
        </w:rPr>
      </w:pPr>
    </w:p>
    <w:p w14:paraId="15858E60" w14:textId="77777777" w:rsidR="00221674" w:rsidRPr="00221674" w:rsidRDefault="00221674" w:rsidP="00221674">
      <w:pPr>
        <w:rPr>
          <w:rFonts w:ascii="Arial" w:hAnsi="Arial" w:cs="Arial"/>
          <w:sz w:val="20"/>
        </w:rPr>
      </w:pPr>
    </w:p>
    <w:p w14:paraId="3FB3BB90" w14:textId="77777777" w:rsidR="00221674" w:rsidRPr="00221674" w:rsidRDefault="00221674" w:rsidP="00221674">
      <w:pPr>
        <w:ind w:left="284"/>
        <w:rPr>
          <w:rFonts w:ascii="Arial" w:hAnsi="Arial" w:cs="Arial"/>
          <w:b/>
          <w:bCs/>
          <w:sz w:val="20"/>
          <w:lang w:val="es-PY"/>
        </w:rPr>
        <w:sectPr w:rsidR="00221674" w:rsidRPr="00221674" w:rsidSect="00221674">
          <w:headerReference w:type="default" r:id="rId14"/>
          <w:footerReference w:type="default" r:id="rId15"/>
          <w:type w:val="continuous"/>
          <w:pgSz w:w="15840" w:h="12240" w:orient="landscape" w:code="1"/>
          <w:pgMar w:top="409" w:right="720" w:bottom="720" w:left="720" w:header="427" w:footer="708" w:gutter="0"/>
          <w:cols w:space="708"/>
          <w:docGrid w:linePitch="360"/>
        </w:sectPr>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5"/>
        <w:gridCol w:w="1175"/>
        <w:gridCol w:w="1260"/>
        <w:gridCol w:w="1350"/>
        <w:gridCol w:w="4675"/>
        <w:gridCol w:w="2515"/>
      </w:tblGrid>
      <w:tr w:rsidR="00C23E59" w:rsidRPr="00221674" w14:paraId="57078285" w14:textId="7B56F07A" w:rsidTr="00E273B5">
        <w:trPr>
          <w:trHeight w:val="293"/>
          <w:jc w:val="center"/>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F501D" w14:textId="77777777" w:rsidR="00C23E59" w:rsidRPr="00221674" w:rsidRDefault="00C23E59" w:rsidP="00724613">
            <w:pPr>
              <w:ind w:left="284"/>
              <w:rPr>
                <w:rFonts w:ascii="Arial" w:hAnsi="Arial" w:cs="Arial"/>
                <w:sz w:val="20"/>
                <w:lang w:val="es-ES"/>
              </w:rPr>
            </w:pPr>
            <w:r w:rsidRPr="00221674">
              <w:rPr>
                <w:rFonts w:ascii="Arial" w:hAnsi="Arial" w:cs="Arial"/>
                <w:b/>
                <w:bCs/>
                <w:sz w:val="20"/>
                <w:lang w:val="es-PY"/>
              </w:rPr>
              <w:t>Hitos Especiales</w:t>
            </w:r>
          </w:p>
        </w:tc>
        <w:tc>
          <w:tcPr>
            <w:tcW w:w="84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14958" w14:textId="4E1CF678" w:rsidR="00C23E59" w:rsidRPr="00221674" w:rsidRDefault="00C23E59" w:rsidP="00C23E59">
            <w:pPr>
              <w:jc w:val="center"/>
              <w:rPr>
                <w:rFonts w:ascii="Arial" w:hAnsi="Arial" w:cs="Arial"/>
                <w:bCs/>
                <w:sz w:val="20"/>
                <w:lang w:val="es-ES"/>
              </w:rPr>
            </w:pPr>
            <w:r w:rsidRPr="00221674">
              <w:rPr>
                <w:rFonts w:ascii="Arial" w:hAnsi="Arial" w:cs="Arial"/>
                <w:b/>
                <w:iCs/>
                <w:sz w:val="20"/>
                <w:lang w:val="es-PY"/>
              </w:rPr>
              <w:t>INDICADORES DE G</w:t>
            </w:r>
            <w:r w:rsidR="00E273B5">
              <w:rPr>
                <w:rFonts w:ascii="Arial" w:hAnsi="Arial" w:cs="Arial"/>
                <w:b/>
                <w:iCs/>
                <w:sz w:val="20"/>
                <w:lang w:val="es-PY"/>
              </w:rPr>
              <w:t>É</w:t>
            </w:r>
            <w:r w:rsidRPr="00221674">
              <w:rPr>
                <w:rFonts w:ascii="Arial" w:hAnsi="Arial" w:cs="Arial"/>
                <w:b/>
                <w:iCs/>
                <w:sz w:val="20"/>
                <w:lang w:val="es-PY"/>
              </w:rPr>
              <w:t>NERO y DISTRIBUCI</w:t>
            </w:r>
            <w:r w:rsidR="00E273B5">
              <w:rPr>
                <w:rFonts w:ascii="Arial" w:hAnsi="Arial" w:cs="Arial"/>
                <w:b/>
                <w:iCs/>
                <w:sz w:val="20"/>
                <w:lang w:val="es-PY"/>
              </w:rPr>
              <w:t>Ó</w:t>
            </w:r>
            <w:r w:rsidRPr="00221674">
              <w:rPr>
                <w:rFonts w:ascii="Arial" w:hAnsi="Arial" w:cs="Arial"/>
                <w:b/>
                <w:iCs/>
                <w:sz w:val="20"/>
                <w:lang w:val="es-PY"/>
              </w:rPr>
              <w:t>N REGIONAL</w:t>
            </w:r>
          </w:p>
        </w:tc>
        <w:tc>
          <w:tcPr>
            <w:tcW w:w="251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5480FD" w14:textId="1AFFBBE0" w:rsidR="00C23E59" w:rsidRPr="00221674" w:rsidRDefault="00C23E59" w:rsidP="00C23E59">
            <w:pPr>
              <w:jc w:val="center"/>
              <w:rPr>
                <w:rFonts w:ascii="Arial" w:hAnsi="Arial" w:cs="Arial"/>
                <w:b/>
                <w:iCs/>
                <w:sz w:val="20"/>
                <w:lang w:val="es-PY"/>
              </w:rPr>
            </w:pPr>
            <w:r>
              <w:rPr>
                <w:rFonts w:ascii="Arial" w:hAnsi="Arial" w:cs="Arial"/>
                <w:b/>
                <w:iCs/>
                <w:sz w:val="20"/>
                <w:lang w:val="es-PY"/>
              </w:rPr>
              <w:t>Cambios a la matriz original</w:t>
            </w:r>
          </w:p>
        </w:tc>
      </w:tr>
      <w:tr w:rsidR="00C23E59" w:rsidRPr="00221674" w14:paraId="4B15FDFF" w14:textId="7E1DAD20" w:rsidTr="00E273B5">
        <w:trPr>
          <w:trHeight w:val="293"/>
          <w:jc w:val="center"/>
        </w:trPr>
        <w:tc>
          <w:tcPr>
            <w:tcW w:w="3415" w:type="dxa"/>
            <w:tcBorders>
              <w:top w:val="single" w:sz="4" w:space="0" w:color="auto"/>
            </w:tcBorders>
            <w:shd w:val="clear" w:color="auto" w:fill="F2F2F2" w:themeFill="background1" w:themeFillShade="F2"/>
            <w:vAlign w:val="center"/>
          </w:tcPr>
          <w:p w14:paraId="56270214" w14:textId="77777777" w:rsidR="00C23E59" w:rsidRPr="00221674" w:rsidRDefault="00C23E59" w:rsidP="00724613">
            <w:pPr>
              <w:ind w:left="284"/>
              <w:rPr>
                <w:rFonts w:ascii="Arial" w:hAnsi="Arial" w:cs="Arial"/>
                <w:sz w:val="20"/>
                <w:lang w:val="es-ES"/>
              </w:rPr>
            </w:pPr>
            <w:r w:rsidRPr="00221674">
              <w:rPr>
                <w:rFonts w:ascii="Arial" w:hAnsi="Arial" w:cs="Arial"/>
                <w:b/>
                <w:bCs/>
                <w:sz w:val="20"/>
                <w:lang w:val="es-PY"/>
              </w:rPr>
              <w:t>Resultados</w:t>
            </w:r>
          </w:p>
        </w:tc>
        <w:tc>
          <w:tcPr>
            <w:tcW w:w="1175" w:type="dxa"/>
            <w:tcBorders>
              <w:top w:val="single" w:sz="4" w:space="0" w:color="auto"/>
            </w:tcBorders>
            <w:shd w:val="clear" w:color="auto" w:fill="F2F2F2" w:themeFill="background1" w:themeFillShade="F2"/>
            <w:vAlign w:val="center"/>
          </w:tcPr>
          <w:p w14:paraId="3187AA55" w14:textId="77777777" w:rsidR="00C23E59" w:rsidRPr="00221674" w:rsidRDefault="00C23E59" w:rsidP="00724613">
            <w:pPr>
              <w:jc w:val="center"/>
              <w:rPr>
                <w:rFonts w:ascii="Arial" w:hAnsi="Arial" w:cs="Arial"/>
                <w:bCs/>
                <w:sz w:val="20"/>
                <w:lang w:val="es-ES"/>
              </w:rPr>
            </w:pPr>
            <w:r w:rsidRPr="00221674">
              <w:rPr>
                <w:rFonts w:ascii="Arial" w:hAnsi="Arial" w:cs="Arial"/>
                <w:b/>
                <w:bCs/>
                <w:sz w:val="20"/>
                <w:lang w:val="es-PY"/>
              </w:rPr>
              <w:t>Unidad de medida</w:t>
            </w:r>
          </w:p>
        </w:tc>
        <w:tc>
          <w:tcPr>
            <w:tcW w:w="1260" w:type="dxa"/>
            <w:tcBorders>
              <w:top w:val="single" w:sz="4" w:space="0" w:color="auto"/>
            </w:tcBorders>
            <w:shd w:val="clear" w:color="auto" w:fill="F2F2F2" w:themeFill="background1" w:themeFillShade="F2"/>
            <w:vAlign w:val="center"/>
          </w:tcPr>
          <w:p w14:paraId="3C9E5C64" w14:textId="77777777" w:rsidR="00C23E59" w:rsidRPr="00221674" w:rsidRDefault="00C23E59" w:rsidP="00724613">
            <w:pPr>
              <w:jc w:val="center"/>
              <w:rPr>
                <w:rFonts w:ascii="Arial" w:hAnsi="Arial" w:cs="Arial"/>
                <w:bCs/>
                <w:sz w:val="20"/>
                <w:lang w:val="es-ES"/>
              </w:rPr>
            </w:pPr>
            <w:r w:rsidRPr="00221674">
              <w:rPr>
                <w:rFonts w:ascii="Arial" w:hAnsi="Arial" w:cs="Arial"/>
                <w:b/>
                <w:bCs/>
                <w:sz w:val="20"/>
                <w:lang w:val="es-PY"/>
              </w:rPr>
              <w:t>Base 2011</w:t>
            </w:r>
          </w:p>
        </w:tc>
        <w:tc>
          <w:tcPr>
            <w:tcW w:w="1350" w:type="dxa"/>
            <w:tcBorders>
              <w:top w:val="single" w:sz="4" w:space="0" w:color="auto"/>
            </w:tcBorders>
            <w:shd w:val="clear" w:color="auto" w:fill="F2F2F2" w:themeFill="background1" w:themeFillShade="F2"/>
            <w:vAlign w:val="center"/>
          </w:tcPr>
          <w:p w14:paraId="224B362E" w14:textId="77777777" w:rsidR="00C23E59" w:rsidRPr="00221674" w:rsidRDefault="00C23E59" w:rsidP="00724613">
            <w:pPr>
              <w:jc w:val="center"/>
              <w:rPr>
                <w:rFonts w:ascii="Arial" w:hAnsi="Arial" w:cs="Arial"/>
                <w:b/>
                <w:bCs/>
                <w:sz w:val="20"/>
                <w:lang w:val="es-PY"/>
              </w:rPr>
            </w:pPr>
            <w:r w:rsidRPr="00221674">
              <w:rPr>
                <w:rFonts w:ascii="Arial" w:hAnsi="Arial" w:cs="Arial"/>
                <w:b/>
                <w:bCs/>
                <w:sz w:val="20"/>
                <w:lang w:val="es-PY"/>
              </w:rPr>
              <w:t xml:space="preserve">Meta </w:t>
            </w:r>
          </w:p>
          <w:p w14:paraId="3A6A51FC" w14:textId="77777777" w:rsidR="00C23E59" w:rsidRPr="00221674" w:rsidRDefault="00C23E59" w:rsidP="00724613">
            <w:pPr>
              <w:jc w:val="center"/>
              <w:rPr>
                <w:rFonts w:ascii="Arial" w:hAnsi="Arial" w:cs="Arial"/>
                <w:bCs/>
                <w:sz w:val="20"/>
                <w:lang w:val="es-ES"/>
              </w:rPr>
            </w:pPr>
            <w:r w:rsidRPr="00221674">
              <w:rPr>
                <w:rFonts w:ascii="Arial" w:hAnsi="Arial" w:cs="Arial"/>
                <w:b/>
                <w:bCs/>
                <w:sz w:val="20"/>
                <w:lang w:val="es-PY"/>
              </w:rPr>
              <w:t>final</w:t>
            </w:r>
          </w:p>
        </w:tc>
        <w:tc>
          <w:tcPr>
            <w:tcW w:w="4675" w:type="dxa"/>
            <w:tcBorders>
              <w:top w:val="single" w:sz="4" w:space="0" w:color="auto"/>
              <w:right w:val="single" w:sz="4" w:space="0" w:color="auto"/>
            </w:tcBorders>
            <w:shd w:val="clear" w:color="auto" w:fill="F2F2F2" w:themeFill="background1" w:themeFillShade="F2"/>
            <w:vAlign w:val="center"/>
          </w:tcPr>
          <w:p w14:paraId="1BD81122" w14:textId="77777777" w:rsidR="00C23E59" w:rsidRPr="00221674" w:rsidRDefault="00C23E59" w:rsidP="00724613">
            <w:pPr>
              <w:rPr>
                <w:rFonts w:ascii="Arial" w:hAnsi="Arial" w:cs="Arial"/>
                <w:bCs/>
                <w:sz w:val="20"/>
                <w:lang w:val="es-ES"/>
              </w:rPr>
            </w:pPr>
            <w:r w:rsidRPr="00221674">
              <w:rPr>
                <w:rFonts w:ascii="Arial" w:hAnsi="Arial" w:cs="Arial"/>
                <w:b/>
                <w:bCs/>
                <w:sz w:val="20"/>
                <w:lang w:val="es-PY"/>
              </w:rPr>
              <w:t>Medios de Verificación / Comentarios</w:t>
            </w:r>
          </w:p>
        </w:tc>
        <w:tc>
          <w:tcPr>
            <w:tcW w:w="2515" w:type="dxa"/>
            <w:vMerge/>
            <w:tcBorders>
              <w:left w:val="single" w:sz="4" w:space="0" w:color="auto"/>
              <w:right w:val="single" w:sz="4" w:space="0" w:color="auto"/>
            </w:tcBorders>
            <w:shd w:val="clear" w:color="auto" w:fill="F2F2F2" w:themeFill="background1" w:themeFillShade="F2"/>
          </w:tcPr>
          <w:p w14:paraId="5387AECB" w14:textId="77777777" w:rsidR="00C23E59" w:rsidRPr="00221674" w:rsidRDefault="00C23E59" w:rsidP="00724613">
            <w:pPr>
              <w:rPr>
                <w:rFonts w:ascii="Arial" w:hAnsi="Arial" w:cs="Arial"/>
                <w:b/>
                <w:bCs/>
                <w:sz w:val="20"/>
                <w:lang w:val="es-PY"/>
              </w:rPr>
            </w:pPr>
          </w:p>
        </w:tc>
      </w:tr>
      <w:tr w:rsidR="00983E1C" w:rsidRPr="00221674" w14:paraId="3DE05FAE" w14:textId="71FABEB5" w:rsidTr="00EE7E3E">
        <w:trPr>
          <w:trHeight w:val="293"/>
          <w:jc w:val="center"/>
        </w:trPr>
        <w:tc>
          <w:tcPr>
            <w:tcW w:w="3415" w:type="dxa"/>
            <w:vAlign w:val="center"/>
          </w:tcPr>
          <w:p w14:paraId="25BE05C4" w14:textId="77777777" w:rsidR="00983E1C" w:rsidRPr="00221674" w:rsidRDefault="00983E1C" w:rsidP="00B7706B">
            <w:pPr>
              <w:numPr>
                <w:ilvl w:val="0"/>
                <w:numId w:val="10"/>
              </w:numPr>
              <w:jc w:val="both"/>
              <w:rPr>
                <w:rFonts w:ascii="Arial" w:hAnsi="Arial" w:cs="Arial"/>
                <w:sz w:val="20"/>
                <w:lang w:val="es-PY"/>
              </w:rPr>
            </w:pPr>
            <w:r w:rsidRPr="00221674">
              <w:rPr>
                <w:rFonts w:ascii="Arial" w:hAnsi="Arial" w:cs="Arial"/>
                <w:sz w:val="20"/>
                <w:lang w:val="es-ES"/>
              </w:rPr>
              <w:t>Participación de mujeres en total de beneficiarios a través del programa de maestrías de CyT en el exterior.</w:t>
            </w:r>
          </w:p>
        </w:tc>
        <w:tc>
          <w:tcPr>
            <w:tcW w:w="1175" w:type="dxa"/>
            <w:vAlign w:val="center"/>
          </w:tcPr>
          <w:p w14:paraId="05EFF9C9" w14:textId="77777777" w:rsidR="00983E1C" w:rsidRPr="00221674" w:rsidRDefault="00983E1C" w:rsidP="00724613">
            <w:pPr>
              <w:jc w:val="center"/>
              <w:rPr>
                <w:rFonts w:ascii="Arial" w:hAnsi="Arial" w:cs="Arial"/>
                <w:bCs/>
                <w:sz w:val="20"/>
                <w:lang w:val="es-PY"/>
              </w:rPr>
            </w:pPr>
            <w:r w:rsidRPr="00221674">
              <w:rPr>
                <w:rFonts w:ascii="Arial" w:hAnsi="Arial" w:cs="Arial"/>
                <w:bCs/>
                <w:sz w:val="20"/>
                <w:lang w:val="es-ES"/>
              </w:rPr>
              <w:t>%</w:t>
            </w:r>
          </w:p>
        </w:tc>
        <w:tc>
          <w:tcPr>
            <w:tcW w:w="1260" w:type="dxa"/>
            <w:vAlign w:val="center"/>
          </w:tcPr>
          <w:p w14:paraId="624E55BB" w14:textId="77777777" w:rsidR="00983E1C" w:rsidRPr="00221674" w:rsidRDefault="00983E1C" w:rsidP="00724613">
            <w:pPr>
              <w:jc w:val="center"/>
              <w:rPr>
                <w:rFonts w:ascii="Arial" w:hAnsi="Arial" w:cs="Arial"/>
                <w:sz w:val="20"/>
                <w:lang w:val="es-PY"/>
              </w:rPr>
            </w:pPr>
            <w:r w:rsidRPr="00221674">
              <w:rPr>
                <w:rFonts w:ascii="Arial" w:hAnsi="Arial" w:cs="Arial"/>
                <w:bCs/>
                <w:sz w:val="20"/>
                <w:lang w:val="es-ES"/>
              </w:rPr>
              <w:t>32,03%</w:t>
            </w:r>
          </w:p>
        </w:tc>
        <w:tc>
          <w:tcPr>
            <w:tcW w:w="1350" w:type="dxa"/>
            <w:vAlign w:val="center"/>
          </w:tcPr>
          <w:p w14:paraId="723BCC3C" w14:textId="77777777" w:rsidR="00983E1C" w:rsidRPr="00221674" w:rsidRDefault="00983E1C" w:rsidP="00724613">
            <w:pPr>
              <w:jc w:val="center"/>
              <w:rPr>
                <w:rFonts w:ascii="Arial" w:hAnsi="Arial" w:cs="Arial"/>
                <w:bCs/>
                <w:sz w:val="20"/>
                <w:lang w:val="es-PY"/>
              </w:rPr>
            </w:pPr>
            <w:r w:rsidRPr="00221674">
              <w:rPr>
                <w:rFonts w:ascii="Arial" w:hAnsi="Arial" w:cs="Arial"/>
                <w:bCs/>
                <w:sz w:val="20"/>
                <w:lang w:val="es-ES"/>
              </w:rPr>
              <w:t>35%</w:t>
            </w:r>
          </w:p>
        </w:tc>
        <w:tc>
          <w:tcPr>
            <w:tcW w:w="4675" w:type="dxa"/>
            <w:vAlign w:val="center"/>
          </w:tcPr>
          <w:p w14:paraId="7B1709D0" w14:textId="77777777" w:rsidR="00983E1C" w:rsidRPr="00221674" w:rsidRDefault="00983E1C" w:rsidP="00724613">
            <w:pPr>
              <w:rPr>
                <w:rFonts w:ascii="Arial" w:hAnsi="Arial" w:cs="Arial"/>
                <w:bCs/>
                <w:sz w:val="20"/>
                <w:lang w:val="es-PY"/>
              </w:rPr>
            </w:pPr>
            <w:r w:rsidRPr="00221674">
              <w:rPr>
                <w:rFonts w:ascii="Arial" w:hAnsi="Arial" w:cs="Arial"/>
                <w:bCs/>
                <w:sz w:val="20"/>
                <w:lang w:val="es-ES"/>
              </w:rPr>
              <w:t xml:space="preserve">Base de datos de la Unidad Ejecutora. </w:t>
            </w:r>
            <w:r w:rsidRPr="00221674">
              <w:rPr>
                <w:rFonts w:ascii="Arial" w:hAnsi="Arial" w:cs="Arial"/>
                <w:bCs/>
                <w:iCs/>
                <w:sz w:val="20"/>
                <w:lang w:val="es-ES"/>
              </w:rPr>
              <w:t>Línea de Base: Convocatorias de Maestrías: Fullbright 2012 y 2013, Francia 2013, Italia 2013.</w:t>
            </w:r>
          </w:p>
        </w:tc>
        <w:tc>
          <w:tcPr>
            <w:tcW w:w="2515" w:type="dxa"/>
          </w:tcPr>
          <w:p w14:paraId="3B730FEE" w14:textId="321FC888" w:rsidR="00983E1C" w:rsidRPr="00221674" w:rsidRDefault="00C23E59" w:rsidP="00EE7E3E">
            <w:pPr>
              <w:jc w:val="center"/>
              <w:rPr>
                <w:rFonts w:ascii="Arial" w:hAnsi="Arial" w:cs="Arial"/>
                <w:bCs/>
                <w:sz w:val="20"/>
                <w:lang w:val="es-ES"/>
              </w:rPr>
            </w:pPr>
            <w:r>
              <w:rPr>
                <w:rFonts w:ascii="Arial" w:hAnsi="Arial" w:cs="Arial"/>
                <w:bCs/>
                <w:sz w:val="20"/>
                <w:lang w:val="es-ES"/>
              </w:rPr>
              <w:t>No se registran.</w:t>
            </w:r>
          </w:p>
        </w:tc>
      </w:tr>
      <w:tr w:rsidR="00983E1C" w:rsidRPr="00221674" w14:paraId="021C6B15" w14:textId="5EA5AFA9" w:rsidTr="00EE7E3E">
        <w:trPr>
          <w:trHeight w:val="293"/>
          <w:jc w:val="center"/>
        </w:trPr>
        <w:tc>
          <w:tcPr>
            <w:tcW w:w="3415" w:type="dxa"/>
            <w:vAlign w:val="center"/>
          </w:tcPr>
          <w:p w14:paraId="63C37E6F" w14:textId="04CE5D37" w:rsidR="00983E1C" w:rsidRPr="00221674" w:rsidRDefault="00983E1C" w:rsidP="00B7706B">
            <w:pPr>
              <w:numPr>
                <w:ilvl w:val="0"/>
                <w:numId w:val="10"/>
              </w:numPr>
              <w:rPr>
                <w:rFonts w:ascii="Arial" w:hAnsi="Arial" w:cs="Arial"/>
                <w:sz w:val="20"/>
                <w:lang w:val="es-PY"/>
              </w:rPr>
            </w:pPr>
            <w:r w:rsidRPr="00221674">
              <w:rPr>
                <w:rFonts w:ascii="Arial" w:hAnsi="Arial" w:cs="Arial"/>
                <w:sz w:val="20"/>
                <w:lang w:val="es-ES"/>
              </w:rPr>
              <w:t>Personas capacitadas a través de estancias cortas que son mujeres</w:t>
            </w:r>
            <w:r w:rsidR="00FA2C9F">
              <w:rPr>
                <w:rFonts w:ascii="Arial" w:hAnsi="Arial" w:cs="Arial"/>
                <w:sz w:val="20"/>
                <w:lang w:val="es-ES"/>
              </w:rPr>
              <w:t>.</w:t>
            </w:r>
            <w:r w:rsidRPr="00221674">
              <w:rPr>
                <w:rFonts w:ascii="Arial" w:hAnsi="Arial" w:cs="Arial"/>
                <w:sz w:val="20"/>
                <w:lang w:val="es-ES"/>
              </w:rPr>
              <w:t xml:space="preserve"> </w:t>
            </w:r>
          </w:p>
        </w:tc>
        <w:tc>
          <w:tcPr>
            <w:tcW w:w="1175" w:type="dxa"/>
            <w:vAlign w:val="center"/>
          </w:tcPr>
          <w:p w14:paraId="5DD65B90" w14:textId="77777777" w:rsidR="00983E1C" w:rsidRPr="00221674" w:rsidRDefault="00983E1C" w:rsidP="00724613">
            <w:pPr>
              <w:jc w:val="center"/>
              <w:rPr>
                <w:rFonts w:ascii="Arial" w:hAnsi="Arial" w:cs="Arial"/>
                <w:bCs/>
                <w:sz w:val="20"/>
                <w:lang w:val="es-PY"/>
              </w:rPr>
            </w:pPr>
            <w:r w:rsidRPr="00221674">
              <w:rPr>
                <w:rFonts w:ascii="Arial" w:hAnsi="Arial" w:cs="Arial"/>
                <w:bCs/>
                <w:sz w:val="20"/>
                <w:lang w:val="es-ES"/>
              </w:rPr>
              <w:t>#</w:t>
            </w:r>
          </w:p>
        </w:tc>
        <w:tc>
          <w:tcPr>
            <w:tcW w:w="1260" w:type="dxa"/>
            <w:vAlign w:val="center"/>
          </w:tcPr>
          <w:p w14:paraId="03838B18" w14:textId="77777777" w:rsidR="00983E1C" w:rsidRPr="00221674" w:rsidRDefault="00983E1C" w:rsidP="00724613">
            <w:pPr>
              <w:jc w:val="center"/>
              <w:rPr>
                <w:rFonts w:ascii="Arial" w:hAnsi="Arial" w:cs="Arial"/>
                <w:sz w:val="20"/>
                <w:lang w:val="es-PY"/>
              </w:rPr>
            </w:pPr>
            <w:r w:rsidRPr="00221674">
              <w:rPr>
                <w:rFonts w:ascii="Arial" w:hAnsi="Arial" w:cs="Arial"/>
                <w:sz w:val="20"/>
                <w:lang w:val="es-PY"/>
              </w:rPr>
              <w:t>0</w:t>
            </w:r>
          </w:p>
        </w:tc>
        <w:tc>
          <w:tcPr>
            <w:tcW w:w="1350" w:type="dxa"/>
            <w:vAlign w:val="center"/>
          </w:tcPr>
          <w:p w14:paraId="687BBAC8" w14:textId="77777777" w:rsidR="00983E1C" w:rsidRPr="00221674" w:rsidRDefault="00983E1C" w:rsidP="00724613">
            <w:pPr>
              <w:jc w:val="center"/>
              <w:rPr>
                <w:rFonts w:ascii="Arial" w:hAnsi="Arial" w:cs="Arial"/>
                <w:bCs/>
                <w:sz w:val="20"/>
                <w:lang w:val="es-PY"/>
              </w:rPr>
            </w:pPr>
            <w:r w:rsidRPr="00221674">
              <w:rPr>
                <w:rFonts w:ascii="Arial" w:hAnsi="Arial" w:cs="Arial"/>
                <w:bCs/>
                <w:sz w:val="20"/>
                <w:lang w:val="es-PY"/>
              </w:rPr>
              <w:t>40</w:t>
            </w:r>
          </w:p>
        </w:tc>
        <w:tc>
          <w:tcPr>
            <w:tcW w:w="4675" w:type="dxa"/>
            <w:vAlign w:val="center"/>
          </w:tcPr>
          <w:p w14:paraId="6DB98B28" w14:textId="77777777" w:rsidR="00983E1C" w:rsidRPr="00221674" w:rsidRDefault="00983E1C" w:rsidP="00724613">
            <w:pPr>
              <w:jc w:val="both"/>
              <w:rPr>
                <w:rFonts w:ascii="Arial" w:hAnsi="Arial" w:cs="Arial"/>
                <w:bCs/>
                <w:sz w:val="20"/>
                <w:lang w:val="es-PY"/>
              </w:rPr>
            </w:pPr>
            <w:r w:rsidRPr="00221674">
              <w:rPr>
                <w:rFonts w:ascii="Arial" w:hAnsi="Arial" w:cs="Arial"/>
                <w:bCs/>
                <w:sz w:val="20"/>
                <w:lang w:val="es-ES"/>
              </w:rPr>
              <w:t>Base de datos de la Unidad Ejecutora</w:t>
            </w:r>
          </w:p>
        </w:tc>
        <w:tc>
          <w:tcPr>
            <w:tcW w:w="2515" w:type="dxa"/>
          </w:tcPr>
          <w:p w14:paraId="1550D883" w14:textId="36A338FE" w:rsidR="00983E1C" w:rsidRPr="00221674" w:rsidRDefault="00EE7E3E" w:rsidP="00EE7E3E">
            <w:pPr>
              <w:jc w:val="center"/>
              <w:rPr>
                <w:rFonts w:ascii="Arial" w:hAnsi="Arial" w:cs="Arial"/>
                <w:bCs/>
                <w:sz w:val="20"/>
                <w:lang w:val="es-ES"/>
              </w:rPr>
            </w:pPr>
            <w:r>
              <w:rPr>
                <w:rFonts w:ascii="Arial" w:hAnsi="Arial" w:cs="Arial"/>
                <w:bCs/>
                <w:sz w:val="20"/>
                <w:lang w:val="es-ES"/>
              </w:rPr>
              <w:t>No se registran.</w:t>
            </w:r>
          </w:p>
        </w:tc>
      </w:tr>
      <w:tr w:rsidR="00983E1C" w:rsidRPr="00221674" w14:paraId="7791DD34" w14:textId="44F95E78" w:rsidTr="00EE7E3E">
        <w:trPr>
          <w:trHeight w:val="293"/>
          <w:jc w:val="center"/>
        </w:trPr>
        <w:tc>
          <w:tcPr>
            <w:tcW w:w="3415" w:type="dxa"/>
            <w:vAlign w:val="center"/>
          </w:tcPr>
          <w:p w14:paraId="1744A753" w14:textId="77777777" w:rsidR="00983E1C" w:rsidRPr="00221674" w:rsidRDefault="00983E1C" w:rsidP="00B7706B">
            <w:pPr>
              <w:numPr>
                <w:ilvl w:val="0"/>
                <w:numId w:val="10"/>
              </w:numPr>
              <w:rPr>
                <w:rFonts w:ascii="Arial" w:hAnsi="Arial" w:cs="Arial"/>
                <w:sz w:val="20"/>
                <w:lang w:val="es-ES"/>
              </w:rPr>
            </w:pPr>
            <w:r w:rsidRPr="00221674">
              <w:rPr>
                <w:rFonts w:ascii="Arial" w:hAnsi="Arial" w:cs="Arial"/>
                <w:sz w:val="20"/>
              </w:rPr>
              <w:t>P</w:t>
            </w:r>
            <w:r w:rsidRPr="00221674">
              <w:rPr>
                <w:rFonts w:ascii="Arial" w:hAnsi="Arial" w:cs="Arial"/>
                <w:sz w:val="20"/>
                <w:lang w:val="es-ES"/>
              </w:rPr>
              <w:t xml:space="preserve">articipación de personas de las zonas de Patagonia, Cuyo, NEA y NOA en el total de beneficiarios de maestrías en CyT del programa en el exterior. </w:t>
            </w:r>
          </w:p>
        </w:tc>
        <w:tc>
          <w:tcPr>
            <w:tcW w:w="1175" w:type="dxa"/>
            <w:vAlign w:val="center"/>
          </w:tcPr>
          <w:p w14:paraId="3FD3D274" w14:textId="77777777" w:rsidR="00983E1C" w:rsidRPr="00221674" w:rsidRDefault="00983E1C" w:rsidP="00724613">
            <w:pPr>
              <w:jc w:val="center"/>
              <w:rPr>
                <w:rFonts w:ascii="Arial" w:hAnsi="Arial" w:cs="Arial"/>
                <w:bCs/>
                <w:sz w:val="20"/>
                <w:lang w:val="es-ES"/>
              </w:rPr>
            </w:pPr>
            <w:r w:rsidRPr="00221674">
              <w:rPr>
                <w:rFonts w:ascii="Arial" w:hAnsi="Arial" w:cs="Arial"/>
                <w:bCs/>
                <w:sz w:val="20"/>
                <w:lang w:val="es-ES"/>
              </w:rPr>
              <w:t>%</w:t>
            </w:r>
          </w:p>
        </w:tc>
        <w:tc>
          <w:tcPr>
            <w:tcW w:w="1260" w:type="dxa"/>
            <w:vAlign w:val="center"/>
          </w:tcPr>
          <w:p w14:paraId="3C3D7891" w14:textId="77777777" w:rsidR="00983E1C" w:rsidRPr="00221674" w:rsidRDefault="00983E1C" w:rsidP="00724613">
            <w:pPr>
              <w:jc w:val="center"/>
              <w:rPr>
                <w:rFonts w:ascii="Arial" w:hAnsi="Arial" w:cs="Arial"/>
                <w:sz w:val="20"/>
                <w:lang w:val="es-PY"/>
              </w:rPr>
            </w:pPr>
            <w:r w:rsidRPr="00221674">
              <w:rPr>
                <w:rFonts w:ascii="Arial" w:hAnsi="Arial" w:cs="Arial"/>
                <w:sz w:val="20"/>
                <w:lang w:val="es-PY"/>
              </w:rPr>
              <w:t>25,49%</w:t>
            </w:r>
          </w:p>
        </w:tc>
        <w:tc>
          <w:tcPr>
            <w:tcW w:w="1350" w:type="dxa"/>
            <w:vAlign w:val="center"/>
          </w:tcPr>
          <w:p w14:paraId="1D473702" w14:textId="77777777" w:rsidR="00983E1C" w:rsidRPr="00221674" w:rsidRDefault="00983E1C" w:rsidP="00724613">
            <w:pPr>
              <w:jc w:val="center"/>
              <w:rPr>
                <w:rFonts w:ascii="Arial" w:hAnsi="Arial" w:cs="Arial"/>
                <w:bCs/>
                <w:sz w:val="20"/>
                <w:lang w:val="es-PY"/>
              </w:rPr>
            </w:pPr>
            <w:r w:rsidRPr="00221674">
              <w:rPr>
                <w:rFonts w:ascii="Arial" w:hAnsi="Arial" w:cs="Arial"/>
                <w:bCs/>
                <w:sz w:val="20"/>
                <w:lang w:val="es-PY"/>
              </w:rPr>
              <w:t>30%</w:t>
            </w:r>
          </w:p>
        </w:tc>
        <w:tc>
          <w:tcPr>
            <w:tcW w:w="4675" w:type="dxa"/>
            <w:vAlign w:val="center"/>
          </w:tcPr>
          <w:p w14:paraId="50160385" w14:textId="77777777" w:rsidR="00983E1C" w:rsidRPr="00221674" w:rsidRDefault="00983E1C" w:rsidP="00724613">
            <w:pPr>
              <w:jc w:val="both"/>
              <w:rPr>
                <w:rFonts w:ascii="Arial" w:hAnsi="Arial" w:cs="Arial"/>
                <w:iCs/>
                <w:sz w:val="20"/>
                <w:lang w:val="es-ES"/>
              </w:rPr>
            </w:pPr>
            <w:r w:rsidRPr="00221674">
              <w:rPr>
                <w:rFonts w:ascii="Arial" w:hAnsi="Arial" w:cs="Arial"/>
                <w:bCs/>
                <w:iCs/>
                <w:sz w:val="20"/>
                <w:lang w:val="es-ES"/>
              </w:rPr>
              <w:t xml:space="preserve">Base de datos de la Unidad Ejecutora. Línea de Base: Convocatorias de Maestrías: Fullbright 2012 y 2013, Francia 2013, Italia 2013. </w:t>
            </w:r>
          </w:p>
        </w:tc>
        <w:tc>
          <w:tcPr>
            <w:tcW w:w="2515" w:type="dxa"/>
          </w:tcPr>
          <w:p w14:paraId="2DA9F73D" w14:textId="2A2AB74A" w:rsidR="00983E1C" w:rsidRPr="00221674" w:rsidRDefault="00EE7E3E" w:rsidP="00EE7E3E">
            <w:pPr>
              <w:jc w:val="center"/>
              <w:rPr>
                <w:rFonts w:ascii="Arial" w:hAnsi="Arial" w:cs="Arial"/>
                <w:bCs/>
                <w:iCs/>
                <w:sz w:val="20"/>
                <w:lang w:val="es-ES"/>
              </w:rPr>
            </w:pPr>
            <w:r>
              <w:rPr>
                <w:rFonts w:ascii="Arial" w:hAnsi="Arial" w:cs="Arial"/>
                <w:bCs/>
                <w:iCs/>
                <w:sz w:val="20"/>
                <w:lang w:val="es-ES"/>
              </w:rPr>
              <w:t>No se registran.</w:t>
            </w:r>
          </w:p>
        </w:tc>
      </w:tr>
    </w:tbl>
    <w:p w14:paraId="31E01691" w14:textId="77777777" w:rsidR="00221674" w:rsidRPr="008165E8" w:rsidRDefault="00221674" w:rsidP="00221674">
      <w:pPr>
        <w:rPr>
          <w:szCs w:val="24"/>
          <w:lang w:val="es-PY"/>
        </w:rPr>
      </w:pPr>
    </w:p>
    <w:p w14:paraId="2D384AE3" w14:textId="49CBA6A7" w:rsidR="00685B32" w:rsidRPr="005D6A53" w:rsidRDefault="00685B32" w:rsidP="00A97FB6">
      <w:pPr>
        <w:spacing w:after="160" w:line="252" w:lineRule="auto"/>
        <w:jc w:val="both"/>
        <w:rPr>
          <w:rFonts w:ascii="Arial" w:hAnsi="Arial"/>
          <w:sz w:val="22"/>
          <w:lang w:val="es-PY"/>
        </w:rPr>
      </w:pPr>
    </w:p>
    <w:sectPr w:rsidR="00685B32" w:rsidRPr="005D6A53" w:rsidSect="005D6A5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15E6" w14:textId="77777777" w:rsidR="002D54F1" w:rsidRDefault="002D54F1" w:rsidP="009F0577">
      <w:r>
        <w:separator/>
      </w:r>
    </w:p>
  </w:endnote>
  <w:endnote w:type="continuationSeparator" w:id="0">
    <w:p w14:paraId="51AE386E" w14:textId="77777777" w:rsidR="002D54F1" w:rsidRDefault="002D54F1" w:rsidP="009F0577">
      <w:r>
        <w:continuationSeparator/>
      </w:r>
    </w:p>
  </w:endnote>
  <w:endnote w:type="continuationNotice" w:id="1">
    <w:p w14:paraId="59D83488" w14:textId="77777777" w:rsidR="002D54F1" w:rsidRDefault="002D5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EF20" w14:textId="77777777" w:rsidR="00221674" w:rsidRPr="00BC35D8" w:rsidRDefault="00221674" w:rsidP="005D6A5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6666" w14:textId="77777777" w:rsidR="002D54F1" w:rsidRDefault="002D54F1" w:rsidP="009F0577">
      <w:r>
        <w:separator/>
      </w:r>
    </w:p>
  </w:footnote>
  <w:footnote w:type="continuationSeparator" w:id="0">
    <w:p w14:paraId="16188DE6" w14:textId="77777777" w:rsidR="002D54F1" w:rsidRDefault="002D54F1" w:rsidP="009F0577">
      <w:r>
        <w:continuationSeparator/>
      </w:r>
    </w:p>
  </w:footnote>
  <w:footnote w:type="continuationNotice" w:id="1">
    <w:p w14:paraId="2AF1D60D" w14:textId="77777777" w:rsidR="002D54F1" w:rsidRDefault="002D54F1"/>
  </w:footnote>
  <w:footnote w:id="2">
    <w:p w14:paraId="64A70A1F" w14:textId="69C45DE2" w:rsidR="00C059DA" w:rsidRPr="00A97FB6" w:rsidRDefault="00C059DA" w:rsidP="00A97FB6">
      <w:pPr>
        <w:pStyle w:val="FootnoteText"/>
        <w:spacing w:after="0"/>
        <w:rPr>
          <w:rFonts w:ascii="Arial" w:hAnsi="Arial" w:cs="Arial"/>
          <w:sz w:val="18"/>
          <w:szCs w:val="18"/>
          <w:lang w:val="es-AR"/>
        </w:rPr>
      </w:pPr>
      <w:r w:rsidRPr="00A97FB6">
        <w:rPr>
          <w:rStyle w:val="FootnoteReference"/>
          <w:rFonts w:ascii="Arial" w:hAnsi="Arial" w:cs="Arial"/>
          <w:sz w:val="18"/>
          <w:szCs w:val="18"/>
        </w:rPr>
        <w:footnoteRef/>
      </w:r>
      <w:r w:rsidRPr="00A97FB6">
        <w:rPr>
          <w:rFonts w:ascii="Arial" w:hAnsi="Arial" w:cs="Arial"/>
          <w:sz w:val="18"/>
          <w:szCs w:val="18"/>
        </w:rPr>
        <w:t xml:space="preserve"> </w:t>
      </w:r>
      <w:r w:rsidR="00A97FB6">
        <w:rPr>
          <w:rFonts w:ascii="Arial" w:hAnsi="Arial" w:cs="Arial"/>
          <w:sz w:val="18"/>
          <w:szCs w:val="18"/>
        </w:rPr>
        <w:tab/>
      </w:r>
      <w:r w:rsidRPr="00A97FB6">
        <w:rPr>
          <w:rFonts w:ascii="Arial" w:hAnsi="Arial" w:cs="Arial"/>
          <w:sz w:val="18"/>
          <w:szCs w:val="18"/>
          <w:lang w:val="es-AR"/>
        </w:rPr>
        <w:t>El proyecto no tiene objetivos específicos.</w:t>
      </w:r>
      <w:r w:rsidR="00AB1AF6" w:rsidRPr="00A97FB6">
        <w:rPr>
          <w:rFonts w:ascii="Arial" w:hAnsi="Arial" w:cs="Arial"/>
          <w:sz w:val="18"/>
          <w:szCs w:val="18"/>
          <w:lang w:val="es-AR"/>
        </w:rPr>
        <w:t xml:space="preserve"> El objetivo general </w:t>
      </w:r>
      <w:r w:rsidR="00443BF7" w:rsidRPr="00A97FB6">
        <w:rPr>
          <w:rFonts w:ascii="Arial" w:hAnsi="Arial" w:cs="Arial"/>
          <w:sz w:val="18"/>
          <w:szCs w:val="18"/>
          <w:lang w:val="es-AR"/>
        </w:rPr>
        <w:t>del mismo puede verse en el párrafo 1.15 de la Propuesta de Préstamo aprobada por el Directorio del Banco.</w:t>
      </w:r>
      <w:r w:rsidRPr="00A97FB6">
        <w:rPr>
          <w:rFonts w:ascii="Arial" w:hAnsi="Arial" w:cs="Arial"/>
          <w:sz w:val="18"/>
          <w:szCs w:val="18"/>
          <w:lang w:val="es-AR"/>
        </w:rPr>
        <w:t xml:space="preserve"> </w:t>
      </w:r>
    </w:p>
  </w:footnote>
  <w:footnote w:id="3">
    <w:p w14:paraId="1FC058A4" w14:textId="283284CE" w:rsidR="00EF5D8B" w:rsidRPr="00A97FB6" w:rsidRDefault="00EF5D8B" w:rsidP="00A97FB6">
      <w:pPr>
        <w:pStyle w:val="FootnoteText"/>
        <w:spacing w:after="0"/>
        <w:rPr>
          <w:rFonts w:ascii="Arial" w:hAnsi="Arial" w:cs="Arial"/>
          <w:sz w:val="18"/>
          <w:szCs w:val="18"/>
          <w:lang w:val="es-AR"/>
        </w:rPr>
      </w:pPr>
      <w:r w:rsidRPr="00A97FB6">
        <w:rPr>
          <w:rStyle w:val="FootnoteReference"/>
          <w:rFonts w:ascii="Arial" w:hAnsi="Arial" w:cs="Arial"/>
          <w:sz w:val="18"/>
          <w:szCs w:val="18"/>
        </w:rPr>
        <w:footnoteRef/>
      </w:r>
      <w:r w:rsidRPr="00A97FB6">
        <w:rPr>
          <w:rFonts w:ascii="Arial" w:hAnsi="Arial" w:cs="Arial"/>
          <w:sz w:val="18"/>
          <w:szCs w:val="18"/>
        </w:rPr>
        <w:t xml:space="preserve"> </w:t>
      </w:r>
      <w:r w:rsidR="00A97FB6">
        <w:rPr>
          <w:rFonts w:ascii="Arial" w:hAnsi="Arial" w:cs="Arial"/>
          <w:sz w:val="18"/>
          <w:szCs w:val="18"/>
        </w:rPr>
        <w:tab/>
      </w:r>
      <w:r w:rsidRPr="00A97FB6">
        <w:rPr>
          <w:rFonts w:ascii="Arial" w:hAnsi="Arial" w:cs="Arial"/>
          <w:sz w:val="18"/>
          <w:szCs w:val="18"/>
          <w:lang w:val="es-AR"/>
        </w:rPr>
        <w:t>Durante los años 2018 y 2019</w:t>
      </w:r>
      <w:r w:rsidR="00B37B7C">
        <w:rPr>
          <w:rFonts w:ascii="Arial" w:hAnsi="Arial" w:cs="Arial"/>
          <w:sz w:val="18"/>
          <w:szCs w:val="18"/>
          <w:lang w:val="es-AR"/>
        </w:rPr>
        <w:t>,</w:t>
      </w:r>
      <w:r w:rsidRPr="00A97FB6">
        <w:rPr>
          <w:rFonts w:ascii="Arial" w:hAnsi="Arial" w:cs="Arial"/>
          <w:sz w:val="18"/>
          <w:szCs w:val="18"/>
          <w:lang w:val="es-AR"/>
        </w:rPr>
        <w:t xml:space="preserve"> el ejecutor ha aportado fondos de contrapartida local en exceso de los originalmente planeados, de forma tal que los fondos ejecutados por el programa hasta la fecha, </w:t>
      </w:r>
      <w:r w:rsidR="006003FC" w:rsidRPr="00A97FB6">
        <w:rPr>
          <w:rFonts w:ascii="Arial" w:hAnsi="Arial" w:cs="Arial"/>
          <w:sz w:val="18"/>
          <w:szCs w:val="18"/>
          <w:lang w:val="es-AR"/>
        </w:rPr>
        <w:t xml:space="preserve">el resultante de </w:t>
      </w:r>
      <w:r w:rsidRPr="00A97FB6">
        <w:rPr>
          <w:rFonts w:ascii="Arial" w:hAnsi="Arial" w:cs="Arial"/>
          <w:sz w:val="18"/>
          <w:szCs w:val="18"/>
          <w:lang w:val="es-AR"/>
        </w:rPr>
        <w:t xml:space="preserve">la suma de aquellos con cargos tanto al financiamiento del Banco como a la contrapartida local, ya exceden el total del presupuesto original del programa. </w:t>
      </w:r>
    </w:p>
  </w:footnote>
  <w:footnote w:id="4">
    <w:p w14:paraId="3EB8D10C" w14:textId="58B30CDC" w:rsidR="00802409" w:rsidRPr="00A97FB6" w:rsidRDefault="00802409" w:rsidP="00A97FB6">
      <w:pPr>
        <w:pStyle w:val="FootnoteText"/>
        <w:spacing w:after="0"/>
        <w:rPr>
          <w:rFonts w:ascii="Arial" w:hAnsi="Arial" w:cs="Arial"/>
          <w:sz w:val="18"/>
          <w:szCs w:val="18"/>
          <w:lang w:val="es-AR"/>
        </w:rPr>
      </w:pPr>
      <w:r w:rsidRPr="00A97FB6">
        <w:rPr>
          <w:rStyle w:val="FootnoteReference"/>
          <w:rFonts w:ascii="Arial" w:hAnsi="Arial" w:cs="Arial"/>
          <w:sz w:val="18"/>
          <w:szCs w:val="18"/>
        </w:rPr>
        <w:footnoteRef/>
      </w:r>
      <w:r w:rsidRPr="00A97FB6">
        <w:rPr>
          <w:rFonts w:ascii="Arial" w:hAnsi="Arial" w:cs="Arial"/>
          <w:sz w:val="18"/>
          <w:szCs w:val="18"/>
        </w:rPr>
        <w:t xml:space="preserve"> </w:t>
      </w:r>
      <w:r w:rsidR="00A97FB6">
        <w:rPr>
          <w:rFonts w:ascii="Arial" w:hAnsi="Arial" w:cs="Arial"/>
          <w:sz w:val="18"/>
          <w:szCs w:val="18"/>
        </w:rPr>
        <w:tab/>
      </w:r>
      <w:r w:rsidRPr="00A97FB6">
        <w:rPr>
          <w:rFonts w:ascii="Arial" w:hAnsi="Arial" w:cs="Arial"/>
          <w:sz w:val="18"/>
          <w:szCs w:val="18"/>
          <w:lang w:val="es-AR"/>
        </w:rPr>
        <w:t xml:space="preserve">El presupuesto remanente </w:t>
      </w:r>
      <w:r w:rsidR="008018EC" w:rsidRPr="00A97FB6">
        <w:rPr>
          <w:rFonts w:ascii="Arial" w:hAnsi="Arial" w:cs="Arial"/>
          <w:sz w:val="18"/>
          <w:szCs w:val="18"/>
          <w:lang w:val="es-AR"/>
        </w:rPr>
        <w:t>con cargo al financiamiento del BID incluye los fondos desembolsados no justificados</w:t>
      </w:r>
      <w:r w:rsidR="005F54E4" w:rsidRPr="00A97FB6">
        <w:rPr>
          <w:rFonts w:ascii="Arial" w:hAnsi="Arial" w:cs="Arial"/>
          <w:sz w:val="18"/>
          <w:szCs w:val="18"/>
          <w:lang w:val="es-AR"/>
        </w:rPr>
        <w:t xml:space="preserve"> a la fecha</w:t>
      </w:r>
      <w:r w:rsidR="009A3ACA" w:rsidRPr="00A97FB6">
        <w:rPr>
          <w:rFonts w:ascii="Arial" w:hAnsi="Arial" w:cs="Arial"/>
          <w:sz w:val="18"/>
          <w:szCs w:val="18"/>
          <w:lang w:val="es-AR"/>
        </w:rPr>
        <w:t xml:space="preserve"> de elaboración de</w:t>
      </w:r>
      <w:r w:rsidR="005E1D35" w:rsidRPr="00A97FB6">
        <w:rPr>
          <w:rFonts w:ascii="Arial" w:hAnsi="Arial" w:cs="Arial"/>
          <w:sz w:val="18"/>
          <w:szCs w:val="18"/>
          <w:lang w:val="es-AR"/>
        </w:rPr>
        <w:t xml:space="preserve"> </w:t>
      </w:r>
      <w:r w:rsidR="009A3ACA" w:rsidRPr="00A97FB6">
        <w:rPr>
          <w:rFonts w:ascii="Arial" w:hAnsi="Arial" w:cs="Arial"/>
          <w:sz w:val="18"/>
          <w:szCs w:val="18"/>
          <w:lang w:val="es-AR"/>
        </w:rPr>
        <w:t>l</w:t>
      </w:r>
      <w:r w:rsidR="005E1D35" w:rsidRPr="00A97FB6">
        <w:rPr>
          <w:rFonts w:ascii="Arial" w:hAnsi="Arial" w:cs="Arial"/>
          <w:sz w:val="18"/>
          <w:szCs w:val="18"/>
          <w:lang w:val="es-AR"/>
        </w:rPr>
        <w:t>a</w:t>
      </w:r>
      <w:r w:rsidR="009A3ACA" w:rsidRPr="00A97FB6">
        <w:rPr>
          <w:rFonts w:ascii="Arial" w:hAnsi="Arial" w:cs="Arial"/>
          <w:sz w:val="18"/>
          <w:szCs w:val="18"/>
          <w:lang w:val="es-AR"/>
        </w:rPr>
        <w:t xml:space="preserve"> presente </w:t>
      </w:r>
      <w:r w:rsidR="005E1D35" w:rsidRPr="00A97FB6">
        <w:rPr>
          <w:rFonts w:ascii="Arial" w:hAnsi="Arial" w:cs="Arial"/>
          <w:sz w:val="18"/>
          <w:szCs w:val="18"/>
          <w:lang w:val="es-AR"/>
        </w:rPr>
        <w:t>reformulación</w:t>
      </w:r>
      <w:r w:rsidR="0040426C">
        <w:rPr>
          <w:rFonts w:ascii="Arial" w:hAnsi="Arial" w:cs="Arial"/>
          <w:sz w:val="18"/>
          <w:szCs w:val="18"/>
          <w:lang w:val="es-AR"/>
        </w:rPr>
        <w:t xml:space="preserve"> equivalentes a US$162.836,09.</w:t>
      </w:r>
    </w:p>
  </w:footnote>
  <w:footnote w:id="5">
    <w:p w14:paraId="4637C1D2" w14:textId="56756908" w:rsidR="00EF5D8B" w:rsidRPr="00A97FB6" w:rsidRDefault="00EF5D8B" w:rsidP="00A97FB6">
      <w:pPr>
        <w:pStyle w:val="FootnoteText"/>
        <w:spacing w:after="0"/>
        <w:rPr>
          <w:rFonts w:ascii="Arial" w:hAnsi="Arial" w:cs="Arial"/>
          <w:sz w:val="18"/>
          <w:szCs w:val="18"/>
          <w:lang w:val="es-AR"/>
        </w:rPr>
      </w:pPr>
      <w:r w:rsidRPr="00A97FB6">
        <w:rPr>
          <w:rStyle w:val="FootnoteReference"/>
          <w:rFonts w:ascii="Arial" w:hAnsi="Arial" w:cs="Arial"/>
          <w:sz w:val="18"/>
          <w:szCs w:val="18"/>
        </w:rPr>
        <w:footnoteRef/>
      </w:r>
      <w:r w:rsidRPr="00A97FB6">
        <w:rPr>
          <w:rFonts w:ascii="Arial" w:hAnsi="Arial" w:cs="Arial"/>
          <w:sz w:val="18"/>
          <w:szCs w:val="18"/>
        </w:rPr>
        <w:t xml:space="preserve"> </w:t>
      </w:r>
      <w:r w:rsidR="00A97FB6">
        <w:rPr>
          <w:rFonts w:ascii="Arial" w:hAnsi="Arial" w:cs="Arial"/>
          <w:sz w:val="18"/>
          <w:szCs w:val="18"/>
        </w:rPr>
        <w:tab/>
      </w:r>
      <w:r w:rsidRPr="00A97FB6">
        <w:rPr>
          <w:rFonts w:ascii="Arial" w:hAnsi="Arial" w:cs="Arial"/>
          <w:sz w:val="18"/>
          <w:szCs w:val="18"/>
          <w:lang w:val="es-AR"/>
        </w:rPr>
        <w:t>Este avance en el logro de productos se produjo por el aporte de contrapartida local superior al originalmente comprometido.</w:t>
      </w:r>
    </w:p>
  </w:footnote>
  <w:footnote w:id="6">
    <w:p w14:paraId="7CCE8A1F" w14:textId="3A2CD141" w:rsidR="00221674" w:rsidRPr="005D6A53" w:rsidRDefault="00221674" w:rsidP="00FC109D">
      <w:pPr>
        <w:pStyle w:val="FootnoteText"/>
        <w:spacing w:after="0"/>
        <w:rPr>
          <w:rFonts w:ascii="Arial" w:hAnsi="Arial" w:cs="Arial"/>
          <w:sz w:val="18"/>
          <w:szCs w:val="18"/>
        </w:rPr>
      </w:pPr>
      <w:r w:rsidRPr="005D6A53">
        <w:rPr>
          <w:rStyle w:val="FootnoteReference"/>
          <w:rFonts w:ascii="Arial" w:hAnsi="Arial" w:cs="Arial"/>
          <w:sz w:val="18"/>
          <w:szCs w:val="18"/>
        </w:rPr>
        <w:footnoteRef/>
      </w:r>
      <w:r w:rsidRPr="005D6A53">
        <w:rPr>
          <w:rFonts w:ascii="Arial" w:hAnsi="Arial" w:cs="Arial"/>
          <w:sz w:val="18"/>
          <w:szCs w:val="18"/>
        </w:rPr>
        <w:t xml:space="preserve"> </w:t>
      </w:r>
      <w:r w:rsidR="00E273B5">
        <w:rPr>
          <w:rFonts w:ascii="Arial" w:hAnsi="Arial" w:cs="Arial"/>
          <w:sz w:val="18"/>
          <w:szCs w:val="18"/>
        </w:rPr>
        <w:tab/>
      </w:r>
      <w:r w:rsidRPr="00FC109D">
        <w:rPr>
          <w:rFonts w:ascii="Arial" w:hAnsi="Arial" w:cs="Arial"/>
          <w:sz w:val="18"/>
          <w:szCs w:val="18"/>
          <w:lang w:val="es-AR"/>
        </w:rPr>
        <w:t>Entendemos</w:t>
      </w:r>
      <w:r w:rsidRPr="005D6A53">
        <w:rPr>
          <w:rFonts w:ascii="Arial" w:hAnsi="Arial" w:cs="Arial"/>
          <w:sz w:val="18"/>
          <w:szCs w:val="18"/>
        </w:rPr>
        <w:t xml:space="preserve"> “investigadores en el sector privado” a los recursos humanos dedicados a actividades de I+D empleados en empresas. </w:t>
      </w:r>
    </w:p>
  </w:footnote>
  <w:footnote w:id="7">
    <w:tbl>
      <w:tblPr>
        <w:tblW w:w="0" w:type="auto"/>
        <w:tblInd w:w="40" w:type="dxa"/>
        <w:tblLayout w:type="fixed"/>
        <w:tblCellMar>
          <w:left w:w="70" w:type="dxa"/>
          <w:right w:w="70" w:type="dxa"/>
        </w:tblCellMar>
        <w:tblLook w:val="0000" w:firstRow="0" w:lastRow="0" w:firstColumn="0" w:lastColumn="0" w:noHBand="0" w:noVBand="0"/>
      </w:tblPr>
      <w:tblGrid>
        <w:gridCol w:w="13800"/>
      </w:tblGrid>
      <w:tr w:rsidR="00221674" w:rsidRPr="00F72361" w14:paraId="05281761" w14:textId="77777777" w:rsidTr="00C66E35">
        <w:trPr>
          <w:trHeight w:val="250"/>
        </w:trPr>
        <w:tc>
          <w:tcPr>
            <w:tcW w:w="13800" w:type="dxa"/>
            <w:tcBorders>
              <w:top w:val="nil"/>
              <w:left w:val="nil"/>
              <w:bottom w:val="nil"/>
              <w:right w:val="nil"/>
            </w:tcBorders>
          </w:tcPr>
          <w:p w14:paraId="1E56DB4F" w14:textId="77777777" w:rsidR="00221674" w:rsidRPr="00FA2C9F" w:rsidRDefault="00221674" w:rsidP="00FA2C9F">
            <w:pPr>
              <w:autoSpaceDE w:val="0"/>
              <w:autoSpaceDN w:val="0"/>
              <w:adjustRightInd w:val="0"/>
              <w:jc w:val="both"/>
              <w:rPr>
                <w:rFonts w:ascii="Arial" w:eastAsia="Calibri" w:hAnsi="Arial" w:cs="Arial"/>
                <w:color w:val="000000"/>
                <w:sz w:val="18"/>
                <w:szCs w:val="18"/>
                <w:lang w:eastAsia="es-ES_tradnl"/>
              </w:rPr>
            </w:pPr>
            <w:r w:rsidRPr="00FA2C9F">
              <w:rPr>
                <w:rFonts w:ascii="Arial" w:hAnsi="Arial" w:cs="Arial"/>
                <w:sz w:val="18"/>
                <w:szCs w:val="18"/>
              </w:rPr>
              <w:t xml:space="preserve"> </w:t>
            </w:r>
            <w:r w:rsidRPr="00FA2C9F">
              <w:rPr>
                <w:rFonts w:ascii="Arial" w:hAnsi="Arial" w:cs="Arial"/>
                <w:sz w:val="18"/>
                <w:szCs w:val="18"/>
                <w:lang w:eastAsia="es-ES"/>
              </w:rPr>
              <w:t>Actividades de Innovación (AI): son todas aquellas prácticas o acciones desarrolladas por las empresas en pos de:   la transformación de una idea en un producto nuevo o mejorado introducido en el mercado; un proceso productivo nuevo o mejorado, o bien en la introducción de cambios en la forma de organización y gestión de la firma; la introducción de métodos de venta o distribución nuevos o mejorados de manera significativa.</w:t>
            </w:r>
          </w:p>
        </w:tc>
      </w:tr>
    </w:tbl>
    <w:p w14:paraId="2A1BE136" w14:textId="77777777" w:rsidR="00221674" w:rsidRPr="00EE0C1F" w:rsidRDefault="00221674" w:rsidP="002216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318336367"/>
      <w:docPartObj>
        <w:docPartGallery w:val="Page Numbers (Top of Page)"/>
        <w:docPartUnique/>
      </w:docPartObj>
    </w:sdtPr>
    <w:sdtEndPr/>
    <w:sdtContent>
      <w:p w14:paraId="49087831" w14:textId="78F602A1" w:rsidR="00437492" w:rsidRPr="00B22368" w:rsidRDefault="00437492">
        <w:pPr>
          <w:pStyle w:val="Header"/>
          <w:jc w:val="right"/>
          <w:rPr>
            <w:rFonts w:ascii="Arial" w:hAnsi="Arial" w:cs="Arial"/>
            <w:sz w:val="20"/>
            <w:lang w:val="pt-BR"/>
          </w:rPr>
        </w:pPr>
        <w:r>
          <w:rPr>
            <w:rFonts w:ascii="Arial" w:hAnsi="Arial" w:cs="Arial"/>
            <w:sz w:val="20"/>
            <w:lang w:val="pt-BR"/>
          </w:rPr>
          <w:t>EEO#</w:t>
        </w:r>
        <w:r w:rsidR="00B8283E">
          <w:rPr>
            <w:rFonts w:ascii="Arial" w:hAnsi="Arial" w:cs="Arial"/>
            <w:sz w:val="20"/>
            <w:lang w:val="pt-BR"/>
          </w:rPr>
          <w:t>12</w:t>
        </w:r>
        <w:r>
          <w:rPr>
            <w:rFonts w:ascii="Arial" w:hAnsi="Arial" w:cs="Arial"/>
            <w:sz w:val="20"/>
            <w:lang w:val="pt-BR"/>
          </w:rPr>
          <w:t xml:space="preserve"> – AR-L1</w:t>
        </w:r>
        <w:r w:rsidR="00B8283E">
          <w:rPr>
            <w:rFonts w:ascii="Arial" w:hAnsi="Arial" w:cs="Arial"/>
            <w:sz w:val="20"/>
            <w:lang w:val="pt-BR"/>
          </w:rPr>
          <w:t>156</w:t>
        </w:r>
      </w:p>
      <w:p w14:paraId="1D971966" w14:textId="05E9673B" w:rsidR="00437492" w:rsidRPr="00B22368" w:rsidRDefault="00437492">
        <w:pPr>
          <w:pStyle w:val="Header"/>
          <w:jc w:val="right"/>
          <w:rPr>
            <w:rFonts w:ascii="Arial" w:hAnsi="Arial" w:cs="Arial"/>
            <w:sz w:val="20"/>
            <w:lang w:val="pt-BR"/>
          </w:rPr>
        </w:pPr>
        <w:r w:rsidRPr="00B22368">
          <w:rPr>
            <w:rFonts w:ascii="Arial" w:hAnsi="Arial" w:cs="Arial"/>
            <w:sz w:val="20"/>
            <w:lang w:val="pt-BR"/>
          </w:rPr>
          <w:t xml:space="preserve">Página </w:t>
        </w:r>
        <w:r w:rsidRPr="00035964">
          <w:rPr>
            <w:rFonts w:ascii="Arial" w:hAnsi="Arial" w:cs="Arial"/>
            <w:b/>
            <w:bCs/>
            <w:sz w:val="20"/>
          </w:rPr>
          <w:fldChar w:fldCharType="begin"/>
        </w:r>
        <w:r w:rsidRPr="00B22368">
          <w:rPr>
            <w:rFonts w:ascii="Arial" w:hAnsi="Arial" w:cs="Arial"/>
            <w:b/>
            <w:bCs/>
            <w:sz w:val="20"/>
            <w:lang w:val="pt-BR"/>
          </w:rPr>
          <w:instrText xml:space="preserve"> PAGE </w:instrText>
        </w:r>
        <w:r w:rsidRPr="00035964">
          <w:rPr>
            <w:rFonts w:ascii="Arial" w:hAnsi="Arial" w:cs="Arial"/>
            <w:b/>
            <w:bCs/>
            <w:sz w:val="20"/>
          </w:rPr>
          <w:fldChar w:fldCharType="separate"/>
        </w:r>
        <w:r>
          <w:rPr>
            <w:rFonts w:ascii="Arial" w:hAnsi="Arial" w:cs="Arial"/>
            <w:b/>
            <w:bCs/>
            <w:noProof/>
            <w:sz w:val="20"/>
            <w:lang w:val="pt-BR"/>
          </w:rPr>
          <w:t>5</w:t>
        </w:r>
        <w:r w:rsidRPr="00035964">
          <w:rPr>
            <w:rFonts w:ascii="Arial" w:hAnsi="Arial" w:cs="Arial"/>
            <w:b/>
            <w:bCs/>
            <w:sz w:val="20"/>
          </w:rPr>
          <w:fldChar w:fldCharType="end"/>
        </w:r>
        <w:r w:rsidRPr="00B22368">
          <w:rPr>
            <w:rFonts w:ascii="Arial" w:hAnsi="Arial" w:cs="Arial"/>
            <w:sz w:val="20"/>
            <w:lang w:val="pt-BR"/>
          </w:rPr>
          <w:t xml:space="preserve"> de</w:t>
        </w:r>
        <w:r w:rsidR="00B8283E">
          <w:rPr>
            <w:rFonts w:ascii="Arial" w:hAnsi="Arial" w:cs="Arial"/>
            <w:sz w:val="20"/>
            <w:lang w:val="pt-BR"/>
          </w:rPr>
          <w:t xml:space="preserve"> </w:t>
        </w:r>
        <w:r w:rsidRPr="00035964">
          <w:rPr>
            <w:rFonts w:ascii="Arial" w:hAnsi="Arial" w:cs="Arial"/>
            <w:b/>
            <w:bCs/>
            <w:sz w:val="20"/>
          </w:rPr>
          <w:fldChar w:fldCharType="begin"/>
        </w:r>
        <w:r w:rsidRPr="00B22368">
          <w:rPr>
            <w:rFonts w:ascii="Arial" w:hAnsi="Arial" w:cs="Arial"/>
            <w:b/>
            <w:bCs/>
            <w:sz w:val="20"/>
            <w:lang w:val="pt-BR"/>
          </w:rPr>
          <w:instrText xml:space="preserve"> NUMPAGES  </w:instrText>
        </w:r>
        <w:r w:rsidRPr="00035964">
          <w:rPr>
            <w:rFonts w:ascii="Arial" w:hAnsi="Arial" w:cs="Arial"/>
            <w:b/>
            <w:bCs/>
            <w:sz w:val="20"/>
          </w:rPr>
          <w:fldChar w:fldCharType="separate"/>
        </w:r>
        <w:r>
          <w:rPr>
            <w:rFonts w:ascii="Arial" w:hAnsi="Arial" w:cs="Arial"/>
            <w:b/>
            <w:bCs/>
            <w:noProof/>
            <w:sz w:val="20"/>
            <w:lang w:val="pt-BR"/>
          </w:rPr>
          <w:t>9</w:t>
        </w:r>
        <w:r w:rsidRPr="00035964">
          <w:rPr>
            <w:rFonts w:ascii="Arial" w:hAnsi="Arial" w:cs="Arial"/>
            <w:b/>
            <w:bCs/>
            <w:sz w:val="20"/>
          </w:rPr>
          <w:fldChar w:fldCharType="end"/>
        </w:r>
      </w:p>
    </w:sdtContent>
  </w:sdt>
  <w:p w14:paraId="30C278B4" w14:textId="77777777" w:rsidR="00437492" w:rsidRPr="00B22368" w:rsidRDefault="00437492">
    <w:pPr>
      <w:pStyle w:val="Header"/>
      <w:rPr>
        <w:rFonts w:ascii="Arial" w:hAnsi="Arial" w:cs="Arial"/>
        <w:sz w:val="20"/>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085C" w14:textId="3C4DCDC3" w:rsidR="00221674" w:rsidRPr="005D6A53" w:rsidRDefault="00221674" w:rsidP="005D6A53">
    <w:pPr>
      <w:jc w:val="center"/>
      <w:rPr>
        <w:b/>
        <w:lang w:val="pt-BR"/>
      </w:rPr>
    </w:pPr>
    <w:r>
      <w:rPr>
        <w:b/>
        <w:bCs/>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3D4"/>
    <w:multiLevelType w:val="hybridMultilevel"/>
    <w:tmpl w:val="A7561E06"/>
    <w:lvl w:ilvl="0" w:tplc="4F16600A">
      <w:start w:val="1"/>
      <w:numFmt w:val="decimal"/>
      <w:lvlText w:val="%1."/>
      <w:lvlJc w:val="left"/>
      <w:pPr>
        <w:ind w:left="360" w:hanging="360"/>
      </w:pPr>
      <w:rPr>
        <w:b/>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460093"/>
    <w:multiLevelType w:val="multilevel"/>
    <w:tmpl w:val="B7F60C36"/>
    <w:lvl w:ilvl="0">
      <w:start w:val="1"/>
      <w:numFmt w:val="decimal"/>
      <w:lvlText w:val="%1."/>
      <w:lvlJc w:val="left"/>
      <w:pPr>
        <w:ind w:left="360" w:hanging="360"/>
      </w:pPr>
      <w:rPr>
        <w:b/>
        <w:i w:val="0"/>
      </w:rPr>
    </w:lvl>
    <w:lvl w:ilvl="1">
      <w:start w:val="1"/>
      <w:numFmt w:val="decimal"/>
      <w:lvlText w:val="%1.%2."/>
      <w:lvlJc w:val="left"/>
      <w:pPr>
        <w:ind w:left="128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9065C"/>
    <w:multiLevelType w:val="singleLevel"/>
    <w:tmpl w:val="0679065C"/>
    <w:lvl w:ilvl="0">
      <w:start w:val="1"/>
      <w:numFmt w:val="bullet"/>
      <w:pStyle w:val="Caption"/>
      <w:lvlText w:val=""/>
      <w:lvlJc w:val="left"/>
      <w:pPr>
        <w:tabs>
          <w:tab w:val="left" w:pos="432"/>
        </w:tabs>
        <w:ind w:left="432" w:hanging="432"/>
      </w:pPr>
      <w:rPr>
        <w:rFonts w:ascii="Wingdings" w:hAnsi="Wingdings" w:hint="default"/>
      </w:rPr>
    </w:lvl>
  </w:abstractNum>
  <w:abstractNum w:abstractNumId="3" w15:restartNumberingAfterBreak="0">
    <w:nsid w:val="0C7D3887"/>
    <w:multiLevelType w:val="hybridMultilevel"/>
    <w:tmpl w:val="F3A0F72C"/>
    <w:lvl w:ilvl="0" w:tplc="D94496A4">
      <w:start w:val="1"/>
      <w:numFmt w:val="decimal"/>
      <w:lvlText w:val="%1."/>
      <w:lvlJc w:val="left"/>
      <w:pPr>
        <w:ind w:left="360" w:hanging="360"/>
      </w:pPr>
      <w:rPr>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DAB7FC9"/>
    <w:multiLevelType w:val="multilevel"/>
    <w:tmpl w:val="66C2BAEE"/>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5" w15:restartNumberingAfterBreak="0">
    <w:nsid w:val="11CD0C23"/>
    <w:multiLevelType w:val="multilevel"/>
    <w:tmpl w:val="03BEEB9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2D5354E"/>
    <w:multiLevelType w:val="multilevel"/>
    <w:tmpl w:val="41BC59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E781B"/>
    <w:multiLevelType w:val="multilevel"/>
    <w:tmpl w:val="E38C2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501D84"/>
    <w:multiLevelType w:val="hybridMultilevel"/>
    <w:tmpl w:val="5A8E6DB8"/>
    <w:lvl w:ilvl="0" w:tplc="1BE46AF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2A7776"/>
    <w:multiLevelType w:val="multilevel"/>
    <w:tmpl w:val="1A2A7776"/>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CE1DB9"/>
    <w:multiLevelType w:val="hybridMultilevel"/>
    <w:tmpl w:val="C8C6FA66"/>
    <w:lvl w:ilvl="0" w:tplc="D7243B22">
      <w:start w:val="1"/>
      <w:numFmt w:val="decimal"/>
      <w:lvlText w:val="%1."/>
      <w:lvlJc w:val="left"/>
      <w:pPr>
        <w:ind w:left="360" w:hanging="360"/>
      </w:pPr>
      <w:rPr>
        <w:b/>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DD65AEA"/>
    <w:multiLevelType w:val="hybridMultilevel"/>
    <w:tmpl w:val="2ED62A6A"/>
    <w:lvl w:ilvl="0" w:tplc="C21883B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E1C50"/>
    <w:multiLevelType w:val="hybridMultilevel"/>
    <w:tmpl w:val="BDC24756"/>
    <w:lvl w:ilvl="0" w:tplc="465CCE14">
      <w:start w:val="31"/>
      <w:numFmt w:val="bullet"/>
      <w:lvlText w:val="-"/>
      <w:lvlJc w:val="left"/>
      <w:pPr>
        <w:ind w:left="720" w:hanging="360"/>
      </w:pPr>
      <w:rPr>
        <w:rFonts w:ascii="Arial" w:eastAsiaTheme="minorHAnsi" w:hAnsi="Arial" w:cs="Aria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F35F53"/>
    <w:multiLevelType w:val="multilevel"/>
    <w:tmpl w:val="9760A8E8"/>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A163D53"/>
    <w:multiLevelType w:val="multilevel"/>
    <w:tmpl w:val="CB6C98C4"/>
    <w:lvl w:ilvl="0">
      <w:start w:val="3"/>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5" w15:restartNumberingAfterBreak="0">
    <w:nsid w:val="2E2B6CC1"/>
    <w:multiLevelType w:val="hybridMultilevel"/>
    <w:tmpl w:val="04E06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6370BB"/>
    <w:multiLevelType w:val="multilevel"/>
    <w:tmpl w:val="F17E218C"/>
    <w:lvl w:ilvl="0">
      <w:start w:val="1"/>
      <w:numFmt w:val="upperLetter"/>
      <w:pStyle w:val="FirstHeading"/>
      <w:lvlText w:val="%1."/>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7" w15:restartNumberingAfterBreak="0">
    <w:nsid w:val="339B6D75"/>
    <w:multiLevelType w:val="hybridMultilevel"/>
    <w:tmpl w:val="CC0EC682"/>
    <w:lvl w:ilvl="0" w:tplc="33080762">
      <w:start w:val="1"/>
      <w:numFmt w:val="bullet"/>
      <w:lvlText w:val=""/>
      <w:lvlJc w:val="left"/>
      <w:pPr>
        <w:ind w:left="792" w:hanging="360"/>
      </w:pPr>
      <w:rPr>
        <w:rFonts w:ascii="Symbol" w:hAnsi="Symbol" w:hint="default"/>
        <w:u w:color="5B9BD5" w:themeColor="accent5"/>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8" w15:restartNumberingAfterBreak="0">
    <w:nsid w:val="359B4991"/>
    <w:multiLevelType w:val="multilevel"/>
    <w:tmpl w:val="A4F4C8E6"/>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9" w15:restartNumberingAfterBreak="0">
    <w:nsid w:val="35D612B3"/>
    <w:multiLevelType w:val="hybridMultilevel"/>
    <w:tmpl w:val="0BE6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A1814"/>
    <w:multiLevelType w:val="hybridMultilevel"/>
    <w:tmpl w:val="1CE4B826"/>
    <w:lvl w:ilvl="0" w:tplc="EC3E8AEE">
      <w:start w:val="1"/>
      <w:numFmt w:val="decimal"/>
      <w:lvlText w:val="%1."/>
      <w:lvlJc w:val="left"/>
      <w:pPr>
        <w:ind w:left="720" w:hanging="360"/>
      </w:pPr>
      <w:rPr>
        <w:rFonts w:hint="default"/>
        <w:color w:val="auto"/>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405493F"/>
    <w:multiLevelType w:val="multilevel"/>
    <w:tmpl w:val="60DAE384"/>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22" w15:restartNumberingAfterBreak="0">
    <w:nsid w:val="48B225C2"/>
    <w:multiLevelType w:val="multilevel"/>
    <w:tmpl w:val="7BC49562"/>
    <w:lvl w:ilvl="0">
      <w:start w:val="4"/>
      <w:numFmt w:val="decimal"/>
      <w:lvlText w:val="%1"/>
      <w:lvlJc w:val="left"/>
      <w:pPr>
        <w:ind w:left="360" w:hanging="360"/>
      </w:pPr>
      <w:rPr>
        <w:rFonts w:eastAsia="Calibri"/>
        <w:sz w:val="22"/>
      </w:rPr>
    </w:lvl>
    <w:lvl w:ilvl="1">
      <w:start w:val="1"/>
      <w:numFmt w:val="decimal"/>
      <w:lvlText w:val="%1.%2"/>
      <w:lvlJc w:val="left"/>
      <w:pPr>
        <w:ind w:left="360" w:hanging="360"/>
      </w:pPr>
      <w:rPr>
        <w:rFonts w:eastAsia="Calibri"/>
        <w:sz w:val="22"/>
      </w:rPr>
    </w:lvl>
    <w:lvl w:ilvl="2">
      <w:start w:val="1"/>
      <w:numFmt w:val="decimal"/>
      <w:lvlText w:val="%1.%2.%3"/>
      <w:lvlJc w:val="left"/>
      <w:pPr>
        <w:ind w:left="720" w:hanging="720"/>
      </w:pPr>
      <w:rPr>
        <w:rFonts w:eastAsia="Calibri"/>
        <w:sz w:val="22"/>
      </w:rPr>
    </w:lvl>
    <w:lvl w:ilvl="3">
      <w:start w:val="1"/>
      <w:numFmt w:val="decimal"/>
      <w:lvlText w:val="%1.%2.%3.%4"/>
      <w:lvlJc w:val="left"/>
      <w:pPr>
        <w:ind w:left="1080" w:hanging="1080"/>
      </w:pPr>
      <w:rPr>
        <w:rFonts w:eastAsia="Calibri"/>
        <w:sz w:val="22"/>
      </w:rPr>
    </w:lvl>
    <w:lvl w:ilvl="4">
      <w:start w:val="1"/>
      <w:numFmt w:val="decimal"/>
      <w:lvlText w:val="%1.%2.%3.%4.%5"/>
      <w:lvlJc w:val="left"/>
      <w:pPr>
        <w:ind w:left="1080" w:hanging="1080"/>
      </w:pPr>
      <w:rPr>
        <w:rFonts w:eastAsia="Calibri"/>
        <w:sz w:val="22"/>
      </w:rPr>
    </w:lvl>
    <w:lvl w:ilvl="5">
      <w:start w:val="1"/>
      <w:numFmt w:val="decimal"/>
      <w:lvlText w:val="%1.%2.%3.%4.%5.%6"/>
      <w:lvlJc w:val="left"/>
      <w:pPr>
        <w:ind w:left="1440" w:hanging="1440"/>
      </w:pPr>
      <w:rPr>
        <w:rFonts w:eastAsia="Calibri"/>
        <w:sz w:val="22"/>
      </w:rPr>
    </w:lvl>
    <w:lvl w:ilvl="6">
      <w:start w:val="1"/>
      <w:numFmt w:val="decimal"/>
      <w:lvlText w:val="%1.%2.%3.%4.%5.%6.%7"/>
      <w:lvlJc w:val="left"/>
      <w:pPr>
        <w:ind w:left="1440" w:hanging="1440"/>
      </w:pPr>
      <w:rPr>
        <w:rFonts w:eastAsia="Calibri"/>
        <w:sz w:val="22"/>
      </w:rPr>
    </w:lvl>
    <w:lvl w:ilvl="7">
      <w:start w:val="1"/>
      <w:numFmt w:val="decimal"/>
      <w:lvlText w:val="%1.%2.%3.%4.%5.%6.%7.%8"/>
      <w:lvlJc w:val="left"/>
      <w:pPr>
        <w:ind w:left="1800" w:hanging="1800"/>
      </w:pPr>
      <w:rPr>
        <w:rFonts w:eastAsia="Calibri"/>
        <w:sz w:val="22"/>
      </w:rPr>
    </w:lvl>
    <w:lvl w:ilvl="8">
      <w:start w:val="1"/>
      <w:numFmt w:val="decimal"/>
      <w:lvlText w:val="%1.%2.%3.%4.%5.%6.%7.%8.%9"/>
      <w:lvlJc w:val="left"/>
      <w:pPr>
        <w:ind w:left="1800" w:hanging="1800"/>
      </w:pPr>
      <w:rPr>
        <w:rFonts w:eastAsia="Calibri"/>
        <w:sz w:val="22"/>
      </w:rPr>
    </w:lvl>
  </w:abstractNum>
  <w:abstractNum w:abstractNumId="23" w15:restartNumberingAfterBreak="0">
    <w:nsid w:val="53733B96"/>
    <w:multiLevelType w:val="multilevel"/>
    <w:tmpl w:val="B7F60C36"/>
    <w:lvl w:ilvl="0">
      <w:start w:val="1"/>
      <w:numFmt w:val="decimal"/>
      <w:lvlText w:val="%1."/>
      <w:lvlJc w:val="left"/>
      <w:pPr>
        <w:ind w:left="360" w:hanging="360"/>
      </w:pPr>
      <w:rPr>
        <w:b/>
        <w:i w:val="0"/>
      </w:rPr>
    </w:lvl>
    <w:lvl w:ilvl="1">
      <w:start w:val="1"/>
      <w:numFmt w:val="decimal"/>
      <w:lvlText w:val="%1.%2."/>
      <w:lvlJc w:val="left"/>
      <w:pPr>
        <w:ind w:left="128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10408"/>
    <w:multiLevelType w:val="multilevel"/>
    <w:tmpl w:val="BAEA2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9607794"/>
    <w:multiLevelType w:val="hybridMultilevel"/>
    <w:tmpl w:val="B7C8EE16"/>
    <w:lvl w:ilvl="0" w:tplc="78AC012A">
      <w:start w:val="1"/>
      <w:numFmt w:val="decimal"/>
      <w:lvlText w:val="%1."/>
      <w:lvlJc w:val="left"/>
      <w:pPr>
        <w:ind w:left="720" w:hanging="360"/>
      </w:pPr>
      <w:rPr>
        <w:b/>
        <w:sz w:val="18"/>
        <w:szCs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60FC6F0B"/>
    <w:multiLevelType w:val="hybridMultilevel"/>
    <w:tmpl w:val="6DE21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4C43D3"/>
    <w:multiLevelType w:val="hybridMultilevel"/>
    <w:tmpl w:val="A4746480"/>
    <w:lvl w:ilvl="0" w:tplc="503EE2C8">
      <w:start w:val="1"/>
      <w:numFmt w:val="upperRoman"/>
      <w:lvlText w:val="%1."/>
      <w:lvlJc w:val="left"/>
      <w:pPr>
        <w:ind w:left="1080" w:hanging="72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73815AFF"/>
    <w:multiLevelType w:val="hybridMultilevel"/>
    <w:tmpl w:val="28FCA60E"/>
    <w:lvl w:ilvl="0" w:tplc="580A000F">
      <w:start w:val="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6711F8C"/>
    <w:multiLevelType w:val="hybridMultilevel"/>
    <w:tmpl w:val="36D0388E"/>
    <w:lvl w:ilvl="0" w:tplc="04090001">
      <w:start w:val="1"/>
      <w:numFmt w:val="bullet"/>
      <w:lvlText w:val=""/>
      <w:lvlJc w:val="left"/>
      <w:pPr>
        <w:ind w:left="1146" w:hanging="360"/>
      </w:pPr>
      <w:rPr>
        <w:rFonts w:ascii="Symbol" w:hAnsi="Symbol" w:cs="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cs="Wingdings" w:hint="default"/>
      </w:rPr>
    </w:lvl>
    <w:lvl w:ilvl="3" w:tplc="04090001" w:tentative="1">
      <w:start w:val="1"/>
      <w:numFmt w:val="bullet"/>
      <w:lvlText w:val=""/>
      <w:lvlJc w:val="left"/>
      <w:pPr>
        <w:ind w:left="3306" w:hanging="360"/>
      </w:pPr>
      <w:rPr>
        <w:rFonts w:ascii="Symbol" w:hAnsi="Symbol" w:cs="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cs="Wingdings" w:hint="default"/>
      </w:rPr>
    </w:lvl>
    <w:lvl w:ilvl="6" w:tplc="04090001" w:tentative="1">
      <w:start w:val="1"/>
      <w:numFmt w:val="bullet"/>
      <w:lvlText w:val=""/>
      <w:lvlJc w:val="left"/>
      <w:pPr>
        <w:ind w:left="5466" w:hanging="360"/>
      </w:pPr>
      <w:rPr>
        <w:rFonts w:ascii="Symbol" w:hAnsi="Symbol" w:cs="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cs="Wingdings" w:hint="default"/>
      </w:rPr>
    </w:lvl>
  </w:abstractNum>
  <w:abstractNum w:abstractNumId="30" w15:restartNumberingAfterBreak="0">
    <w:nsid w:val="7FBC20C8"/>
    <w:multiLevelType w:val="multilevel"/>
    <w:tmpl w:val="28D82ED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8"/>
  </w:num>
  <w:num w:numId="3">
    <w:abstractNumId w:val="23"/>
  </w:num>
  <w:num w:numId="4">
    <w:abstractNumId w:val="2"/>
  </w:num>
  <w:num w:numId="5">
    <w:abstractNumId w:val="27"/>
  </w:num>
  <w:num w:numId="6">
    <w:abstractNumId w:val="25"/>
  </w:num>
  <w:num w:numId="7">
    <w:abstractNumId w:val="2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9"/>
  </w:num>
  <w:num w:numId="12">
    <w:abstractNumId w:val="3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4"/>
  </w:num>
  <w:num w:numId="18">
    <w:abstractNumId w:val="6"/>
  </w:num>
  <w:num w:numId="19">
    <w:abstractNumId w:val="11"/>
  </w:num>
  <w:num w:numId="20">
    <w:abstractNumId w:val="17"/>
  </w:num>
  <w:num w:numId="21">
    <w:abstractNumId w:val="9"/>
  </w:num>
  <w:num w:numId="22">
    <w:abstractNumId w:val="21"/>
  </w:num>
  <w:num w:numId="23">
    <w:abstractNumId w:val="24"/>
  </w:num>
  <w:num w:numId="24">
    <w:abstractNumId w:val="7"/>
  </w:num>
  <w:num w:numId="25">
    <w:abstractNumId w:val="5"/>
  </w:num>
  <w:num w:numId="26">
    <w:abstractNumId w:val="13"/>
  </w:num>
  <w:num w:numId="2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8"/>
  </w:num>
  <w:num w:numId="30">
    <w:abstractNumId w:val="20"/>
  </w:num>
  <w:num w:numId="31">
    <w:abstractNumId w:val="1"/>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HN"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HN" w:vendorID="64" w:dllVersion="0" w:nlCheck="1" w:checkStyle="0"/>
  <w:activeWritingStyle w:appName="MSWord" w:lang="es-MX" w:vendorID="64" w:dllVersion="0" w:nlCheck="1" w:checkStyle="0"/>
  <w:activeWritingStyle w:appName="MSWord" w:lang="es-419" w:vendorID="64" w:dllVersion="0" w:nlCheck="1" w:checkStyle="0"/>
  <w:activeWritingStyle w:appName="MSWord" w:lang="es-CO" w:vendorID="64" w:dllVersion="0" w:nlCheck="1" w:checkStyle="0"/>
  <w:activeWritingStyle w:appName="MSWord" w:lang="en-US" w:vendorID="64" w:dllVersion="0" w:nlCheck="1" w:checkStyle="0"/>
  <w:activeWritingStyle w:appName="MSWord" w:lang="es-AR" w:vendorID="64" w:dllVersion="0" w:nlCheck="1" w:checkStyle="0"/>
  <w:activeWritingStyle w:appName="MSWord" w:lang="es-PY" w:vendorID="64" w:dllVersion="0"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AC"/>
    <w:rsid w:val="00011870"/>
    <w:rsid w:val="000126F0"/>
    <w:rsid w:val="00014F89"/>
    <w:rsid w:val="0001556E"/>
    <w:rsid w:val="00015911"/>
    <w:rsid w:val="000250D8"/>
    <w:rsid w:val="00025597"/>
    <w:rsid w:val="0003057C"/>
    <w:rsid w:val="00034D8A"/>
    <w:rsid w:val="00035964"/>
    <w:rsid w:val="00041927"/>
    <w:rsid w:val="00042069"/>
    <w:rsid w:val="000431F3"/>
    <w:rsid w:val="00045C71"/>
    <w:rsid w:val="000477B7"/>
    <w:rsid w:val="0005411A"/>
    <w:rsid w:val="00062A81"/>
    <w:rsid w:val="0006335E"/>
    <w:rsid w:val="00067094"/>
    <w:rsid w:val="0007031D"/>
    <w:rsid w:val="00073B89"/>
    <w:rsid w:val="00073D5D"/>
    <w:rsid w:val="00076222"/>
    <w:rsid w:val="0008126F"/>
    <w:rsid w:val="00082C2C"/>
    <w:rsid w:val="00086032"/>
    <w:rsid w:val="0008627A"/>
    <w:rsid w:val="00086F89"/>
    <w:rsid w:val="000914B2"/>
    <w:rsid w:val="000961B7"/>
    <w:rsid w:val="00096B1D"/>
    <w:rsid w:val="00097E75"/>
    <w:rsid w:val="000A0F15"/>
    <w:rsid w:val="000A170B"/>
    <w:rsid w:val="000A1918"/>
    <w:rsid w:val="000A43F3"/>
    <w:rsid w:val="000A54BA"/>
    <w:rsid w:val="000A7D33"/>
    <w:rsid w:val="000B012B"/>
    <w:rsid w:val="000B1C7E"/>
    <w:rsid w:val="000B2444"/>
    <w:rsid w:val="000B2794"/>
    <w:rsid w:val="000B3BFB"/>
    <w:rsid w:val="000B612E"/>
    <w:rsid w:val="000C03CE"/>
    <w:rsid w:val="000C555C"/>
    <w:rsid w:val="000C6903"/>
    <w:rsid w:val="000D37C1"/>
    <w:rsid w:val="000D39B8"/>
    <w:rsid w:val="000D551C"/>
    <w:rsid w:val="000D7C88"/>
    <w:rsid w:val="000E1554"/>
    <w:rsid w:val="000E7E6E"/>
    <w:rsid w:val="000F129E"/>
    <w:rsid w:val="000F4F9C"/>
    <w:rsid w:val="000F5290"/>
    <w:rsid w:val="000F6D06"/>
    <w:rsid w:val="00101CB9"/>
    <w:rsid w:val="001054D5"/>
    <w:rsid w:val="001106AC"/>
    <w:rsid w:val="00114375"/>
    <w:rsid w:val="00115952"/>
    <w:rsid w:val="00124E70"/>
    <w:rsid w:val="00141531"/>
    <w:rsid w:val="0014186C"/>
    <w:rsid w:val="00153A63"/>
    <w:rsid w:val="00154428"/>
    <w:rsid w:val="00164F6D"/>
    <w:rsid w:val="00167D24"/>
    <w:rsid w:val="00170030"/>
    <w:rsid w:val="001763A9"/>
    <w:rsid w:val="00184CC2"/>
    <w:rsid w:val="00187ACA"/>
    <w:rsid w:val="00190233"/>
    <w:rsid w:val="0019229D"/>
    <w:rsid w:val="001933F6"/>
    <w:rsid w:val="001A01BA"/>
    <w:rsid w:val="001A2210"/>
    <w:rsid w:val="001A58B5"/>
    <w:rsid w:val="001A7907"/>
    <w:rsid w:val="001A7DFC"/>
    <w:rsid w:val="001B0678"/>
    <w:rsid w:val="001B366E"/>
    <w:rsid w:val="001B5A66"/>
    <w:rsid w:val="001B6D64"/>
    <w:rsid w:val="001B718C"/>
    <w:rsid w:val="001B7B09"/>
    <w:rsid w:val="001C32A9"/>
    <w:rsid w:val="001C7225"/>
    <w:rsid w:val="001D29DF"/>
    <w:rsid w:val="001D5845"/>
    <w:rsid w:val="001D61C2"/>
    <w:rsid w:val="001D7DD4"/>
    <w:rsid w:val="001E02B6"/>
    <w:rsid w:val="001E1A0C"/>
    <w:rsid w:val="001E673F"/>
    <w:rsid w:val="001E6E1F"/>
    <w:rsid w:val="001F0369"/>
    <w:rsid w:val="001F6387"/>
    <w:rsid w:val="002000E1"/>
    <w:rsid w:val="0020207D"/>
    <w:rsid w:val="00210648"/>
    <w:rsid w:val="00212FE8"/>
    <w:rsid w:val="00213140"/>
    <w:rsid w:val="00221674"/>
    <w:rsid w:val="002272BF"/>
    <w:rsid w:val="002275A0"/>
    <w:rsid w:val="00233B9A"/>
    <w:rsid w:val="002365A6"/>
    <w:rsid w:val="002430BE"/>
    <w:rsid w:val="002550A9"/>
    <w:rsid w:val="0025537A"/>
    <w:rsid w:val="00256E53"/>
    <w:rsid w:val="0026411E"/>
    <w:rsid w:val="00266476"/>
    <w:rsid w:val="00275EA8"/>
    <w:rsid w:val="00281DDB"/>
    <w:rsid w:val="00290A3D"/>
    <w:rsid w:val="002943E5"/>
    <w:rsid w:val="002964C5"/>
    <w:rsid w:val="00296813"/>
    <w:rsid w:val="00296859"/>
    <w:rsid w:val="00297389"/>
    <w:rsid w:val="002A0CF5"/>
    <w:rsid w:val="002A1E1C"/>
    <w:rsid w:val="002A402A"/>
    <w:rsid w:val="002B18EB"/>
    <w:rsid w:val="002C65B1"/>
    <w:rsid w:val="002C6B4B"/>
    <w:rsid w:val="002D17AC"/>
    <w:rsid w:val="002D1D8D"/>
    <w:rsid w:val="002D3EC8"/>
    <w:rsid w:val="002D489A"/>
    <w:rsid w:val="002D48C8"/>
    <w:rsid w:val="002D54F1"/>
    <w:rsid w:val="002D7766"/>
    <w:rsid w:val="002D7865"/>
    <w:rsid w:val="002E5F8A"/>
    <w:rsid w:val="002E70D2"/>
    <w:rsid w:val="002F0789"/>
    <w:rsid w:val="002F3467"/>
    <w:rsid w:val="002F7B3F"/>
    <w:rsid w:val="00303B3F"/>
    <w:rsid w:val="003100CC"/>
    <w:rsid w:val="0031318A"/>
    <w:rsid w:val="00336F84"/>
    <w:rsid w:val="00337DB9"/>
    <w:rsid w:val="00346EE8"/>
    <w:rsid w:val="00352A49"/>
    <w:rsid w:val="00354E60"/>
    <w:rsid w:val="00357AA1"/>
    <w:rsid w:val="00360FA5"/>
    <w:rsid w:val="00372D6C"/>
    <w:rsid w:val="00372DFD"/>
    <w:rsid w:val="00373002"/>
    <w:rsid w:val="0037345B"/>
    <w:rsid w:val="00373B76"/>
    <w:rsid w:val="00376BA1"/>
    <w:rsid w:val="00376C89"/>
    <w:rsid w:val="00376DE1"/>
    <w:rsid w:val="003801DB"/>
    <w:rsid w:val="003861EF"/>
    <w:rsid w:val="003926B3"/>
    <w:rsid w:val="0039284E"/>
    <w:rsid w:val="00396523"/>
    <w:rsid w:val="003A5805"/>
    <w:rsid w:val="003B09A5"/>
    <w:rsid w:val="003B0E93"/>
    <w:rsid w:val="003B2793"/>
    <w:rsid w:val="003B2ED1"/>
    <w:rsid w:val="003C68C6"/>
    <w:rsid w:val="003C6D8B"/>
    <w:rsid w:val="003C6E14"/>
    <w:rsid w:val="003C77CD"/>
    <w:rsid w:val="003C7A72"/>
    <w:rsid w:val="003D3BCA"/>
    <w:rsid w:val="003D5DA8"/>
    <w:rsid w:val="003E01FD"/>
    <w:rsid w:val="003E2057"/>
    <w:rsid w:val="003E28DB"/>
    <w:rsid w:val="003E2E6E"/>
    <w:rsid w:val="003F2A12"/>
    <w:rsid w:val="003F489F"/>
    <w:rsid w:val="003F51C9"/>
    <w:rsid w:val="003F6809"/>
    <w:rsid w:val="003F6B95"/>
    <w:rsid w:val="0040426C"/>
    <w:rsid w:val="00415C02"/>
    <w:rsid w:val="0042282E"/>
    <w:rsid w:val="004253B8"/>
    <w:rsid w:val="0042720C"/>
    <w:rsid w:val="004300A3"/>
    <w:rsid w:val="00430C27"/>
    <w:rsid w:val="00433143"/>
    <w:rsid w:val="00433369"/>
    <w:rsid w:val="00435468"/>
    <w:rsid w:val="00436897"/>
    <w:rsid w:val="00437492"/>
    <w:rsid w:val="00441F16"/>
    <w:rsid w:val="0044292B"/>
    <w:rsid w:val="0044302F"/>
    <w:rsid w:val="00443BF7"/>
    <w:rsid w:val="00445949"/>
    <w:rsid w:val="00452BFF"/>
    <w:rsid w:val="00452E2C"/>
    <w:rsid w:val="00453F17"/>
    <w:rsid w:val="004624D5"/>
    <w:rsid w:val="0046587C"/>
    <w:rsid w:val="00477DE9"/>
    <w:rsid w:val="004876BB"/>
    <w:rsid w:val="004922ED"/>
    <w:rsid w:val="00497245"/>
    <w:rsid w:val="004A29F2"/>
    <w:rsid w:val="004A7ED2"/>
    <w:rsid w:val="004B1989"/>
    <w:rsid w:val="004B213E"/>
    <w:rsid w:val="004B22EA"/>
    <w:rsid w:val="004B517A"/>
    <w:rsid w:val="004B68FD"/>
    <w:rsid w:val="004C0550"/>
    <w:rsid w:val="004C405C"/>
    <w:rsid w:val="004C4C34"/>
    <w:rsid w:val="004C64B5"/>
    <w:rsid w:val="004C6D90"/>
    <w:rsid w:val="004D1328"/>
    <w:rsid w:val="004D14F9"/>
    <w:rsid w:val="004D291D"/>
    <w:rsid w:val="004D3703"/>
    <w:rsid w:val="004D5E4F"/>
    <w:rsid w:val="004D7892"/>
    <w:rsid w:val="004E4037"/>
    <w:rsid w:val="004F0ACC"/>
    <w:rsid w:val="004F2368"/>
    <w:rsid w:val="004F36F7"/>
    <w:rsid w:val="005008F9"/>
    <w:rsid w:val="00500FCC"/>
    <w:rsid w:val="005045DA"/>
    <w:rsid w:val="00506A9B"/>
    <w:rsid w:val="005173B2"/>
    <w:rsid w:val="00520DB7"/>
    <w:rsid w:val="00520F9F"/>
    <w:rsid w:val="00530F47"/>
    <w:rsid w:val="00531063"/>
    <w:rsid w:val="00532797"/>
    <w:rsid w:val="00533683"/>
    <w:rsid w:val="00534CE2"/>
    <w:rsid w:val="00535E73"/>
    <w:rsid w:val="00535FEB"/>
    <w:rsid w:val="00536844"/>
    <w:rsid w:val="00540CEA"/>
    <w:rsid w:val="00540DE3"/>
    <w:rsid w:val="005453B5"/>
    <w:rsid w:val="00546C55"/>
    <w:rsid w:val="00550B6E"/>
    <w:rsid w:val="005535AC"/>
    <w:rsid w:val="005577D4"/>
    <w:rsid w:val="00560C5B"/>
    <w:rsid w:val="005629FD"/>
    <w:rsid w:val="00563790"/>
    <w:rsid w:val="00564AD9"/>
    <w:rsid w:val="00570E70"/>
    <w:rsid w:val="005715C9"/>
    <w:rsid w:val="00576476"/>
    <w:rsid w:val="0058314A"/>
    <w:rsid w:val="00591136"/>
    <w:rsid w:val="00594A25"/>
    <w:rsid w:val="00594BCE"/>
    <w:rsid w:val="005967EA"/>
    <w:rsid w:val="005969C9"/>
    <w:rsid w:val="005A2DA4"/>
    <w:rsid w:val="005A3027"/>
    <w:rsid w:val="005B7463"/>
    <w:rsid w:val="005C1E19"/>
    <w:rsid w:val="005C2056"/>
    <w:rsid w:val="005C3461"/>
    <w:rsid w:val="005C3A38"/>
    <w:rsid w:val="005D0275"/>
    <w:rsid w:val="005D0E08"/>
    <w:rsid w:val="005D37FE"/>
    <w:rsid w:val="005D50D1"/>
    <w:rsid w:val="005D6A53"/>
    <w:rsid w:val="005E0609"/>
    <w:rsid w:val="005E1D35"/>
    <w:rsid w:val="005E48F1"/>
    <w:rsid w:val="005F1066"/>
    <w:rsid w:val="005F172A"/>
    <w:rsid w:val="005F54E4"/>
    <w:rsid w:val="005F614D"/>
    <w:rsid w:val="005F69DC"/>
    <w:rsid w:val="006003FC"/>
    <w:rsid w:val="0060244B"/>
    <w:rsid w:val="00603499"/>
    <w:rsid w:val="0060634C"/>
    <w:rsid w:val="00614559"/>
    <w:rsid w:val="00621875"/>
    <w:rsid w:val="00622195"/>
    <w:rsid w:val="006234FA"/>
    <w:rsid w:val="00636A10"/>
    <w:rsid w:val="006425B6"/>
    <w:rsid w:val="00651A23"/>
    <w:rsid w:val="00653E30"/>
    <w:rsid w:val="006607B1"/>
    <w:rsid w:val="006616AA"/>
    <w:rsid w:val="00663EED"/>
    <w:rsid w:val="0068095F"/>
    <w:rsid w:val="00680F8C"/>
    <w:rsid w:val="00681E39"/>
    <w:rsid w:val="00685B32"/>
    <w:rsid w:val="006874AB"/>
    <w:rsid w:val="006912E4"/>
    <w:rsid w:val="0069351F"/>
    <w:rsid w:val="00695D3E"/>
    <w:rsid w:val="006A4CCD"/>
    <w:rsid w:val="006B2B5E"/>
    <w:rsid w:val="006B5FFA"/>
    <w:rsid w:val="006C101B"/>
    <w:rsid w:val="006C1F15"/>
    <w:rsid w:val="006C22AC"/>
    <w:rsid w:val="006C2D93"/>
    <w:rsid w:val="006C3D47"/>
    <w:rsid w:val="006D0DFB"/>
    <w:rsid w:val="006D16C0"/>
    <w:rsid w:val="006D79B5"/>
    <w:rsid w:val="006E172B"/>
    <w:rsid w:val="006E20CA"/>
    <w:rsid w:val="006E26EB"/>
    <w:rsid w:val="006E6AD7"/>
    <w:rsid w:val="006E779D"/>
    <w:rsid w:val="006E7C51"/>
    <w:rsid w:val="006E7E58"/>
    <w:rsid w:val="006F29CB"/>
    <w:rsid w:val="007011B0"/>
    <w:rsid w:val="0070612B"/>
    <w:rsid w:val="00707A98"/>
    <w:rsid w:val="0071069D"/>
    <w:rsid w:val="007119E3"/>
    <w:rsid w:val="00713670"/>
    <w:rsid w:val="00714126"/>
    <w:rsid w:val="00716632"/>
    <w:rsid w:val="0072264E"/>
    <w:rsid w:val="007250C7"/>
    <w:rsid w:val="00726829"/>
    <w:rsid w:val="00727BDB"/>
    <w:rsid w:val="00737F0F"/>
    <w:rsid w:val="00741972"/>
    <w:rsid w:val="00741A10"/>
    <w:rsid w:val="0074413E"/>
    <w:rsid w:val="00744961"/>
    <w:rsid w:val="00746B64"/>
    <w:rsid w:val="00747E65"/>
    <w:rsid w:val="00751878"/>
    <w:rsid w:val="00753E36"/>
    <w:rsid w:val="00754B8C"/>
    <w:rsid w:val="00756562"/>
    <w:rsid w:val="00757FA0"/>
    <w:rsid w:val="007621DA"/>
    <w:rsid w:val="00765CF4"/>
    <w:rsid w:val="00767532"/>
    <w:rsid w:val="00767A0C"/>
    <w:rsid w:val="007723E2"/>
    <w:rsid w:val="00772B83"/>
    <w:rsid w:val="007734E5"/>
    <w:rsid w:val="00773C5F"/>
    <w:rsid w:val="00775E13"/>
    <w:rsid w:val="007810B3"/>
    <w:rsid w:val="00793E64"/>
    <w:rsid w:val="00797FB1"/>
    <w:rsid w:val="007A02C2"/>
    <w:rsid w:val="007B32F8"/>
    <w:rsid w:val="007B739C"/>
    <w:rsid w:val="007C038E"/>
    <w:rsid w:val="007D184D"/>
    <w:rsid w:val="007D3FED"/>
    <w:rsid w:val="007D41B6"/>
    <w:rsid w:val="007E3CCB"/>
    <w:rsid w:val="007E4917"/>
    <w:rsid w:val="007E5134"/>
    <w:rsid w:val="007F0ACB"/>
    <w:rsid w:val="007F307E"/>
    <w:rsid w:val="008018EC"/>
    <w:rsid w:val="00802409"/>
    <w:rsid w:val="0080428B"/>
    <w:rsid w:val="00804E30"/>
    <w:rsid w:val="0081212F"/>
    <w:rsid w:val="00812C07"/>
    <w:rsid w:val="008244BE"/>
    <w:rsid w:val="00835BE7"/>
    <w:rsid w:val="00836390"/>
    <w:rsid w:val="008415BF"/>
    <w:rsid w:val="00841E83"/>
    <w:rsid w:val="0084290C"/>
    <w:rsid w:val="00846618"/>
    <w:rsid w:val="0084717A"/>
    <w:rsid w:val="00860B38"/>
    <w:rsid w:val="00861CCB"/>
    <w:rsid w:val="00866756"/>
    <w:rsid w:val="00866A14"/>
    <w:rsid w:val="00870381"/>
    <w:rsid w:val="0087041E"/>
    <w:rsid w:val="00870456"/>
    <w:rsid w:val="00873EDB"/>
    <w:rsid w:val="00875AF0"/>
    <w:rsid w:val="00876D2A"/>
    <w:rsid w:val="00876E25"/>
    <w:rsid w:val="00881315"/>
    <w:rsid w:val="00892D33"/>
    <w:rsid w:val="008934C7"/>
    <w:rsid w:val="00895FD8"/>
    <w:rsid w:val="008A2104"/>
    <w:rsid w:val="008A55F7"/>
    <w:rsid w:val="008B2C54"/>
    <w:rsid w:val="008C5E03"/>
    <w:rsid w:val="008E29F3"/>
    <w:rsid w:val="008E4FE3"/>
    <w:rsid w:val="008F2ACA"/>
    <w:rsid w:val="008F520D"/>
    <w:rsid w:val="00901375"/>
    <w:rsid w:val="0090782A"/>
    <w:rsid w:val="009143FE"/>
    <w:rsid w:val="009174CA"/>
    <w:rsid w:val="00917AEF"/>
    <w:rsid w:val="009214FA"/>
    <w:rsid w:val="00921FB4"/>
    <w:rsid w:val="009311A4"/>
    <w:rsid w:val="00933EAF"/>
    <w:rsid w:val="009436F6"/>
    <w:rsid w:val="00947E91"/>
    <w:rsid w:val="00950176"/>
    <w:rsid w:val="00957013"/>
    <w:rsid w:val="009570C8"/>
    <w:rsid w:val="009612BF"/>
    <w:rsid w:val="00962724"/>
    <w:rsid w:val="00965C95"/>
    <w:rsid w:val="00967E6E"/>
    <w:rsid w:val="009714EC"/>
    <w:rsid w:val="00977E0A"/>
    <w:rsid w:val="009805AC"/>
    <w:rsid w:val="009810CC"/>
    <w:rsid w:val="00983E1C"/>
    <w:rsid w:val="00985033"/>
    <w:rsid w:val="009923F6"/>
    <w:rsid w:val="009926AB"/>
    <w:rsid w:val="00994E4D"/>
    <w:rsid w:val="009A3ACA"/>
    <w:rsid w:val="009A4FD0"/>
    <w:rsid w:val="009B62E1"/>
    <w:rsid w:val="009B67F9"/>
    <w:rsid w:val="009B69B8"/>
    <w:rsid w:val="009C3670"/>
    <w:rsid w:val="009C4853"/>
    <w:rsid w:val="009D26CA"/>
    <w:rsid w:val="009D39C6"/>
    <w:rsid w:val="009D489C"/>
    <w:rsid w:val="009E3B2D"/>
    <w:rsid w:val="009E3EB9"/>
    <w:rsid w:val="009F0577"/>
    <w:rsid w:val="009F4437"/>
    <w:rsid w:val="00A0008D"/>
    <w:rsid w:val="00A02F57"/>
    <w:rsid w:val="00A06F08"/>
    <w:rsid w:val="00A108DB"/>
    <w:rsid w:val="00A141A8"/>
    <w:rsid w:val="00A21BF9"/>
    <w:rsid w:val="00A21DCC"/>
    <w:rsid w:val="00A308F7"/>
    <w:rsid w:val="00A40288"/>
    <w:rsid w:val="00A441B8"/>
    <w:rsid w:val="00A54E30"/>
    <w:rsid w:val="00A56D7F"/>
    <w:rsid w:val="00A607C5"/>
    <w:rsid w:val="00A6107F"/>
    <w:rsid w:val="00A639F1"/>
    <w:rsid w:val="00A6468F"/>
    <w:rsid w:val="00A659E0"/>
    <w:rsid w:val="00A67263"/>
    <w:rsid w:val="00A67700"/>
    <w:rsid w:val="00A67DC7"/>
    <w:rsid w:val="00A72A3A"/>
    <w:rsid w:val="00A72DEF"/>
    <w:rsid w:val="00A73D94"/>
    <w:rsid w:val="00A807E4"/>
    <w:rsid w:val="00A84B67"/>
    <w:rsid w:val="00A865A0"/>
    <w:rsid w:val="00A87EBB"/>
    <w:rsid w:val="00A921AF"/>
    <w:rsid w:val="00A97FB6"/>
    <w:rsid w:val="00AA68A7"/>
    <w:rsid w:val="00AB1AF6"/>
    <w:rsid w:val="00AB4EAA"/>
    <w:rsid w:val="00AB5FF4"/>
    <w:rsid w:val="00AC39B3"/>
    <w:rsid w:val="00AC5D8C"/>
    <w:rsid w:val="00AD105B"/>
    <w:rsid w:val="00AF452E"/>
    <w:rsid w:val="00B00E55"/>
    <w:rsid w:val="00B0589D"/>
    <w:rsid w:val="00B06CC0"/>
    <w:rsid w:val="00B1628C"/>
    <w:rsid w:val="00B17644"/>
    <w:rsid w:val="00B22368"/>
    <w:rsid w:val="00B23EB5"/>
    <w:rsid w:val="00B27A06"/>
    <w:rsid w:val="00B31C55"/>
    <w:rsid w:val="00B36C74"/>
    <w:rsid w:val="00B37A6D"/>
    <w:rsid w:val="00B37B7C"/>
    <w:rsid w:val="00B50707"/>
    <w:rsid w:val="00B66D45"/>
    <w:rsid w:val="00B74459"/>
    <w:rsid w:val="00B76BED"/>
    <w:rsid w:val="00B7706B"/>
    <w:rsid w:val="00B81293"/>
    <w:rsid w:val="00B8283E"/>
    <w:rsid w:val="00B83372"/>
    <w:rsid w:val="00B83497"/>
    <w:rsid w:val="00B83831"/>
    <w:rsid w:val="00B85A24"/>
    <w:rsid w:val="00B87483"/>
    <w:rsid w:val="00B94292"/>
    <w:rsid w:val="00B96265"/>
    <w:rsid w:val="00BA02A4"/>
    <w:rsid w:val="00BA1002"/>
    <w:rsid w:val="00BA16FA"/>
    <w:rsid w:val="00BA6B56"/>
    <w:rsid w:val="00BB6A4F"/>
    <w:rsid w:val="00BC0E3E"/>
    <w:rsid w:val="00BC2499"/>
    <w:rsid w:val="00BC257C"/>
    <w:rsid w:val="00BC41CB"/>
    <w:rsid w:val="00BC4A15"/>
    <w:rsid w:val="00BC6B1B"/>
    <w:rsid w:val="00BD58D1"/>
    <w:rsid w:val="00BE250B"/>
    <w:rsid w:val="00BE71C8"/>
    <w:rsid w:val="00BF01F8"/>
    <w:rsid w:val="00BF1203"/>
    <w:rsid w:val="00BF33C9"/>
    <w:rsid w:val="00BF6935"/>
    <w:rsid w:val="00BF787D"/>
    <w:rsid w:val="00C0251E"/>
    <w:rsid w:val="00C02952"/>
    <w:rsid w:val="00C059DA"/>
    <w:rsid w:val="00C146F6"/>
    <w:rsid w:val="00C1602B"/>
    <w:rsid w:val="00C16077"/>
    <w:rsid w:val="00C23E59"/>
    <w:rsid w:val="00C27D5B"/>
    <w:rsid w:val="00C350B3"/>
    <w:rsid w:val="00C37CA5"/>
    <w:rsid w:val="00C4298F"/>
    <w:rsid w:val="00C461BA"/>
    <w:rsid w:val="00C555D3"/>
    <w:rsid w:val="00C616AB"/>
    <w:rsid w:val="00C6238B"/>
    <w:rsid w:val="00C66B45"/>
    <w:rsid w:val="00C66E35"/>
    <w:rsid w:val="00C702AE"/>
    <w:rsid w:val="00C72E0D"/>
    <w:rsid w:val="00C82EC2"/>
    <w:rsid w:val="00C864C9"/>
    <w:rsid w:val="00C95A9A"/>
    <w:rsid w:val="00C95C85"/>
    <w:rsid w:val="00CA1D0C"/>
    <w:rsid w:val="00CA5538"/>
    <w:rsid w:val="00CB0E59"/>
    <w:rsid w:val="00CB2191"/>
    <w:rsid w:val="00CB480C"/>
    <w:rsid w:val="00CC096E"/>
    <w:rsid w:val="00CC429B"/>
    <w:rsid w:val="00CC5569"/>
    <w:rsid w:val="00CD05AB"/>
    <w:rsid w:val="00CD0810"/>
    <w:rsid w:val="00CD5471"/>
    <w:rsid w:val="00CD7D7A"/>
    <w:rsid w:val="00CE09E8"/>
    <w:rsid w:val="00CE41B7"/>
    <w:rsid w:val="00CE4754"/>
    <w:rsid w:val="00CE4B69"/>
    <w:rsid w:val="00CE7766"/>
    <w:rsid w:val="00CE7AAF"/>
    <w:rsid w:val="00CF2221"/>
    <w:rsid w:val="00CF2645"/>
    <w:rsid w:val="00CF4F6E"/>
    <w:rsid w:val="00CF65E7"/>
    <w:rsid w:val="00CF6C80"/>
    <w:rsid w:val="00CF6DBB"/>
    <w:rsid w:val="00D029C8"/>
    <w:rsid w:val="00D03736"/>
    <w:rsid w:val="00D1616A"/>
    <w:rsid w:val="00D20E08"/>
    <w:rsid w:val="00D22DF4"/>
    <w:rsid w:val="00D24A2B"/>
    <w:rsid w:val="00D25D54"/>
    <w:rsid w:val="00D2605A"/>
    <w:rsid w:val="00D31AC6"/>
    <w:rsid w:val="00D33E77"/>
    <w:rsid w:val="00D4007B"/>
    <w:rsid w:val="00D4007D"/>
    <w:rsid w:val="00D42B3D"/>
    <w:rsid w:val="00D42C13"/>
    <w:rsid w:val="00D454F4"/>
    <w:rsid w:val="00D475FB"/>
    <w:rsid w:val="00D501C8"/>
    <w:rsid w:val="00D51AF5"/>
    <w:rsid w:val="00D54953"/>
    <w:rsid w:val="00D55787"/>
    <w:rsid w:val="00D560AA"/>
    <w:rsid w:val="00D60D83"/>
    <w:rsid w:val="00D654C3"/>
    <w:rsid w:val="00D71CC5"/>
    <w:rsid w:val="00D76AA0"/>
    <w:rsid w:val="00D81E5B"/>
    <w:rsid w:val="00D84C85"/>
    <w:rsid w:val="00D84F86"/>
    <w:rsid w:val="00D87130"/>
    <w:rsid w:val="00D8782D"/>
    <w:rsid w:val="00D9228A"/>
    <w:rsid w:val="00D92E4A"/>
    <w:rsid w:val="00D95B8A"/>
    <w:rsid w:val="00D97E59"/>
    <w:rsid w:val="00DA6B5C"/>
    <w:rsid w:val="00DB2367"/>
    <w:rsid w:val="00DB34CE"/>
    <w:rsid w:val="00DB77B9"/>
    <w:rsid w:val="00DD0017"/>
    <w:rsid w:val="00DD32BB"/>
    <w:rsid w:val="00DD3352"/>
    <w:rsid w:val="00DE00EC"/>
    <w:rsid w:val="00DE21E0"/>
    <w:rsid w:val="00DE5675"/>
    <w:rsid w:val="00DE61FD"/>
    <w:rsid w:val="00DE7009"/>
    <w:rsid w:val="00DF096A"/>
    <w:rsid w:val="00DF184D"/>
    <w:rsid w:val="00DF1D48"/>
    <w:rsid w:val="00E0161A"/>
    <w:rsid w:val="00E03D42"/>
    <w:rsid w:val="00E05740"/>
    <w:rsid w:val="00E07F8B"/>
    <w:rsid w:val="00E14B5E"/>
    <w:rsid w:val="00E21AA9"/>
    <w:rsid w:val="00E273B5"/>
    <w:rsid w:val="00E45343"/>
    <w:rsid w:val="00E47321"/>
    <w:rsid w:val="00E531AA"/>
    <w:rsid w:val="00E535DA"/>
    <w:rsid w:val="00E56384"/>
    <w:rsid w:val="00E57AD1"/>
    <w:rsid w:val="00E61D32"/>
    <w:rsid w:val="00E66002"/>
    <w:rsid w:val="00E7295F"/>
    <w:rsid w:val="00E74EC7"/>
    <w:rsid w:val="00E7568E"/>
    <w:rsid w:val="00E86AE4"/>
    <w:rsid w:val="00E86BF3"/>
    <w:rsid w:val="00E97868"/>
    <w:rsid w:val="00EA181A"/>
    <w:rsid w:val="00EA2691"/>
    <w:rsid w:val="00EA30B6"/>
    <w:rsid w:val="00EB3898"/>
    <w:rsid w:val="00EB53A5"/>
    <w:rsid w:val="00EC6EF8"/>
    <w:rsid w:val="00ED08F6"/>
    <w:rsid w:val="00ED4CBB"/>
    <w:rsid w:val="00ED58A2"/>
    <w:rsid w:val="00ED6883"/>
    <w:rsid w:val="00EE378D"/>
    <w:rsid w:val="00EE4518"/>
    <w:rsid w:val="00EE7E3E"/>
    <w:rsid w:val="00EF06E6"/>
    <w:rsid w:val="00EF12DF"/>
    <w:rsid w:val="00EF49ED"/>
    <w:rsid w:val="00EF5D8B"/>
    <w:rsid w:val="00F04944"/>
    <w:rsid w:val="00F07258"/>
    <w:rsid w:val="00F10D80"/>
    <w:rsid w:val="00F206C3"/>
    <w:rsid w:val="00F2156D"/>
    <w:rsid w:val="00F23CB3"/>
    <w:rsid w:val="00F32986"/>
    <w:rsid w:val="00F41031"/>
    <w:rsid w:val="00F504EB"/>
    <w:rsid w:val="00F715E4"/>
    <w:rsid w:val="00F76B63"/>
    <w:rsid w:val="00F772B8"/>
    <w:rsid w:val="00F77A03"/>
    <w:rsid w:val="00F77B4D"/>
    <w:rsid w:val="00F87398"/>
    <w:rsid w:val="00F906E8"/>
    <w:rsid w:val="00F91BD4"/>
    <w:rsid w:val="00F933AB"/>
    <w:rsid w:val="00F93785"/>
    <w:rsid w:val="00F96CE0"/>
    <w:rsid w:val="00F9743E"/>
    <w:rsid w:val="00F97CBB"/>
    <w:rsid w:val="00F97D54"/>
    <w:rsid w:val="00FA136E"/>
    <w:rsid w:val="00FA2C9F"/>
    <w:rsid w:val="00FA613E"/>
    <w:rsid w:val="00FA678D"/>
    <w:rsid w:val="00FA6C07"/>
    <w:rsid w:val="00FA755D"/>
    <w:rsid w:val="00FB047F"/>
    <w:rsid w:val="00FB23AB"/>
    <w:rsid w:val="00FB645C"/>
    <w:rsid w:val="00FB77E3"/>
    <w:rsid w:val="00FC00B4"/>
    <w:rsid w:val="00FC109D"/>
    <w:rsid w:val="00FC709F"/>
    <w:rsid w:val="00FC768D"/>
    <w:rsid w:val="00FD2DF3"/>
    <w:rsid w:val="00FD3CD1"/>
    <w:rsid w:val="00FD7CE1"/>
    <w:rsid w:val="00FE1966"/>
    <w:rsid w:val="00FF0AD6"/>
    <w:rsid w:val="00FF1D6C"/>
    <w:rsid w:val="00FF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7C7D"/>
  <w15:chartTrackingRefBased/>
  <w15:docId w15:val="{5BD8725A-DEC6-49D1-9521-EA66454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5B"/>
    <w:pPr>
      <w:spacing w:after="0" w:line="240" w:lineRule="auto"/>
    </w:pPr>
    <w:rPr>
      <w:rFonts w:ascii="Times New Roman" w:eastAsia="Times New Roman" w:hAnsi="Times New Roman" w:cs="Times New Roman"/>
      <w:sz w:val="24"/>
      <w:szCs w:val="20"/>
      <w:lang w:val="es-ES_tradnl"/>
    </w:rPr>
  </w:style>
  <w:style w:type="paragraph" w:styleId="Heading5">
    <w:name w:val="heading 5"/>
    <w:aliases w:val="Heading 5.(i)"/>
    <w:basedOn w:val="Normal"/>
    <w:next w:val="Normal"/>
    <w:link w:val="Heading5Char"/>
    <w:unhideWhenUsed/>
    <w:qFormat/>
    <w:rsid w:val="009805AC"/>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9805A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9805A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805A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9805A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i) Char"/>
    <w:basedOn w:val="DefaultParagraphFont"/>
    <w:link w:val="Heading5"/>
    <w:rsid w:val="009805AC"/>
    <w:rPr>
      <w:rFonts w:asciiTheme="majorHAnsi" w:eastAsiaTheme="majorEastAsia" w:hAnsiTheme="majorHAnsi" w:cstheme="majorBidi"/>
      <w:color w:val="1F3763" w:themeColor="accent1" w:themeShade="7F"/>
      <w:sz w:val="24"/>
      <w:szCs w:val="20"/>
      <w:lang w:val="es-ES_tradnl"/>
    </w:rPr>
  </w:style>
  <w:style w:type="character" w:customStyle="1" w:styleId="Heading6Char">
    <w:name w:val="Heading 6 Char"/>
    <w:basedOn w:val="DefaultParagraphFont"/>
    <w:link w:val="Heading6"/>
    <w:rsid w:val="009805AC"/>
    <w:rPr>
      <w:rFonts w:asciiTheme="majorHAnsi" w:eastAsiaTheme="majorEastAsia" w:hAnsiTheme="majorHAnsi" w:cstheme="majorBidi"/>
      <w:i/>
      <w:iCs/>
      <w:color w:val="1F3763" w:themeColor="accent1" w:themeShade="7F"/>
      <w:sz w:val="24"/>
      <w:szCs w:val="20"/>
      <w:lang w:val="es-ES_tradnl"/>
    </w:rPr>
  </w:style>
  <w:style w:type="character" w:customStyle="1" w:styleId="Heading7Char">
    <w:name w:val="Heading 7 Char"/>
    <w:basedOn w:val="DefaultParagraphFont"/>
    <w:link w:val="Heading7"/>
    <w:rsid w:val="009805AC"/>
    <w:rPr>
      <w:rFonts w:asciiTheme="majorHAnsi" w:eastAsiaTheme="majorEastAsia" w:hAnsiTheme="majorHAnsi" w:cstheme="majorBidi"/>
      <w:i/>
      <w:iCs/>
      <w:color w:val="404040" w:themeColor="text1" w:themeTint="BF"/>
      <w:sz w:val="24"/>
      <w:szCs w:val="20"/>
      <w:lang w:val="es-ES_tradnl"/>
    </w:rPr>
  </w:style>
  <w:style w:type="character" w:customStyle="1" w:styleId="Heading8Char">
    <w:name w:val="Heading 8 Char"/>
    <w:basedOn w:val="DefaultParagraphFont"/>
    <w:link w:val="Heading8"/>
    <w:rsid w:val="009805AC"/>
    <w:rPr>
      <w:rFonts w:asciiTheme="majorHAnsi" w:eastAsiaTheme="majorEastAsia" w:hAnsiTheme="majorHAnsi" w:cstheme="majorBidi"/>
      <w:color w:val="404040" w:themeColor="text1" w:themeTint="BF"/>
      <w:sz w:val="20"/>
      <w:szCs w:val="20"/>
      <w:lang w:val="es-ES_tradnl"/>
    </w:rPr>
  </w:style>
  <w:style w:type="character" w:customStyle="1" w:styleId="Heading9Char">
    <w:name w:val="Heading 9 Char"/>
    <w:basedOn w:val="DefaultParagraphFont"/>
    <w:link w:val="Heading9"/>
    <w:rsid w:val="009805AC"/>
    <w:rPr>
      <w:rFonts w:asciiTheme="majorHAnsi" w:eastAsiaTheme="majorEastAsia" w:hAnsiTheme="majorHAnsi" w:cstheme="majorBidi"/>
      <w:i/>
      <w:iCs/>
      <w:color w:val="404040" w:themeColor="text1" w:themeTint="BF"/>
      <w:sz w:val="20"/>
      <w:szCs w:val="20"/>
      <w:lang w:val="es-ES_tradnl"/>
    </w:rPr>
  </w:style>
  <w:style w:type="paragraph" w:customStyle="1" w:styleId="Chapter">
    <w:name w:val="Chapter"/>
    <w:basedOn w:val="Normal"/>
    <w:next w:val="Normal"/>
    <w:rsid w:val="009805AC"/>
    <w:pPr>
      <w:keepNext/>
      <w:numPr>
        <w:numId w:val="2"/>
      </w:numPr>
      <w:tabs>
        <w:tab w:val="clear" w:pos="1800"/>
        <w:tab w:val="num" w:pos="648"/>
        <w:tab w:val="left" w:pos="1440"/>
      </w:tabs>
      <w:spacing w:before="240" w:after="240"/>
      <w:ind w:left="0"/>
      <w:jc w:val="center"/>
    </w:pPr>
    <w:rPr>
      <w:b/>
      <w:smallCaps/>
      <w:lang w:val="es-ES"/>
    </w:rPr>
  </w:style>
  <w:style w:type="paragraph" w:customStyle="1" w:styleId="FirstHeading">
    <w:name w:val="FirstHeading"/>
    <w:basedOn w:val="Normal"/>
    <w:next w:val="Normal"/>
    <w:rsid w:val="009805AC"/>
    <w:pPr>
      <w:keepNext/>
      <w:numPr>
        <w:numId w:val="1"/>
      </w:numPr>
      <w:tabs>
        <w:tab w:val="left" w:pos="0"/>
        <w:tab w:val="left" w:pos="86"/>
      </w:tabs>
      <w:spacing w:before="120" w:after="120"/>
    </w:pPr>
    <w:rPr>
      <w:b/>
      <w:lang w:val="es-ES"/>
    </w:rPr>
  </w:style>
  <w:style w:type="paragraph" w:customStyle="1" w:styleId="Paragraph">
    <w:name w:val="Paragraph"/>
    <w:aliases w:val="paragraph,p,PARAGRAPH,PG,pa,at"/>
    <w:basedOn w:val="BodyTextIndent"/>
    <w:link w:val="ParagraphChar"/>
    <w:uiPriority w:val="99"/>
    <w:qFormat/>
    <w:rsid w:val="009805AC"/>
    <w:pPr>
      <w:numPr>
        <w:ilvl w:val="1"/>
        <w:numId w:val="2"/>
      </w:numPr>
      <w:spacing w:before="120"/>
      <w:jc w:val="both"/>
      <w:outlineLvl w:val="1"/>
    </w:pPr>
    <w:rPr>
      <w:lang w:val="es-ES"/>
    </w:rPr>
  </w:style>
  <w:style w:type="paragraph" w:customStyle="1" w:styleId="SecHeading">
    <w:name w:val="SecHeading"/>
    <w:basedOn w:val="Normal"/>
    <w:next w:val="Paragraph"/>
    <w:rsid w:val="009805AC"/>
    <w:pPr>
      <w:keepNext/>
      <w:numPr>
        <w:ilvl w:val="1"/>
        <w:numId w:val="1"/>
      </w:numPr>
      <w:tabs>
        <w:tab w:val="clear" w:pos="5400"/>
        <w:tab w:val="num" w:pos="1296"/>
      </w:tabs>
      <w:spacing w:before="120" w:after="120"/>
      <w:ind w:left="1296"/>
    </w:pPr>
    <w:rPr>
      <w:b/>
    </w:rPr>
  </w:style>
  <w:style w:type="paragraph" w:customStyle="1" w:styleId="SubHeading1">
    <w:name w:val="SubHeading1"/>
    <w:basedOn w:val="SecHeading"/>
    <w:rsid w:val="009805AC"/>
    <w:pPr>
      <w:numPr>
        <w:ilvl w:val="2"/>
      </w:numPr>
      <w:tabs>
        <w:tab w:val="clear" w:pos="5976"/>
        <w:tab w:val="num" w:pos="1872"/>
      </w:tabs>
      <w:ind w:left="1872"/>
    </w:pPr>
  </w:style>
  <w:style w:type="paragraph" w:customStyle="1" w:styleId="Subheading2">
    <w:name w:val="Subheading2"/>
    <w:basedOn w:val="SecHeading"/>
    <w:rsid w:val="009805AC"/>
    <w:pPr>
      <w:numPr>
        <w:ilvl w:val="3"/>
      </w:numPr>
      <w:tabs>
        <w:tab w:val="clear" w:pos="6480"/>
        <w:tab w:val="num" w:pos="2376"/>
      </w:tabs>
      <w:ind w:left="2376"/>
    </w:pPr>
  </w:style>
  <w:style w:type="paragraph" w:customStyle="1" w:styleId="subpar">
    <w:name w:val="subpar"/>
    <w:basedOn w:val="BodyTextIndent3"/>
    <w:uiPriority w:val="99"/>
    <w:rsid w:val="009805AC"/>
    <w:pPr>
      <w:numPr>
        <w:ilvl w:val="2"/>
        <w:numId w:val="2"/>
      </w:numPr>
      <w:tabs>
        <w:tab w:val="clear" w:pos="2304"/>
        <w:tab w:val="num" w:pos="360"/>
        <w:tab w:val="num" w:pos="1152"/>
      </w:tabs>
      <w:spacing w:before="120"/>
      <w:ind w:left="1152" w:firstLine="0"/>
      <w:jc w:val="both"/>
      <w:outlineLvl w:val="2"/>
    </w:pPr>
    <w:rPr>
      <w:sz w:val="24"/>
      <w:szCs w:val="20"/>
    </w:rPr>
  </w:style>
  <w:style w:type="paragraph" w:customStyle="1" w:styleId="SubSubPar">
    <w:name w:val="SubSubPar"/>
    <w:basedOn w:val="subpar"/>
    <w:uiPriority w:val="99"/>
    <w:rsid w:val="009805AC"/>
    <w:pPr>
      <w:numPr>
        <w:ilvl w:val="3"/>
      </w:numPr>
      <w:tabs>
        <w:tab w:val="clear" w:pos="2736"/>
        <w:tab w:val="left" w:pos="0"/>
        <w:tab w:val="num" w:pos="360"/>
        <w:tab w:val="num" w:pos="1152"/>
        <w:tab w:val="num" w:pos="1296"/>
      </w:tabs>
      <w:ind w:left="1296"/>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ListParagraphChar"/>
    <w:uiPriority w:val="34"/>
    <w:qFormat/>
    <w:rsid w:val="009805AC"/>
    <w:pPr>
      <w:ind w:left="720"/>
      <w:contextualSpacing/>
    </w:pPr>
  </w:style>
  <w:style w:type="character" w:customStyle="1" w:styleId="ParagraphChar">
    <w:name w:val="Paragraph Char"/>
    <w:link w:val="Paragraph"/>
    <w:uiPriority w:val="99"/>
    <w:locked/>
    <w:rsid w:val="009805AC"/>
    <w:rPr>
      <w:rFonts w:ascii="Times New Roman" w:eastAsia="Times New Roman" w:hAnsi="Times New Roman" w:cs="Times New Roman"/>
      <w:sz w:val="24"/>
      <w:szCs w:val="20"/>
      <w:lang w:val="es-E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805AC"/>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9805AC"/>
    <w:pPr>
      <w:spacing w:after="120"/>
      <w:ind w:left="360"/>
    </w:pPr>
  </w:style>
  <w:style w:type="character" w:customStyle="1" w:styleId="BodyTextIndentChar">
    <w:name w:val="Body Text Indent Char"/>
    <w:basedOn w:val="DefaultParagraphFont"/>
    <w:link w:val="BodyTextIndent"/>
    <w:uiPriority w:val="99"/>
    <w:semiHidden/>
    <w:rsid w:val="009805AC"/>
    <w:rPr>
      <w:rFonts w:ascii="Times New Roman" w:eastAsia="Times New Roman" w:hAnsi="Times New Roman" w:cs="Times New Roman"/>
      <w:sz w:val="24"/>
      <w:szCs w:val="20"/>
      <w:lang w:val="es-ES_tradnl"/>
    </w:rPr>
  </w:style>
  <w:style w:type="paragraph" w:styleId="BodyTextIndent3">
    <w:name w:val="Body Text Indent 3"/>
    <w:basedOn w:val="Normal"/>
    <w:link w:val="BodyTextIndent3Char"/>
    <w:uiPriority w:val="99"/>
    <w:semiHidden/>
    <w:unhideWhenUsed/>
    <w:rsid w:val="009805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05AC"/>
    <w:rPr>
      <w:rFonts w:ascii="Times New Roman" w:eastAsia="Times New Roman" w:hAnsi="Times New Roman" w:cs="Times New Roman"/>
      <w:sz w:val="16"/>
      <w:szCs w:val="16"/>
      <w:lang w:val="es-ES_tradnl"/>
    </w:rPr>
  </w:style>
  <w:style w:type="paragraph" w:styleId="BalloonText">
    <w:name w:val="Balloon Text"/>
    <w:basedOn w:val="Normal"/>
    <w:link w:val="BalloonTextChar"/>
    <w:uiPriority w:val="99"/>
    <w:semiHidden/>
    <w:unhideWhenUsed/>
    <w:rsid w:val="00D2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5A"/>
    <w:rPr>
      <w:rFonts w:ascii="Segoe UI" w:eastAsia="Times New Roman" w:hAnsi="Segoe UI" w:cs="Segoe UI"/>
      <w:sz w:val="18"/>
      <w:szCs w:val="18"/>
      <w:lang w:val="es-ES_tradnl"/>
    </w:rPr>
  </w:style>
  <w:style w:type="paragraph" w:styleId="FootnoteText">
    <w:name w:val="footnote text"/>
    <w:aliases w:val="fn,footnote,single space,FOOTNOTES,Footnote Text Char Char,ADB,Footnote Text Char Char Char Char Char Char,Footnote Text1 Char,Footnote Text Char Char Char Char,Fußnotentextr,Char,foottextfra,f,tex,F,texto de nota al pie,FA Fu,ft,Footnote"/>
    <w:basedOn w:val="Normal"/>
    <w:link w:val="FootnoteTextChar"/>
    <w:uiPriority w:val="99"/>
    <w:qFormat/>
    <w:rsid w:val="009F0577"/>
    <w:pPr>
      <w:keepNext/>
      <w:keepLines/>
      <w:spacing w:after="120"/>
      <w:ind w:left="288" w:hanging="288"/>
      <w:jc w:val="both"/>
    </w:pPr>
    <w:rPr>
      <w:spacing w:val="-3"/>
      <w:sz w:val="20"/>
    </w:rPr>
  </w:style>
  <w:style w:type="character" w:customStyle="1" w:styleId="FootnoteTextChar">
    <w:name w:val="Footnote Text Char"/>
    <w:aliases w:val="fn Char,footnote Char,single space Char,FOOTNOTES Char,Footnote Text Char Char Char,ADB Char,Footnote Text Char Char Char Char Char Char Char,Footnote Text1 Char Char,Footnote Text Char Char Char Char Char,Fußnotentextr Char,Char Char"/>
    <w:basedOn w:val="DefaultParagraphFont"/>
    <w:link w:val="FootnoteText"/>
    <w:uiPriority w:val="99"/>
    <w:rsid w:val="009F0577"/>
    <w:rPr>
      <w:rFonts w:ascii="Times New Roman" w:eastAsia="Times New Roman" w:hAnsi="Times New Roman" w:cs="Times New Roman"/>
      <w:spacing w:val="-3"/>
      <w:sz w:val="20"/>
      <w:szCs w:val="20"/>
      <w:lang w:val="es-ES_tradnl"/>
    </w:rPr>
  </w:style>
  <w:style w:type="character" w:styleId="FootnoteReference">
    <w:name w:val="footnote reference"/>
    <w:aliases w:val="Style 24,titulo 2,pie pddes,Ref. de nota al pie.,FC,ftref,Знак сноски-FN,Ref,de nota al pie,16 Point,Superscript 6 Point,Fußnotenzeichen DISS,BVI fnr,Знак сноски 1,referencia nota al pie,Footnote Referencefra, BVI fnr,BVI fnr Car Car"/>
    <w:basedOn w:val="DefaultParagraphFont"/>
    <w:link w:val="BVIfnrCarCarCarCarChar"/>
    <w:uiPriority w:val="99"/>
    <w:qFormat/>
    <w:rsid w:val="009F0577"/>
    <w:rPr>
      <w:vertAlign w:val="superscript"/>
    </w:rPr>
  </w:style>
  <w:style w:type="character" w:customStyle="1" w:styleId="normaltextrun">
    <w:name w:val="normaltextrun"/>
    <w:basedOn w:val="DefaultParagraphFont"/>
    <w:rsid w:val="009F0577"/>
  </w:style>
  <w:style w:type="paragraph" w:customStyle="1" w:styleId="BVIfnrCarCarCarCarChar">
    <w:name w:val="BVI fnr Car Car Car Car Char"/>
    <w:aliases w:val="BVI fnr Car,BVI fnr Car Car Car Car Char תו תו Char Char,BVI fnr Car Car תו Char,BVI fnr Car תו Char,BVI fnr תו Char, BVI fnr Car Car Car Car Char"/>
    <w:basedOn w:val="Normal"/>
    <w:link w:val="FootnoteReference"/>
    <w:uiPriority w:val="99"/>
    <w:rsid w:val="009F0577"/>
    <w:pPr>
      <w:spacing w:after="160" w:line="240" w:lineRule="exact"/>
    </w:pPr>
    <w:rPr>
      <w:rFonts w:asciiTheme="minorHAnsi" w:eastAsiaTheme="minorHAnsi" w:hAnsiTheme="minorHAnsi" w:cstheme="minorBidi"/>
      <w:sz w:val="22"/>
      <w:szCs w:val="22"/>
      <w:vertAlign w:val="superscript"/>
      <w:lang w:val="en-US"/>
    </w:rPr>
  </w:style>
  <w:style w:type="character" w:styleId="CommentReference">
    <w:name w:val="annotation reference"/>
    <w:basedOn w:val="DefaultParagraphFont"/>
    <w:uiPriority w:val="99"/>
    <w:semiHidden/>
    <w:unhideWhenUsed/>
    <w:rsid w:val="00297389"/>
    <w:rPr>
      <w:sz w:val="16"/>
      <w:szCs w:val="16"/>
    </w:rPr>
  </w:style>
  <w:style w:type="paragraph" w:styleId="CommentText">
    <w:name w:val="annotation text"/>
    <w:basedOn w:val="Normal"/>
    <w:link w:val="CommentTextChar"/>
    <w:uiPriority w:val="99"/>
    <w:semiHidden/>
    <w:unhideWhenUsed/>
    <w:rsid w:val="00297389"/>
    <w:rPr>
      <w:sz w:val="20"/>
    </w:rPr>
  </w:style>
  <w:style w:type="character" w:customStyle="1" w:styleId="CommentTextChar">
    <w:name w:val="Comment Text Char"/>
    <w:basedOn w:val="DefaultParagraphFont"/>
    <w:link w:val="CommentText"/>
    <w:uiPriority w:val="99"/>
    <w:semiHidden/>
    <w:rsid w:val="00297389"/>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297389"/>
    <w:rPr>
      <w:b/>
      <w:bCs/>
    </w:rPr>
  </w:style>
  <w:style w:type="character" w:customStyle="1" w:styleId="CommentSubjectChar">
    <w:name w:val="Comment Subject Char"/>
    <w:basedOn w:val="CommentTextChar"/>
    <w:link w:val="CommentSubject"/>
    <w:uiPriority w:val="99"/>
    <w:semiHidden/>
    <w:rsid w:val="00297389"/>
    <w:rPr>
      <w:rFonts w:ascii="Times New Roman" w:eastAsia="Times New Roman" w:hAnsi="Times New Roman" w:cs="Times New Roman"/>
      <w:b/>
      <w:bCs/>
      <w:sz w:val="20"/>
      <w:szCs w:val="20"/>
      <w:lang w:val="es-ES_tradnl"/>
    </w:rPr>
  </w:style>
  <w:style w:type="paragraph" w:styleId="Revision">
    <w:name w:val="Revision"/>
    <w:hidden/>
    <w:uiPriority w:val="99"/>
    <w:semiHidden/>
    <w:rsid w:val="00297389"/>
    <w:pPr>
      <w:spacing w:after="0" w:line="240" w:lineRule="auto"/>
    </w:pPr>
    <w:rPr>
      <w:rFonts w:ascii="Times New Roman" w:eastAsia="Times New Roman" w:hAnsi="Times New Roman" w:cs="Times New Roman"/>
      <w:sz w:val="24"/>
      <w:szCs w:val="20"/>
      <w:lang w:val="es-ES_tradnl"/>
    </w:rPr>
  </w:style>
  <w:style w:type="character" w:styleId="Hyperlink">
    <w:name w:val="Hyperlink"/>
    <w:basedOn w:val="DefaultParagraphFont"/>
    <w:uiPriority w:val="99"/>
    <w:semiHidden/>
    <w:unhideWhenUsed/>
    <w:rsid w:val="003C68C6"/>
    <w:rPr>
      <w:color w:val="0000FF"/>
      <w:u w:val="single"/>
    </w:rPr>
  </w:style>
  <w:style w:type="paragraph" w:styleId="TOC1">
    <w:name w:val="toc 1"/>
    <w:basedOn w:val="Normal"/>
    <w:next w:val="Normal"/>
    <w:uiPriority w:val="39"/>
    <w:unhideWhenUsed/>
    <w:rsid w:val="002D7865"/>
    <w:pPr>
      <w:spacing w:before="120" w:after="120" w:line="276" w:lineRule="auto"/>
    </w:pPr>
    <w:rPr>
      <w:rFonts w:asciiTheme="minorHAnsi" w:hAnsiTheme="minorHAnsi"/>
      <w:b/>
      <w:bCs/>
      <w:caps/>
      <w:sz w:val="20"/>
      <w:lang w:val="es-SV"/>
    </w:rPr>
  </w:style>
  <w:style w:type="paragraph" w:customStyle="1" w:styleId="Default">
    <w:name w:val="Default"/>
    <w:rsid w:val="002D78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next w:val="Normal"/>
    <w:qFormat/>
    <w:rsid w:val="002D7865"/>
    <w:pPr>
      <w:numPr>
        <w:numId w:val="4"/>
      </w:numPr>
      <w:tabs>
        <w:tab w:val="clear" w:pos="432"/>
      </w:tabs>
      <w:spacing w:before="120" w:after="120"/>
      <w:ind w:left="0" w:firstLine="0"/>
    </w:pPr>
    <w:rPr>
      <w:b/>
      <w:bCs/>
      <w:sz w:val="20"/>
      <w:lang w:val="en-GB"/>
    </w:rPr>
  </w:style>
  <w:style w:type="table" w:styleId="TableGrid">
    <w:name w:val="Table Grid"/>
    <w:basedOn w:val="TableNormal"/>
    <w:uiPriority w:val="39"/>
    <w:rsid w:val="00D8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964"/>
    <w:pPr>
      <w:tabs>
        <w:tab w:val="center" w:pos="4513"/>
        <w:tab w:val="right" w:pos="9026"/>
      </w:tabs>
    </w:pPr>
  </w:style>
  <w:style w:type="character" w:customStyle="1" w:styleId="HeaderChar">
    <w:name w:val="Header Char"/>
    <w:basedOn w:val="DefaultParagraphFont"/>
    <w:link w:val="Header"/>
    <w:uiPriority w:val="99"/>
    <w:rsid w:val="00035964"/>
    <w:rPr>
      <w:rFonts w:ascii="Times New Roman" w:eastAsia="Times New Roman" w:hAnsi="Times New Roman" w:cs="Times New Roman"/>
      <w:sz w:val="24"/>
      <w:szCs w:val="20"/>
      <w:lang w:val="es-ES_tradnl"/>
    </w:rPr>
  </w:style>
  <w:style w:type="paragraph" w:styleId="Footer">
    <w:name w:val="footer"/>
    <w:basedOn w:val="Normal"/>
    <w:link w:val="FooterChar"/>
    <w:uiPriority w:val="99"/>
    <w:unhideWhenUsed/>
    <w:rsid w:val="00035964"/>
    <w:pPr>
      <w:tabs>
        <w:tab w:val="center" w:pos="4513"/>
        <w:tab w:val="right" w:pos="9026"/>
      </w:tabs>
    </w:pPr>
  </w:style>
  <w:style w:type="character" w:customStyle="1" w:styleId="FooterChar">
    <w:name w:val="Footer Char"/>
    <w:basedOn w:val="DefaultParagraphFont"/>
    <w:link w:val="Footer"/>
    <w:uiPriority w:val="99"/>
    <w:rsid w:val="00035964"/>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94228">
      <w:bodyDiv w:val="1"/>
      <w:marLeft w:val="0"/>
      <w:marRight w:val="0"/>
      <w:marTop w:val="0"/>
      <w:marBottom w:val="0"/>
      <w:divBdr>
        <w:top w:val="none" w:sz="0" w:space="0" w:color="auto"/>
        <w:left w:val="none" w:sz="0" w:space="0" w:color="auto"/>
        <w:bottom w:val="none" w:sz="0" w:space="0" w:color="auto"/>
        <w:right w:val="none" w:sz="0" w:space="0" w:color="auto"/>
      </w:divBdr>
    </w:div>
    <w:div w:id="292104278">
      <w:bodyDiv w:val="1"/>
      <w:marLeft w:val="0"/>
      <w:marRight w:val="0"/>
      <w:marTop w:val="0"/>
      <w:marBottom w:val="0"/>
      <w:divBdr>
        <w:top w:val="none" w:sz="0" w:space="0" w:color="auto"/>
        <w:left w:val="none" w:sz="0" w:space="0" w:color="auto"/>
        <w:bottom w:val="none" w:sz="0" w:space="0" w:color="auto"/>
        <w:right w:val="none" w:sz="0" w:space="0" w:color="auto"/>
      </w:divBdr>
    </w:div>
    <w:div w:id="371419369">
      <w:bodyDiv w:val="1"/>
      <w:marLeft w:val="0"/>
      <w:marRight w:val="0"/>
      <w:marTop w:val="0"/>
      <w:marBottom w:val="0"/>
      <w:divBdr>
        <w:top w:val="none" w:sz="0" w:space="0" w:color="auto"/>
        <w:left w:val="none" w:sz="0" w:space="0" w:color="auto"/>
        <w:bottom w:val="none" w:sz="0" w:space="0" w:color="auto"/>
        <w:right w:val="none" w:sz="0" w:space="0" w:color="auto"/>
      </w:divBdr>
    </w:div>
    <w:div w:id="442114634">
      <w:bodyDiv w:val="1"/>
      <w:marLeft w:val="0"/>
      <w:marRight w:val="0"/>
      <w:marTop w:val="0"/>
      <w:marBottom w:val="0"/>
      <w:divBdr>
        <w:top w:val="none" w:sz="0" w:space="0" w:color="auto"/>
        <w:left w:val="none" w:sz="0" w:space="0" w:color="auto"/>
        <w:bottom w:val="none" w:sz="0" w:space="0" w:color="auto"/>
        <w:right w:val="none" w:sz="0" w:space="0" w:color="auto"/>
      </w:divBdr>
    </w:div>
    <w:div w:id="529801154">
      <w:bodyDiv w:val="1"/>
      <w:marLeft w:val="0"/>
      <w:marRight w:val="0"/>
      <w:marTop w:val="0"/>
      <w:marBottom w:val="0"/>
      <w:divBdr>
        <w:top w:val="none" w:sz="0" w:space="0" w:color="auto"/>
        <w:left w:val="none" w:sz="0" w:space="0" w:color="auto"/>
        <w:bottom w:val="none" w:sz="0" w:space="0" w:color="auto"/>
        <w:right w:val="none" w:sz="0" w:space="0" w:color="auto"/>
      </w:divBdr>
    </w:div>
    <w:div w:id="546574687">
      <w:bodyDiv w:val="1"/>
      <w:marLeft w:val="0"/>
      <w:marRight w:val="0"/>
      <w:marTop w:val="0"/>
      <w:marBottom w:val="0"/>
      <w:divBdr>
        <w:top w:val="none" w:sz="0" w:space="0" w:color="auto"/>
        <w:left w:val="none" w:sz="0" w:space="0" w:color="auto"/>
        <w:bottom w:val="none" w:sz="0" w:space="0" w:color="auto"/>
        <w:right w:val="none" w:sz="0" w:space="0" w:color="auto"/>
      </w:divBdr>
    </w:div>
    <w:div w:id="570849467">
      <w:bodyDiv w:val="1"/>
      <w:marLeft w:val="0"/>
      <w:marRight w:val="0"/>
      <w:marTop w:val="0"/>
      <w:marBottom w:val="0"/>
      <w:divBdr>
        <w:top w:val="none" w:sz="0" w:space="0" w:color="auto"/>
        <w:left w:val="none" w:sz="0" w:space="0" w:color="auto"/>
        <w:bottom w:val="none" w:sz="0" w:space="0" w:color="auto"/>
        <w:right w:val="none" w:sz="0" w:space="0" w:color="auto"/>
      </w:divBdr>
    </w:div>
    <w:div w:id="622425923">
      <w:bodyDiv w:val="1"/>
      <w:marLeft w:val="0"/>
      <w:marRight w:val="0"/>
      <w:marTop w:val="0"/>
      <w:marBottom w:val="0"/>
      <w:divBdr>
        <w:top w:val="none" w:sz="0" w:space="0" w:color="auto"/>
        <w:left w:val="none" w:sz="0" w:space="0" w:color="auto"/>
        <w:bottom w:val="none" w:sz="0" w:space="0" w:color="auto"/>
        <w:right w:val="none" w:sz="0" w:space="0" w:color="auto"/>
      </w:divBdr>
      <w:divsChild>
        <w:div w:id="474102895">
          <w:marLeft w:val="0"/>
          <w:marRight w:val="0"/>
          <w:marTop w:val="0"/>
          <w:marBottom w:val="0"/>
          <w:divBdr>
            <w:top w:val="none" w:sz="0" w:space="0" w:color="auto"/>
            <w:left w:val="none" w:sz="0" w:space="0" w:color="auto"/>
            <w:bottom w:val="none" w:sz="0" w:space="0" w:color="auto"/>
            <w:right w:val="none" w:sz="0" w:space="0" w:color="auto"/>
          </w:divBdr>
        </w:div>
      </w:divsChild>
    </w:div>
    <w:div w:id="723024419">
      <w:bodyDiv w:val="1"/>
      <w:marLeft w:val="0"/>
      <w:marRight w:val="0"/>
      <w:marTop w:val="0"/>
      <w:marBottom w:val="0"/>
      <w:divBdr>
        <w:top w:val="none" w:sz="0" w:space="0" w:color="auto"/>
        <w:left w:val="none" w:sz="0" w:space="0" w:color="auto"/>
        <w:bottom w:val="none" w:sz="0" w:space="0" w:color="auto"/>
        <w:right w:val="none" w:sz="0" w:space="0" w:color="auto"/>
      </w:divBdr>
    </w:div>
    <w:div w:id="778529205">
      <w:bodyDiv w:val="1"/>
      <w:marLeft w:val="0"/>
      <w:marRight w:val="0"/>
      <w:marTop w:val="0"/>
      <w:marBottom w:val="0"/>
      <w:divBdr>
        <w:top w:val="none" w:sz="0" w:space="0" w:color="auto"/>
        <w:left w:val="none" w:sz="0" w:space="0" w:color="auto"/>
        <w:bottom w:val="none" w:sz="0" w:space="0" w:color="auto"/>
        <w:right w:val="none" w:sz="0" w:space="0" w:color="auto"/>
      </w:divBdr>
    </w:div>
    <w:div w:id="969088796">
      <w:bodyDiv w:val="1"/>
      <w:marLeft w:val="0"/>
      <w:marRight w:val="0"/>
      <w:marTop w:val="0"/>
      <w:marBottom w:val="0"/>
      <w:divBdr>
        <w:top w:val="none" w:sz="0" w:space="0" w:color="auto"/>
        <w:left w:val="none" w:sz="0" w:space="0" w:color="auto"/>
        <w:bottom w:val="none" w:sz="0" w:space="0" w:color="auto"/>
        <w:right w:val="none" w:sz="0" w:space="0" w:color="auto"/>
      </w:divBdr>
    </w:div>
    <w:div w:id="1202789160">
      <w:bodyDiv w:val="1"/>
      <w:marLeft w:val="0"/>
      <w:marRight w:val="0"/>
      <w:marTop w:val="0"/>
      <w:marBottom w:val="0"/>
      <w:divBdr>
        <w:top w:val="none" w:sz="0" w:space="0" w:color="auto"/>
        <w:left w:val="none" w:sz="0" w:space="0" w:color="auto"/>
        <w:bottom w:val="none" w:sz="0" w:space="0" w:color="auto"/>
        <w:right w:val="none" w:sz="0" w:space="0" w:color="auto"/>
      </w:divBdr>
    </w:div>
    <w:div w:id="1241062562">
      <w:bodyDiv w:val="1"/>
      <w:marLeft w:val="0"/>
      <w:marRight w:val="0"/>
      <w:marTop w:val="0"/>
      <w:marBottom w:val="0"/>
      <w:divBdr>
        <w:top w:val="none" w:sz="0" w:space="0" w:color="auto"/>
        <w:left w:val="none" w:sz="0" w:space="0" w:color="auto"/>
        <w:bottom w:val="none" w:sz="0" w:space="0" w:color="auto"/>
        <w:right w:val="none" w:sz="0" w:space="0" w:color="auto"/>
      </w:divBdr>
    </w:div>
    <w:div w:id="1242904875">
      <w:bodyDiv w:val="1"/>
      <w:marLeft w:val="0"/>
      <w:marRight w:val="0"/>
      <w:marTop w:val="0"/>
      <w:marBottom w:val="0"/>
      <w:divBdr>
        <w:top w:val="none" w:sz="0" w:space="0" w:color="auto"/>
        <w:left w:val="none" w:sz="0" w:space="0" w:color="auto"/>
        <w:bottom w:val="none" w:sz="0" w:space="0" w:color="auto"/>
        <w:right w:val="none" w:sz="0" w:space="0" w:color="auto"/>
      </w:divBdr>
    </w:div>
    <w:div w:id="1262687888">
      <w:bodyDiv w:val="1"/>
      <w:marLeft w:val="0"/>
      <w:marRight w:val="0"/>
      <w:marTop w:val="0"/>
      <w:marBottom w:val="0"/>
      <w:divBdr>
        <w:top w:val="none" w:sz="0" w:space="0" w:color="auto"/>
        <w:left w:val="none" w:sz="0" w:space="0" w:color="auto"/>
        <w:bottom w:val="none" w:sz="0" w:space="0" w:color="auto"/>
        <w:right w:val="none" w:sz="0" w:space="0" w:color="auto"/>
      </w:divBdr>
    </w:div>
    <w:div w:id="1513957707">
      <w:bodyDiv w:val="1"/>
      <w:marLeft w:val="0"/>
      <w:marRight w:val="0"/>
      <w:marTop w:val="0"/>
      <w:marBottom w:val="0"/>
      <w:divBdr>
        <w:top w:val="none" w:sz="0" w:space="0" w:color="auto"/>
        <w:left w:val="none" w:sz="0" w:space="0" w:color="auto"/>
        <w:bottom w:val="none" w:sz="0" w:space="0" w:color="auto"/>
        <w:right w:val="none" w:sz="0" w:space="0" w:color="auto"/>
      </w:divBdr>
    </w:div>
    <w:div w:id="1530333535">
      <w:bodyDiv w:val="1"/>
      <w:marLeft w:val="0"/>
      <w:marRight w:val="0"/>
      <w:marTop w:val="0"/>
      <w:marBottom w:val="0"/>
      <w:divBdr>
        <w:top w:val="none" w:sz="0" w:space="0" w:color="auto"/>
        <w:left w:val="none" w:sz="0" w:space="0" w:color="auto"/>
        <w:bottom w:val="none" w:sz="0" w:space="0" w:color="auto"/>
        <w:right w:val="none" w:sz="0" w:space="0" w:color="auto"/>
      </w:divBdr>
    </w:div>
    <w:div w:id="1588155907">
      <w:bodyDiv w:val="1"/>
      <w:marLeft w:val="0"/>
      <w:marRight w:val="0"/>
      <w:marTop w:val="0"/>
      <w:marBottom w:val="0"/>
      <w:divBdr>
        <w:top w:val="none" w:sz="0" w:space="0" w:color="auto"/>
        <w:left w:val="none" w:sz="0" w:space="0" w:color="auto"/>
        <w:bottom w:val="none" w:sz="0" w:space="0" w:color="auto"/>
        <w:right w:val="none" w:sz="0" w:space="0" w:color="auto"/>
      </w:divBdr>
    </w:div>
    <w:div w:id="1596596995">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
    <w:div w:id="1767069567">
      <w:bodyDiv w:val="1"/>
      <w:marLeft w:val="0"/>
      <w:marRight w:val="0"/>
      <w:marTop w:val="0"/>
      <w:marBottom w:val="0"/>
      <w:divBdr>
        <w:top w:val="none" w:sz="0" w:space="0" w:color="auto"/>
        <w:left w:val="none" w:sz="0" w:space="0" w:color="auto"/>
        <w:bottom w:val="none" w:sz="0" w:space="0" w:color="auto"/>
        <w:right w:val="none" w:sz="0" w:space="0" w:color="auto"/>
      </w:divBdr>
    </w:div>
    <w:div w:id="1777478827">
      <w:bodyDiv w:val="1"/>
      <w:marLeft w:val="0"/>
      <w:marRight w:val="0"/>
      <w:marTop w:val="0"/>
      <w:marBottom w:val="0"/>
      <w:divBdr>
        <w:top w:val="none" w:sz="0" w:space="0" w:color="auto"/>
        <w:left w:val="none" w:sz="0" w:space="0" w:color="auto"/>
        <w:bottom w:val="none" w:sz="0" w:space="0" w:color="auto"/>
        <w:right w:val="none" w:sz="0" w:space="0" w:color="auto"/>
      </w:divBdr>
    </w:div>
    <w:div w:id="1919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Lozano Miranda Ana Lucia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HEALTH SERVICES</TermName>
          <TermId xmlns="http://schemas.microsoft.com/office/infopath/2007/PartnerControls">954571c6-7732-4e5c-9c2e-8e1b5204c894</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Related_x0020_SisCor_x0020_Number xmlns="cdc7663a-08f0-4737-9e8c-148ce897a09c" xsi:nil="true"/>
    <TaxCatchAll xmlns="cdc7663a-08f0-4737-9e8c-148ce897a09c">
      <Value>328</Value>
      <Value>82</Value>
      <Value>122</Value>
      <Value>83</Value>
      <Value>1</Value>
    </TaxCatchAll>
    <Operation_x0020_Type xmlns="cdc7663a-08f0-4737-9e8c-148ce897a09c">Loan Operation</Operation_x0020_Type>
    <Package_x0020_Code xmlns="cdc7663a-08f0-4737-9e8c-148ce897a09c" xsi:nil="true"/>
    <Identifier xmlns="cdc7663a-08f0-4737-9e8c-148ce897a09c">EEO</Identifier>
    <Project_x0020_Number xmlns="cdc7663a-08f0-4737-9e8c-148ce897a09c">AR-L1328;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EZSHARE-1677352023-14</_dlc_DocId>
    <_dlc_DocIdUrl xmlns="cdc7663a-08f0-4737-9e8c-148ce897a09c">
      <Url>https://idbg.sharepoint.com/teams/EZ-AR-LON/AR-L1328/_layouts/15/DocIdRedir.aspx?ID=EZSHARE-1677352023-14</Url>
      <Description>EZSHARE-1677352023-14</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125A14E68A27241B19559FFBEBC8CBF" ma:contentTypeVersion="0" ma:contentTypeDescription="A content type to manage public (operations) IDB documents" ma:contentTypeScope="" ma:versionID="fca2a52b3f7f116d6482699b5e516119">
  <xsd:schema xmlns:xsd="http://www.w3.org/2001/XMLSchema" xmlns:xs="http://www.w3.org/2001/XMLSchema" xmlns:p="http://schemas.microsoft.com/office/2006/metadata/properties" xmlns:ns2="cdc7663a-08f0-4737-9e8c-148ce897a09c" targetNamespace="http://schemas.microsoft.com/office/2006/metadata/properties" ma:root="true" ma:fieldsID="c3987797e87b5cf11d97b6230f067a7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AR-L1328"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316C1F43-C9F2-4596-B46F-252BDA211DD3}">
  <ds:schemaRefs>
    <ds:schemaRef ds:uri="http://schemas.microsoft.com/sharepoint/v3/contenttype/forms"/>
  </ds:schemaRefs>
</ds:datastoreItem>
</file>

<file path=customXml/itemProps2.xml><?xml version="1.0" encoding="utf-8"?>
<ds:datastoreItem xmlns:ds="http://schemas.openxmlformats.org/officeDocument/2006/customXml" ds:itemID="{0C6DAD68-5D7F-4071-A432-2D2AE6DE3DDB}"/>
</file>

<file path=customXml/itemProps3.xml><?xml version="1.0" encoding="utf-8"?>
<ds:datastoreItem xmlns:ds="http://schemas.openxmlformats.org/officeDocument/2006/customXml" ds:itemID="{3A6544A2-D80C-43C6-86AD-A54CC1C1E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68D45A-579C-4558-8FFC-10EF2559C853}">
  <ds:schemaRefs>
    <ds:schemaRef ds:uri="http://schemas.openxmlformats.org/officeDocument/2006/bibliography"/>
  </ds:schemaRefs>
</ds:datastoreItem>
</file>

<file path=customXml/itemProps5.xml><?xml version="1.0" encoding="utf-8"?>
<ds:datastoreItem xmlns:ds="http://schemas.openxmlformats.org/officeDocument/2006/customXml" ds:itemID="{42026179-AE55-496A-9677-E31758F100F4}"/>
</file>

<file path=customXml/itemProps6.xml><?xml version="1.0" encoding="utf-8"?>
<ds:datastoreItem xmlns:ds="http://schemas.openxmlformats.org/officeDocument/2006/customXml" ds:itemID="{5522839A-3F26-46EE-AB5C-691EBE99567F}"/>
</file>

<file path=customXml/itemProps7.xml><?xml version="1.0" encoding="utf-8"?>
<ds:datastoreItem xmlns:ds="http://schemas.openxmlformats.org/officeDocument/2006/customXml" ds:itemID="{0A85E152-49C0-41FE-BEB2-6BB99AC2BCDD}"/>
</file>

<file path=docProps/app.xml><?xml version="1.0" encoding="utf-8"?>
<Properties xmlns="http://schemas.openxmlformats.org/officeDocument/2006/extended-properties" xmlns:vt="http://schemas.openxmlformats.org/officeDocument/2006/docPropsVTypes">
  <Template>Normal</Template>
  <TotalTime>39</TotalTime>
  <Pages>6</Pages>
  <Words>2165</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Reyes, Bessy Lorena</dc:creator>
  <cp:keywords/>
  <dc:description/>
  <cp:lastModifiedBy>Lozano Miranda, Ana Lucia</cp:lastModifiedBy>
  <cp:revision>23</cp:revision>
  <dcterms:created xsi:type="dcterms:W3CDTF">2020-06-08T17:22:00Z</dcterms:created>
  <dcterms:modified xsi:type="dcterms:W3CDTF">2020-06-10T21:24:00Z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83;#HEALTH SERVICES|954571c6-7732-4e5c-9c2e-8e1b5204c894</vt:lpwstr>
  </property>
  <property fmtid="{D5CDD505-2E9C-101B-9397-08002B2CF9AE}" pid="6" name="Country">
    <vt:lpwstr>122;#Honduras|0dd9f989-602d-4742-8212-5c1b8b0b74d5</vt:lpwstr>
  </property>
  <property fmtid="{D5CDD505-2E9C-101B-9397-08002B2CF9AE}" pid="7" name="_dlc_DocIdItemGuid">
    <vt:lpwstr>c957fc97-bb78-492e-bdbb-c760bbef9380</vt:lpwstr>
  </property>
  <property fmtid="{D5CDD505-2E9C-101B-9397-08002B2CF9AE}" pid="8" name="Fund IDB">
    <vt:lpwstr>328;#BLD|60acb4c1-0ef3-40ba-9d70-f741cd9e6c23</vt:lpwstr>
  </property>
  <property fmtid="{D5CDD505-2E9C-101B-9397-08002B2CF9AE}" pid="9" name="Sector IDB">
    <vt:lpwstr>82;#HEALTH|e15154b4-8fa2-4f19-a924-5a9b44dc8218</vt:lpwstr>
  </property>
  <property fmtid="{D5CDD505-2E9C-101B-9397-08002B2CF9AE}" pid="10"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0x0101001A458A224826124E8B45B1D613300CFC00F125A14E68A27241B19559FFBEBC8CBF</vt:lpwstr>
  </property>
</Properties>
</file>