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val="es-ES_tradnl"/>
        </w:rPr>
        <w:id w:val="-2042583060"/>
        <w:docPartObj>
          <w:docPartGallery w:val="Cover Pages"/>
          <w:docPartUnique/>
        </w:docPartObj>
      </w:sdtPr>
      <w:sdtEndPr/>
      <w:sdtContent>
        <w:p w14:paraId="104EDD7A" w14:textId="77777777" w:rsidR="00AE17AB" w:rsidRPr="00E83B7E" w:rsidRDefault="00AE17AB" w:rsidP="00AE17AB">
          <w:pPr>
            <w:rPr>
              <w:lang w:val="es-ES_tradnl"/>
            </w:rPr>
          </w:pPr>
        </w:p>
        <w:p w14:paraId="3C93458C" w14:textId="00955CAF" w:rsidR="00AE17AB" w:rsidRPr="00E83B7E" w:rsidRDefault="00AE17AB" w:rsidP="00AE17AB">
          <w:pPr>
            <w:rPr>
              <w:rFonts w:asciiTheme="majorHAnsi" w:eastAsiaTheme="majorEastAsia" w:hAnsiTheme="majorHAnsi" w:cstheme="majorBidi"/>
              <w:spacing w:val="-10"/>
              <w:kern w:val="28"/>
              <w:sz w:val="56"/>
              <w:szCs w:val="56"/>
              <w:lang w:val="es-ES_tradnl"/>
            </w:rPr>
          </w:pPr>
          <w:r w:rsidRPr="00E83B7E">
            <w:rPr>
              <w:noProof/>
              <w:lang w:val="es-ES_tradnl"/>
            </w:rPr>
            <mc:AlternateContent>
              <mc:Choice Requires="wpg">
                <w:drawing>
                  <wp:anchor distT="0" distB="0" distL="114300" distR="114300" simplePos="0" relativeHeight="251658240" behindDoc="1" locked="0" layoutInCell="1" allowOverlap="1" wp14:anchorId="7C9D8C7E" wp14:editId="4323A87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0CB2A9E6" w14:textId="18D60897" w:rsidR="00F66F77" w:rsidRPr="005D5E85" w:rsidRDefault="00F66F77" w:rsidP="00AE17AB">
                                  <w:pPr>
                                    <w:rPr>
                                      <w:color w:val="FFFFFF" w:themeColor="background1"/>
                                      <w:sz w:val="72"/>
                                      <w:szCs w:val="72"/>
                                      <w:lang w:val="es-AR"/>
                                    </w:rPr>
                                  </w:pPr>
                                  <w:r>
                                    <w:rPr>
                                      <w:color w:val="FFFFFF" w:themeColor="background1"/>
                                      <w:sz w:val="72"/>
                                      <w:szCs w:val="72"/>
                                      <w:lang w:val="es-AR"/>
                                    </w:rPr>
                                    <w:t>ARGENTINA:</w:t>
                                  </w:r>
                                </w:p>
                                <w:p w14:paraId="0E96CD1D" w14:textId="533D9066" w:rsidR="00F66F77" w:rsidRDefault="00F66F77" w:rsidP="00AE17AB">
                                  <w:pPr>
                                    <w:rPr>
                                      <w:color w:val="FFFFFF" w:themeColor="background1"/>
                                      <w:sz w:val="72"/>
                                      <w:szCs w:val="72"/>
                                      <w:lang w:val="es-AR"/>
                                    </w:rPr>
                                  </w:pPr>
                                  <w:r w:rsidRPr="00AE17AB">
                                    <w:rPr>
                                      <w:color w:val="FFFFFF" w:themeColor="background1"/>
                                      <w:sz w:val="72"/>
                                      <w:szCs w:val="72"/>
                                      <w:lang w:val="es-AR"/>
                                    </w:rPr>
                                    <w:t>Vulnerabilidad de sectores productivos ante</w:t>
                                  </w:r>
                                  <w:r>
                                    <w:rPr>
                                      <w:color w:val="FFFFFF" w:themeColor="background1"/>
                                      <w:sz w:val="72"/>
                                      <w:szCs w:val="72"/>
                                      <w:lang w:val="es-AR"/>
                                    </w:rPr>
                                    <w:t xml:space="preserve"> expansión del</w:t>
                                  </w:r>
                                  <w:r w:rsidRPr="00AE17AB">
                                    <w:rPr>
                                      <w:color w:val="FFFFFF" w:themeColor="background1"/>
                                      <w:sz w:val="72"/>
                                      <w:szCs w:val="72"/>
                                      <w:lang w:val="es-AR"/>
                                    </w:rPr>
                                    <w:t xml:space="preserve"> COVID-19 </w:t>
                                  </w:r>
                                </w:p>
                                <w:p w14:paraId="6A9A027A" w14:textId="2E33395F" w:rsidR="00F66F77" w:rsidRPr="005D5E85" w:rsidRDefault="00F66F77">
                                  <w:pPr>
                                    <w:rPr>
                                      <w:color w:val="FFFFFF" w:themeColor="background1"/>
                                      <w:sz w:val="72"/>
                                      <w:szCs w:val="72"/>
                                      <w:lang w:val="es-AR"/>
                                    </w:rPr>
                                  </w:pP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0</wp14:pctHeight>
                    </wp14:sizeRelV>
                  </wp:anchor>
                </w:drawing>
              </mc:Choice>
              <mc:Fallback>
                <w:pict>
                  <v:group w14:anchorId="7C9D8C7E" id="Group 125" o:spid="_x0000_s1026" style="position:absolute;margin-left:0;margin-top:0;width:540pt;height:556.55pt;z-index:-251658240;mso-width-percent:1154;mso-top-percent:45;mso-position-horizontal:center;mso-position-horizontal-relative:margin;mso-position-vertical-relative:page;mso-width-percent:1154;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0CB2A9E6" w14:textId="18D60897" w:rsidR="00F66F77" w:rsidRPr="005D5E85" w:rsidRDefault="00F66F77" w:rsidP="00AE17AB">
                            <w:pPr>
                              <w:rPr>
                                <w:color w:val="FFFFFF" w:themeColor="background1"/>
                                <w:sz w:val="72"/>
                                <w:szCs w:val="72"/>
                                <w:lang w:val="es-AR"/>
                              </w:rPr>
                            </w:pPr>
                            <w:r>
                              <w:rPr>
                                <w:color w:val="FFFFFF" w:themeColor="background1"/>
                                <w:sz w:val="72"/>
                                <w:szCs w:val="72"/>
                                <w:lang w:val="es-AR"/>
                              </w:rPr>
                              <w:t>ARGENTINA:</w:t>
                            </w:r>
                          </w:p>
                          <w:p w14:paraId="0E96CD1D" w14:textId="533D9066" w:rsidR="00F66F77" w:rsidRDefault="00F66F77" w:rsidP="00AE17AB">
                            <w:pPr>
                              <w:rPr>
                                <w:color w:val="FFFFFF" w:themeColor="background1"/>
                                <w:sz w:val="72"/>
                                <w:szCs w:val="72"/>
                                <w:lang w:val="es-AR"/>
                              </w:rPr>
                            </w:pPr>
                            <w:r w:rsidRPr="00AE17AB">
                              <w:rPr>
                                <w:color w:val="FFFFFF" w:themeColor="background1"/>
                                <w:sz w:val="72"/>
                                <w:szCs w:val="72"/>
                                <w:lang w:val="es-AR"/>
                              </w:rPr>
                              <w:t>Vulnerabilidad de sectores productivos ante</w:t>
                            </w:r>
                            <w:r>
                              <w:rPr>
                                <w:color w:val="FFFFFF" w:themeColor="background1"/>
                                <w:sz w:val="72"/>
                                <w:szCs w:val="72"/>
                                <w:lang w:val="es-AR"/>
                              </w:rPr>
                              <w:t xml:space="preserve"> expansión del</w:t>
                            </w:r>
                            <w:r w:rsidRPr="00AE17AB">
                              <w:rPr>
                                <w:color w:val="FFFFFF" w:themeColor="background1"/>
                                <w:sz w:val="72"/>
                                <w:szCs w:val="72"/>
                                <w:lang w:val="es-AR"/>
                              </w:rPr>
                              <w:t xml:space="preserve"> COVID-19 </w:t>
                            </w:r>
                          </w:p>
                          <w:p w14:paraId="6A9A027A" w14:textId="2E33395F" w:rsidR="00F66F77" w:rsidRPr="005D5E85" w:rsidRDefault="00F66F77">
                            <w:pPr>
                              <w:rPr>
                                <w:color w:val="FFFFFF" w:themeColor="background1"/>
                                <w:sz w:val="72"/>
                                <w:szCs w:val="72"/>
                                <w:lang w:val="es-AR"/>
                              </w:rPr>
                            </w:pP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Pr="00E83B7E">
            <w:rPr>
              <w:noProof/>
              <w:lang w:val="es-ES_tradnl"/>
            </w:rPr>
            <mc:AlternateContent>
              <mc:Choice Requires="wps">
                <w:drawing>
                  <wp:anchor distT="0" distB="0" distL="114300" distR="114300" simplePos="0" relativeHeight="251658242" behindDoc="0" locked="0" layoutInCell="1" allowOverlap="1" wp14:anchorId="4A02F69C" wp14:editId="6EBB918A">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A2ADBE" w14:textId="77777777" w:rsidR="00F66F77" w:rsidRPr="00BF5C4A" w:rsidRDefault="00A4542D" w:rsidP="00AE17AB">
                                <w:pPr>
                                  <w:pStyle w:val="NoSpacing"/>
                                  <w:rPr>
                                    <w:color w:val="7F7F7F" w:themeColor="text1" w:themeTint="80"/>
                                    <w:sz w:val="18"/>
                                    <w:szCs w:val="18"/>
                                    <w:lang w:val="es-AR"/>
                                  </w:rPr>
                                </w:pPr>
                                <w:sdt>
                                  <w:sdtPr>
                                    <w:rPr>
                                      <w:caps/>
                                      <w:color w:val="7F7F7F" w:themeColor="text1" w:themeTint="80"/>
                                      <w:sz w:val="18"/>
                                      <w:szCs w:val="18"/>
                                      <w:lang w:val="es-AR"/>
                                    </w:rPr>
                                    <w:alias w:val="Company"/>
                                    <w:tag w:val=""/>
                                    <w:id w:val="-1880927279"/>
                                    <w:showingPlcHdr/>
                                    <w:dataBinding w:prefixMappings="xmlns:ns0='http://schemas.openxmlformats.org/officeDocument/2006/extended-properties' " w:xpath="/ns0:Properties[1]/ns0:Company[1]" w:storeItemID="{6668398D-A668-4E3E-A5EB-62B293D839F1}"/>
                                    <w:text/>
                                  </w:sdtPr>
                                  <w:sdtEndPr/>
                                  <w:sdtContent>
                                    <w:r w:rsidR="00F66F77">
                                      <w:rPr>
                                        <w:caps/>
                                        <w:color w:val="7F7F7F" w:themeColor="text1" w:themeTint="80"/>
                                        <w:sz w:val="18"/>
                                        <w:szCs w:val="18"/>
                                        <w:lang w:val="es-AR"/>
                                      </w:rPr>
                                      <w:t xml:space="preserve">     </w:t>
                                    </w:r>
                                  </w:sdtContent>
                                </w:sdt>
                                <w:r w:rsidR="00F66F77" w:rsidRPr="00BF5C4A">
                                  <w:rPr>
                                    <w:caps/>
                                    <w:color w:val="7F7F7F" w:themeColor="text1" w:themeTint="80"/>
                                    <w:sz w:val="18"/>
                                    <w:szCs w:val="18"/>
                                    <w:lang w:val="es-AR"/>
                                  </w:rPr>
                                  <w:t> </w:t>
                                </w:r>
                                <w:r w:rsidR="00F66F77" w:rsidRPr="00BF5C4A">
                                  <w:rPr>
                                    <w:color w:val="7F7F7F" w:themeColor="text1" w:themeTint="80"/>
                                    <w:sz w:val="18"/>
                                    <w:szCs w:val="18"/>
                                    <w:lang w:val="es-AR"/>
                                  </w:rPr>
                                  <w:t>| </w:t>
                                </w:r>
                                <w:sdt>
                                  <w:sdtPr>
                                    <w:rPr>
                                      <w:color w:val="7F7F7F" w:themeColor="text1" w:themeTint="80"/>
                                      <w:sz w:val="18"/>
                                      <w:szCs w:val="18"/>
                                      <w:lang w:val="es-AR"/>
                                    </w:rPr>
                                    <w:alias w:val="Address"/>
                                    <w:tag w:val=""/>
                                    <w:id w:val="-1023088507"/>
                                    <w:showingPlcHdr/>
                                    <w:dataBinding w:prefixMappings="xmlns:ns0='http://schemas.microsoft.com/office/2006/coverPageProps' " w:xpath="/ns0:CoverPageProperties[1]/ns0:CompanyAddress[1]" w:storeItemID="{55AF091B-3C7A-41E3-B477-F2FDAA23CFDA}"/>
                                    <w:text/>
                                  </w:sdtPr>
                                  <w:sdtEndPr/>
                                  <w:sdtContent>
                                    <w:r w:rsidR="00F66F77">
                                      <w:rPr>
                                        <w:color w:val="7F7F7F" w:themeColor="text1" w:themeTint="80"/>
                                        <w:sz w:val="18"/>
                                        <w:szCs w:val="18"/>
                                        <w:lang w:val="es-AR"/>
                                      </w:rPr>
                                      <w:t xml:space="preserve">     </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4A02F69C" id="_x0000_t202" coordsize="21600,21600" o:spt="202" path="m,l,21600r21600,l21600,xe">
                    <v:stroke joinstyle="miter"/>
                    <v:path gradientshapeok="t" o:connecttype="rect"/>
                  </v:shapetype>
                  <v:shape id="Text Box 128" o:spid="_x0000_s1029" type="#_x0000_t202" style="position:absolute;margin-left:0;margin-top:0;width:453pt;height:11.5pt;z-index:251658242;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14:paraId="7AA2ADBE" w14:textId="77777777" w:rsidR="00F66F77" w:rsidRPr="00BF5C4A" w:rsidRDefault="00A4542D" w:rsidP="00AE17AB">
                          <w:pPr>
                            <w:pStyle w:val="NoSpacing"/>
                            <w:rPr>
                              <w:color w:val="7F7F7F" w:themeColor="text1" w:themeTint="80"/>
                              <w:sz w:val="18"/>
                              <w:szCs w:val="18"/>
                              <w:lang w:val="es-AR"/>
                            </w:rPr>
                          </w:pPr>
                          <w:sdt>
                            <w:sdtPr>
                              <w:rPr>
                                <w:caps/>
                                <w:color w:val="7F7F7F" w:themeColor="text1" w:themeTint="80"/>
                                <w:sz w:val="18"/>
                                <w:szCs w:val="18"/>
                                <w:lang w:val="es-AR"/>
                              </w:rPr>
                              <w:alias w:val="Company"/>
                              <w:tag w:val=""/>
                              <w:id w:val="-1880927279"/>
                              <w:showingPlcHdr/>
                              <w:dataBinding w:prefixMappings="xmlns:ns0='http://schemas.openxmlformats.org/officeDocument/2006/extended-properties' " w:xpath="/ns0:Properties[1]/ns0:Company[1]" w:storeItemID="{6668398D-A668-4E3E-A5EB-62B293D839F1}"/>
                              <w:text/>
                            </w:sdtPr>
                            <w:sdtEndPr/>
                            <w:sdtContent>
                              <w:r w:rsidR="00F66F77">
                                <w:rPr>
                                  <w:caps/>
                                  <w:color w:val="7F7F7F" w:themeColor="text1" w:themeTint="80"/>
                                  <w:sz w:val="18"/>
                                  <w:szCs w:val="18"/>
                                  <w:lang w:val="es-AR"/>
                                </w:rPr>
                                <w:t xml:space="preserve">     </w:t>
                              </w:r>
                            </w:sdtContent>
                          </w:sdt>
                          <w:r w:rsidR="00F66F77" w:rsidRPr="00BF5C4A">
                            <w:rPr>
                              <w:caps/>
                              <w:color w:val="7F7F7F" w:themeColor="text1" w:themeTint="80"/>
                              <w:sz w:val="18"/>
                              <w:szCs w:val="18"/>
                              <w:lang w:val="es-AR"/>
                            </w:rPr>
                            <w:t> </w:t>
                          </w:r>
                          <w:r w:rsidR="00F66F77" w:rsidRPr="00BF5C4A">
                            <w:rPr>
                              <w:color w:val="7F7F7F" w:themeColor="text1" w:themeTint="80"/>
                              <w:sz w:val="18"/>
                              <w:szCs w:val="18"/>
                              <w:lang w:val="es-AR"/>
                            </w:rPr>
                            <w:t>| </w:t>
                          </w:r>
                          <w:sdt>
                            <w:sdtPr>
                              <w:rPr>
                                <w:color w:val="7F7F7F" w:themeColor="text1" w:themeTint="80"/>
                                <w:sz w:val="18"/>
                                <w:szCs w:val="18"/>
                                <w:lang w:val="es-AR"/>
                              </w:rPr>
                              <w:alias w:val="Address"/>
                              <w:tag w:val=""/>
                              <w:id w:val="-1023088507"/>
                              <w:showingPlcHdr/>
                              <w:dataBinding w:prefixMappings="xmlns:ns0='http://schemas.microsoft.com/office/2006/coverPageProps' " w:xpath="/ns0:CoverPageProperties[1]/ns0:CompanyAddress[1]" w:storeItemID="{55AF091B-3C7A-41E3-B477-F2FDAA23CFDA}"/>
                              <w:text/>
                            </w:sdtPr>
                            <w:sdtEndPr/>
                            <w:sdtContent>
                              <w:r w:rsidR="00F66F77">
                                <w:rPr>
                                  <w:color w:val="7F7F7F" w:themeColor="text1" w:themeTint="80"/>
                                  <w:sz w:val="18"/>
                                  <w:szCs w:val="18"/>
                                  <w:lang w:val="es-AR"/>
                                </w:rPr>
                                <w:t xml:space="preserve">     </w:t>
                              </w:r>
                            </w:sdtContent>
                          </w:sdt>
                        </w:p>
                      </w:txbxContent>
                    </v:textbox>
                    <w10:wrap type="square" anchorx="page" anchory="margin"/>
                  </v:shape>
                </w:pict>
              </mc:Fallback>
            </mc:AlternateContent>
          </w:r>
          <w:r w:rsidRPr="00E83B7E">
            <w:rPr>
              <w:noProof/>
              <w:lang w:val="es-ES_tradnl"/>
            </w:rPr>
            <mc:AlternateContent>
              <mc:Choice Requires="wps">
                <w:drawing>
                  <wp:anchor distT="0" distB="0" distL="114300" distR="114300" simplePos="0" relativeHeight="251658241" behindDoc="0" locked="0" layoutInCell="1" allowOverlap="1" wp14:anchorId="2CCB574A" wp14:editId="0FE08AFA">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CC0133" w14:textId="77777777" w:rsidR="00F66F77" w:rsidRDefault="00F66F77" w:rsidP="00AE17AB">
                                <w:pPr>
                                  <w:pStyle w:val="NoSpacing"/>
                                  <w:spacing w:before="40" w:after="40"/>
                                  <w:rPr>
                                    <w:caps/>
                                    <w:color w:val="4472C4" w:themeColor="accent1"/>
                                    <w:sz w:val="28"/>
                                    <w:szCs w:val="28"/>
                                  </w:rPr>
                                </w:pPr>
                              </w:p>
                              <w:sdt>
                                <w:sdtPr>
                                  <w:rPr>
                                    <w:caps/>
                                    <w:color w:val="5B9BD5"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4E56BD52" w14:textId="584B51CD" w:rsidR="00F66F77" w:rsidRPr="00A5757F" w:rsidRDefault="00F66F77" w:rsidP="00AE17AB">
                                    <w:pPr>
                                      <w:pStyle w:val="NoSpacing"/>
                                      <w:spacing w:before="40" w:after="40"/>
                                      <w:rPr>
                                        <w:caps/>
                                        <w:color w:val="5B9BD5" w:themeColor="accent5"/>
                                        <w:sz w:val="24"/>
                                        <w:szCs w:val="24"/>
                                      </w:rPr>
                                    </w:pPr>
                                    <w:r w:rsidRPr="00467FF2">
                                      <w:rPr>
                                        <w:caps/>
                                        <w:color w:val="5B9BD5" w:themeColor="accent5"/>
                                        <w:sz w:val="24"/>
                                        <w:szCs w:val="24"/>
                                      </w:rPr>
                                      <w:t xml:space="preserve">m. Carmen Fernández díez (IFD/CMF), </w:t>
                                    </w:r>
                                    <w:r>
                                      <w:rPr>
                                        <w:caps/>
                                        <w:color w:val="5B9BD5" w:themeColor="accent5"/>
                                        <w:sz w:val="24"/>
                                        <w:szCs w:val="24"/>
                                      </w:rPr>
                                      <w:t xml:space="preserve">Manuel fernandini (IFD/CMF), </w:t>
                                    </w:r>
                                    <w:r w:rsidRPr="00467FF2">
                                      <w:rPr>
                                        <w:caps/>
                                        <w:color w:val="5B9BD5" w:themeColor="accent5"/>
                                        <w:sz w:val="24"/>
                                        <w:szCs w:val="24"/>
                                      </w:rPr>
                                      <w:t>SIMON FERNANDEZ (IFD/CMF) Alejandro TÁmola (IFD/CMF), Alexander vasa (IFD/CMF), Julieta Abad (INE/TSP), Paolo de Salvo (CSD/RND), ADRIAN RISSO (CSD/RND) y Lucas Barreiros (INT/TIN)</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2CCB574A" id="Text Box 129" o:spid="_x0000_s1030" type="#_x0000_t202" style="position:absolute;margin-left:0;margin-top:0;width:453pt;height:38.15pt;z-index:251658241;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p w14:paraId="15CC0133" w14:textId="77777777" w:rsidR="00F66F77" w:rsidRDefault="00F66F77" w:rsidP="00AE17AB">
                          <w:pPr>
                            <w:pStyle w:val="NoSpacing"/>
                            <w:spacing w:before="40" w:after="40"/>
                            <w:rPr>
                              <w:caps/>
                              <w:color w:val="4472C4" w:themeColor="accent1"/>
                              <w:sz w:val="28"/>
                              <w:szCs w:val="28"/>
                            </w:rPr>
                          </w:pPr>
                        </w:p>
                        <w:sdt>
                          <w:sdtPr>
                            <w:rPr>
                              <w:caps/>
                              <w:color w:val="5B9BD5"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4E56BD52" w14:textId="584B51CD" w:rsidR="00F66F77" w:rsidRPr="00A5757F" w:rsidRDefault="00F66F77" w:rsidP="00AE17AB">
                              <w:pPr>
                                <w:pStyle w:val="NoSpacing"/>
                                <w:spacing w:before="40" w:after="40"/>
                                <w:rPr>
                                  <w:caps/>
                                  <w:color w:val="5B9BD5" w:themeColor="accent5"/>
                                  <w:sz w:val="24"/>
                                  <w:szCs w:val="24"/>
                                </w:rPr>
                              </w:pPr>
                              <w:r w:rsidRPr="00467FF2">
                                <w:rPr>
                                  <w:caps/>
                                  <w:color w:val="5B9BD5" w:themeColor="accent5"/>
                                  <w:sz w:val="24"/>
                                  <w:szCs w:val="24"/>
                                </w:rPr>
                                <w:t xml:space="preserve">m. Carmen Fernández díez (IFD/CMF), </w:t>
                              </w:r>
                              <w:r>
                                <w:rPr>
                                  <w:caps/>
                                  <w:color w:val="5B9BD5" w:themeColor="accent5"/>
                                  <w:sz w:val="24"/>
                                  <w:szCs w:val="24"/>
                                </w:rPr>
                                <w:t xml:space="preserve">Manuel fernandini (IFD/CMF), </w:t>
                              </w:r>
                              <w:r w:rsidRPr="00467FF2">
                                <w:rPr>
                                  <w:caps/>
                                  <w:color w:val="5B9BD5" w:themeColor="accent5"/>
                                  <w:sz w:val="24"/>
                                  <w:szCs w:val="24"/>
                                </w:rPr>
                                <w:t>SIMON FERNANDEZ (IFD/CMF) Alejandro TÁmola (IFD/CMF), Alexander vasa (IFD/CMF), Julieta Abad (INE/TSP), Paolo de Salvo (CSD/RND), ADRIAN RISSO (CSD/RND) y Lucas Barreiros (INT/TIN)</w:t>
                              </w:r>
                            </w:p>
                          </w:sdtContent>
                        </w:sdt>
                      </w:txbxContent>
                    </v:textbox>
                    <w10:wrap type="square" anchorx="page" anchory="page"/>
                  </v:shape>
                </w:pict>
              </mc:Fallback>
            </mc:AlternateContent>
          </w:r>
          <w:r w:rsidRPr="00E83B7E">
            <w:rPr>
              <w:lang w:val="es-ES_tradnl"/>
            </w:rPr>
            <w:br w:type="page"/>
          </w:r>
        </w:p>
      </w:sdtContent>
    </w:sdt>
    <w:sdt>
      <w:sdtPr>
        <w:rPr>
          <w:rFonts w:asciiTheme="minorHAnsi" w:eastAsiaTheme="minorHAnsi" w:hAnsiTheme="minorHAnsi" w:cstheme="minorBidi"/>
          <w:color w:val="auto"/>
          <w:sz w:val="22"/>
          <w:szCs w:val="22"/>
          <w:lang w:val="es-ES_tradnl"/>
        </w:rPr>
        <w:id w:val="2027203165"/>
        <w:docPartObj>
          <w:docPartGallery w:val="Table of Contents"/>
          <w:docPartUnique/>
        </w:docPartObj>
      </w:sdtPr>
      <w:sdtEndPr>
        <w:rPr>
          <w:b/>
          <w:bCs/>
        </w:rPr>
      </w:sdtEndPr>
      <w:sdtContent>
        <w:p w14:paraId="78DFD67C" w14:textId="77777777" w:rsidR="00AE17AB" w:rsidRPr="00E83B7E" w:rsidRDefault="00AE17AB" w:rsidP="00AE17AB">
          <w:pPr>
            <w:pStyle w:val="TOCHeading"/>
            <w:jc w:val="center"/>
            <w:rPr>
              <w:lang w:val="es-ES_tradnl"/>
            </w:rPr>
          </w:pPr>
          <w:r w:rsidRPr="00E83B7E">
            <w:rPr>
              <w:lang w:val="es-ES_tradnl"/>
            </w:rPr>
            <w:t>Índice</w:t>
          </w:r>
        </w:p>
        <w:p w14:paraId="3F85DF60" w14:textId="4584388A" w:rsidR="008067E2" w:rsidRDefault="00A4542D">
          <w:pPr>
            <w:pStyle w:val="TOC1"/>
            <w:tabs>
              <w:tab w:val="right" w:leader="dot" w:pos="9350"/>
            </w:tabs>
            <w:rPr>
              <w:rFonts w:eastAsiaTheme="minorEastAsia"/>
              <w:noProof/>
            </w:rPr>
          </w:pPr>
          <w:hyperlink w:anchor="_Toc38398628" w:history="1">
            <w:r w:rsidR="008067E2" w:rsidRPr="00722A02">
              <w:rPr>
                <w:rStyle w:val="Hyperlink"/>
                <w:noProof/>
                <w:lang w:val="es-ES_tradnl"/>
              </w:rPr>
              <w:t>Siglas y acrónimos</w:t>
            </w:r>
            <w:r w:rsidR="008067E2">
              <w:rPr>
                <w:noProof/>
                <w:webHidden/>
              </w:rPr>
              <w:tab/>
            </w:r>
            <w:r w:rsidR="008067E2">
              <w:rPr>
                <w:noProof/>
                <w:webHidden/>
              </w:rPr>
              <w:fldChar w:fldCharType="begin"/>
            </w:r>
            <w:r w:rsidR="008067E2">
              <w:rPr>
                <w:noProof/>
                <w:webHidden/>
              </w:rPr>
              <w:instrText xml:space="preserve"> PAGEREF _Toc38398628 \h </w:instrText>
            </w:r>
            <w:r w:rsidR="008067E2">
              <w:rPr>
                <w:noProof/>
                <w:webHidden/>
              </w:rPr>
            </w:r>
            <w:r w:rsidR="008067E2">
              <w:rPr>
                <w:noProof/>
                <w:webHidden/>
              </w:rPr>
              <w:fldChar w:fldCharType="separate"/>
            </w:r>
            <w:r w:rsidR="00F6489C">
              <w:rPr>
                <w:noProof/>
                <w:webHidden/>
              </w:rPr>
              <w:t>3</w:t>
            </w:r>
            <w:r w:rsidR="008067E2">
              <w:rPr>
                <w:noProof/>
                <w:webHidden/>
              </w:rPr>
              <w:fldChar w:fldCharType="end"/>
            </w:r>
          </w:hyperlink>
        </w:p>
        <w:p w14:paraId="0DD72BC9" w14:textId="06E116D5" w:rsidR="008067E2" w:rsidRDefault="00A4542D">
          <w:pPr>
            <w:pStyle w:val="TOC1"/>
            <w:tabs>
              <w:tab w:val="right" w:leader="dot" w:pos="9350"/>
            </w:tabs>
            <w:rPr>
              <w:rFonts w:eastAsiaTheme="minorEastAsia"/>
              <w:noProof/>
            </w:rPr>
          </w:pPr>
          <w:hyperlink w:anchor="_Toc38398629" w:history="1">
            <w:r w:rsidR="008067E2" w:rsidRPr="00722A02">
              <w:rPr>
                <w:rStyle w:val="Hyperlink"/>
                <w:noProof/>
                <w:lang w:val="es-ES_tradnl"/>
              </w:rPr>
              <w:t>Resumen ejecutivo</w:t>
            </w:r>
            <w:r w:rsidR="008067E2">
              <w:rPr>
                <w:noProof/>
                <w:webHidden/>
              </w:rPr>
              <w:tab/>
            </w:r>
            <w:r w:rsidR="00F6489C">
              <w:rPr>
                <w:noProof/>
                <w:webHidden/>
              </w:rPr>
              <w:t>4</w:t>
            </w:r>
          </w:hyperlink>
        </w:p>
        <w:p w14:paraId="12B7838E" w14:textId="071F63D4" w:rsidR="008067E2" w:rsidRDefault="00A4542D">
          <w:pPr>
            <w:pStyle w:val="TOC1"/>
            <w:tabs>
              <w:tab w:val="left" w:pos="440"/>
              <w:tab w:val="right" w:leader="dot" w:pos="9350"/>
            </w:tabs>
            <w:rPr>
              <w:rFonts w:eastAsiaTheme="minorEastAsia"/>
              <w:noProof/>
            </w:rPr>
          </w:pPr>
          <w:hyperlink w:anchor="_Toc38398630" w:history="1">
            <w:r w:rsidR="008067E2" w:rsidRPr="00722A02">
              <w:rPr>
                <w:rStyle w:val="Hyperlink"/>
                <w:noProof/>
                <w:lang w:val="es-ES_tradnl"/>
              </w:rPr>
              <w:t>I.</w:t>
            </w:r>
            <w:r w:rsidR="008067E2">
              <w:rPr>
                <w:rFonts w:eastAsiaTheme="minorEastAsia"/>
                <w:noProof/>
              </w:rPr>
              <w:tab/>
            </w:r>
            <w:r w:rsidR="008067E2" w:rsidRPr="00722A02">
              <w:rPr>
                <w:rStyle w:val="Hyperlink"/>
                <w:noProof/>
                <w:lang w:val="es-ES_tradnl"/>
              </w:rPr>
              <w:t>Situación de vulnerabilidad</w:t>
            </w:r>
            <w:r w:rsidR="008067E2">
              <w:rPr>
                <w:noProof/>
                <w:webHidden/>
              </w:rPr>
              <w:tab/>
            </w:r>
            <w:r w:rsidR="00F6489C">
              <w:rPr>
                <w:noProof/>
                <w:webHidden/>
              </w:rPr>
              <w:t>7</w:t>
            </w:r>
          </w:hyperlink>
        </w:p>
        <w:p w14:paraId="253EA7A5" w14:textId="5A08FFC0" w:rsidR="008067E2" w:rsidRDefault="00A4542D">
          <w:pPr>
            <w:pStyle w:val="TOC2"/>
            <w:tabs>
              <w:tab w:val="left" w:pos="660"/>
              <w:tab w:val="right" w:leader="dot" w:pos="9350"/>
            </w:tabs>
            <w:rPr>
              <w:rFonts w:eastAsiaTheme="minorEastAsia"/>
              <w:noProof/>
            </w:rPr>
          </w:pPr>
          <w:hyperlink w:anchor="_Toc38398631" w:history="1">
            <w:r w:rsidR="008067E2" w:rsidRPr="00722A02">
              <w:rPr>
                <w:rStyle w:val="Hyperlink"/>
                <w:noProof/>
                <w:lang w:val="es-ES_tradnl"/>
              </w:rPr>
              <w:t>A.</w:t>
            </w:r>
            <w:r w:rsidR="008067E2">
              <w:rPr>
                <w:rFonts w:eastAsiaTheme="minorEastAsia"/>
                <w:noProof/>
              </w:rPr>
              <w:tab/>
            </w:r>
            <w:r w:rsidR="008067E2" w:rsidRPr="00722A02">
              <w:rPr>
                <w:rStyle w:val="Hyperlink"/>
                <w:noProof/>
                <w:lang w:val="es-ES_tradnl"/>
              </w:rPr>
              <w:t>Situación general</w:t>
            </w:r>
            <w:r w:rsidR="008067E2">
              <w:rPr>
                <w:noProof/>
                <w:webHidden/>
              </w:rPr>
              <w:tab/>
            </w:r>
            <w:r w:rsidR="00F6489C">
              <w:rPr>
                <w:noProof/>
                <w:webHidden/>
              </w:rPr>
              <w:t>7</w:t>
            </w:r>
          </w:hyperlink>
        </w:p>
        <w:p w14:paraId="6FB21C3C" w14:textId="5D3E3227" w:rsidR="008067E2" w:rsidRDefault="00A4542D">
          <w:pPr>
            <w:pStyle w:val="TOC2"/>
            <w:tabs>
              <w:tab w:val="left" w:pos="660"/>
              <w:tab w:val="right" w:leader="dot" w:pos="9350"/>
            </w:tabs>
            <w:rPr>
              <w:rFonts w:eastAsiaTheme="minorEastAsia"/>
              <w:noProof/>
            </w:rPr>
          </w:pPr>
          <w:hyperlink w:anchor="_Toc38398632" w:history="1">
            <w:r w:rsidR="008067E2" w:rsidRPr="00722A02">
              <w:rPr>
                <w:rStyle w:val="Hyperlink"/>
                <w:noProof/>
                <w:lang w:val="es-ES_tradnl"/>
              </w:rPr>
              <w:t>B.</w:t>
            </w:r>
            <w:r w:rsidR="008067E2">
              <w:rPr>
                <w:rFonts w:eastAsiaTheme="minorEastAsia"/>
                <w:noProof/>
              </w:rPr>
              <w:tab/>
            </w:r>
            <w:r w:rsidR="008067E2" w:rsidRPr="00722A02">
              <w:rPr>
                <w:rStyle w:val="Hyperlink"/>
                <w:noProof/>
                <w:lang w:val="es-ES_tradnl"/>
              </w:rPr>
              <w:t>Situación por sectores</w:t>
            </w:r>
            <w:r w:rsidR="008067E2">
              <w:rPr>
                <w:noProof/>
                <w:webHidden/>
              </w:rPr>
              <w:tab/>
            </w:r>
            <w:r w:rsidR="00F6489C">
              <w:rPr>
                <w:noProof/>
                <w:webHidden/>
              </w:rPr>
              <w:t>8</w:t>
            </w:r>
          </w:hyperlink>
        </w:p>
        <w:p w14:paraId="1EF22BF3" w14:textId="312A2677" w:rsidR="008067E2" w:rsidRDefault="00A4542D">
          <w:pPr>
            <w:pStyle w:val="TOC1"/>
            <w:tabs>
              <w:tab w:val="left" w:pos="440"/>
              <w:tab w:val="right" w:leader="dot" w:pos="9350"/>
            </w:tabs>
            <w:rPr>
              <w:rFonts w:eastAsiaTheme="minorEastAsia"/>
              <w:noProof/>
            </w:rPr>
          </w:pPr>
          <w:hyperlink w:anchor="_Toc38398633" w:history="1">
            <w:r w:rsidR="008067E2" w:rsidRPr="00722A02">
              <w:rPr>
                <w:rStyle w:val="Hyperlink"/>
                <w:noProof/>
                <w:lang w:val="es-ES_tradnl"/>
              </w:rPr>
              <w:t>II.</w:t>
            </w:r>
            <w:r w:rsidR="008067E2">
              <w:rPr>
                <w:rFonts w:eastAsiaTheme="minorEastAsia"/>
                <w:noProof/>
              </w:rPr>
              <w:tab/>
            </w:r>
            <w:r w:rsidR="008067E2" w:rsidRPr="00722A02">
              <w:rPr>
                <w:rStyle w:val="Hyperlink"/>
                <w:noProof/>
                <w:lang w:val="es-ES_tradnl"/>
              </w:rPr>
              <w:t>Conclusión</w:t>
            </w:r>
            <w:r w:rsidR="008067E2">
              <w:rPr>
                <w:noProof/>
                <w:webHidden/>
              </w:rPr>
              <w:tab/>
            </w:r>
            <w:r w:rsidR="00F6489C">
              <w:rPr>
                <w:noProof/>
                <w:webHidden/>
              </w:rPr>
              <w:t>1</w:t>
            </w:r>
          </w:hyperlink>
          <w:r w:rsidR="0051340D">
            <w:rPr>
              <w:noProof/>
            </w:rPr>
            <w:t>0</w:t>
          </w:r>
        </w:p>
        <w:p w14:paraId="4B8CD062" w14:textId="13B9F6B6" w:rsidR="008067E2" w:rsidRDefault="00A4542D">
          <w:pPr>
            <w:pStyle w:val="TOC1"/>
            <w:tabs>
              <w:tab w:val="right" w:leader="dot" w:pos="9350"/>
            </w:tabs>
            <w:rPr>
              <w:rFonts w:eastAsiaTheme="minorEastAsia"/>
              <w:noProof/>
            </w:rPr>
          </w:pPr>
          <w:hyperlink w:anchor="_Toc38398634" w:history="1">
            <w:r w:rsidR="008067E2" w:rsidRPr="00722A02">
              <w:rPr>
                <w:rStyle w:val="Hyperlink"/>
                <w:noProof/>
                <w:lang w:val="es-ES_tradnl"/>
              </w:rPr>
              <w:t>Anexo I: aspectos metodológicos</w:t>
            </w:r>
            <w:r w:rsidR="008067E2">
              <w:rPr>
                <w:noProof/>
                <w:webHidden/>
              </w:rPr>
              <w:tab/>
            </w:r>
            <w:r w:rsidR="00F6489C">
              <w:rPr>
                <w:noProof/>
                <w:webHidden/>
              </w:rPr>
              <w:t>1</w:t>
            </w:r>
          </w:hyperlink>
          <w:r w:rsidR="0051340D">
            <w:rPr>
              <w:noProof/>
            </w:rPr>
            <w:t>1</w:t>
          </w:r>
        </w:p>
        <w:p w14:paraId="6B7682A5" w14:textId="2A8586C9" w:rsidR="00AE17AB" w:rsidRPr="00E83B7E" w:rsidRDefault="00A4542D" w:rsidP="00AE17AB">
          <w:pPr>
            <w:rPr>
              <w:lang w:val="es-ES_tradnl"/>
            </w:rPr>
          </w:pPr>
        </w:p>
      </w:sdtContent>
    </w:sdt>
    <w:p w14:paraId="5DD9F09A" w14:textId="77777777" w:rsidR="00D316B0" w:rsidRPr="00E83B7E" w:rsidRDefault="00D316B0">
      <w:pPr>
        <w:rPr>
          <w:rFonts w:asciiTheme="majorHAnsi" w:eastAsiaTheme="majorEastAsia" w:hAnsiTheme="majorHAnsi" w:cstheme="majorBidi"/>
          <w:color w:val="2F5496" w:themeColor="accent1" w:themeShade="BF"/>
          <w:sz w:val="32"/>
          <w:szCs w:val="32"/>
          <w:lang w:val="es-ES_tradnl"/>
        </w:rPr>
      </w:pPr>
      <w:bookmarkStart w:id="0" w:name="_Toc36834034"/>
      <w:bookmarkStart w:id="1" w:name="_Toc24900476"/>
      <w:r w:rsidRPr="00E83B7E">
        <w:rPr>
          <w:lang w:val="es-ES_tradnl"/>
        </w:rPr>
        <w:br w:type="page"/>
      </w:r>
    </w:p>
    <w:p w14:paraId="2237FD8E" w14:textId="18BE76A2" w:rsidR="00AE17AB" w:rsidRPr="00E83B7E" w:rsidRDefault="00AE17AB" w:rsidP="0007292C">
      <w:pPr>
        <w:pStyle w:val="Heading1"/>
        <w:numPr>
          <w:ilvl w:val="0"/>
          <w:numId w:val="0"/>
        </w:numPr>
        <w:rPr>
          <w:lang w:val="es-ES_tradnl"/>
        </w:rPr>
      </w:pPr>
      <w:bookmarkStart w:id="2" w:name="_Toc38398628"/>
      <w:r w:rsidRPr="00E83B7E">
        <w:rPr>
          <w:lang w:val="es-ES_tradnl"/>
        </w:rPr>
        <w:lastRenderedPageBreak/>
        <w:t>Siglas y acrónimos</w:t>
      </w:r>
      <w:bookmarkEnd w:id="0"/>
      <w:bookmarkEnd w:id="2"/>
    </w:p>
    <w:tbl>
      <w:tblPr>
        <w:tblStyle w:val="TableGrid"/>
        <w:tblW w:w="0" w:type="auto"/>
        <w:tblLook w:val="04A0" w:firstRow="1" w:lastRow="0" w:firstColumn="1" w:lastColumn="0" w:noHBand="0" w:noVBand="1"/>
      </w:tblPr>
      <w:tblGrid>
        <w:gridCol w:w="4675"/>
        <w:gridCol w:w="4675"/>
      </w:tblGrid>
      <w:tr w:rsidR="00AE17AB" w:rsidRPr="00E83B7E" w14:paraId="3283999A" w14:textId="77777777" w:rsidTr="00941B33">
        <w:tc>
          <w:tcPr>
            <w:tcW w:w="4675" w:type="dxa"/>
          </w:tcPr>
          <w:p w14:paraId="5906F465" w14:textId="08B5FBE2" w:rsidR="00AE17AB" w:rsidRPr="00E83B7E" w:rsidRDefault="00376D7C" w:rsidP="00941B33">
            <w:pPr>
              <w:jc w:val="both"/>
              <w:rPr>
                <w:bCs/>
                <w:lang w:val="es-ES_tradnl"/>
              </w:rPr>
            </w:pPr>
            <w:r w:rsidRPr="00E83B7E">
              <w:rPr>
                <w:bCs/>
                <w:lang w:val="es-ES_tradnl"/>
              </w:rPr>
              <w:t>IV</w:t>
            </w:r>
          </w:p>
        </w:tc>
        <w:tc>
          <w:tcPr>
            <w:tcW w:w="4675" w:type="dxa"/>
          </w:tcPr>
          <w:p w14:paraId="7ADAAF4A" w14:textId="4A2E2C12" w:rsidR="00AE17AB" w:rsidRPr="00E83B7E" w:rsidRDefault="00376D7C" w:rsidP="00941B33">
            <w:pPr>
              <w:jc w:val="both"/>
              <w:rPr>
                <w:bCs/>
                <w:lang w:val="es-ES_tradnl"/>
              </w:rPr>
            </w:pPr>
            <w:r w:rsidRPr="00E83B7E">
              <w:rPr>
                <w:bCs/>
                <w:lang w:val="es-ES_tradnl"/>
              </w:rPr>
              <w:t>Índice de vulnerabilidad</w:t>
            </w:r>
          </w:p>
        </w:tc>
      </w:tr>
      <w:tr w:rsidR="000039BD" w:rsidRPr="000B0A4A" w14:paraId="0F97AC9B" w14:textId="77777777" w:rsidTr="00941B33">
        <w:tc>
          <w:tcPr>
            <w:tcW w:w="4675" w:type="dxa"/>
          </w:tcPr>
          <w:p w14:paraId="43238DCB" w14:textId="52618C94" w:rsidR="000039BD" w:rsidRPr="00E83B7E" w:rsidRDefault="000039BD" w:rsidP="000039BD">
            <w:pPr>
              <w:jc w:val="both"/>
              <w:rPr>
                <w:bCs/>
                <w:lang w:val="es-ES_tradnl"/>
              </w:rPr>
            </w:pPr>
            <w:r w:rsidRPr="00E83B7E">
              <w:rPr>
                <w:bCs/>
                <w:lang w:val="es-ES_tradnl"/>
              </w:rPr>
              <w:t>MiP</w:t>
            </w:r>
            <w:r>
              <w:rPr>
                <w:bCs/>
                <w:lang w:val="es-ES_tradnl"/>
              </w:rPr>
              <w:t>y</w:t>
            </w:r>
            <w:r w:rsidRPr="00E83B7E">
              <w:rPr>
                <w:bCs/>
                <w:lang w:val="es-ES_tradnl"/>
              </w:rPr>
              <w:t>ME</w:t>
            </w:r>
          </w:p>
        </w:tc>
        <w:tc>
          <w:tcPr>
            <w:tcW w:w="4675" w:type="dxa"/>
          </w:tcPr>
          <w:p w14:paraId="460381CF" w14:textId="035AEF99" w:rsidR="000039BD" w:rsidRPr="00E83B7E" w:rsidRDefault="000039BD" w:rsidP="000039BD">
            <w:pPr>
              <w:jc w:val="both"/>
              <w:rPr>
                <w:bCs/>
                <w:lang w:val="es-ES_tradnl"/>
              </w:rPr>
            </w:pPr>
            <w:r w:rsidRPr="00E83B7E">
              <w:rPr>
                <w:bCs/>
                <w:lang w:val="es-ES_tradnl"/>
              </w:rPr>
              <w:t>Mi</w:t>
            </w:r>
            <w:r>
              <w:rPr>
                <w:bCs/>
                <w:lang w:val="es-ES_tradnl"/>
              </w:rPr>
              <w:t>c</w:t>
            </w:r>
            <w:r w:rsidRPr="00E83B7E">
              <w:rPr>
                <w:bCs/>
                <w:lang w:val="es-ES_tradnl"/>
              </w:rPr>
              <w:t>ro, pequeñas y medianas empresas</w:t>
            </w:r>
          </w:p>
        </w:tc>
      </w:tr>
      <w:tr w:rsidR="000039BD" w:rsidRPr="000B0A4A" w14:paraId="00743B77" w14:textId="77777777" w:rsidTr="00941B33">
        <w:tc>
          <w:tcPr>
            <w:tcW w:w="4675" w:type="dxa"/>
          </w:tcPr>
          <w:p w14:paraId="7DA87C30" w14:textId="5C821847" w:rsidR="000039BD" w:rsidRPr="00E83B7E" w:rsidRDefault="000039BD" w:rsidP="000039BD">
            <w:pPr>
              <w:jc w:val="both"/>
              <w:rPr>
                <w:bCs/>
                <w:lang w:val="es-ES_tradnl"/>
              </w:rPr>
            </w:pPr>
            <w:r>
              <w:rPr>
                <w:bCs/>
                <w:lang w:val="es-ES_tradnl"/>
              </w:rPr>
              <w:t>PIB</w:t>
            </w:r>
          </w:p>
        </w:tc>
        <w:tc>
          <w:tcPr>
            <w:tcW w:w="4675" w:type="dxa"/>
          </w:tcPr>
          <w:p w14:paraId="43B13612" w14:textId="1E88A618" w:rsidR="000039BD" w:rsidRPr="00E83B7E" w:rsidRDefault="000039BD" w:rsidP="000039BD">
            <w:pPr>
              <w:jc w:val="both"/>
              <w:rPr>
                <w:bCs/>
                <w:lang w:val="es-ES_tradnl"/>
              </w:rPr>
            </w:pPr>
            <w:r>
              <w:rPr>
                <w:bCs/>
                <w:lang w:val="es-ES_tradnl"/>
              </w:rPr>
              <w:t>Producto Interno Bruto</w:t>
            </w:r>
          </w:p>
        </w:tc>
      </w:tr>
    </w:tbl>
    <w:p w14:paraId="54347C9E" w14:textId="77B247BE" w:rsidR="00AE17AB" w:rsidRPr="00F34FA3" w:rsidRDefault="00AE17AB" w:rsidP="00AE17AB">
      <w:pPr>
        <w:rPr>
          <w:rFonts w:asciiTheme="majorHAnsi" w:eastAsiaTheme="majorEastAsia" w:hAnsiTheme="majorHAnsi" w:cstheme="majorBidi"/>
          <w:b/>
          <w:sz w:val="32"/>
          <w:szCs w:val="32"/>
          <w:lang w:val="es-ES"/>
        </w:rPr>
      </w:pPr>
    </w:p>
    <w:bookmarkEnd w:id="1"/>
    <w:p w14:paraId="0D496378" w14:textId="0FCE4824" w:rsidR="00AE17AB" w:rsidRPr="00E83B7E" w:rsidRDefault="00AE17AB">
      <w:pPr>
        <w:rPr>
          <w:b/>
          <w:bCs/>
          <w:sz w:val="24"/>
          <w:szCs w:val="24"/>
          <w:lang w:val="es-ES_tradnl"/>
        </w:rPr>
      </w:pPr>
    </w:p>
    <w:p w14:paraId="0048EB29" w14:textId="77777777" w:rsidR="00AE17AB" w:rsidRPr="00E83B7E" w:rsidRDefault="00AE17AB">
      <w:pPr>
        <w:rPr>
          <w:b/>
          <w:bCs/>
          <w:sz w:val="24"/>
          <w:szCs w:val="24"/>
          <w:lang w:val="es-ES_tradnl"/>
        </w:rPr>
      </w:pPr>
    </w:p>
    <w:p w14:paraId="73F439AD" w14:textId="77777777" w:rsidR="00AE17AB" w:rsidRPr="00E83B7E" w:rsidRDefault="00AE17AB">
      <w:pPr>
        <w:rPr>
          <w:b/>
          <w:bCs/>
          <w:sz w:val="24"/>
          <w:szCs w:val="24"/>
          <w:lang w:val="es-ES_tradnl"/>
        </w:rPr>
      </w:pPr>
      <w:bookmarkStart w:id="3" w:name="_Hlk36746411"/>
      <w:r w:rsidRPr="00E83B7E">
        <w:rPr>
          <w:b/>
          <w:bCs/>
          <w:sz w:val="24"/>
          <w:szCs w:val="24"/>
          <w:lang w:val="es-ES_tradnl"/>
        </w:rPr>
        <w:br w:type="page"/>
      </w:r>
    </w:p>
    <w:p w14:paraId="58DF5ADA" w14:textId="499BB100" w:rsidR="00D92E9C" w:rsidRPr="00E83B7E" w:rsidRDefault="00D41616" w:rsidP="0007292C">
      <w:pPr>
        <w:pStyle w:val="Heading1"/>
        <w:numPr>
          <w:ilvl w:val="0"/>
          <w:numId w:val="0"/>
        </w:numPr>
        <w:rPr>
          <w:lang w:val="es-ES_tradnl"/>
        </w:rPr>
      </w:pPr>
      <w:bookmarkStart w:id="4" w:name="_Toc38398629"/>
      <w:bookmarkStart w:id="5" w:name="_Toc36834035"/>
      <w:r w:rsidRPr="00E83B7E">
        <w:rPr>
          <w:lang w:val="es-ES_tradnl"/>
        </w:rPr>
        <w:lastRenderedPageBreak/>
        <w:t>Resumen ejecutivo</w:t>
      </w:r>
      <w:bookmarkEnd w:id="4"/>
      <w:bookmarkEnd w:id="5"/>
    </w:p>
    <w:bookmarkEnd w:id="3"/>
    <w:p w14:paraId="457BBF67" w14:textId="7299BE88" w:rsidR="00816025" w:rsidRPr="00E83B7E" w:rsidRDefault="00816025" w:rsidP="00816025">
      <w:pPr>
        <w:jc w:val="both"/>
        <w:rPr>
          <w:lang w:val="es-ES_tradnl"/>
        </w:rPr>
      </w:pPr>
      <w:r w:rsidRPr="00E83B7E">
        <w:rPr>
          <w:lang w:val="es-ES_tradnl"/>
        </w:rPr>
        <w:t>Este documento present</w:t>
      </w:r>
      <w:r w:rsidR="00043713" w:rsidRPr="00E83B7E">
        <w:rPr>
          <w:lang w:val="es-ES_tradnl"/>
        </w:rPr>
        <w:t>a</w:t>
      </w:r>
      <w:r w:rsidRPr="00E83B7E">
        <w:rPr>
          <w:lang w:val="es-ES_tradnl"/>
        </w:rPr>
        <w:t xml:space="preserve"> un análisis de vulnerabilidades desagregado por sectores y con referencia a la situación de las M</w:t>
      </w:r>
      <w:r w:rsidR="00043713" w:rsidRPr="00E83B7E">
        <w:rPr>
          <w:lang w:val="es-ES_tradnl"/>
        </w:rPr>
        <w:t>i</w:t>
      </w:r>
      <w:r w:rsidRPr="00E83B7E">
        <w:rPr>
          <w:lang w:val="es-ES_tradnl"/>
        </w:rPr>
        <w:t>P</w:t>
      </w:r>
      <w:r w:rsidR="00E83B7E">
        <w:rPr>
          <w:lang w:val="es-ES_tradnl"/>
        </w:rPr>
        <w:t>y</w:t>
      </w:r>
      <w:r w:rsidRPr="00E83B7E">
        <w:rPr>
          <w:lang w:val="es-ES_tradnl"/>
        </w:rPr>
        <w:t xml:space="preserve">ME en </w:t>
      </w:r>
      <w:r w:rsidR="00332F8F">
        <w:rPr>
          <w:lang w:val="es-ES_tradnl"/>
        </w:rPr>
        <w:t>Argentina</w:t>
      </w:r>
      <w:r w:rsidRPr="00E83B7E">
        <w:rPr>
          <w:lang w:val="es-ES_tradnl"/>
        </w:rPr>
        <w:t xml:space="preserve">. </w:t>
      </w:r>
      <w:r w:rsidR="00DE39C6">
        <w:rPr>
          <w:lang w:val="es-ES_tradnl"/>
        </w:rPr>
        <w:t xml:space="preserve">La </w:t>
      </w:r>
      <w:proofErr w:type="spellStart"/>
      <w:r w:rsidR="00DE39C6">
        <w:rPr>
          <w:lang w:val="es-ES_tradnl"/>
        </w:rPr>
        <w:t>selecci</w:t>
      </w:r>
      <w:r w:rsidR="00DE39C6">
        <w:rPr>
          <w:lang w:val="es-ES"/>
        </w:rPr>
        <w:t>ón</w:t>
      </w:r>
      <w:proofErr w:type="spellEnd"/>
      <w:r w:rsidR="00DE39C6">
        <w:rPr>
          <w:lang w:val="es-ES"/>
        </w:rPr>
        <w:t xml:space="preserve"> de sectores tuvo en cuenta </w:t>
      </w:r>
      <w:r w:rsidR="003C4188">
        <w:rPr>
          <w:lang w:val="es-ES"/>
        </w:rPr>
        <w:t xml:space="preserve">en primer lugar, </w:t>
      </w:r>
      <w:r w:rsidR="00DE39C6">
        <w:rPr>
          <w:lang w:val="es-ES"/>
        </w:rPr>
        <w:t xml:space="preserve">aquellas actividades </w:t>
      </w:r>
      <w:r w:rsidR="00274742">
        <w:rPr>
          <w:lang w:val="es-ES"/>
        </w:rPr>
        <w:t xml:space="preserve">económicas que potencialmente podrían verse más afectadas por la crisis, según se identificó en trabajos iniciales para </w:t>
      </w:r>
      <w:r w:rsidR="003C4188">
        <w:rPr>
          <w:lang w:val="es-ES"/>
        </w:rPr>
        <w:t xml:space="preserve">la región de América Latina y de </w:t>
      </w:r>
      <w:r w:rsidR="00274742">
        <w:rPr>
          <w:lang w:val="es-ES"/>
        </w:rPr>
        <w:t>otras zonas económicas</w:t>
      </w:r>
      <w:r w:rsidR="00274742">
        <w:rPr>
          <w:rStyle w:val="FootnoteReference"/>
          <w:lang w:val="es-ES"/>
        </w:rPr>
        <w:footnoteReference w:id="2"/>
      </w:r>
      <w:r w:rsidR="00274742">
        <w:rPr>
          <w:lang w:val="es-ES"/>
        </w:rPr>
        <w:t xml:space="preserve"> </w:t>
      </w:r>
      <w:r w:rsidR="003C4188">
        <w:rPr>
          <w:lang w:val="es-ES"/>
        </w:rPr>
        <w:t>,</w:t>
      </w:r>
      <w:proofErr w:type="gramStart"/>
      <w:r w:rsidR="00274742">
        <w:rPr>
          <w:lang w:val="es-ES"/>
        </w:rPr>
        <w:t>y</w:t>
      </w:r>
      <w:proofErr w:type="gramEnd"/>
      <w:r w:rsidR="00274742">
        <w:rPr>
          <w:lang w:val="es-ES"/>
        </w:rPr>
        <w:t xml:space="preserve"> </w:t>
      </w:r>
      <w:r w:rsidR="003C4188">
        <w:rPr>
          <w:lang w:val="es-ES"/>
        </w:rPr>
        <w:t xml:space="preserve">en segundo lugar, </w:t>
      </w:r>
      <w:r w:rsidR="00274742">
        <w:rPr>
          <w:lang w:val="es-ES"/>
        </w:rPr>
        <w:t>que cumpl</w:t>
      </w:r>
      <w:r w:rsidR="003C4188">
        <w:rPr>
          <w:lang w:val="es-ES"/>
        </w:rPr>
        <w:t>ieran</w:t>
      </w:r>
      <w:r w:rsidR="00274742">
        <w:rPr>
          <w:lang w:val="es-ES"/>
        </w:rPr>
        <w:t xml:space="preserve"> con una alta representatividad de la MiP</w:t>
      </w:r>
      <w:r w:rsidR="000039BD">
        <w:rPr>
          <w:lang w:val="es-ES"/>
        </w:rPr>
        <w:t>y</w:t>
      </w:r>
      <w:r w:rsidR="00274742">
        <w:rPr>
          <w:lang w:val="es-ES"/>
        </w:rPr>
        <w:t xml:space="preserve">ME en esa industria. </w:t>
      </w:r>
      <w:r w:rsidRPr="00E83B7E">
        <w:rPr>
          <w:lang w:val="es-ES_tradnl"/>
        </w:rPr>
        <w:t xml:space="preserve">Los sectores analizados son: </w:t>
      </w:r>
      <w:r w:rsidR="00F34FA3" w:rsidRPr="00E83B7E">
        <w:rPr>
          <w:lang w:val="es-ES_tradnl"/>
        </w:rPr>
        <w:t>agro</w:t>
      </w:r>
      <w:r w:rsidR="00F34FA3">
        <w:rPr>
          <w:lang w:val="es-ES_tradnl"/>
        </w:rPr>
        <w:t>alimentario,</w:t>
      </w:r>
      <w:r w:rsidR="00F34FA3" w:rsidRPr="00F34FA3">
        <w:rPr>
          <w:lang w:val="es-ES_tradnl"/>
        </w:rPr>
        <w:t xml:space="preserve"> automotriz</w:t>
      </w:r>
      <w:r w:rsidR="00167591">
        <w:rPr>
          <w:rStyle w:val="FootnoteReference"/>
          <w:lang w:val="es-ES_tradnl"/>
        </w:rPr>
        <w:footnoteReference w:id="3"/>
      </w:r>
      <w:r w:rsidR="00F34FA3">
        <w:rPr>
          <w:lang w:val="es-ES_tradnl"/>
        </w:rPr>
        <w:t>,</w:t>
      </w:r>
      <w:r w:rsidR="00F34FA3" w:rsidRPr="00F34FA3">
        <w:rPr>
          <w:lang w:val="es-ES_tradnl"/>
        </w:rPr>
        <w:t xml:space="preserve"> </w:t>
      </w:r>
      <w:r w:rsidR="00AA2010" w:rsidRPr="00F34FA3">
        <w:rPr>
          <w:lang w:val="es-ES_tradnl"/>
        </w:rPr>
        <w:t>comercio</w:t>
      </w:r>
      <w:r w:rsidR="00F66F77">
        <w:rPr>
          <w:lang w:val="es-ES_tradnl"/>
        </w:rPr>
        <w:t xml:space="preserve"> minorista</w:t>
      </w:r>
      <w:r w:rsidR="00AA2010" w:rsidRPr="00F34FA3">
        <w:rPr>
          <w:lang w:val="es-ES_tradnl"/>
        </w:rPr>
        <w:t xml:space="preserve">, </w:t>
      </w:r>
      <w:r w:rsidR="00F34FA3" w:rsidRPr="00F34FA3">
        <w:rPr>
          <w:lang w:val="es-ES_tradnl"/>
        </w:rPr>
        <w:t>maquinaria y equipos, textil y maquila</w:t>
      </w:r>
      <w:r w:rsidR="00F34FA3">
        <w:rPr>
          <w:lang w:val="es-ES_tradnl"/>
        </w:rPr>
        <w:t>,</w:t>
      </w:r>
      <w:r w:rsidR="00F34FA3" w:rsidRPr="00F34FA3">
        <w:rPr>
          <w:lang w:val="es-ES_tradnl"/>
        </w:rPr>
        <w:t xml:space="preserve"> </w:t>
      </w:r>
      <w:r w:rsidRPr="00F34FA3">
        <w:rPr>
          <w:lang w:val="es-ES_tradnl"/>
        </w:rPr>
        <w:t>turismo</w:t>
      </w:r>
      <w:r w:rsidR="003C4188">
        <w:rPr>
          <w:rStyle w:val="FootnoteReference"/>
          <w:lang w:val="es-ES_tradnl"/>
        </w:rPr>
        <w:footnoteReference w:id="4"/>
      </w:r>
      <w:r w:rsidRPr="00F34FA3">
        <w:rPr>
          <w:lang w:val="es-ES_tradnl"/>
        </w:rPr>
        <w:t>,</w:t>
      </w:r>
      <w:r w:rsidR="00F34FA3">
        <w:rPr>
          <w:lang w:val="es-ES_tradnl"/>
        </w:rPr>
        <w:t xml:space="preserve"> y</w:t>
      </w:r>
      <w:r w:rsidRPr="00F34FA3">
        <w:rPr>
          <w:lang w:val="es-ES_tradnl"/>
        </w:rPr>
        <w:t xml:space="preserve"> transporte</w:t>
      </w:r>
      <w:r w:rsidR="003941F4" w:rsidRPr="00F34FA3">
        <w:rPr>
          <w:lang w:val="es-ES_tradnl"/>
        </w:rPr>
        <w:t xml:space="preserve"> de carga y de pasajeros</w:t>
      </w:r>
      <w:r w:rsidRPr="00E83B7E">
        <w:rPr>
          <w:lang w:val="es-ES_tradnl"/>
        </w:rPr>
        <w:t>. Para la determinación de la vulnerabilidad general de un sector se agruparon los factores de riesgo en cuatro áreas: (i) oferta; (ii) demanda; (iii) financiera y patrimonial; y (iv) y sistémico y regulatorio. A cada factor de riesgo se le asign</w:t>
      </w:r>
      <w:r w:rsidR="00043713" w:rsidRPr="00E83B7E">
        <w:rPr>
          <w:lang w:val="es-ES_tradnl"/>
        </w:rPr>
        <w:t>ó</w:t>
      </w:r>
      <w:r w:rsidRPr="00E83B7E">
        <w:rPr>
          <w:lang w:val="es-ES_tradnl"/>
        </w:rPr>
        <w:t xml:space="preserve"> un grado cualitativo de materialización potencial e impacto del riesgo, a saber: moderado, significativo, severo y extremo.</w:t>
      </w:r>
      <w:r w:rsidR="73C9812E" w:rsidRPr="00E83B7E">
        <w:rPr>
          <w:lang w:val="es-ES_tradnl"/>
        </w:rPr>
        <w:t xml:space="preserve"> </w:t>
      </w:r>
      <w:r w:rsidR="0091753D">
        <w:rPr>
          <w:lang w:val="es-ES_tradnl"/>
        </w:rPr>
        <w:t>Dicha opinión informada del experto o especialista sectorial toma con base la información existente al momento de realizar el análisis</w:t>
      </w:r>
      <w:r w:rsidR="0091753D">
        <w:rPr>
          <w:rStyle w:val="FootnoteReference"/>
          <w:lang w:val="es-ES_tradnl"/>
        </w:rPr>
        <w:footnoteReference w:id="5"/>
      </w:r>
      <w:r w:rsidR="0091753D">
        <w:rPr>
          <w:lang w:val="es-ES_tradnl"/>
        </w:rPr>
        <w:t xml:space="preserve">. </w:t>
      </w:r>
      <w:r w:rsidRPr="00E83B7E">
        <w:rPr>
          <w:lang w:val="es-ES_tradnl"/>
        </w:rPr>
        <w:t>Una vez asignada la calificación de riesgo/vulnerabilidad para cada factor, se eval</w:t>
      </w:r>
      <w:r w:rsidR="00043713" w:rsidRPr="00E83B7E">
        <w:rPr>
          <w:lang w:val="es-ES_tradnl"/>
        </w:rPr>
        <w:t>uaron</w:t>
      </w:r>
      <w:r w:rsidRPr="00E83B7E">
        <w:rPr>
          <w:lang w:val="es-ES_tradnl"/>
        </w:rPr>
        <w:t xml:space="preserve"> los resultados </w:t>
      </w:r>
      <w:r w:rsidR="00E83B7E" w:rsidRPr="00E83B7E">
        <w:rPr>
          <w:lang w:val="es-ES_tradnl"/>
        </w:rPr>
        <w:t>y se</w:t>
      </w:r>
      <w:r w:rsidRPr="00E83B7E">
        <w:rPr>
          <w:lang w:val="es-ES_tradnl"/>
        </w:rPr>
        <w:t xml:space="preserve"> agrega</w:t>
      </w:r>
      <w:r w:rsidR="00043713" w:rsidRPr="00E83B7E">
        <w:rPr>
          <w:lang w:val="es-ES_tradnl"/>
        </w:rPr>
        <w:t>ron</w:t>
      </w:r>
      <w:r w:rsidRPr="00E83B7E">
        <w:rPr>
          <w:lang w:val="es-ES_tradnl"/>
        </w:rPr>
        <w:t xml:space="preserve"> en un índice que asigna un peso de 30% respectivamente para los factores de oferta, demanda y financieros y patrimoniales y de 10% para los factores sistémicos y regulatorios. </w:t>
      </w:r>
    </w:p>
    <w:p w14:paraId="5A799968" w14:textId="2C0F13CD" w:rsidR="00A97D13" w:rsidRDefault="00816025" w:rsidP="001C16D9">
      <w:pPr>
        <w:jc w:val="both"/>
        <w:rPr>
          <w:lang w:val="es-ES_tradnl"/>
        </w:rPr>
      </w:pPr>
      <w:r w:rsidRPr="00E83B7E">
        <w:rPr>
          <w:lang w:val="es-ES_tradnl"/>
        </w:rPr>
        <w:t>El mayor índice de vulnerabilidad global se present</w:t>
      </w:r>
      <w:r w:rsidR="00043713" w:rsidRPr="00E83B7E">
        <w:rPr>
          <w:lang w:val="es-ES_tradnl"/>
        </w:rPr>
        <w:t>a</w:t>
      </w:r>
      <w:r w:rsidRPr="00E83B7E">
        <w:rPr>
          <w:lang w:val="es-ES_tradnl"/>
        </w:rPr>
        <w:t xml:space="preserve"> en el sector</w:t>
      </w:r>
      <w:r w:rsidR="004F2E76">
        <w:rPr>
          <w:lang w:val="es-ES_tradnl"/>
        </w:rPr>
        <w:t xml:space="preserve"> turismo</w:t>
      </w:r>
      <w:r w:rsidR="001C16D9">
        <w:rPr>
          <w:lang w:val="es-ES_tradnl"/>
        </w:rPr>
        <w:t xml:space="preserve"> (con un índice de vulnerabilidad de 0,7</w:t>
      </w:r>
      <w:r w:rsidR="00332F8F">
        <w:rPr>
          <w:lang w:val="es-ES_tradnl"/>
        </w:rPr>
        <w:t>9</w:t>
      </w:r>
      <w:r w:rsidR="001C16D9">
        <w:rPr>
          <w:lang w:val="es-ES_tradnl"/>
        </w:rPr>
        <w:t xml:space="preserve"> severa de grado cuatro</w:t>
      </w:r>
      <w:r w:rsidR="001C16D9" w:rsidRPr="00EA0A8C">
        <w:rPr>
          <w:lang w:val="es-ES_tradnl"/>
        </w:rPr>
        <w:t>)</w:t>
      </w:r>
      <w:r w:rsidR="00043713" w:rsidRPr="00EA0A8C">
        <w:rPr>
          <w:lang w:val="es-ES_tradnl"/>
        </w:rPr>
        <w:t>,</w:t>
      </w:r>
      <w:r w:rsidRPr="00EA0A8C">
        <w:rPr>
          <w:lang w:val="es-ES_tradnl"/>
        </w:rPr>
        <w:t xml:space="preserve"> seguido por el sector </w:t>
      </w:r>
      <w:r w:rsidR="001C16D9" w:rsidRPr="00EA0A8C">
        <w:rPr>
          <w:lang w:val="es-ES_tradnl"/>
        </w:rPr>
        <w:t xml:space="preserve">de </w:t>
      </w:r>
      <w:r w:rsidR="00EA0A8C" w:rsidRPr="00EA0A8C">
        <w:rPr>
          <w:lang w:val="es-ES_tradnl"/>
        </w:rPr>
        <w:t>la industria automotriz, el transporte de pasajeros y el sector agroalimentario</w:t>
      </w:r>
      <w:r w:rsidR="00EA0A8C">
        <w:rPr>
          <w:lang w:val="es-ES_tradnl"/>
        </w:rPr>
        <w:t xml:space="preserve"> (con índices </w:t>
      </w:r>
      <w:r w:rsidR="00F34FA3">
        <w:rPr>
          <w:lang w:val="es-ES_tradnl"/>
        </w:rPr>
        <w:t xml:space="preserve">con severidad de grado tres de </w:t>
      </w:r>
      <w:r w:rsidR="00EA0A8C">
        <w:rPr>
          <w:lang w:val="es-ES_tradnl"/>
        </w:rPr>
        <w:t>0,76, 0,64, y 0,60, respectivamente</w:t>
      </w:r>
      <w:r w:rsidR="00EA0A8C" w:rsidRPr="00EA0A8C">
        <w:rPr>
          <w:lang w:val="es-ES_tradnl"/>
        </w:rPr>
        <w:t xml:space="preserve">). </w:t>
      </w:r>
      <w:r w:rsidRPr="00EA0A8C">
        <w:rPr>
          <w:lang w:val="es-ES_tradnl"/>
        </w:rPr>
        <w:t xml:space="preserve">Alternativamente, </w:t>
      </w:r>
      <w:r w:rsidR="00F34FA3">
        <w:rPr>
          <w:lang w:val="es-ES_tradnl"/>
        </w:rPr>
        <w:t>los sectores</w:t>
      </w:r>
      <w:r w:rsidRPr="00EA0A8C">
        <w:rPr>
          <w:lang w:val="es-ES_tradnl"/>
        </w:rPr>
        <w:t xml:space="preserve"> de vulnerabilidad </w:t>
      </w:r>
      <w:r w:rsidR="00F34FA3">
        <w:rPr>
          <w:lang w:val="es-ES_tradnl"/>
        </w:rPr>
        <w:t>de grado dos son</w:t>
      </w:r>
      <w:r w:rsidRPr="00EA0A8C">
        <w:rPr>
          <w:lang w:val="es-ES_tradnl"/>
        </w:rPr>
        <w:t xml:space="preserve"> </w:t>
      </w:r>
      <w:r w:rsidR="00EA0A8C" w:rsidRPr="00EA0A8C">
        <w:rPr>
          <w:lang w:val="es-ES_tradnl"/>
        </w:rPr>
        <w:t>el sector</w:t>
      </w:r>
      <w:r w:rsidR="001C16D9" w:rsidRPr="00EA0A8C">
        <w:rPr>
          <w:lang w:val="es-ES_tradnl"/>
        </w:rPr>
        <w:t xml:space="preserve"> de</w:t>
      </w:r>
      <w:r w:rsidR="00F34FA3">
        <w:rPr>
          <w:lang w:val="es-ES_tradnl"/>
        </w:rPr>
        <w:t xml:space="preserve"> maquinaria y equipos, textil y maquila,</w:t>
      </w:r>
      <w:r w:rsidR="001C16D9" w:rsidRPr="00EA0A8C">
        <w:rPr>
          <w:lang w:val="es-ES_tradnl"/>
        </w:rPr>
        <w:t xml:space="preserve"> transporte de</w:t>
      </w:r>
      <w:r w:rsidR="00EA0A8C" w:rsidRPr="00EA0A8C">
        <w:rPr>
          <w:lang w:val="es-ES_tradnl"/>
        </w:rPr>
        <w:t xml:space="preserve"> carga</w:t>
      </w:r>
      <w:r w:rsidR="001C16D9" w:rsidRPr="00EA0A8C">
        <w:rPr>
          <w:lang w:val="es-ES_tradnl"/>
        </w:rPr>
        <w:t xml:space="preserve"> </w:t>
      </w:r>
      <w:r w:rsidR="00F34FA3">
        <w:rPr>
          <w:lang w:val="es-ES_tradnl"/>
        </w:rPr>
        <w:t xml:space="preserve">y el comercio </w:t>
      </w:r>
      <w:r w:rsidR="001C16D9" w:rsidRPr="00EA0A8C">
        <w:rPr>
          <w:lang w:val="es-ES_tradnl"/>
        </w:rPr>
        <w:t>(</w:t>
      </w:r>
      <w:r w:rsidR="00EA0A8C" w:rsidRPr="00EA0A8C">
        <w:rPr>
          <w:lang w:val="es-ES_tradnl"/>
        </w:rPr>
        <w:t>con</w:t>
      </w:r>
      <w:r w:rsidR="00F34FA3">
        <w:rPr>
          <w:lang w:val="es-ES_tradnl"/>
        </w:rPr>
        <w:t xml:space="preserve"> índices </w:t>
      </w:r>
      <w:r w:rsidR="001C16D9" w:rsidRPr="00EA0A8C">
        <w:rPr>
          <w:lang w:val="es-ES_tradnl"/>
        </w:rPr>
        <w:t xml:space="preserve">de </w:t>
      </w:r>
      <w:r w:rsidR="00F34FA3">
        <w:rPr>
          <w:lang w:val="es-ES_tradnl"/>
        </w:rPr>
        <w:t xml:space="preserve">0,46, 0,46, </w:t>
      </w:r>
      <w:r w:rsidR="001C16D9" w:rsidRPr="00EA0A8C">
        <w:rPr>
          <w:lang w:val="es-ES_tradnl"/>
        </w:rPr>
        <w:t>0,</w:t>
      </w:r>
      <w:r w:rsidR="00EA0A8C" w:rsidRPr="00EA0A8C">
        <w:rPr>
          <w:lang w:val="es-ES_tradnl"/>
        </w:rPr>
        <w:t>45</w:t>
      </w:r>
      <w:r w:rsidR="00F34FA3">
        <w:rPr>
          <w:lang w:val="es-ES_tradnl"/>
        </w:rPr>
        <w:t xml:space="preserve"> y 0,44</w:t>
      </w:r>
      <w:r w:rsidR="00900E28" w:rsidRPr="00EA0A8C">
        <w:rPr>
          <w:lang w:val="es-ES_tradnl"/>
        </w:rPr>
        <w:t xml:space="preserve">, </w:t>
      </w:r>
      <w:r w:rsidR="00F34FA3">
        <w:rPr>
          <w:lang w:val="es-ES_tradnl"/>
        </w:rPr>
        <w:t>respectivamente</w:t>
      </w:r>
      <w:r w:rsidR="003941F4" w:rsidRPr="00EA0A8C">
        <w:rPr>
          <w:lang w:val="es-ES_tradnl"/>
        </w:rPr>
        <w:t>)</w:t>
      </w:r>
      <w:r w:rsidRPr="00EA0A8C">
        <w:rPr>
          <w:lang w:val="es-ES_tradnl"/>
        </w:rPr>
        <w:t>.</w:t>
      </w:r>
      <w:r w:rsidRPr="00E83B7E">
        <w:rPr>
          <w:lang w:val="es-ES_tradnl"/>
        </w:rPr>
        <w:t xml:space="preserve"> </w:t>
      </w:r>
      <w:r w:rsidR="001C16D9">
        <w:rPr>
          <w:lang w:val="es-ES_tradnl"/>
        </w:rPr>
        <w:t xml:space="preserve"> </w:t>
      </w:r>
    </w:p>
    <w:p w14:paraId="384CF949" w14:textId="5C1A7411" w:rsidR="00A97D13" w:rsidRDefault="00A97D13" w:rsidP="00816025">
      <w:pPr>
        <w:jc w:val="both"/>
        <w:rPr>
          <w:lang w:val="es-ES_tradnl"/>
        </w:rPr>
      </w:pPr>
      <w:r>
        <w:rPr>
          <w:lang w:val="es-ES_tradnl"/>
        </w:rPr>
        <w:t xml:space="preserve">El sector del </w:t>
      </w:r>
      <w:r w:rsidRPr="00E83B7E">
        <w:rPr>
          <w:b/>
          <w:bCs/>
          <w:lang w:val="es-ES_tradnl"/>
        </w:rPr>
        <w:t>turismo</w:t>
      </w:r>
      <w:r w:rsidRPr="00E83B7E">
        <w:rPr>
          <w:lang w:val="es-ES_tradnl"/>
        </w:rPr>
        <w:t xml:space="preserve"> presenta un grado de vulnerabilidad sever</w:t>
      </w:r>
      <w:r w:rsidR="001C16D9">
        <w:rPr>
          <w:lang w:val="es-ES_tradnl"/>
        </w:rPr>
        <w:t>o</w:t>
      </w:r>
      <w:r w:rsidR="00900E28">
        <w:rPr>
          <w:lang w:val="es-ES_tradnl"/>
        </w:rPr>
        <w:t xml:space="preserve"> de grado </w:t>
      </w:r>
      <w:r w:rsidR="001C16D9">
        <w:rPr>
          <w:lang w:val="es-ES_tradnl"/>
        </w:rPr>
        <w:t>cuatro</w:t>
      </w:r>
      <w:r w:rsidRPr="00E83B7E">
        <w:rPr>
          <w:lang w:val="es-ES_tradnl"/>
        </w:rPr>
        <w:t xml:space="preserve">, con un </w:t>
      </w:r>
      <w:r w:rsidR="00012AD7">
        <w:rPr>
          <w:lang w:val="es-ES_tradnl"/>
        </w:rPr>
        <w:t>índice de vulnerabilidad (IV)</w:t>
      </w:r>
      <w:r w:rsidRPr="00E83B7E">
        <w:rPr>
          <w:lang w:val="es-ES_tradnl"/>
        </w:rPr>
        <w:t xml:space="preserve"> de </w:t>
      </w:r>
      <w:r w:rsidR="001C16D9">
        <w:rPr>
          <w:lang w:val="es-ES_tradnl"/>
        </w:rPr>
        <w:t>7</w:t>
      </w:r>
      <w:r w:rsidR="00332F8F">
        <w:rPr>
          <w:lang w:val="es-ES_tradnl"/>
        </w:rPr>
        <w:t>9</w:t>
      </w:r>
      <w:r>
        <w:rPr>
          <w:lang w:val="es-ES_tradnl"/>
        </w:rPr>
        <w:t>, como consecuencia de</w:t>
      </w:r>
      <w:r w:rsidRPr="00E83B7E">
        <w:rPr>
          <w:lang w:val="es-ES_tradnl"/>
        </w:rPr>
        <w:t xml:space="preserve"> factores de demanda (100), seguido de los factores financieros y patrimoniales </w:t>
      </w:r>
      <w:r>
        <w:rPr>
          <w:lang w:val="es-ES_tradnl"/>
        </w:rPr>
        <w:t>(</w:t>
      </w:r>
      <w:r w:rsidR="00332F8F">
        <w:rPr>
          <w:lang w:val="es-ES_tradnl"/>
        </w:rPr>
        <w:t>83</w:t>
      </w:r>
      <w:r>
        <w:rPr>
          <w:lang w:val="es-ES_tradnl"/>
        </w:rPr>
        <w:t xml:space="preserve">) </w:t>
      </w:r>
      <w:r w:rsidRPr="00E83B7E">
        <w:rPr>
          <w:lang w:val="es-ES_tradnl"/>
        </w:rPr>
        <w:t>y por factores de oferta</w:t>
      </w:r>
      <w:r>
        <w:rPr>
          <w:lang w:val="es-ES_tradnl"/>
        </w:rPr>
        <w:t xml:space="preserve"> (</w:t>
      </w:r>
      <w:r w:rsidR="00332F8F">
        <w:rPr>
          <w:lang w:val="es-ES_tradnl"/>
        </w:rPr>
        <w:t>80</w:t>
      </w:r>
      <w:r>
        <w:rPr>
          <w:lang w:val="es-ES_tradnl"/>
        </w:rPr>
        <w:t>)</w:t>
      </w:r>
      <w:r w:rsidRPr="00E83B7E">
        <w:rPr>
          <w:lang w:val="es-ES_tradnl"/>
        </w:rPr>
        <w:t xml:space="preserve">. El sector incluye más </w:t>
      </w:r>
      <w:r w:rsidR="00332F8F">
        <w:rPr>
          <w:lang w:val="es-ES_tradnl"/>
        </w:rPr>
        <w:t xml:space="preserve">41 mil </w:t>
      </w:r>
      <w:r w:rsidRPr="00E83B7E">
        <w:rPr>
          <w:lang w:val="es-ES_tradnl"/>
        </w:rPr>
        <w:t>MiP</w:t>
      </w:r>
      <w:r>
        <w:rPr>
          <w:lang w:val="es-ES_tradnl"/>
        </w:rPr>
        <w:t>y</w:t>
      </w:r>
      <w:r w:rsidRPr="00E83B7E">
        <w:rPr>
          <w:lang w:val="es-ES_tradnl"/>
        </w:rPr>
        <w:t xml:space="preserve">ME (más </w:t>
      </w:r>
      <w:r w:rsidRPr="00E83B7E">
        <w:rPr>
          <w:lang w:val="es-ES_tradnl"/>
        </w:rPr>
        <w:lastRenderedPageBreak/>
        <w:t xml:space="preserve">del </w:t>
      </w:r>
      <w:r w:rsidR="00332F8F">
        <w:rPr>
          <w:lang w:val="es-ES_tradnl"/>
        </w:rPr>
        <w:t>99</w:t>
      </w:r>
      <w:r w:rsidRPr="00E83B7E">
        <w:rPr>
          <w:lang w:val="es-ES_tradnl"/>
        </w:rPr>
        <w:t xml:space="preserve">% del total de empresas del sector), contribuye un </w:t>
      </w:r>
      <w:r w:rsidR="00332F8F">
        <w:rPr>
          <w:lang w:val="es-ES_tradnl"/>
        </w:rPr>
        <w:t>3,35</w:t>
      </w:r>
      <w:r w:rsidRPr="00E83B7E">
        <w:rPr>
          <w:lang w:val="es-ES_tradnl"/>
        </w:rPr>
        <w:t xml:space="preserve">% al </w:t>
      </w:r>
      <w:r w:rsidR="000039BD">
        <w:rPr>
          <w:lang w:val="es-ES_tradnl"/>
        </w:rPr>
        <w:t>Producto Interno Bruto (</w:t>
      </w:r>
      <w:r w:rsidRPr="00E83B7E">
        <w:rPr>
          <w:lang w:val="es-ES_tradnl"/>
        </w:rPr>
        <w:t>PIB</w:t>
      </w:r>
      <w:r w:rsidR="000039BD">
        <w:rPr>
          <w:lang w:val="es-ES_tradnl"/>
        </w:rPr>
        <w:t>)</w:t>
      </w:r>
      <w:r w:rsidRPr="00E83B7E">
        <w:rPr>
          <w:lang w:val="es-ES_tradnl"/>
        </w:rPr>
        <w:t xml:space="preserve"> y </w:t>
      </w:r>
      <w:r>
        <w:rPr>
          <w:lang w:val="es-ES_tradnl"/>
        </w:rPr>
        <w:t xml:space="preserve">en un </w:t>
      </w:r>
      <w:r w:rsidR="00332F8F">
        <w:rPr>
          <w:lang w:val="es-ES_tradnl"/>
        </w:rPr>
        <w:t>2,42%</w:t>
      </w:r>
      <w:r w:rsidR="00332F8F" w:rsidRPr="00E83B7E">
        <w:rPr>
          <w:lang w:val="es-ES_tradnl"/>
        </w:rPr>
        <w:t xml:space="preserve"> </w:t>
      </w:r>
      <w:r>
        <w:rPr>
          <w:lang w:val="es-ES_tradnl"/>
        </w:rPr>
        <w:t xml:space="preserve">al empleo, aproximadamente el </w:t>
      </w:r>
      <w:r w:rsidR="00332F8F">
        <w:rPr>
          <w:lang w:val="es-ES_tradnl"/>
        </w:rPr>
        <w:t>46,5</w:t>
      </w:r>
      <w:r w:rsidRPr="00E83B7E">
        <w:rPr>
          <w:lang w:val="es-ES_tradnl"/>
        </w:rPr>
        <w:t xml:space="preserve"> % de su producción se orienta a la demanda externa</w:t>
      </w:r>
      <w:r>
        <w:rPr>
          <w:lang w:val="es-ES_tradnl"/>
        </w:rPr>
        <w:t xml:space="preserve"> y existen más</w:t>
      </w:r>
      <w:r w:rsidR="00332F8F">
        <w:rPr>
          <w:lang w:val="es-ES_tradnl"/>
        </w:rPr>
        <w:t xml:space="preserve"> 372</w:t>
      </w:r>
      <w:r>
        <w:rPr>
          <w:lang w:val="es-ES_tradnl"/>
        </w:rPr>
        <w:t xml:space="preserve"> empresas tractoras</w:t>
      </w:r>
      <w:r w:rsidRPr="00E83B7E">
        <w:rPr>
          <w:lang w:val="es-ES_tradnl"/>
        </w:rPr>
        <w:t>.</w:t>
      </w:r>
    </w:p>
    <w:p w14:paraId="68CABA0A" w14:textId="17311E0E" w:rsidR="003D1C79" w:rsidRPr="003D1C79" w:rsidRDefault="003D1C79" w:rsidP="00816025">
      <w:pPr>
        <w:jc w:val="both"/>
        <w:rPr>
          <w:lang w:val="es-ES_tradnl"/>
        </w:rPr>
      </w:pPr>
      <w:r>
        <w:rPr>
          <w:lang w:val="es-ES_tradnl"/>
        </w:rPr>
        <w:t xml:space="preserve">El sector </w:t>
      </w:r>
      <w:r>
        <w:rPr>
          <w:b/>
          <w:bCs/>
          <w:lang w:val="es-ES_tradnl"/>
        </w:rPr>
        <w:t>automotriz</w:t>
      </w:r>
      <w:r>
        <w:rPr>
          <w:lang w:val="es-ES_tradnl"/>
        </w:rPr>
        <w:t xml:space="preserve"> tiene una vulnerabilidad severa de grado cuatro, con un IV de 76, como resultado de factores de demanda (100) y financieros y patrimoniales (83), y en menor grado de oferta (59). Este sector contribuye en un 1,2% al empleo y en un 0,5% al PIB. </w:t>
      </w:r>
      <w:r w:rsidR="008067E2">
        <w:rPr>
          <w:lang w:val="es-AR"/>
        </w:rPr>
        <w:t>Durante 2019, 72%</w:t>
      </w:r>
      <w:r w:rsidR="008067E2" w:rsidRPr="00F6489C">
        <w:rPr>
          <w:lang w:val="es-AR"/>
        </w:rPr>
        <w:t xml:space="preserve"> de </w:t>
      </w:r>
      <w:r w:rsidR="008067E2">
        <w:rPr>
          <w:lang w:val="es-AR"/>
        </w:rPr>
        <w:t xml:space="preserve">las unidades producidas en el segmento de automóviles y vehículos comerciales livianos estuvieron destinadas a la exportación. (Fuente: </w:t>
      </w:r>
      <w:r w:rsidR="004B1767">
        <w:rPr>
          <w:lang w:val="es-AR"/>
        </w:rPr>
        <w:t>ADEFA</w:t>
      </w:r>
      <w:r w:rsidR="008067E2">
        <w:rPr>
          <w:lang w:val="es-AR"/>
        </w:rPr>
        <w:t xml:space="preserve"> 2020)</w:t>
      </w:r>
      <w:r>
        <w:rPr>
          <w:lang w:val="es-ES_tradnl"/>
        </w:rPr>
        <w:t xml:space="preserve">. </w:t>
      </w:r>
    </w:p>
    <w:p w14:paraId="7D38818B" w14:textId="2BA0BF32" w:rsidR="00AA7B6E" w:rsidRPr="00B74825" w:rsidRDefault="00AA7B6E" w:rsidP="00AA7B6E">
      <w:pPr>
        <w:jc w:val="both"/>
        <w:rPr>
          <w:lang w:val="es-ES_tradnl"/>
        </w:rPr>
      </w:pPr>
      <w:r w:rsidRPr="00933D03">
        <w:rPr>
          <w:lang w:val="es-ES_tradnl"/>
        </w:rPr>
        <w:t xml:space="preserve">El subsector </w:t>
      </w:r>
      <w:r w:rsidRPr="00933D03">
        <w:rPr>
          <w:b/>
          <w:bCs/>
          <w:lang w:val="es-ES_tradnl"/>
        </w:rPr>
        <w:t xml:space="preserve">transporte de pasajeros </w:t>
      </w:r>
      <w:r w:rsidRPr="00933D03">
        <w:rPr>
          <w:lang w:val="es-ES_tradnl"/>
        </w:rPr>
        <w:t xml:space="preserve">presenta un grado de vulnerabilidad severo de grado </w:t>
      </w:r>
      <w:r w:rsidR="00E61633">
        <w:rPr>
          <w:lang w:val="es-ES_tradnl"/>
        </w:rPr>
        <w:t>tres</w:t>
      </w:r>
      <w:r w:rsidRPr="00933D03">
        <w:rPr>
          <w:lang w:val="es-ES_tradnl"/>
        </w:rPr>
        <w:t xml:space="preserve">, con un IV de 64 como resultado de factores de demanda (100) y financieros y patrimoniales (78) y en menor medida institucionales (66). </w:t>
      </w:r>
      <w:r w:rsidRPr="00B74825">
        <w:rPr>
          <w:lang w:val="es-ES_tradnl"/>
        </w:rPr>
        <w:t xml:space="preserve">El subsector de </w:t>
      </w:r>
      <w:r w:rsidRPr="00B74825">
        <w:rPr>
          <w:b/>
          <w:bCs/>
          <w:lang w:val="es-ES_tradnl"/>
        </w:rPr>
        <w:t>transporte de carga</w:t>
      </w:r>
      <w:r w:rsidRPr="00B74825">
        <w:rPr>
          <w:lang w:val="es-ES_tradnl"/>
        </w:rPr>
        <w:t xml:space="preserve"> tiene un grado de vulnerabilidad severo de grado dos, (con un IV de 45), como resultado de factores de severidad de los riesgos especialmente en temas financieros y patrimoniales</w:t>
      </w:r>
      <w:r>
        <w:rPr>
          <w:lang w:val="es-ES_tradnl"/>
        </w:rPr>
        <w:t>.</w:t>
      </w:r>
      <w:r w:rsidRPr="00AA7B6E">
        <w:rPr>
          <w:lang w:val="es-ES_tradnl"/>
        </w:rPr>
        <w:t xml:space="preserve"> </w:t>
      </w:r>
      <w:r w:rsidRPr="00B74825">
        <w:rPr>
          <w:lang w:val="es-ES_tradnl"/>
        </w:rPr>
        <w:t xml:space="preserve">El sector transporte en su conjunto contribuye al empleo en un 9%. Está constituido por más de 53.000 MiPyME (99% del total de Empresas son </w:t>
      </w:r>
      <w:proofErr w:type="spellStart"/>
      <w:r w:rsidRPr="00B74825">
        <w:rPr>
          <w:lang w:val="es-ES_tradnl"/>
        </w:rPr>
        <w:t>MiPYME</w:t>
      </w:r>
      <w:proofErr w:type="spellEnd"/>
      <w:r w:rsidRPr="00B74825">
        <w:rPr>
          <w:lang w:val="es-ES_tradnl"/>
        </w:rPr>
        <w:t xml:space="preserve">). El sector contribuye al nivel de actividad en un 7%. </w:t>
      </w:r>
    </w:p>
    <w:p w14:paraId="5F4CB7FA" w14:textId="5D56559E" w:rsidR="000B1E8D" w:rsidRPr="00F6489C" w:rsidRDefault="00AA7B6E" w:rsidP="000B1E8D">
      <w:pPr>
        <w:jc w:val="both"/>
        <w:rPr>
          <w:lang w:val="es-ES"/>
        </w:rPr>
      </w:pPr>
      <w:r w:rsidRPr="00E75EDB">
        <w:rPr>
          <w:lang w:val="es-ES_tradnl"/>
        </w:rPr>
        <w:t xml:space="preserve">El sector </w:t>
      </w:r>
      <w:r w:rsidRPr="00E75EDB">
        <w:rPr>
          <w:b/>
          <w:bCs/>
          <w:lang w:val="es-ES_tradnl"/>
        </w:rPr>
        <w:t xml:space="preserve">agroalimentario </w:t>
      </w:r>
      <w:r w:rsidRPr="00E75EDB">
        <w:rPr>
          <w:lang w:val="es-ES_tradnl"/>
        </w:rPr>
        <w:t>tiene un grado de vulnerabilidad severo de grado tres, con un índice de 52, guiado por factores de percepción de riesgo significativo en la demanda (66), financieros y patrimoniales (66) e institucionales (66).</w:t>
      </w:r>
      <w:r w:rsidRPr="00AA7B6E">
        <w:rPr>
          <w:lang w:val="es-ES_tradnl"/>
        </w:rPr>
        <w:t xml:space="preserve"> </w:t>
      </w:r>
      <w:r w:rsidRPr="00E75EDB">
        <w:rPr>
          <w:lang w:val="es-ES_tradnl"/>
        </w:rPr>
        <w:t>El índice de vulnerabilidad contempla en el análisis diferencias entre pequeños y medianos productores, grandes productores, MiP</w:t>
      </w:r>
      <w:r w:rsidR="000039BD">
        <w:rPr>
          <w:lang w:val="es-ES_tradnl"/>
        </w:rPr>
        <w:t>y</w:t>
      </w:r>
      <w:r w:rsidRPr="00E75EDB">
        <w:rPr>
          <w:lang w:val="es-ES_tradnl"/>
        </w:rPr>
        <w:t>ME y agroindustrias, encontrando riesgos mayores en el sector de agroindustria (62) y para los productores de mayor tamaño (62</w:t>
      </w:r>
      <w:r w:rsidRPr="00AA7B6E">
        <w:rPr>
          <w:lang w:val="es-ES_tradnl"/>
        </w:rPr>
        <w:t>).</w:t>
      </w:r>
      <w:r w:rsidR="001A58E1" w:rsidRPr="00AA7B6E">
        <w:rPr>
          <w:lang w:val="es-ES_tradnl"/>
        </w:rPr>
        <w:t xml:space="preserve"> </w:t>
      </w:r>
      <w:r w:rsidRPr="00AA7B6E">
        <w:rPr>
          <w:lang w:val="es-ES_tradnl"/>
        </w:rPr>
        <w:t>E</w:t>
      </w:r>
      <w:r w:rsidRPr="00796FED">
        <w:rPr>
          <w:lang w:val="es-ES_tradnl"/>
        </w:rPr>
        <w:t>l sector tiene una contribución al empleo, en 2% con un total de más de 164.520 MiP</w:t>
      </w:r>
      <w:r w:rsidR="000039BD">
        <w:rPr>
          <w:lang w:val="es-ES_tradnl"/>
        </w:rPr>
        <w:t>y</w:t>
      </w:r>
      <w:r w:rsidRPr="00796FED">
        <w:rPr>
          <w:lang w:val="es-ES_tradnl"/>
        </w:rPr>
        <w:t>ME (80%). Contribuyen en 6% al nivel de actividad. Además, más del 93% de la producción del sector se destina a la exportación.</w:t>
      </w:r>
      <w:bookmarkStart w:id="6" w:name="_Toc36834036"/>
    </w:p>
    <w:p w14:paraId="3B8A6E23" w14:textId="09CB188E" w:rsidR="008A7A2A" w:rsidRDefault="008A7A2A" w:rsidP="008A7A2A">
      <w:pPr>
        <w:jc w:val="both"/>
        <w:rPr>
          <w:lang w:val="es-ES_tradnl"/>
        </w:rPr>
      </w:pPr>
      <w:r w:rsidRPr="008A7A2A">
        <w:rPr>
          <w:lang w:val="es-ES_tradnl"/>
        </w:rPr>
        <w:t xml:space="preserve">El sector </w:t>
      </w:r>
      <w:r w:rsidRPr="008A7A2A">
        <w:rPr>
          <w:b/>
          <w:bCs/>
          <w:lang w:val="es-ES_tradnl"/>
        </w:rPr>
        <w:t xml:space="preserve">maquinaria y equipos </w:t>
      </w:r>
      <w:r w:rsidRPr="008A7A2A">
        <w:rPr>
          <w:lang w:val="es-ES_tradnl"/>
        </w:rPr>
        <w:t>presenta un grado de vulnerabilidad severo de grado dos, con un IV de 46 en función del alto grado de percepción de riesgos de demanda (66)</w:t>
      </w:r>
      <w:r>
        <w:rPr>
          <w:lang w:val="es-ES_tradnl"/>
        </w:rPr>
        <w:t xml:space="preserve"> y</w:t>
      </w:r>
      <w:r w:rsidRPr="008A7A2A">
        <w:rPr>
          <w:lang w:val="es-ES_tradnl"/>
        </w:rPr>
        <w:t xml:space="preserve"> de oferta (59)</w:t>
      </w:r>
      <w:r>
        <w:rPr>
          <w:lang w:val="es-ES_tradnl"/>
        </w:rPr>
        <w:t>,</w:t>
      </w:r>
      <w:r w:rsidRPr="008A7A2A">
        <w:rPr>
          <w:lang w:val="es-ES_tradnl"/>
        </w:rPr>
        <w:t xml:space="preserve"> y en menor medida financieros y patrimoniales (33). El 9</w:t>
      </w:r>
      <w:r w:rsidR="00E22F51">
        <w:rPr>
          <w:lang w:val="es-ES_tradnl"/>
        </w:rPr>
        <w:t>5</w:t>
      </w:r>
      <w:r w:rsidRPr="008A7A2A">
        <w:rPr>
          <w:lang w:val="es-ES_tradnl"/>
        </w:rPr>
        <w:t>% de las empresas del sector son M</w:t>
      </w:r>
      <w:r w:rsidR="000039BD">
        <w:rPr>
          <w:lang w:val="es-ES_tradnl"/>
        </w:rPr>
        <w:t>i</w:t>
      </w:r>
      <w:r w:rsidRPr="008A7A2A">
        <w:rPr>
          <w:lang w:val="es-ES_tradnl"/>
        </w:rPr>
        <w:t>P</w:t>
      </w:r>
      <w:r w:rsidR="000039BD">
        <w:rPr>
          <w:lang w:val="es-ES_tradnl"/>
        </w:rPr>
        <w:t>y</w:t>
      </w:r>
      <w:r w:rsidRPr="008A7A2A">
        <w:rPr>
          <w:lang w:val="es-ES_tradnl"/>
        </w:rPr>
        <w:t xml:space="preserve">ME con un total </w:t>
      </w:r>
      <w:r w:rsidR="00E22F51">
        <w:rPr>
          <w:lang w:val="es-ES_tradnl"/>
        </w:rPr>
        <w:t>en torno a 4.100 empresas</w:t>
      </w:r>
      <w:r w:rsidRPr="008A7A2A">
        <w:rPr>
          <w:lang w:val="es-ES_tradnl"/>
        </w:rPr>
        <w:t>, y contribuyen en un 1</w:t>
      </w:r>
      <w:r w:rsidR="00E22F51">
        <w:rPr>
          <w:lang w:val="es-ES_tradnl"/>
        </w:rPr>
        <w:t>,</w:t>
      </w:r>
      <w:r w:rsidRPr="008A7A2A">
        <w:rPr>
          <w:lang w:val="es-ES_tradnl"/>
        </w:rPr>
        <w:t>0</w:t>
      </w:r>
      <w:r w:rsidR="00E22F51">
        <w:rPr>
          <w:lang w:val="es-ES_tradnl"/>
        </w:rPr>
        <w:t>6</w:t>
      </w:r>
      <w:r w:rsidRPr="008A7A2A">
        <w:rPr>
          <w:lang w:val="es-ES_tradnl"/>
        </w:rPr>
        <w:t xml:space="preserve">% al PIB, y </w:t>
      </w:r>
      <w:r w:rsidR="00E22F51">
        <w:rPr>
          <w:lang w:val="es-ES_tradnl"/>
        </w:rPr>
        <w:t>aproximadamente</w:t>
      </w:r>
      <w:r w:rsidRPr="008A7A2A">
        <w:rPr>
          <w:lang w:val="es-ES_tradnl"/>
        </w:rPr>
        <w:t xml:space="preserve"> </w:t>
      </w:r>
      <w:r w:rsidR="00E22F51">
        <w:rPr>
          <w:lang w:val="es-ES_tradnl"/>
        </w:rPr>
        <w:t>0,6</w:t>
      </w:r>
      <w:r w:rsidRPr="008A7A2A">
        <w:rPr>
          <w:lang w:val="es-ES_tradnl"/>
        </w:rPr>
        <w:t>% al empleo.</w:t>
      </w:r>
    </w:p>
    <w:p w14:paraId="48B00C28" w14:textId="0C9D6A0E" w:rsidR="008A7A2A" w:rsidRPr="00E83B7E" w:rsidRDefault="008A7A2A" w:rsidP="008A7A2A">
      <w:pPr>
        <w:jc w:val="both"/>
        <w:rPr>
          <w:lang w:val="es-ES_tradnl"/>
        </w:rPr>
      </w:pPr>
      <w:r w:rsidRPr="008A7A2A">
        <w:rPr>
          <w:lang w:val="es-ES_tradnl"/>
        </w:rPr>
        <w:t xml:space="preserve">El sector </w:t>
      </w:r>
      <w:r w:rsidRPr="008A7A2A">
        <w:rPr>
          <w:b/>
          <w:bCs/>
          <w:lang w:val="es-ES_tradnl"/>
        </w:rPr>
        <w:t xml:space="preserve">textil y maquila </w:t>
      </w:r>
      <w:r w:rsidRPr="008A7A2A">
        <w:rPr>
          <w:lang w:val="es-ES_tradnl"/>
        </w:rPr>
        <w:t xml:space="preserve">presenta un grado de vulnerabilidad severo de grado dos, con un IV de 46 debido a factores de demanda (66) y de oferta (53) así como a factores financieros y patrimoniales (33). </w:t>
      </w:r>
      <w:r w:rsidRPr="002D5CF1">
        <w:rPr>
          <w:lang w:val="es-ES_tradnl"/>
        </w:rPr>
        <w:t xml:space="preserve">La actividad de este sector contribuye en un </w:t>
      </w:r>
      <w:r w:rsidR="00E22F51">
        <w:rPr>
          <w:lang w:val="es-ES_tradnl"/>
        </w:rPr>
        <w:t>0,9</w:t>
      </w:r>
      <w:r w:rsidRPr="002D5CF1">
        <w:rPr>
          <w:lang w:val="es-ES_tradnl"/>
        </w:rPr>
        <w:t xml:space="preserve">% al PIB y </w:t>
      </w:r>
      <w:r w:rsidR="002D5CF1" w:rsidRPr="002D5CF1">
        <w:rPr>
          <w:lang w:val="es-ES_tradnl"/>
        </w:rPr>
        <w:t>en</w:t>
      </w:r>
      <w:r w:rsidR="00A948AB">
        <w:rPr>
          <w:lang w:val="es-ES_tradnl"/>
        </w:rPr>
        <w:t xml:space="preserve"> torno</w:t>
      </w:r>
      <w:r w:rsidR="002D5CF1" w:rsidRPr="002D5CF1">
        <w:rPr>
          <w:lang w:val="es-ES_tradnl"/>
        </w:rPr>
        <w:t xml:space="preserve"> </w:t>
      </w:r>
      <w:r w:rsidR="00A948AB">
        <w:rPr>
          <w:lang w:val="es-ES_tradnl"/>
        </w:rPr>
        <w:t>al</w:t>
      </w:r>
      <w:r w:rsidR="002D5CF1" w:rsidRPr="002D5CF1">
        <w:rPr>
          <w:lang w:val="es-ES_tradnl"/>
        </w:rPr>
        <w:t xml:space="preserve"> 1</w:t>
      </w:r>
      <w:r w:rsidR="00A948AB">
        <w:rPr>
          <w:lang w:val="es-ES_tradnl"/>
        </w:rPr>
        <w:t>,1</w:t>
      </w:r>
      <w:r w:rsidR="002D5CF1" w:rsidRPr="002D5CF1">
        <w:rPr>
          <w:lang w:val="es-ES_tradnl"/>
        </w:rPr>
        <w:t>% al empleo. L</w:t>
      </w:r>
      <w:r w:rsidRPr="002D5CF1">
        <w:rPr>
          <w:lang w:val="es-ES_tradnl"/>
        </w:rPr>
        <w:t>o conforma</w:t>
      </w:r>
      <w:r w:rsidR="002D5CF1" w:rsidRPr="002D5CF1">
        <w:rPr>
          <w:lang w:val="es-ES_tradnl"/>
        </w:rPr>
        <w:t>n</w:t>
      </w:r>
      <w:r w:rsidRPr="002D5CF1">
        <w:rPr>
          <w:lang w:val="es-ES_tradnl"/>
        </w:rPr>
        <w:t xml:space="preserve"> </w:t>
      </w:r>
      <w:r w:rsidR="00A948AB">
        <w:rPr>
          <w:lang w:val="es-ES_tradnl"/>
        </w:rPr>
        <w:t>alrededor</w:t>
      </w:r>
      <w:r w:rsidR="002D5CF1" w:rsidRPr="002D5CF1">
        <w:rPr>
          <w:lang w:val="es-ES_tradnl"/>
        </w:rPr>
        <w:t xml:space="preserve"> de 7</w:t>
      </w:r>
      <w:r w:rsidR="000B0A4A">
        <w:rPr>
          <w:lang w:val="es-ES_tradnl"/>
        </w:rPr>
        <w:t>.</w:t>
      </w:r>
      <w:r w:rsidR="00A948AB">
        <w:rPr>
          <w:lang w:val="es-ES_tradnl"/>
        </w:rPr>
        <w:t>900</w:t>
      </w:r>
      <w:r w:rsidR="002D5CF1" w:rsidRPr="002D5CF1">
        <w:rPr>
          <w:lang w:val="es-ES_tradnl"/>
        </w:rPr>
        <w:t xml:space="preserve"> MiP</w:t>
      </w:r>
      <w:r w:rsidR="000039BD">
        <w:rPr>
          <w:lang w:val="es-ES_tradnl"/>
        </w:rPr>
        <w:t>y</w:t>
      </w:r>
      <w:r w:rsidR="002D5CF1" w:rsidRPr="002D5CF1">
        <w:rPr>
          <w:lang w:val="es-ES_tradnl"/>
        </w:rPr>
        <w:t>ME</w:t>
      </w:r>
      <w:r w:rsidRPr="002D5CF1">
        <w:rPr>
          <w:lang w:val="es-ES_tradnl"/>
        </w:rPr>
        <w:t>, casi el 9</w:t>
      </w:r>
      <w:r w:rsidR="002D5CF1" w:rsidRPr="002D5CF1">
        <w:rPr>
          <w:lang w:val="es-ES_tradnl"/>
        </w:rPr>
        <w:t>8</w:t>
      </w:r>
      <w:r w:rsidRPr="002D5CF1">
        <w:rPr>
          <w:lang w:val="es-ES_tradnl"/>
        </w:rPr>
        <w:t xml:space="preserve">% </w:t>
      </w:r>
      <w:r w:rsidR="002D5CF1" w:rsidRPr="002D5CF1">
        <w:rPr>
          <w:lang w:val="es-ES_tradnl"/>
        </w:rPr>
        <w:t>de las empresas del sector</w:t>
      </w:r>
      <w:r w:rsidRPr="002D5CF1">
        <w:rPr>
          <w:lang w:val="es-ES_tradnl"/>
        </w:rPr>
        <w:t>.</w:t>
      </w:r>
      <w:r w:rsidRPr="00E83B7E">
        <w:rPr>
          <w:lang w:val="es-ES_tradnl"/>
        </w:rPr>
        <w:t xml:space="preserve">  </w:t>
      </w:r>
    </w:p>
    <w:p w14:paraId="332B3CD4" w14:textId="56BBBAF3" w:rsidR="008A7A2A" w:rsidRDefault="008A7A2A" w:rsidP="008A7A2A">
      <w:pPr>
        <w:jc w:val="both"/>
        <w:rPr>
          <w:lang w:val="es-ES_tradnl"/>
        </w:rPr>
      </w:pPr>
      <w:r>
        <w:rPr>
          <w:lang w:val="es-ES_tradnl"/>
        </w:rPr>
        <w:t xml:space="preserve">El sector </w:t>
      </w:r>
      <w:r w:rsidRPr="00F66F77">
        <w:rPr>
          <w:b/>
          <w:bCs/>
          <w:lang w:val="es-ES_tradnl"/>
        </w:rPr>
        <w:t>comercio</w:t>
      </w:r>
      <w:r w:rsidRPr="00F66F77">
        <w:rPr>
          <w:lang w:val="es-ES_tradnl"/>
        </w:rPr>
        <w:t xml:space="preserve"> </w:t>
      </w:r>
      <w:r w:rsidR="00F66F77" w:rsidRPr="00F66F77">
        <w:rPr>
          <w:b/>
          <w:bCs/>
          <w:lang w:val="es-ES_tradnl"/>
        </w:rPr>
        <w:t>minorista</w:t>
      </w:r>
      <w:r w:rsidR="00F66F77">
        <w:rPr>
          <w:lang w:val="es-ES_tradnl"/>
        </w:rPr>
        <w:t xml:space="preserve"> </w:t>
      </w:r>
      <w:r w:rsidRPr="00F66F77">
        <w:rPr>
          <w:lang w:val="es-ES_tradnl"/>
        </w:rPr>
        <w:t xml:space="preserve">tiene grado </w:t>
      </w:r>
      <w:r w:rsidR="00F66F77" w:rsidRPr="00F66F77">
        <w:rPr>
          <w:lang w:val="es-ES_tradnl"/>
        </w:rPr>
        <w:t>severo de</w:t>
      </w:r>
      <w:r w:rsidRPr="00F66F77">
        <w:rPr>
          <w:lang w:val="es-ES_tradnl"/>
        </w:rPr>
        <w:t xml:space="preserve"> vulnerabilidad de </w:t>
      </w:r>
      <w:r w:rsidR="00F66F77" w:rsidRPr="00F66F77">
        <w:rPr>
          <w:lang w:val="es-ES_tradnl"/>
        </w:rPr>
        <w:t xml:space="preserve">grado dos con un IV de </w:t>
      </w:r>
      <w:r w:rsidRPr="00F66F77">
        <w:rPr>
          <w:lang w:val="es-ES_tradnl"/>
        </w:rPr>
        <w:t>4</w:t>
      </w:r>
      <w:r w:rsidR="00F66F77" w:rsidRPr="00F66F77">
        <w:rPr>
          <w:lang w:val="es-ES_tradnl"/>
        </w:rPr>
        <w:t>4</w:t>
      </w:r>
      <w:r w:rsidRPr="00F66F77">
        <w:rPr>
          <w:lang w:val="es-ES_tradnl"/>
        </w:rPr>
        <w:t xml:space="preserve">. Por los factores del lado de la </w:t>
      </w:r>
      <w:r w:rsidR="00F66F77" w:rsidRPr="00F66F77">
        <w:rPr>
          <w:lang w:val="es-ES_tradnl"/>
        </w:rPr>
        <w:t>demanda</w:t>
      </w:r>
      <w:r w:rsidRPr="00F66F77">
        <w:rPr>
          <w:lang w:val="es-ES_tradnl"/>
        </w:rPr>
        <w:t xml:space="preserve"> (</w:t>
      </w:r>
      <w:r w:rsidR="00F66F77" w:rsidRPr="00F66F77">
        <w:rPr>
          <w:lang w:val="es-ES_tradnl"/>
        </w:rPr>
        <w:t>83</w:t>
      </w:r>
      <w:r w:rsidRPr="00F66F77">
        <w:rPr>
          <w:lang w:val="es-ES_tradnl"/>
        </w:rPr>
        <w:t>), y en menor medida financieros y patrimoniales (</w:t>
      </w:r>
      <w:r w:rsidR="00F66F77" w:rsidRPr="00F66F77">
        <w:rPr>
          <w:lang w:val="es-ES_tradnl"/>
        </w:rPr>
        <w:t>39</w:t>
      </w:r>
      <w:r w:rsidRPr="00F66F77">
        <w:rPr>
          <w:lang w:val="es-ES_tradnl"/>
        </w:rPr>
        <w:t xml:space="preserve">). El sector contribuye en más del </w:t>
      </w:r>
      <w:r w:rsidR="00F66F77" w:rsidRPr="00F66F77">
        <w:rPr>
          <w:lang w:val="es-ES_tradnl"/>
        </w:rPr>
        <w:t>9,3</w:t>
      </w:r>
      <w:r w:rsidRPr="00F66F77">
        <w:rPr>
          <w:lang w:val="es-ES_tradnl"/>
        </w:rPr>
        <w:t xml:space="preserve">% al empleo y en un </w:t>
      </w:r>
      <w:r w:rsidR="00A948AB">
        <w:rPr>
          <w:lang w:val="es-ES_tradnl"/>
        </w:rPr>
        <w:t>15</w:t>
      </w:r>
      <w:r w:rsidRPr="00F66F77">
        <w:rPr>
          <w:lang w:val="es-ES_tradnl"/>
        </w:rPr>
        <w:t>% al PIB</w:t>
      </w:r>
      <w:r w:rsidR="00A948AB">
        <w:rPr>
          <w:lang w:val="es-ES_tradnl"/>
        </w:rPr>
        <w:t xml:space="preserve"> (incluyendo comercio mayorista)</w:t>
      </w:r>
      <w:r w:rsidRPr="00F66F77">
        <w:rPr>
          <w:lang w:val="es-ES_tradnl"/>
        </w:rPr>
        <w:t xml:space="preserve">. Lo conforman alrededor de </w:t>
      </w:r>
      <w:r w:rsidR="00F66F77" w:rsidRPr="00F66F77">
        <w:rPr>
          <w:lang w:val="es-ES_tradnl"/>
        </w:rPr>
        <w:t>149 mil</w:t>
      </w:r>
      <w:r w:rsidRPr="00F66F77">
        <w:rPr>
          <w:lang w:val="es-ES_tradnl"/>
        </w:rPr>
        <w:t xml:space="preserve"> de empresas, siendo el </w:t>
      </w:r>
      <w:r w:rsidR="00F66F77" w:rsidRPr="00F66F77">
        <w:rPr>
          <w:lang w:val="es-ES_tradnl"/>
        </w:rPr>
        <w:t>97</w:t>
      </w:r>
      <w:r w:rsidRPr="00F66F77">
        <w:rPr>
          <w:lang w:val="es-ES_tradnl"/>
        </w:rPr>
        <w:t>% MiP</w:t>
      </w:r>
      <w:r w:rsidR="000039BD">
        <w:rPr>
          <w:lang w:val="es-ES_tradnl"/>
        </w:rPr>
        <w:t>y</w:t>
      </w:r>
      <w:r w:rsidRPr="00F66F77">
        <w:rPr>
          <w:lang w:val="es-ES_tradnl"/>
        </w:rPr>
        <w:t>ME</w:t>
      </w:r>
      <w:r w:rsidR="00A948AB">
        <w:rPr>
          <w:lang w:val="es-ES_tradnl"/>
        </w:rPr>
        <w:t xml:space="preserve"> (nuevamente, estas últimas cifras incluyen comercio mayorista)</w:t>
      </w:r>
      <w:r w:rsidRPr="00F66F77">
        <w:rPr>
          <w:lang w:val="es-ES_tradnl"/>
        </w:rPr>
        <w:t xml:space="preserve">. </w:t>
      </w:r>
    </w:p>
    <w:p w14:paraId="5D6D3AED" w14:textId="77777777" w:rsidR="000B0A4A" w:rsidRDefault="000B1E8D" w:rsidP="000B1E8D">
      <w:pPr>
        <w:jc w:val="both"/>
        <w:rPr>
          <w:lang w:val="es-ES_tradnl"/>
        </w:rPr>
      </w:pPr>
      <w:r w:rsidRPr="000D4171">
        <w:rPr>
          <w:lang w:val="es-ES_tradnl"/>
        </w:rPr>
        <w:t xml:space="preserve">El análisis concluye que los sectores productivos se encuentran en una situación de vulnerabilidad severa ante la crisis del COVID-19 (en promedio con una </w:t>
      </w:r>
      <w:r w:rsidRPr="001C71B9">
        <w:rPr>
          <w:lang w:val="es-ES_tradnl"/>
        </w:rPr>
        <w:t>severidad de grado 3</w:t>
      </w:r>
      <w:r w:rsidRPr="000D4171">
        <w:rPr>
          <w:lang w:val="es-ES_tradnl"/>
        </w:rPr>
        <w:t xml:space="preserve">). </w:t>
      </w:r>
    </w:p>
    <w:p w14:paraId="2FAD600F" w14:textId="77777777" w:rsidR="000B0A4A" w:rsidRDefault="000B0A4A" w:rsidP="000B1E8D">
      <w:pPr>
        <w:jc w:val="both"/>
        <w:rPr>
          <w:b/>
          <w:bCs/>
          <w:lang w:val="es-ES_tradnl"/>
        </w:rPr>
      </w:pPr>
    </w:p>
    <w:p w14:paraId="38C985E8" w14:textId="77777777" w:rsidR="000B0A4A" w:rsidRDefault="000B0A4A" w:rsidP="000B1E8D">
      <w:pPr>
        <w:jc w:val="both"/>
        <w:rPr>
          <w:b/>
          <w:bCs/>
          <w:lang w:val="es-ES_tradnl"/>
        </w:rPr>
      </w:pPr>
    </w:p>
    <w:p w14:paraId="79F4E982" w14:textId="294AE1EA" w:rsidR="00D41616" w:rsidRPr="00D86D9B" w:rsidRDefault="00D41616" w:rsidP="000B1E8D">
      <w:pPr>
        <w:jc w:val="both"/>
        <w:rPr>
          <w:b/>
          <w:bCs/>
          <w:lang w:val="es-ES_tradnl"/>
        </w:rPr>
      </w:pPr>
      <w:r w:rsidRPr="00D86D9B">
        <w:rPr>
          <w:b/>
          <w:bCs/>
          <w:lang w:val="es-ES_tradnl"/>
        </w:rPr>
        <w:lastRenderedPageBreak/>
        <w:t>Introducción</w:t>
      </w:r>
      <w:r w:rsidR="008F50E1" w:rsidRPr="00D86D9B">
        <w:rPr>
          <w:b/>
          <w:bCs/>
          <w:lang w:val="es-ES_tradnl"/>
        </w:rPr>
        <w:t xml:space="preserve"> y marco analítico</w:t>
      </w:r>
      <w:bookmarkEnd w:id="6"/>
    </w:p>
    <w:p w14:paraId="11706418" w14:textId="3E99EC5E" w:rsidR="00933DA6" w:rsidRPr="00E83B7E" w:rsidRDefault="00933DA6" w:rsidP="004656DB">
      <w:pPr>
        <w:jc w:val="both"/>
        <w:rPr>
          <w:lang w:val="es-ES_tradnl"/>
        </w:rPr>
      </w:pPr>
      <w:r w:rsidRPr="00E83B7E">
        <w:rPr>
          <w:lang w:val="es-ES_tradnl"/>
        </w:rPr>
        <w:t xml:space="preserve">Este documento </w:t>
      </w:r>
      <w:r w:rsidR="00DC4A64" w:rsidRPr="00E83B7E">
        <w:rPr>
          <w:lang w:val="es-ES_tradnl"/>
        </w:rPr>
        <w:t>present</w:t>
      </w:r>
      <w:r w:rsidR="00DC4A64">
        <w:rPr>
          <w:lang w:val="es-ES_tradnl"/>
        </w:rPr>
        <w:t>a</w:t>
      </w:r>
      <w:r w:rsidR="00DC4A64" w:rsidRPr="00E83B7E">
        <w:rPr>
          <w:lang w:val="es-ES_tradnl"/>
        </w:rPr>
        <w:t xml:space="preserve"> </w:t>
      </w:r>
      <w:r w:rsidRPr="00E83B7E">
        <w:rPr>
          <w:lang w:val="es-ES_tradnl"/>
        </w:rPr>
        <w:t xml:space="preserve">un análisis de vulnerabilidades desagregado por sectores y con referencia a la situación de las </w:t>
      </w:r>
      <w:r w:rsidR="001570DD" w:rsidRPr="00E83B7E">
        <w:rPr>
          <w:lang w:val="es-ES_tradnl"/>
        </w:rPr>
        <w:t>M</w:t>
      </w:r>
      <w:r w:rsidR="00043713" w:rsidRPr="00E83B7E">
        <w:rPr>
          <w:lang w:val="es-ES_tradnl"/>
        </w:rPr>
        <w:t>i</w:t>
      </w:r>
      <w:r w:rsidRPr="00E83B7E">
        <w:rPr>
          <w:lang w:val="es-ES_tradnl"/>
        </w:rPr>
        <w:t>P</w:t>
      </w:r>
      <w:r w:rsidR="00E83B7E">
        <w:rPr>
          <w:lang w:val="es-ES_tradnl"/>
        </w:rPr>
        <w:t>y</w:t>
      </w:r>
      <w:r w:rsidRPr="00E83B7E">
        <w:rPr>
          <w:lang w:val="es-ES_tradnl"/>
        </w:rPr>
        <w:t xml:space="preserve">ME en </w:t>
      </w:r>
      <w:r w:rsidR="00332F8F">
        <w:rPr>
          <w:lang w:val="es-ES_tradnl"/>
        </w:rPr>
        <w:t>Argentina</w:t>
      </w:r>
      <w:r w:rsidRPr="00E83B7E">
        <w:rPr>
          <w:lang w:val="es-ES_tradnl"/>
        </w:rPr>
        <w:t xml:space="preserve">. Se consideran en particular los siguientes </w:t>
      </w:r>
      <w:r w:rsidR="00910344">
        <w:rPr>
          <w:lang w:val="es-ES_tradnl"/>
        </w:rPr>
        <w:t>ocho</w:t>
      </w:r>
      <w:r w:rsidR="00A5757F" w:rsidRPr="00E83B7E">
        <w:rPr>
          <w:lang w:val="es-ES_tradnl"/>
        </w:rPr>
        <w:t xml:space="preserve"> </w:t>
      </w:r>
      <w:r w:rsidRPr="00E83B7E">
        <w:rPr>
          <w:lang w:val="es-ES_tradnl"/>
        </w:rPr>
        <w:t>sectores:</w:t>
      </w:r>
      <w:r w:rsidR="00A5757F" w:rsidRPr="00E83B7E">
        <w:rPr>
          <w:lang w:val="es-ES_tradnl"/>
        </w:rPr>
        <w:t xml:space="preserve"> Turismo, Transporte</w:t>
      </w:r>
      <w:r w:rsidR="00A044C9">
        <w:rPr>
          <w:lang w:val="es-ES_tradnl"/>
        </w:rPr>
        <w:t xml:space="preserve"> de carga y de pasajer</w:t>
      </w:r>
      <w:r w:rsidR="00F74A03">
        <w:rPr>
          <w:lang w:val="es-ES_tradnl"/>
        </w:rPr>
        <w:t>o</w:t>
      </w:r>
      <w:r w:rsidR="00A044C9">
        <w:rPr>
          <w:lang w:val="es-ES_tradnl"/>
        </w:rPr>
        <w:t>s</w:t>
      </w:r>
      <w:r w:rsidR="00A5757F" w:rsidRPr="00E83B7E">
        <w:rPr>
          <w:lang w:val="es-ES_tradnl"/>
        </w:rPr>
        <w:t xml:space="preserve">, </w:t>
      </w:r>
      <w:r w:rsidR="00AA2010">
        <w:rPr>
          <w:lang w:val="es-ES_tradnl"/>
        </w:rPr>
        <w:t xml:space="preserve">Comercio al por menor, </w:t>
      </w:r>
      <w:r w:rsidR="00A5757F" w:rsidRPr="00E83B7E">
        <w:rPr>
          <w:lang w:val="es-ES_tradnl"/>
        </w:rPr>
        <w:t>Automotriz</w:t>
      </w:r>
      <w:r w:rsidR="00A044C9">
        <w:rPr>
          <w:lang w:val="es-ES_tradnl"/>
        </w:rPr>
        <w:t xml:space="preserve"> y autopartes</w:t>
      </w:r>
      <w:r w:rsidR="00A5757F" w:rsidRPr="00E83B7E">
        <w:rPr>
          <w:lang w:val="es-ES_tradnl"/>
        </w:rPr>
        <w:t>, Textil y Agro</w:t>
      </w:r>
      <w:r w:rsidR="00900E28">
        <w:rPr>
          <w:lang w:val="es-ES_tradnl"/>
        </w:rPr>
        <w:t>alimentario</w:t>
      </w:r>
      <w:r w:rsidR="00A5757F" w:rsidRPr="00E83B7E">
        <w:rPr>
          <w:lang w:val="es-ES_tradnl"/>
        </w:rPr>
        <w:t>.</w:t>
      </w:r>
    </w:p>
    <w:p w14:paraId="63A80D11" w14:textId="3976B0D2" w:rsidR="00E46B00" w:rsidRPr="00E83B7E" w:rsidRDefault="005D1844" w:rsidP="00E46B00">
      <w:pPr>
        <w:spacing w:after="0" w:line="240" w:lineRule="auto"/>
        <w:jc w:val="center"/>
        <w:rPr>
          <w:b/>
          <w:bCs/>
          <w:lang w:val="es-ES_tradnl"/>
        </w:rPr>
      </w:pPr>
      <w:r w:rsidRPr="00E83B7E">
        <w:rPr>
          <w:b/>
          <w:bCs/>
          <w:lang w:val="es-ES_tradnl"/>
        </w:rPr>
        <w:t>Tabla</w:t>
      </w:r>
      <w:r w:rsidR="00E46B00" w:rsidRPr="00E83B7E">
        <w:rPr>
          <w:b/>
          <w:bCs/>
          <w:lang w:val="es-ES_tradnl"/>
        </w:rPr>
        <w:t xml:space="preserve"> I.1</w:t>
      </w:r>
    </w:p>
    <w:p w14:paraId="1D22116A" w14:textId="1C25345B" w:rsidR="00E46B00" w:rsidRPr="00E83B7E" w:rsidRDefault="00E46B00" w:rsidP="0007292C">
      <w:pPr>
        <w:spacing w:after="0" w:line="240" w:lineRule="auto"/>
        <w:jc w:val="center"/>
        <w:rPr>
          <w:b/>
          <w:bCs/>
          <w:lang w:val="es-ES_tradnl"/>
        </w:rPr>
      </w:pPr>
      <w:r w:rsidRPr="002E05B3">
        <w:rPr>
          <w:b/>
          <w:bCs/>
          <w:lang w:val="es-ES_tradnl"/>
        </w:rPr>
        <w:t>Sectores considerados</w:t>
      </w:r>
      <w:r w:rsidRPr="00E83B7E">
        <w:rPr>
          <w:b/>
          <w:bCs/>
          <w:lang w:val="es-ES_tradnl"/>
        </w:rPr>
        <w:t xml:space="preserve"> </w:t>
      </w:r>
    </w:p>
    <w:tbl>
      <w:tblPr>
        <w:tblStyle w:val="TableGrid"/>
        <w:tblW w:w="0" w:type="auto"/>
        <w:jc w:val="center"/>
        <w:tblLook w:val="04A0" w:firstRow="1" w:lastRow="0" w:firstColumn="1" w:lastColumn="0" w:noHBand="0" w:noVBand="1"/>
      </w:tblPr>
      <w:tblGrid>
        <w:gridCol w:w="1710"/>
        <w:gridCol w:w="2520"/>
      </w:tblGrid>
      <w:tr w:rsidR="00933DA6" w:rsidRPr="00E83B7E" w14:paraId="5E7D590B" w14:textId="77777777" w:rsidTr="0007292C">
        <w:trPr>
          <w:jc w:val="center"/>
        </w:trPr>
        <w:tc>
          <w:tcPr>
            <w:tcW w:w="1710" w:type="dxa"/>
            <w:shd w:val="clear" w:color="auto" w:fill="D9E2F3" w:themeFill="accent1" w:themeFillTint="33"/>
          </w:tcPr>
          <w:p w14:paraId="0F24DF72" w14:textId="6B875490" w:rsidR="00933DA6" w:rsidRPr="00E83B7E" w:rsidRDefault="00E46B00" w:rsidP="0007292C">
            <w:pPr>
              <w:jc w:val="center"/>
              <w:rPr>
                <w:b/>
                <w:bCs/>
                <w:lang w:val="es-ES_tradnl"/>
              </w:rPr>
            </w:pPr>
            <w:r w:rsidRPr="00E83B7E">
              <w:rPr>
                <w:b/>
                <w:bCs/>
                <w:lang w:val="es-ES_tradnl"/>
              </w:rPr>
              <w:t>Sector</w:t>
            </w:r>
          </w:p>
        </w:tc>
        <w:tc>
          <w:tcPr>
            <w:tcW w:w="2520" w:type="dxa"/>
            <w:shd w:val="clear" w:color="auto" w:fill="D9E2F3" w:themeFill="accent1" w:themeFillTint="33"/>
          </w:tcPr>
          <w:p w14:paraId="149CCD51" w14:textId="17420C1E" w:rsidR="00933DA6" w:rsidRPr="00E83B7E" w:rsidRDefault="00BF3440" w:rsidP="0007292C">
            <w:pPr>
              <w:jc w:val="both"/>
              <w:rPr>
                <w:b/>
                <w:bCs/>
                <w:lang w:val="es-ES_tradnl"/>
              </w:rPr>
            </w:pPr>
            <w:r w:rsidRPr="00E83B7E">
              <w:rPr>
                <w:b/>
                <w:bCs/>
                <w:lang w:val="es-ES_tradnl"/>
              </w:rPr>
              <w:t>Rama</w:t>
            </w:r>
          </w:p>
        </w:tc>
      </w:tr>
      <w:tr w:rsidR="00BF3440" w:rsidRPr="00E83B7E" w14:paraId="4F519B63" w14:textId="77777777" w:rsidTr="00933DA6">
        <w:trPr>
          <w:jc w:val="center"/>
        </w:trPr>
        <w:tc>
          <w:tcPr>
            <w:tcW w:w="1710" w:type="dxa"/>
            <w:vMerge w:val="restart"/>
          </w:tcPr>
          <w:p w14:paraId="25E5B574" w14:textId="70E606B8" w:rsidR="00BF3440" w:rsidRPr="00E83B7E" w:rsidRDefault="00BF3440" w:rsidP="0007292C">
            <w:pPr>
              <w:jc w:val="center"/>
              <w:rPr>
                <w:b/>
                <w:bCs/>
                <w:lang w:val="es-ES_tradnl"/>
              </w:rPr>
            </w:pPr>
            <w:r w:rsidRPr="00E83B7E">
              <w:rPr>
                <w:b/>
                <w:bCs/>
                <w:lang w:val="es-ES_tradnl"/>
              </w:rPr>
              <w:t>Servicios</w:t>
            </w:r>
          </w:p>
        </w:tc>
        <w:tc>
          <w:tcPr>
            <w:tcW w:w="2520" w:type="dxa"/>
          </w:tcPr>
          <w:p w14:paraId="786ED796" w14:textId="6C25EE6D" w:rsidR="00BF3440" w:rsidRPr="00A306E2" w:rsidRDefault="00AA2010" w:rsidP="00E46B00">
            <w:pPr>
              <w:jc w:val="both"/>
              <w:rPr>
                <w:highlight w:val="yellow"/>
                <w:lang w:val="es-ES_tradnl"/>
              </w:rPr>
            </w:pPr>
            <w:r w:rsidRPr="00F34FA3">
              <w:rPr>
                <w:lang w:val="es-ES_tradnl"/>
              </w:rPr>
              <w:t xml:space="preserve">Comercio </w:t>
            </w:r>
            <w:r w:rsidR="00F66F77">
              <w:rPr>
                <w:lang w:val="es-ES_tradnl"/>
              </w:rPr>
              <w:t>minorista</w:t>
            </w:r>
          </w:p>
        </w:tc>
      </w:tr>
      <w:tr w:rsidR="00AA2010" w:rsidRPr="00E83B7E" w14:paraId="5A846FE4" w14:textId="77777777" w:rsidTr="00933DA6">
        <w:trPr>
          <w:jc w:val="center"/>
        </w:trPr>
        <w:tc>
          <w:tcPr>
            <w:tcW w:w="1710" w:type="dxa"/>
            <w:vMerge/>
          </w:tcPr>
          <w:p w14:paraId="19A71DC3" w14:textId="77777777" w:rsidR="00AA2010" w:rsidRPr="00E83B7E" w:rsidRDefault="00AA2010" w:rsidP="0007292C">
            <w:pPr>
              <w:jc w:val="center"/>
              <w:rPr>
                <w:b/>
                <w:bCs/>
                <w:lang w:val="es-ES_tradnl"/>
              </w:rPr>
            </w:pPr>
          </w:p>
        </w:tc>
        <w:tc>
          <w:tcPr>
            <w:tcW w:w="2520" w:type="dxa"/>
          </w:tcPr>
          <w:p w14:paraId="3B2D78EA" w14:textId="315FDC3A" w:rsidR="00AA2010" w:rsidRPr="00E83B7E" w:rsidRDefault="00AA2010" w:rsidP="00E46B00">
            <w:pPr>
              <w:jc w:val="both"/>
              <w:rPr>
                <w:lang w:val="es-ES_tradnl"/>
              </w:rPr>
            </w:pPr>
            <w:r>
              <w:rPr>
                <w:lang w:val="es-ES_tradnl"/>
              </w:rPr>
              <w:t>Turismo</w:t>
            </w:r>
          </w:p>
        </w:tc>
      </w:tr>
      <w:tr w:rsidR="00A044C9" w:rsidRPr="00E83B7E" w14:paraId="2F2307E5" w14:textId="77777777" w:rsidTr="00941B33">
        <w:trPr>
          <w:jc w:val="center"/>
        </w:trPr>
        <w:tc>
          <w:tcPr>
            <w:tcW w:w="1710" w:type="dxa"/>
            <w:vMerge/>
          </w:tcPr>
          <w:p w14:paraId="4165E155" w14:textId="77777777" w:rsidR="00A044C9" w:rsidRPr="00E83B7E" w:rsidRDefault="00A044C9" w:rsidP="0007292C">
            <w:pPr>
              <w:jc w:val="center"/>
              <w:rPr>
                <w:b/>
                <w:bCs/>
                <w:lang w:val="es-ES_tradnl"/>
              </w:rPr>
            </w:pPr>
          </w:p>
        </w:tc>
        <w:tc>
          <w:tcPr>
            <w:tcW w:w="2520" w:type="dxa"/>
          </w:tcPr>
          <w:p w14:paraId="7C8255D0" w14:textId="3F211F93" w:rsidR="00A044C9" w:rsidRPr="00E83B7E" w:rsidRDefault="00A044C9" w:rsidP="0007292C">
            <w:pPr>
              <w:jc w:val="both"/>
              <w:rPr>
                <w:lang w:val="es-ES_tradnl"/>
              </w:rPr>
            </w:pPr>
            <w:r>
              <w:rPr>
                <w:lang w:val="es-ES_tradnl"/>
              </w:rPr>
              <w:t>Transporte de carga</w:t>
            </w:r>
          </w:p>
        </w:tc>
      </w:tr>
      <w:tr w:rsidR="00A5757F" w:rsidRPr="00E83B7E" w14:paraId="56CF7BD9" w14:textId="77777777" w:rsidTr="00941B33">
        <w:trPr>
          <w:jc w:val="center"/>
        </w:trPr>
        <w:tc>
          <w:tcPr>
            <w:tcW w:w="1710" w:type="dxa"/>
            <w:vMerge/>
          </w:tcPr>
          <w:p w14:paraId="09CDD2D1" w14:textId="77777777" w:rsidR="00A5757F" w:rsidRPr="00E83B7E" w:rsidRDefault="00A5757F" w:rsidP="0007292C">
            <w:pPr>
              <w:jc w:val="center"/>
              <w:rPr>
                <w:b/>
                <w:bCs/>
                <w:lang w:val="es-ES_tradnl"/>
              </w:rPr>
            </w:pPr>
          </w:p>
        </w:tc>
        <w:tc>
          <w:tcPr>
            <w:tcW w:w="2520" w:type="dxa"/>
          </w:tcPr>
          <w:p w14:paraId="381D4AE8" w14:textId="1E3F9318" w:rsidR="00A5757F" w:rsidRPr="00E83B7E" w:rsidRDefault="00A5757F" w:rsidP="0007292C">
            <w:pPr>
              <w:jc w:val="both"/>
              <w:rPr>
                <w:lang w:val="es-ES_tradnl"/>
              </w:rPr>
            </w:pPr>
            <w:r w:rsidRPr="00E83B7E">
              <w:rPr>
                <w:lang w:val="es-ES_tradnl"/>
              </w:rPr>
              <w:t>Transporte</w:t>
            </w:r>
            <w:r w:rsidR="00A044C9">
              <w:rPr>
                <w:lang w:val="es-ES_tradnl"/>
              </w:rPr>
              <w:t xml:space="preserve"> de pasajeros</w:t>
            </w:r>
          </w:p>
        </w:tc>
      </w:tr>
      <w:tr w:rsidR="00A5757F" w:rsidRPr="00E83B7E" w14:paraId="21005F1B" w14:textId="77777777" w:rsidTr="00941B33">
        <w:trPr>
          <w:jc w:val="center"/>
        </w:trPr>
        <w:tc>
          <w:tcPr>
            <w:tcW w:w="1710" w:type="dxa"/>
            <w:vMerge w:val="restart"/>
          </w:tcPr>
          <w:p w14:paraId="4F90D584" w14:textId="4A3C9C50" w:rsidR="00A5757F" w:rsidRPr="003D1C79" w:rsidRDefault="00A5757F" w:rsidP="0007292C">
            <w:pPr>
              <w:jc w:val="center"/>
              <w:rPr>
                <w:b/>
                <w:bCs/>
                <w:lang w:val="es-ES_tradnl"/>
              </w:rPr>
            </w:pPr>
            <w:r w:rsidRPr="003D1C79">
              <w:rPr>
                <w:b/>
                <w:bCs/>
                <w:lang w:val="es-ES_tradnl"/>
              </w:rPr>
              <w:t>Industria</w:t>
            </w:r>
          </w:p>
        </w:tc>
        <w:tc>
          <w:tcPr>
            <w:tcW w:w="2520" w:type="dxa"/>
          </w:tcPr>
          <w:p w14:paraId="025C10E2" w14:textId="73D2BB52" w:rsidR="00A5757F" w:rsidRPr="003D1C79" w:rsidRDefault="00A5757F" w:rsidP="0007292C">
            <w:pPr>
              <w:jc w:val="both"/>
              <w:rPr>
                <w:lang w:val="es-ES_tradnl"/>
              </w:rPr>
            </w:pPr>
            <w:r w:rsidRPr="003D1C79">
              <w:rPr>
                <w:lang w:val="es-ES_tradnl"/>
              </w:rPr>
              <w:t>Automotriz</w:t>
            </w:r>
          </w:p>
        </w:tc>
      </w:tr>
      <w:tr w:rsidR="00A5757F" w:rsidRPr="00E83B7E" w14:paraId="1AB1B24A" w14:textId="77777777" w:rsidTr="00941B33">
        <w:trPr>
          <w:jc w:val="center"/>
        </w:trPr>
        <w:tc>
          <w:tcPr>
            <w:tcW w:w="1710" w:type="dxa"/>
            <w:vMerge/>
          </w:tcPr>
          <w:p w14:paraId="7DD86CF8" w14:textId="4752B027" w:rsidR="00A5757F" w:rsidRPr="00E83B7E" w:rsidRDefault="00A5757F" w:rsidP="0007292C">
            <w:pPr>
              <w:jc w:val="center"/>
              <w:rPr>
                <w:b/>
                <w:bCs/>
                <w:lang w:val="es-ES_tradnl"/>
              </w:rPr>
            </w:pPr>
          </w:p>
        </w:tc>
        <w:tc>
          <w:tcPr>
            <w:tcW w:w="2520" w:type="dxa"/>
          </w:tcPr>
          <w:p w14:paraId="72D9702F" w14:textId="6F5BF1A8" w:rsidR="00A5757F" w:rsidRPr="00F34FA3" w:rsidRDefault="00AA7B6E" w:rsidP="0007292C">
            <w:pPr>
              <w:jc w:val="both"/>
              <w:rPr>
                <w:lang w:val="es-ES_tradnl"/>
              </w:rPr>
            </w:pPr>
            <w:r w:rsidRPr="00F34FA3">
              <w:rPr>
                <w:lang w:val="es-ES_tradnl"/>
              </w:rPr>
              <w:t>Maquinaria y equipos</w:t>
            </w:r>
          </w:p>
        </w:tc>
      </w:tr>
      <w:tr w:rsidR="00A5757F" w:rsidRPr="00E83B7E" w14:paraId="47FB2D8C" w14:textId="77777777" w:rsidTr="00941B33">
        <w:trPr>
          <w:jc w:val="center"/>
        </w:trPr>
        <w:tc>
          <w:tcPr>
            <w:tcW w:w="1710" w:type="dxa"/>
            <w:vMerge/>
          </w:tcPr>
          <w:p w14:paraId="2E11740F" w14:textId="77777777" w:rsidR="00A5757F" w:rsidRPr="00E83B7E" w:rsidRDefault="00A5757F" w:rsidP="0007292C">
            <w:pPr>
              <w:jc w:val="center"/>
              <w:rPr>
                <w:b/>
                <w:bCs/>
                <w:lang w:val="es-ES_tradnl"/>
              </w:rPr>
            </w:pPr>
          </w:p>
        </w:tc>
        <w:tc>
          <w:tcPr>
            <w:tcW w:w="2520" w:type="dxa"/>
          </w:tcPr>
          <w:p w14:paraId="6E9E3F9C" w14:textId="34293933" w:rsidR="00A5757F" w:rsidRPr="00F34FA3" w:rsidRDefault="00A5757F" w:rsidP="0007292C">
            <w:pPr>
              <w:jc w:val="both"/>
              <w:rPr>
                <w:lang w:val="es-ES_tradnl"/>
              </w:rPr>
            </w:pPr>
            <w:r w:rsidRPr="00F34FA3">
              <w:rPr>
                <w:lang w:val="es-ES_tradnl"/>
              </w:rPr>
              <w:t>Textil y maquila</w:t>
            </w:r>
          </w:p>
        </w:tc>
      </w:tr>
      <w:tr w:rsidR="00A5757F" w:rsidRPr="002D3335" w14:paraId="3E14A6F6" w14:textId="77777777" w:rsidTr="0007292C">
        <w:trPr>
          <w:jc w:val="center"/>
        </w:trPr>
        <w:tc>
          <w:tcPr>
            <w:tcW w:w="1710" w:type="dxa"/>
            <w:tcBorders>
              <w:bottom w:val="single" w:sz="4" w:space="0" w:color="auto"/>
            </w:tcBorders>
          </w:tcPr>
          <w:p w14:paraId="18865FB6" w14:textId="2B3C60CF" w:rsidR="00A5757F" w:rsidRPr="00E83B7E" w:rsidRDefault="00A5757F" w:rsidP="0007292C">
            <w:pPr>
              <w:jc w:val="center"/>
              <w:rPr>
                <w:b/>
                <w:bCs/>
                <w:lang w:val="es-ES_tradnl"/>
              </w:rPr>
            </w:pPr>
            <w:r w:rsidRPr="00E83B7E">
              <w:rPr>
                <w:b/>
                <w:bCs/>
                <w:lang w:val="es-ES_tradnl"/>
              </w:rPr>
              <w:t>Agro</w:t>
            </w:r>
            <w:r w:rsidR="00900E28">
              <w:rPr>
                <w:b/>
                <w:bCs/>
                <w:lang w:val="es-ES_tradnl"/>
              </w:rPr>
              <w:t>alimentario</w:t>
            </w:r>
          </w:p>
        </w:tc>
        <w:tc>
          <w:tcPr>
            <w:tcW w:w="2520" w:type="dxa"/>
            <w:tcBorders>
              <w:bottom w:val="single" w:sz="4" w:space="0" w:color="auto"/>
            </w:tcBorders>
          </w:tcPr>
          <w:p w14:paraId="76127B64" w14:textId="7205EA53" w:rsidR="00A5757F" w:rsidRPr="00A306E2" w:rsidRDefault="003D1C79" w:rsidP="0007292C">
            <w:pPr>
              <w:jc w:val="both"/>
              <w:rPr>
                <w:lang w:val="es-ES_tradnl"/>
              </w:rPr>
            </w:pPr>
            <w:r>
              <w:rPr>
                <w:lang w:val="es-ES_tradnl"/>
              </w:rPr>
              <w:t>Agropecuario y agroindustria</w:t>
            </w:r>
          </w:p>
        </w:tc>
      </w:tr>
      <w:tr w:rsidR="00A5757F" w:rsidRPr="002D3335" w14:paraId="79DB20BF" w14:textId="77777777" w:rsidTr="0007292C">
        <w:trPr>
          <w:jc w:val="center"/>
        </w:trPr>
        <w:tc>
          <w:tcPr>
            <w:tcW w:w="4230" w:type="dxa"/>
            <w:gridSpan w:val="2"/>
            <w:tcBorders>
              <w:top w:val="single" w:sz="4" w:space="0" w:color="auto"/>
              <w:left w:val="nil"/>
              <w:bottom w:val="nil"/>
              <w:right w:val="nil"/>
            </w:tcBorders>
          </w:tcPr>
          <w:p w14:paraId="599D127D" w14:textId="1079A57C" w:rsidR="00A5757F" w:rsidRPr="00E83B7E" w:rsidRDefault="00A5757F" w:rsidP="0007292C">
            <w:pPr>
              <w:rPr>
                <w:sz w:val="18"/>
                <w:szCs w:val="18"/>
                <w:lang w:val="es-ES_tradnl"/>
              </w:rPr>
            </w:pPr>
          </w:p>
        </w:tc>
      </w:tr>
    </w:tbl>
    <w:p w14:paraId="308E244D" w14:textId="4AA7E7AA" w:rsidR="004656DB" w:rsidRPr="00E83B7E" w:rsidRDefault="004656DB" w:rsidP="004656DB">
      <w:pPr>
        <w:jc w:val="both"/>
        <w:rPr>
          <w:lang w:val="es-ES_tradnl"/>
        </w:rPr>
      </w:pPr>
      <w:r w:rsidRPr="00E83B7E">
        <w:rPr>
          <w:lang w:val="es-ES_tradnl"/>
        </w:rPr>
        <w:t>Para la determinación de la vulnerabilidad general de un sector se identifican cuatro áreas</w:t>
      </w:r>
      <w:r w:rsidR="0007292C" w:rsidRPr="00E83B7E">
        <w:rPr>
          <w:lang w:val="es-ES_tradnl"/>
        </w:rPr>
        <w:t xml:space="preserve"> o factores</w:t>
      </w:r>
      <w:r w:rsidRPr="00E83B7E">
        <w:rPr>
          <w:lang w:val="es-ES_tradnl"/>
        </w:rPr>
        <w:t xml:space="preserve">: </w:t>
      </w:r>
      <w:r w:rsidR="00E83B7E">
        <w:rPr>
          <w:lang w:val="es-ES_tradnl"/>
        </w:rPr>
        <w:t>(</w:t>
      </w:r>
      <w:r w:rsidR="0007292C" w:rsidRPr="00E83B7E">
        <w:rPr>
          <w:lang w:val="es-ES_tradnl"/>
        </w:rPr>
        <w:t>i)</w:t>
      </w:r>
      <w:r w:rsidR="00E83B7E">
        <w:rPr>
          <w:lang w:val="es-ES_tradnl"/>
        </w:rPr>
        <w:t> </w:t>
      </w:r>
      <w:r w:rsidRPr="00E83B7E">
        <w:rPr>
          <w:lang w:val="es-ES_tradnl"/>
        </w:rPr>
        <w:t>oferta</w:t>
      </w:r>
      <w:r w:rsidR="0007292C" w:rsidRPr="00E83B7E">
        <w:rPr>
          <w:lang w:val="es-ES_tradnl"/>
        </w:rPr>
        <w:t xml:space="preserve">; </w:t>
      </w:r>
      <w:r w:rsidR="00E83B7E">
        <w:rPr>
          <w:lang w:val="es-ES_tradnl"/>
        </w:rPr>
        <w:t>(</w:t>
      </w:r>
      <w:r w:rsidR="0007292C" w:rsidRPr="00E83B7E">
        <w:rPr>
          <w:lang w:val="es-ES_tradnl"/>
        </w:rPr>
        <w:t>ii)</w:t>
      </w:r>
      <w:r w:rsidRPr="00E83B7E">
        <w:rPr>
          <w:lang w:val="es-ES_tradnl"/>
        </w:rPr>
        <w:t xml:space="preserve"> demanda</w:t>
      </w:r>
      <w:r w:rsidR="0007292C" w:rsidRPr="00E83B7E">
        <w:rPr>
          <w:lang w:val="es-ES_tradnl"/>
        </w:rPr>
        <w:t xml:space="preserve">; </w:t>
      </w:r>
      <w:r w:rsidR="00E83B7E">
        <w:rPr>
          <w:lang w:val="es-ES_tradnl"/>
        </w:rPr>
        <w:t>(</w:t>
      </w:r>
      <w:r w:rsidR="0007292C" w:rsidRPr="00E83B7E">
        <w:rPr>
          <w:lang w:val="es-ES_tradnl"/>
        </w:rPr>
        <w:t>iii)</w:t>
      </w:r>
      <w:r w:rsidRPr="00E83B7E">
        <w:rPr>
          <w:lang w:val="es-ES_tradnl"/>
        </w:rPr>
        <w:t xml:space="preserve"> financiera y patrimonial</w:t>
      </w:r>
      <w:r w:rsidR="0007292C" w:rsidRPr="00E83B7E">
        <w:rPr>
          <w:lang w:val="es-ES_tradnl"/>
        </w:rPr>
        <w:t xml:space="preserve">; y </w:t>
      </w:r>
      <w:r w:rsidR="00E83B7E">
        <w:rPr>
          <w:lang w:val="es-ES_tradnl"/>
        </w:rPr>
        <w:t>(</w:t>
      </w:r>
      <w:r w:rsidR="0007292C" w:rsidRPr="00E83B7E">
        <w:rPr>
          <w:lang w:val="es-ES_tradnl"/>
        </w:rPr>
        <w:t>iv)</w:t>
      </w:r>
      <w:r w:rsidRPr="00E83B7E">
        <w:rPr>
          <w:lang w:val="es-ES_tradnl"/>
        </w:rPr>
        <w:t xml:space="preserve"> y sistémico y regulatorio. En estas cuatro áreas se identifican </w:t>
      </w:r>
      <w:r w:rsidR="0007292C" w:rsidRPr="00E83B7E">
        <w:rPr>
          <w:lang w:val="es-ES_tradnl"/>
        </w:rPr>
        <w:t>tipos</w:t>
      </w:r>
      <w:r w:rsidRPr="00E83B7E">
        <w:rPr>
          <w:lang w:val="es-ES_tradnl"/>
        </w:rPr>
        <w:t xml:space="preserve"> de riesgo y se los evalúa asignándoles un grado cualitativo de materialización potencial </w:t>
      </w:r>
      <w:r w:rsidR="0007292C" w:rsidRPr="00E83B7E">
        <w:rPr>
          <w:lang w:val="es-ES_tradnl"/>
        </w:rPr>
        <w:t>e impacto del riesgo</w:t>
      </w:r>
      <w:r w:rsidR="00794557" w:rsidRPr="00E83B7E">
        <w:rPr>
          <w:lang w:val="es-ES_tradnl"/>
        </w:rPr>
        <w:t xml:space="preserve">, a saber: moderado, significativo, severo y extremo. La calificación de cada componente </w:t>
      </w:r>
      <w:r w:rsidR="0007292C" w:rsidRPr="00E83B7E">
        <w:rPr>
          <w:lang w:val="es-ES_tradnl"/>
        </w:rPr>
        <w:t>h</w:t>
      </w:r>
      <w:r w:rsidR="00794557" w:rsidRPr="00E83B7E">
        <w:rPr>
          <w:lang w:val="es-ES_tradnl"/>
        </w:rPr>
        <w:t>a sido llevada adelante por expertos sectoriales del Banco Interamericano de Desarrollo</w:t>
      </w:r>
      <w:r w:rsidR="00A5757F" w:rsidRPr="00E83B7E">
        <w:rPr>
          <w:lang w:val="es-ES_tradnl"/>
        </w:rPr>
        <w:t>,</w:t>
      </w:r>
      <w:r w:rsidR="00794557" w:rsidRPr="00E83B7E">
        <w:rPr>
          <w:lang w:val="es-ES_tradnl"/>
        </w:rPr>
        <w:t xml:space="preserve"> quienes han generado una evaluación </w:t>
      </w:r>
      <w:r w:rsidR="00BF3440" w:rsidRPr="00E83B7E">
        <w:rPr>
          <w:lang w:val="es-ES_tradnl"/>
        </w:rPr>
        <w:t>general</w:t>
      </w:r>
      <w:r w:rsidR="0007292C" w:rsidRPr="00E83B7E">
        <w:rPr>
          <w:lang w:val="es-ES_tradnl"/>
        </w:rPr>
        <w:t xml:space="preserve"> al momento del inicio de la crisis del COVID-19, basada en sus percepciones, experiencia y</w:t>
      </w:r>
      <w:r w:rsidR="00794557" w:rsidRPr="00E83B7E">
        <w:rPr>
          <w:lang w:val="es-ES_tradnl"/>
        </w:rPr>
        <w:t xml:space="preserve"> utilizando distintas fuentes de información (incluyendo</w:t>
      </w:r>
      <w:r w:rsidR="0007292C" w:rsidRPr="00E83B7E">
        <w:rPr>
          <w:lang w:val="es-ES_tradnl"/>
        </w:rPr>
        <w:t xml:space="preserve"> entre otras, entrevistas a cámaras de comercio y actores relevantes,</w:t>
      </w:r>
      <w:r w:rsidR="00794557" w:rsidRPr="00E83B7E">
        <w:rPr>
          <w:lang w:val="es-ES_tradnl"/>
        </w:rPr>
        <w:t xml:space="preserve"> estadísticas de acceso público y otros informes especializados). Los factores considerados y las distintas áreas a las que pertenecen se detallan en el </w:t>
      </w:r>
      <w:r w:rsidR="005D1844" w:rsidRPr="00E83B7E">
        <w:rPr>
          <w:lang w:val="es-ES_tradnl"/>
        </w:rPr>
        <w:t>Tabla</w:t>
      </w:r>
      <w:r w:rsidR="00794557" w:rsidRPr="00E83B7E">
        <w:rPr>
          <w:lang w:val="es-ES_tradnl"/>
        </w:rPr>
        <w:t xml:space="preserve"> I.</w:t>
      </w:r>
      <w:r w:rsidR="005D1844" w:rsidRPr="00E83B7E">
        <w:rPr>
          <w:lang w:val="es-ES_tradnl"/>
        </w:rPr>
        <w:t>2</w:t>
      </w:r>
      <w:r w:rsidR="00794557" w:rsidRPr="00E83B7E">
        <w:rPr>
          <w:lang w:val="es-ES_tradnl"/>
        </w:rPr>
        <w:t>.</w:t>
      </w:r>
    </w:p>
    <w:p w14:paraId="6C77E1D3" w14:textId="6B7F7359" w:rsidR="00E46B00" w:rsidRPr="00E83B7E" w:rsidRDefault="005D1844" w:rsidP="0007292C">
      <w:pPr>
        <w:spacing w:after="0" w:line="240" w:lineRule="auto"/>
        <w:jc w:val="center"/>
        <w:rPr>
          <w:b/>
          <w:bCs/>
          <w:lang w:val="es-ES_tradnl"/>
        </w:rPr>
      </w:pPr>
      <w:bookmarkStart w:id="7" w:name="_Hlk36763214"/>
      <w:r w:rsidRPr="00E83B7E">
        <w:rPr>
          <w:b/>
          <w:bCs/>
          <w:lang w:val="es-ES_tradnl"/>
        </w:rPr>
        <w:t>Tabla</w:t>
      </w:r>
      <w:r w:rsidR="00E46B00" w:rsidRPr="00E83B7E">
        <w:rPr>
          <w:b/>
          <w:bCs/>
          <w:lang w:val="es-ES_tradnl"/>
        </w:rPr>
        <w:t xml:space="preserve"> I.</w:t>
      </w:r>
      <w:r w:rsidRPr="00E83B7E">
        <w:rPr>
          <w:b/>
          <w:bCs/>
          <w:lang w:val="es-ES_tradnl"/>
        </w:rPr>
        <w:t>2</w:t>
      </w:r>
    </w:p>
    <w:p w14:paraId="673B17E8" w14:textId="343CA9E4" w:rsidR="00E46B00" w:rsidRPr="00E83B7E" w:rsidRDefault="00E46B00" w:rsidP="000039BD">
      <w:pPr>
        <w:spacing w:after="0" w:line="240" w:lineRule="auto"/>
        <w:jc w:val="center"/>
        <w:rPr>
          <w:b/>
          <w:bCs/>
          <w:lang w:val="es-ES_tradnl"/>
        </w:rPr>
      </w:pPr>
      <w:r w:rsidRPr="00E83B7E">
        <w:rPr>
          <w:b/>
          <w:bCs/>
          <w:lang w:val="es-ES_tradnl"/>
        </w:rPr>
        <w:t>Áreas de clasificación y factores identificados que contribuyen al índice de vulnerabilidad sectorial</w:t>
      </w:r>
      <w:r w:rsidR="00A40BFB" w:rsidRPr="00E83B7E">
        <w:rPr>
          <w:b/>
          <w:bCs/>
          <w:lang w:val="es-ES_tradnl"/>
        </w:rPr>
        <w:t xml:space="preserve"> </w:t>
      </w:r>
      <w:r w:rsidR="00BF3440" w:rsidRPr="00E83B7E">
        <w:rPr>
          <w:rStyle w:val="FootnoteReference"/>
          <w:b/>
          <w:bCs/>
          <w:lang w:val="es-ES_tradnl"/>
        </w:rPr>
        <w:footnoteReference w:id="6"/>
      </w:r>
    </w:p>
    <w:tbl>
      <w:tblPr>
        <w:tblStyle w:val="TableGrid"/>
        <w:tblW w:w="0" w:type="auto"/>
        <w:tblLook w:val="04A0" w:firstRow="1" w:lastRow="0" w:firstColumn="1" w:lastColumn="0" w:noHBand="0" w:noVBand="1"/>
      </w:tblPr>
      <w:tblGrid>
        <w:gridCol w:w="2515"/>
        <w:gridCol w:w="6835"/>
      </w:tblGrid>
      <w:tr w:rsidR="00794557" w:rsidRPr="00E83B7E" w14:paraId="7153C782" w14:textId="77777777" w:rsidTr="0007292C">
        <w:tc>
          <w:tcPr>
            <w:tcW w:w="2515" w:type="dxa"/>
            <w:shd w:val="clear" w:color="auto" w:fill="D9E2F3" w:themeFill="accent1" w:themeFillTint="33"/>
          </w:tcPr>
          <w:bookmarkEnd w:id="7"/>
          <w:p w14:paraId="23B0B0AB" w14:textId="5025DEED" w:rsidR="00794557" w:rsidRPr="00E83B7E" w:rsidRDefault="00AB05B2" w:rsidP="0007292C">
            <w:pPr>
              <w:jc w:val="center"/>
              <w:rPr>
                <w:b/>
                <w:bCs/>
                <w:lang w:val="es-ES_tradnl"/>
              </w:rPr>
            </w:pPr>
            <w:r w:rsidRPr="00E83B7E">
              <w:rPr>
                <w:b/>
                <w:bCs/>
                <w:lang w:val="es-ES_tradnl"/>
              </w:rPr>
              <w:t>Grupo analítico</w:t>
            </w:r>
          </w:p>
        </w:tc>
        <w:tc>
          <w:tcPr>
            <w:tcW w:w="6835" w:type="dxa"/>
            <w:shd w:val="clear" w:color="auto" w:fill="D9E2F3" w:themeFill="accent1" w:themeFillTint="33"/>
          </w:tcPr>
          <w:p w14:paraId="4C764C23" w14:textId="310ECF0F" w:rsidR="00794557" w:rsidRPr="00E83B7E" w:rsidRDefault="00794557" w:rsidP="0007292C">
            <w:pPr>
              <w:jc w:val="center"/>
              <w:rPr>
                <w:b/>
                <w:bCs/>
                <w:lang w:val="es-ES_tradnl"/>
              </w:rPr>
            </w:pPr>
            <w:r w:rsidRPr="00E83B7E">
              <w:rPr>
                <w:b/>
                <w:bCs/>
                <w:lang w:val="es-ES_tradnl"/>
              </w:rPr>
              <w:t>Factor</w:t>
            </w:r>
          </w:p>
        </w:tc>
      </w:tr>
      <w:tr w:rsidR="00794557" w:rsidRPr="000B0A4A" w14:paraId="02F8C9F9" w14:textId="77777777" w:rsidTr="0007292C">
        <w:tc>
          <w:tcPr>
            <w:tcW w:w="2515" w:type="dxa"/>
            <w:vMerge w:val="restart"/>
            <w:shd w:val="clear" w:color="auto" w:fill="FFFFFF" w:themeFill="background1"/>
          </w:tcPr>
          <w:p w14:paraId="2FB7619A" w14:textId="59331BF5" w:rsidR="00794557" w:rsidRPr="00E83B7E" w:rsidRDefault="00794557" w:rsidP="0007292C">
            <w:pPr>
              <w:jc w:val="center"/>
              <w:rPr>
                <w:b/>
                <w:bCs/>
                <w:lang w:val="es-ES_tradnl"/>
              </w:rPr>
            </w:pPr>
            <w:r w:rsidRPr="00E83B7E">
              <w:rPr>
                <w:b/>
                <w:bCs/>
                <w:lang w:val="es-ES_tradnl"/>
              </w:rPr>
              <w:t>Oferta</w:t>
            </w:r>
          </w:p>
        </w:tc>
        <w:tc>
          <w:tcPr>
            <w:tcW w:w="6835" w:type="dxa"/>
            <w:shd w:val="clear" w:color="auto" w:fill="FFFFFF" w:themeFill="background1"/>
          </w:tcPr>
          <w:p w14:paraId="29281D4D" w14:textId="4FDEC461" w:rsidR="00794557" w:rsidRPr="00E83B7E" w:rsidRDefault="00794557" w:rsidP="00794557">
            <w:pPr>
              <w:jc w:val="both"/>
              <w:rPr>
                <w:lang w:val="es-ES_tradnl"/>
              </w:rPr>
            </w:pPr>
            <w:r w:rsidRPr="00E83B7E">
              <w:rPr>
                <w:lang w:val="es-ES_tradnl"/>
              </w:rPr>
              <w:t>Limitaciones uso de fuerza de trabajo</w:t>
            </w:r>
          </w:p>
        </w:tc>
      </w:tr>
      <w:tr w:rsidR="00794557" w:rsidRPr="000B0A4A" w14:paraId="2D56D58C" w14:textId="77777777" w:rsidTr="0007292C">
        <w:tc>
          <w:tcPr>
            <w:tcW w:w="2515" w:type="dxa"/>
            <w:vMerge/>
            <w:shd w:val="clear" w:color="auto" w:fill="FFFFFF" w:themeFill="background1"/>
          </w:tcPr>
          <w:p w14:paraId="3619BC8A" w14:textId="77777777" w:rsidR="00794557" w:rsidRPr="00E83B7E" w:rsidRDefault="00794557" w:rsidP="0007292C">
            <w:pPr>
              <w:jc w:val="center"/>
              <w:rPr>
                <w:b/>
                <w:bCs/>
                <w:lang w:val="es-ES_tradnl"/>
              </w:rPr>
            </w:pPr>
          </w:p>
        </w:tc>
        <w:tc>
          <w:tcPr>
            <w:tcW w:w="6835" w:type="dxa"/>
            <w:shd w:val="clear" w:color="auto" w:fill="FFFFFF" w:themeFill="background1"/>
          </w:tcPr>
          <w:p w14:paraId="1462CCC8" w14:textId="56E3EDEC" w:rsidR="00794557" w:rsidRPr="00E83B7E" w:rsidRDefault="00794557" w:rsidP="00794557">
            <w:pPr>
              <w:jc w:val="both"/>
              <w:rPr>
                <w:lang w:val="es-ES_tradnl"/>
              </w:rPr>
            </w:pPr>
            <w:r w:rsidRPr="00E83B7E">
              <w:rPr>
                <w:lang w:val="es-ES_tradnl"/>
              </w:rPr>
              <w:t>Limitaciones al uso de capital fijo (oficinas, centros comerciales, maquinas, etc.)</w:t>
            </w:r>
          </w:p>
        </w:tc>
      </w:tr>
      <w:tr w:rsidR="00794557" w:rsidRPr="000B0A4A" w14:paraId="5F9BC88F" w14:textId="77777777" w:rsidTr="0007292C">
        <w:tc>
          <w:tcPr>
            <w:tcW w:w="2515" w:type="dxa"/>
            <w:vMerge/>
            <w:shd w:val="clear" w:color="auto" w:fill="FFFFFF" w:themeFill="background1"/>
          </w:tcPr>
          <w:p w14:paraId="774B1ADF" w14:textId="77777777" w:rsidR="00794557" w:rsidRPr="00E83B7E" w:rsidRDefault="00794557" w:rsidP="0007292C">
            <w:pPr>
              <w:jc w:val="center"/>
              <w:rPr>
                <w:b/>
                <w:bCs/>
                <w:lang w:val="es-ES_tradnl"/>
              </w:rPr>
            </w:pPr>
          </w:p>
        </w:tc>
        <w:tc>
          <w:tcPr>
            <w:tcW w:w="6835" w:type="dxa"/>
            <w:shd w:val="clear" w:color="auto" w:fill="FFFFFF" w:themeFill="background1"/>
          </w:tcPr>
          <w:p w14:paraId="1752D400" w14:textId="012B6BB4" w:rsidR="00794557" w:rsidRPr="00E83B7E" w:rsidRDefault="00794557" w:rsidP="00794557">
            <w:pPr>
              <w:jc w:val="both"/>
              <w:rPr>
                <w:lang w:val="es-ES_tradnl"/>
              </w:rPr>
            </w:pPr>
            <w:r w:rsidRPr="00E83B7E">
              <w:rPr>
                <w:lang w:val="es-ES_tradnl"/>
              </w:rPr>
              <w:t>Insuficiencia en cantidad y calidad de insumos físicos</w:t>
            </w:r>
          </w:p>
        </w:tc>
      </w:tr>
      <w:tr w:rsidR="00794557" w:rsidRPr="000B0A4A" w14:paraId="3D148F4A" w14:textId="77777777" w:rsidTr="0007292C">
        <w:tc>
          <w:tcPr>
            <w:tcW w:w="2515" w:type="dxa"/>
            <w:vMerge/>
            <w:shd w:val="clear" w:color="auto" w:fill="FFFFFF" w:themeFill="background1"/>
          </w:tcPr>
          <w:p w14:paraId="7669F781" w14:textId="77777777" w:rsidR="00794557" w:rsidRPr="00E83B7E" w:rsidRDefault="00794557" w:rsidP="0007292C">
            <w:pPr>
              <w:jc w:val="center"/>
              <w:rPr>
                <w:b/>
                <w:bCs/>
                <w:lang w:val="es-ES_tradnl"/>
              </w:rPr>
            </w:pPr>
          </w:p>
        </w:tc>
        <w:tc>
          <w:tcPr>
            <w:tcW w:w="6835" w:type="dxa"/>
            <w:shd w:val="clear" w:color="auto" w:fill="FFFFFF" w:themeFill="background1"/>
          </w:tcPr>
          <w:p w14:paraId="5A48FCBC" w14:textId="79CF7A41" w:rsidR="00794557" w:rsidRPr="00E83B7E" w:rsidRDefault="00794557" w:rsidP="00794557">
            <w:pPr>
              <w:jc w:val="both"/>
              <w:rPr>
                <w:lang w:val="es-ES_tradnl"/>
              </w:rPr>
            </w:pPr>
            <w:r w:rsidRPr="00E83B7E">
              <w:rPr>
                <w:lang w:val="es-ES_tradnl"/>
              </w:rPr>
              <w:t xml:space="preserve">Limitaciones al acceso a servicios (transporte, comunicación) </w:t>
            </w:r>
          </w:p>
        </w:tc>
      </w:tr>
      <w:tr w:rsidR="00794557" w:rsidRPr="000B0A4A" w14:paraId="33448694" w14:textId="77777777" w:rsidTr="0007292C">
        <w:tc>
          <w:tcPr>
            <w:tcW w:w="2515" w:type="dxa"/>
            <w:vMerge/>
            <w:shd w:val="clear" w:color="auto" w:fill="FFFFFF" w:themeFill="background1"/>
          </w:tcPr>
          <w:p w14:paraId="58C9DF4D" w14:textId="77777777" w:rsidR="00794557" w:rsidRPr="00E83B7E" w:rsidRDefault="00794557" w:rsidP="0007292C">
            <w:pPr>
              <w:jc w:val="center"/>
              <w:rPr>
                <w:b/>
                <w:bCs/>
                <w:lang w:val="es-ES_tradnl"/>
              </w:rPr>
            </w:pPr>
          </w:p>
        </w:tc>
        <w:tc>
          <w:tcPr>
            <w:tcW w:w="6835" w:type="dxa"/>
            <w:shd w:val="clear" w:color="auto" w:fill="FFFFFF" w:themeFill="background1"/>
          </w:tcPr>
          <w:p w14:paraId="53886982" w14:textId="279213B7" w:rsidR="00794557" w:rsidRPr="00E83B7E" w:rsidRDefault="00794557" w:rsidP="00794557">
            <w:pPr>
              <w:jc w:val="both"/>
              <w:rPr>
                <w:lang w:val="es-ES_tradnl"/>
              </w:rPr>
            </w:pPr>
            <w:r w:rsidRPr="00E83B7E">
              <w:rPr>
                <w:lang w:val="es-ES_tradnl"/>
              </w:rPr>
              <w:t>Aumento de los costos de insumos y de producción</w:t>
            </w:r>
          </w:p>
        </w:tc>
      </w:tr>
      <w:tr w:rsidR="00794557" w:rsidRPr="000B0A4A" w14:paraId="64AC37CB" w14:textId="77777777" w:rsidTr="0007292C">
        <w:tc>
          <w:tcPr>
            <w:tcW w:w="2515" w:type="dxa"/>
            <w:vMerge w:val="restart"/>
            <w:shd w:val="clear" w:color="auto" w:fill="FFFFFF" w:themeFill="background1"/>
          </w:tcPr>
          <w:p w14:paraId="66EBBA40" w14:textId="1111EE53" w:rsidR="00794557" w:rsidRPr="00E83B7E" w:rsidRDefault="00794557" w:rsidP="0007292C">
            <w:pPr>
              <w:jc w:val="center"/>
              <w:rPr>
                <w:b/>
                <w:bCs/>
                <w:lang w:val="es-ES_tradnl"/>
              </w:rPr>
            </w:pPr>
            <w:r w:rsidRPr="00E83B7E">
              <w:rPr>
                <w:b/>
                <w:bCs/>
                <w:lang w:val="es-ES_tradnl"/>
              </w:rPr>
              <w:t>Demanda</w:t>
            </w:r>
          </w:p>
        </w:tc>
        <w:tc>
          <w:tcPr>
            <w:tcW w:w="6835" w:type="dxa"/>
            <w:shd w:val="clear" w:color="auto" w:fill="FFFFFF" w:themeFill="background1"/>
          </w:tcPr>
          <w:p w14:paraId="7C5504F5" w14:textId="2A0B1B7D" w:rsidR="00794557" w:rsidRPr="00E83B7E" w:rsidRDefault="00794557" w:rsidP="00794557">
            <w:pPr>
              <w:jc w:val="both"/>
              <w:rPr>
                <w:lang w:val="es-ES_tradnl"/>
              </w:rPr>
            </w:pPr>
            <w:r w:rsidRPr="00E83B7E">
              <w:rPr>
                <w:lang w:val="es-ES_tradnl"/>
              </w:rPr>
              <w:t>Reducción de la demanda interna / domestica</w:t>
            </w:r>
          </w:p>
        </w:tc>
      </w:tr>
      <w:tr w:rsidR="00794557" w:rsidRPr="000B0A4A" w14:paraId="00558798" w14:textId="77777777" w:rsidTr="0007292C">
        <w:tc>
          <w:tcPr>
            <w:tcW w:w="2515" w:type="dxa"/>
            <w:vMerge/>
            <w:shd w:val="clear" w:color="auto" w:fill="FFFFFF" w:themeFill="background1"/>
          </w:tcPr>
          <w:p w14:paraId="3DE54C46" w14:textId="77777777" w:rsidR="00794557" w:rsidRPr="00E83B7E" w:rsidRDefault="00794557" w:rsidP="0007292C">
            <w:pPr>
              <w:jc w:val="center"/>
              <w:rPr>
                <w:b/>
                <w:bCs/>
                <w:lang w:val="es-ES_tradnl"/>
              </w:rPr>
            </w:pPr>
          </w:p>
        </w:tc>
        <w:tc>
          <w:tcPr>
            <w:tcW w:w="6835" w:type="dxa"/>
            <w:shd w:val="clear" w:color="auto" w:fill="FFFFFF" w:themeFill="background1"/>
          </w:tcPr>
          <w:p w14:paraId="20ABF7FE" w14:textId="072A533F" w:rsidR="00794557" w:rsidRPr="00E83B7E" w:rsidRDefault="00794557" w:rsidP="00794557">
            <w:pPr>
              <w:jc w:val="both"/>
              <w:rPr>
                <w:lang w:val="es-ES_tradnl"/>
              </w:rPr>
            </w:pPr>
            <w:r w:rsidRPr="00E83B7E">
              <w:rPr>
                <w:lang w:val="es-ES_tradnl"/>
              </w:rPr>
              <w:t xml:space="preserve">Reducción en la demanda de exportación o extranjera </w:t>
            </w:r>
          </w:p>
        </w:tc>
      </w:tr>
      <w:tr w:rsidR="00E46B00" w:rsidRPr="000B0A4A" w14:paraId="204BBBBD" w14:textId="77777777" w:rsidTr="0007292C">
        <w:tc>
          <w:tcPr>
            <w:tcW w:w="2515" w:type="dxa"/>
            <w:vMerge w:val="restart"/>
            <w:shd w:val="clear" w:color="auto" w:fill="FFFFFF" w:themeFill="background1"/>
          </w:tcPr>
          <w:p w14:paraId="6C3F8E29" w14:textId="33C0F037" w:rsidR="00E46B00" w:rsidRPr="00E83B7E" w:rsidRDefault="00E46B00" w:rsidP="0007292C">
            <w:pPr>
              <w:jc w:val="center"/>
              <w:rPr>
                <w:b/>
                <w:bCs/>
                <w:lang w:val="es-ES_tradnl"/>
              </w:rPr>
            </w:pPr>
            <w:r w:rsidRPr="00E83B7E">
              <w:rPr>
                <w:b/>
                <w:bCs/>
                <w:lang w:val="es-ES_tradnl"/>
              </w:rPr>
              <w:t>Financiera</w:t>
            </w:r>
          </w:p>
        </w:tc>
        <w:tc>
          <w:tcPr>
            <w:tcW w:w="6835" w:type="dxa"/>
            <w:shd w:val="clear" w:color="auto" w:fill="FFFFFF" w:themeFill="background1"/>
          </w:tcPr>
          <w:p w14:paraId="5D3DA0B9" w14:textId="7DC83A46" w:rsidR="00E46B00" w:rsidRPr="00E83B7E" w:rsidRDefault="00E46B00" w:rsidP="00794557">
            <w:pPr>
              <w:jc w:val="both"/>
              <w:rPr>
                <w:lang w:val="es-ES_tradnl"/>
              </w:rPr>
            </w:pPr>
            <w:r w:rsidRPr="00E83B7E">
              <w:rPr>
                <w:lang w:val="es-ES_tradnl"/>
              </w:rPr>
              <w:t>Retraso o interrupción del ciclo de pagos</w:t>
            </w:r>
          </w:p>
        </w:tc>
      </w:tr>
      <w:tr w:rsidR="00E46B00" w:rsidRPr="000B0A4A" w14:paraId="0AE51A61" w14:textId="77777777" w:rsidTr="0007292C">
        <w:tc>
          <w:tcPr>
            <w:tcW w:w="2515" w:type="dxa"/>
            <w:vMerge/>
            <w:shd w:val="clear" w:color="auto" w:fill="FFFFFF" w:themeFill="background1"/>
          </w:tcPr>
          <w:p w14:paraId="3DFD292E" w14:textId="77777777" w:rsidR="00E46B00" w:rsidRPr="00E83B7E" w:rsidRDefault="00E46B00" w:rsidP="0007292C">
            <w:pPr>
              <w:jc w:val="center"/>
              <w:rPr>
                <w:b/>
                <w:bCs/>
                <w:lang w:val="es-ES_tradnl"/>
              </w:rPr>
            </w:pPr>
          </w:p>
        </w:tc>
        <w:tc>
          <w:tcPr>
            <w:tcW w:w="6835" w:type="dxa"/>
            <w:shd w:val="clear" w:color="auto" w:fill="FFFFFF" w:themeFill="background1"/>
          </w:tcPr>
          <w:p w14:paraId="3421AC8B" w14:textId="05709DF2" w:rsidR="00E46B00" w:rsidRPr="00E83B7E" w:rsidRDefault="00E46B00" w:rsidP="00794557">
            <w:pPr>
              <w:jc w:val="both"/>
              <w:rPr>
                <w:lang w:val="es-ES_tradnl"/>
              </w:rPr>
            </w:pPr>
            <w:r w:rsidRPr="00E83B7E">
              <w:rPr>
                <w:lang w:val="es-ES_tradnl"/>
              </w:rPr>
              <w:t>Reducción o interrupción de financiamientos de corto plazo</w:t>
            </w:r>
          </w:p>
        </w:tc>
      </w:tr>
      <w:tr w:rsidR="00E46B00" w:rsidRPr="000B0A4A" w14:paraId="587A1FE7" w14:textId="77777777" w:rsidTr="0007292C">
        <w:tc>
          <w:tcPr>
            <w:tcW w:w="2515" w:type="dxa"/>
            <w:vMerge/>
            <w:shd w:val="clear" w:color="auto" w:fill="FFFFFF" w:themeFill="background1"/>
          </w:tcPr>
          <w:p w14:paraId="452CFD4C" w14:textId="77777777" w:rsidR="00E46B00" w:rsidRPr="00E83B7E" w:rsidRDefault="00E46B00" w:rsidP="0007292C">
            <w:pPr>
              <w:jc w:val="center"/>
              <w:rPr>
                <w:b/>
                <w:bCs/>
                <w:lang w:val="es-ES_tradnl"/>
              </w:rPr>
            </w:pPr>
          </w:p>
        </w:tc>
        <w:tc>
          <w:tcPr>
            <w:tcW w:w="6835" w:type="dxa"/>
            <w:shd w:val="clear" w:color="auto" w:fill="FFFFFF" w:themeFill="background1"/>
          </w:tcPr>
          <w:p w14:paraId="69FE3668" w14:textId="4C6812F9" w:rsidR="00E46B00" w:rsidRPr="00E83B7E" w:rsidRDefault="00E46B00" w:rsidP="00794557">
            <w:pPr>
              <w:jc w:val="both"/>
              <w:rPr>
                <w:lang w:val="es-ES_tradnl"/>
              </w:rPr>
            </w:pPr>
            <w:r w:rsidRPr="00E83B7E">
              <w:rPr>
                <w:lang w:val="es-ES_tradnl"/>
              </w:rPr>
              <w:t xml:space="preserve">Reducción o interrupción de financiamiento de mediano y largo plazo </w:t>
            </w:r>
          </w:p>
        </w:tc>
      </w:tr>
      <w:tr w:rsidR="00E46B00" w:rsidRPr="000B0A4A" w14:paraId="1B4DE62D" w14:textId="77777777" w:rsidTr="0007292C">
        <w:tc>
          <w:tcPr>
            <w:tcW w:w="2515" w:type="dxa"/>
            <w:vMerge/>
            <w:shd w:val="clear" w:color="auto" w:fill="FFFFFF" w:themeFill="background1"/>
          </w:tcPr>
          <w:p w14:paraId="631D2CCC" w14:textId="77777777" w:rsidR="00E46B00" w:rsidRPr="00E83B7E" w:rsidRDefault="00E46B00" w:rsidP="0007292C">
            <w:pPr>
              <w:jc w:val="center"/>
              <w:rPr>
                <w:b/>
                <w:bCs/>
                <w:lang w:val="es-ES_tradnl"/>
              </w:rPr>
            </w:pPr>
          </w:p>
        </w:tc>
        <w:tc>
          <w:tcPr>
            <w:tcW w:w="6835" w:type="dxa"/>
            <w:shd w:val="clear" w:color="auto" w:fill="FFFFFF" w:themeFill="background1"/>
          </w:tcPr>
          <w:p w14:paraId="714C6865" w14:textId="4FACADED" w:rsidR="00E46B00" w:rsidRPr="00E83B7E" w:rsidRDefault="00E46B00" w:rsidP="00794557">
            <w:pPr>
              <w:jc w:val="both"/>
              <w:rPr>
                <w:lang w:val="es-ES_tradnl"/>
              </w:rPr>
            </w:pPr>
            <w:r w:rsidRPr="00E83B7E">
              <w:rPr>
                <w:lang w:val="es-ES_tradnl"/>
              </w:rPr>
              <w:t>Aumento de los costos financieros y de intermediación (tasas de interés, comisiones, etc.)</w:t>
            </w:r>
          </w:p>
        </w:tc>
      </w:tr>
      <w:tr w:rsidR="00E46B00" w:rsidRPr="000B0A4A" w14:paraId="6EA176BD" w14:textId="77777777" w:rsidTr="0007292C">
        <w:tc>
          <w:tcPr>
            <w:tcW w:w="2515" w:type="dxa"/>
            <w:vMerge w:val="restart"/>
            <w:shd w:val="clear" w:color="auto" w:fill="FFFFFF" w:themeFill="background1"/>
          </w:tcPr>
          <w:p w14:paraId="79B919BB" w14:textId="3F858AFC" w:rsidR="00E46B00" w:rsidRPr="00E83B7E" w:rsidRDefault="00E46B00" w:rsidP="0007292C">
            <w:pPr>
              <w:jc w:val="center"/>
              <w:rPr>
                <w:b/>
                <w:bCs/>
                <w:lang w:val="es-ES_tradnl"/>
              </w:rPr>
            </w:pPr>
            <w:r w:rsidRPr="00E83B7E">
              <w:rPr>
                <w:b/>
                <w:bCs/>
                <w:lang w:val="es-ES_tradnl"/>
              </w:rPr>
              <w:t>Patrimonial</w:t>
            </w:r>
          </w:p>
        </w:tc>
        <w:tc>
          <w:tcPr>
            <w:tcW w:w="6835" w:type="dxa"/>
            <w:shd w:val="clear" w:color="auto" w:fill="FFFFFF" w:themeFill="background1"/>
          </w:tcPr>
          <w:p w14:paraId="4D1D0DA6" w14:textId="2E994446" w:rsidR="00E46B00" w:rsidRPr="00E83B7E" w:rsidRDefault="00E46B00" w:rsidP="00794557">
            <w:pPr>
              <w:jc w:val="both"/>
              <w:rPr>
                <w:lang w:val="es-ES_tradnl"/>
              </w:rPr>
            </w:pPr>
            <w:r w:rsidRPr="00E83B7E">
              <w:rPr>
                <w:lang w:val="es-ES_tradnl"/>
              </w:rPr>
              <w:t>Reducción del valor de los activos reales por retracción de la demanda</w:t>
            </w:r>
          </w:p>
        </w:tc>
      </w:tr>
      <w:tr w:rsidR="00E46B00" w:rsidRPr="000B0A4A" w14:paraId="1B25F04E" w14:textId="77777777" w:rsidTr="0007292C">
        <w:tc>
          <w:tcPr>
            <w:tcW w:w="2515" w:type="dxa"/>
            <w:vMerge/>
            <w:shd w:val="clear" w:color="auto" w:fill="FFFFFF" w:themeFill="background1"/>
          </w:tcPr>
          <w:p w14:paraId="69875DCC" w14:textId="77777777" w:rsidR="00E46B00" w:rsidRPr="00E83B7E" w:rsidRDefault="00E46B00" w:rsidP="0007292C">
            <w:pPr>
              <w:jc w:val="center"/>
              <w:rPr>
                <w:b/>
                <w:bCs/>
                <w:lang w:val="es-ES_tradnl"/>
              </w:rPr>
            </w:pPr>
          </w:p>
        </w:tc>
        <w:tc>
          <w:tcPr>
            <w:tcW w:w="6835" w:type="dxa"/>
            <w:shd w:val="clear" w:color="auto" w:fill="FFFFFF" w:themeFill="background1"/>
          </w:tcPr>
          <w:p w14:paraId="09263E05" w14:textId="48DD0FD7" w:rsidR="00E46B00" w:rsidRPr="00E83B7E" w:rsidRDefault="00E46B00" w:rsidP="00794557">
            <w:pPr>
              <w:jc w:val="both"/>
              <w:rPr>
                <w:lang w:val="es-ES_tradnl"/>
              </w:rPr>
            </w:pPr>
            <w:r w:rsidRPr="00E83B7E">
              <w:rPr>
                <w:lang w:val="es-ES_tradnl"/>
              </w:rPr>
              <w:t>Acumulación de pasivos (alquileres, sueldos, etc.)</w:t>
            </w:r>
          </w:p>
        </w:tc>
      </w:tr>
      <w:tr w:rsidR="00E46B00" w:rsidRPr="00E83B7E" w14:paraId="287B5B50" w14:textId="77777777" w:rsidTr="0007292C">
        <w:tc>
          <w:tcPr>
            <w:tcW w:w="2515" w:type="dxa"/>
            <w:vMerge w:val="restart"/>
            <w:shd w:val="clear" w:color="auto" w:fill="FFFFFF" w:themeFill="background1"/>
          </w:tcPr>
          <w:p w14:paraId="086AABAE" w14:textId="1D29CA73" w:rsidR="00E46B00" w:rsidRPr="00E83B7E" w:rsidRDefault="00E46B00" w:rsidP="0007292C">
            <w:pPr>
              <w:jc w:val="center"/>
              <w:rPr>
                <w:b/>
                <w:bCs/>
                <w:lang w:val="es-ES_tradnl"/>
              </w:rPr>
            </w:pPr>
            <w:r w:rsidRPr="00E83B7E">
              <w:rPr>
                <w:b/>
                <w:bCs/>
                <w:lang w:val="es-ES_tradnl"/>
              </w:rPr>
              <w:t>Sistémico y regulatorio</w:t>
            </w:r>
          </w:p>
        </w:tc>
        <w:tc>
          <w:tcPr>
            <w:tcW w:w="6835" w:type="dxa"/>
            <w:shd w:val="clear" w:color="auto" w:fill="FFFFFF" w:themeFill="background1"/>
          </w:tcPr>
          <w:p w14:paraId="7F48D75F" w14:textId="713D0AD4" w:rsidR="00E46B00" w:rsidRPr="00E83B7E" w:rsidRDefault="00E46B00" w:rsidP="00794557">
            <w:pPr>
              <w:jc w:val="both"/>
              <w:rPr>
                <w:lang w:val="es-ES_tradnl"/>
              </w:rPr>
            </w:pPr>
            <w:r w:rsidRPr="00E83B7E">
              <w:rPr>
                <w:lang w:val="es-ES_tradnl"/>
              </w:rPr>
              <w:t>Inestabilidad política y social</w:t>
            </w:r>
          </w:p>
        </w:tc>
      </w:tr>
      <w:tr w:rsidR="00E46B00" w:rsidRPr="00E83B7E" w14:paraId="008A5CE7" w14:textId="77777777" w:rsidTr="0007292C">
        <w:trPr>
          <w:trHeight w:val="134"/>
        </w:trPr>
        <w:tc>
          <w:tcPr>
            <w:tcW w:w="2515" w:type="dxa"/>
            <w:vMerge/>
            <w:tcBorders>
              <w:bottom w:val="single" w:sz="4" w:space="0" w:color="auto"/>
            </w:tcBorders>
            <w:shd w:val="clear" w:color="auto" w:fill="E7E6E6" w:themeFill="background2"/>
          </w:tcPr>
          <w:p w14:paraId="70A69918" w14:textId="77777777" w:rsidR="00E46B00" w:rsidRPr="00E83B7E" w:rsidRDefault="00E46B00" w:rsidP="00794557">
            <w:pPr>
              <w:jc w:val="both"/>
              <w:rPr>
                <w:lang w:val="es-ES_tradnl"/>
              </w:rPr>
            </w:pPr>
          </w:p>
        </w:tc>
        <w:tc>
          <w:tcPr>
            <w:tcW w:w="6835" w:type="dxa"/>
            <w:tcBorders>
              <w:bottom w:val="single" w:sz="4" w:space="0" w:color="auto"/>
            </w:tcBorders>
            <w:shd w:val="clear" w:color="auto" w:fill="FFFFFF" w:themeFill="background1"/>
          </w:tcPr>
          <w:p w14:paraId="424C3497" w14:textId="44F69261" w:rsidR="00E46B00" w:rsidRPr="00E83B7E" w:rsidRDefault="00E46B00" w:rsidP="00794557">
            <w:pPr>
              <w:jc w:val="both"/>
              <w:rPr>
                <w:lang w:val="es-ES_tradnl"/>
              </w:rPr>
            </w:pPr>
            <w:r w:rsidRPr="00E83B7E">
              <w:rPr>
                <w:lang w:val="es-ES_tradnl"/>
              </w:rPr>
              <w:t>Incertidumbre institucional y legal</w:t>
            </w:r>
          </w:p>
        </w:tc>
      </w:tr>
      <w:tr w:rsidR="00E46B00" w:rsidRPr="00E83B7E" w14:paraId="3645FFFA" w14:textId="77777777" w:rsidTr="0007292C">
        <w:trPr>
          <w:trHeight w:val="134"/>
        </w:trPr>
        <w:tc>
          <w:tcPr>
            <w:tcW w:w="9350" w:type="dxa"/>
            <w:gridSpan w:val="2"/>
            <w:tcBorders>
              <w:top w:val="single" w:sz="4" w:space="0" w:color="auto"/>
              <w:left w:val="nil"/>
              <w:bottom w:val="nil"/>
              <w:right w:val="nil"/>
            </w:tcBorders>
            <w:shd w:val="clear" w:color="auto" w:fill="FFFFFF" w:themeFill="background1"/>
          </w:tcPr>
          <w:p w14:paraId="14A26D40" w14:textId="364554C7" w:rsidR="00E46B00" w:rsidRPr="00E83B7E" w:rsidRDefault="00E46B00" w:rsidP="00794557">
            <w:pPr>
              <w:jc w:val="both"/>
              <w:rPr>
                <w:sz w:val="18"/>
                <w:szCs w:val="18"/>
                <w:lang w:val="es-ES_tradnl"/>
              </w:rPr>
            </w:pPr>
            <w:r w:rsidRPr="00E83B7E">
              <w:rPr>
                <w:sz w:val="18"/>
                <w:szCs w:val="18"/>
                <w:lang w:val="es-ES_tradnl"/>
              </w:rPr>
              <w:t>Fuente: IFD/CMF.</w:t>
            </w:r>
          </w:p>
        </w:tc>
      </w:tr>
    </w:tbl>
    <w:p w14:paraId="2E2FCCA9" w14:textId="77777777" w:rsidR="000B0A4A" w:rsidRPr="000B0A4A" w:rsidRDefault="000B0A4A" w:rsidP="004656DB">
      <w:pPr>
        <w:jc w:val="both"/>
        <w:rPr>
          <w:sz w:val="6"/>
          <w:szCs w:val="6"/>
          <w:lang w:val="es-ES_tradnl"/>
        </w:rPr>
      </w:pPr>
    </w:p>
    <w:p w14:paraId="226FB7CC" w14:textId="650C9151" w:rsidR="004656DB" w:rsidRPr="00E83B7E" w:rsidRDefault="0007292C" w:rsidP="004656DB">
      <w:pPr>
        <w:jc w:val="both"/>
        <w:rPr>
          <w:lang w:val="es-ES_tradnl"/>
        </w:rPr>
      </w:pPr>
      <w:r w:rsidRPr="00E83B7E">
        <w:rPr>
          <w:lang w:val="es-ES_tradnl"/>
        </w:rPr>
        <w:t>Una vez</w:t>
      </w:r>
      <w:r w:rsidR="00E56942" w:rsidRPr="00E83B7E">
        <w:rPr>
          <w:lang w:val="es-ES_tradnl"/>
        </w:rPr>
        <w:t xml:space="preserve"> asigna</w:t>
      </w:r>
      <w:r w:rsidRPr="00E83B7E">
        <w:rPr>
          <w:lang w:val="es-ES_tradnl"/>
        </w:rPr>
        <w:t>da</w:t>
      </w:r>
      <w:r w:rsidR="00E56942" w:rsidRPr="00E83B7E">
        <w:rPr>
          <w:lang w:val="es-ES_tradnl"/>
        </w:rPr>
        <w:t xml:space="preserve"> </w:t>
      </w:r>
      <w:r w:rsidRPr="00E83B7E">
        <w:rPr>
          <w:lang w:val="es-ES_tradnl"/>
        </w:rPr>
        <w:t>la calificación de</w:t>
      </w:r>
      <w:r w:rsidR="00E56942" w:rsidRPr="00E83B7E">
        <w:rPr>
          <w:lang w:val="es-ES_tradnl"/>
        </w:rPr>
        <w:t xml:space="preserve"> riesgo/vulnerabilidad para cada factor, </w:t>
      </w:r>
      <w:r w:rsidRPr="00E83B7E">
        <w:rPr>
          <w:lang w:val="es-ES_tradnl"/>
        </w:rPr>
        <w:t xml:space="preserve">se evalúan los </w:t>
      </w:r>
      <w:r w:rsidR="00E56942" w:rsidRPr="00E83B7E">
        <w:rPr>
          <w:lang w:val="es-ES_tradnl"/>
        </w:rPr>
        <w:t xml:space="preserve">resultados </w:t>
      </w:r>
      <w:r w:rsidRPr="00E83B7E">
        <w:rPr>
          <w:lang w:val="es-ES_tradnl"/>
        </w:rPr>
        <w:t xml:space="preserve"> y  </w:t>
      </w:r>
      <w:r w:rsidR="00E56942" w:rsidRPr="00E83B7E">
        <w:rPr>
          <w:lang w:val="es-ES_tradnl"/>
        </w:rPr>
        <w:t>se agregan en un índice que asigna un peso de 30% respectivamente para los factores de oferta, demanda y financieros y patrimoniales y de 10% para los factores sistémicos y regulatorios.</w:t>
      </w:r>
      <w:r w:rsidR="00E56942" w:rsidRPr="00E83B7E">
        <w:rPr>
          <w:rStyle w:val="FootnoteReference"/>
          <w:lang w:val="es-ES_tradnl"/>
        </w:rPr>
        <w:footnoteReference w:id="7"/>
      </w:r>
      <w:r w:rsidR="00E56942" w:rsidRPr="00E83B7E">
        <w:rPr>
          <w:lang w:val="es-ES_tradnl"/>
        </w:rPr>
        <w:t xml:space="preserve"> </w:t>
      </w:r>
      <w:r w:rsidR="00AB05B2" w:rsidRPr="00E83B7E">
        <w:rPr>
          <w:lang w:val="es-ES_tradnl"/>
        </w:rPr>
        <w:t>De esta manera se obtiene un índice general de vulnerabilidad sectorial junto a índices parciales para los distintos grupos analíticos (</w:t>
      </w:r>
      <w:r w:rsidRPr="00E83B7E">
        <w:rPr>
          <w:lang w:val="es-ES_tradnl"/>
        </w:rPr>
        <w:t xml:space="preserve"> </w:t>
      </w:r>
      <w:r w:rsidR="00AB05B2" w:rsidRPr="00E83B7E">
        <w:rPr>
          <w:lang w:val="es-ES_tradnl"/>
        </w:rPr>
        <w:t>oferta, demanda, financieros y patrimoniales y sistémicos y regulatorios). Al momento de esta nota, se han realizado análisis similares para otros países de la región</w:t>
      </w:r>
      <w:r w:rsidR="00A306E2">
        <w:rPr>
          <w:lang w:val="es-ES_tradnl"/>
        </w:rPr>
        <w:t xml:space="preserve"> </w:t>
      </w:r>
      <w:r w:rsidR="00A306E2" w:rsidRPr="00F34FA3">
        <w:rPr>
          <w:lang w:val="es-ES_tradnl"/>
        </w:rPr>
        <w:t>(</w:t>
      </w:r>
      <w:r w:rsidR="00F34FA3" w:rsidRPr="00F34FA3">
        <w:rPr>
          <w:lang w:val="es-ES_tradnl"/>
        </w:rPr>
        <w:t xml:space="preserve">Brasil, Colombia, Honduras, </w:t>
      </w:r>
      <w:r w:rsidR="00A306E2" w:rsidRPr="00F34FA3">
        <w:rPr>
          <w:lang w:val="es-ES_tradnl"/>
        </w:rPr>
        <w:t xml:space="preserve">Ecuador, </w:t>
      </w:r>
      <w:r w:rsidR="00F34FA3" w:rsidRPr="00F34FA3">
        <w:rPr>
          <w:lang w:val="es-ES_tradnl"/>
        </w:rPr>
        <w:t xml:space="preserve">El Salvador, </w:t>
      </w:r>
      <w:r w:rsidR="00A306E2" w:rsidRPr="00F34FA3">
        <w:rPr>
          <w:lang w:val="es-ES_tradnl"/>
        </w:rPr>
        <w:t>México</w:t>
      </w:r>
      <w:r w:rsidR="001C1800" w:rsidRPr="00F34FA3">
        <w:rPr>
          <w:lang w:val="es-ES_tradnl"/>
        </w:rPr>
        <w:t>, Panamá</w:t>
      </w:r>
      <w:r w:rsidR="00A306E2" w:rsidRPr="00F34FA3">
        <w:rPr>
          <w:lang w:val="es-ES_tradnl"/>
        </w:rPr>
        <w:t xml:space="preserve"> y Uruguay)</w:t>
      </w:r>
      <w:r w:rsidR="00AB05B2" w:rsidRPr="00F34FA3">
        <w:rPr>
          <w:lang w:val="es-ES_tradnl"/>
        </w:rPr>
        <w:t>, lo cual permite dim</w:t>
      </w:r>
      <w:r w:rsidR="00AB05B2" w:rsidRPr="00E83B7E">
        <w:rPr>
          <w:lang w:val="es-ES_tradnl"/>
        </w:rPr>
        <w:t xml:space="preserve">ensionar más claramente la distribución de vulnerabilidades entre países. </w:t>
      </w:r>
    </w:p>
    <w:p w14:paraId="2D268FF1" w14:textId="2B101EFD" w:rsidR="00A700FB" w:rsidRPr="00E83B7E" w:rsidRDefault="00A700FB" w:rsidP="0007292C">
      <w:pPr>
        <w:jc w:val="both"/>
        <w:rPr>
          <w:lang w:val="es-ES_tradnl"/>
        </w:rPr>
      </w:pPr>
      <w:r w:rsidRPr="00E83B7E">
        <w:rPr>
          <w:lang w:val="es-ES_tradnl"/>
        </w:rPr>
        <w:t>De manera adicional, también se presenta el grado de vulnerabilidad agregado generado por dichos sectores productivos utilizando distintos ponderadores, entre los que se destacan: contribución al empleo, contribución al PIB, contribución al total de empresas M</w:t>
      </w:r>
      <w:r w:rsidR="00043713" w:rsidRPr="00E83B7E">
        <w:rPr>
          <w:lang w:val="es-ES_tradnl"/>
        </w:rPr>
        <w:t>i</w:t>
      </w:r>
      <w:r w:rsidRPr="00E83B7E">
        <w:rPr>
          <w:lang w:val="es-ES_tradnl"/>
        </w:rPr>
        <w:t>P</w:t>
      </w:r>
      <w:r w:rsidR="00E83B7E">
        <w:rPr>
          <w:lang w:val="es-ES_tradnl"/>
        </w:rPr>
        <w:t>y</w:t>
      </w:r>
      <w:r w:rsidRPr="00E83B7E">
        <w:rPr>
          <w:lang w:val="es-ES_tradnl"/>
        </w:rPr>
        <w:t>ME</w:t>
      </w:r>
      <w:r w:rsidRPr="00E83B7E">
        <w:rPr>
          <w:rStyle w:val="FootnoteReference"/>
          <w:lang w:val="es-ES_tradnl"/>
        </w:rPr>
        <w:footnoteReference w:id="8"/>
      </w:r>
      <w:r w:rsidR="00E83B7E">
        <w:rPr>
          <w:lang w:val="es-ES_tradnl"/>
        </w:rPr>
        <w:t>.</w:t>
      </w:r>
    </w:p>
    <w:p w14:paraId="124D52CE" w14:textId="4F82376F" w:rsidR="00AE17AB" w:rsidRPr="00E83B7E" w:rsidRDefault="00D41616" w:rsidP="0007292C">
      <w:pPr>
        <w:pStyle w:val="Heading1"/>
        <w:numPr>
          <w:ilvl w:val="0"/>
          <w:numId w:val="4"/>
        </w:numPr>
        <w:jc w:val="both"/>
        <w:rPr>
          <w:lang w:val="es-ES_tradnl"/>
        </w:rPr>
      </w:pPr>
      <w:bookmarkStart w:id="8" w:name="_Toc38398630"/>
      <w:bookmarkStart w:id="9" w:name="_Toc36834037"/>
      <w:r w:rsidRPr="00E83B7E">
        <w:rPr>
          <w:lang w:val="es-ES_tradnl"/>
        </w:rPr>
        <w:t>Situación de vulnerabilidad</w:t>
      </w:r>
      <w:bookmarkEnd w:id="8"/>
      <w:bookmarkEnd w:id="9"/>
    </w:p>
    <w:p w14:paraId="4DC306A5" w14:textId="4AB1031F" w:rsidR="00681D94" w:rsidRPr="00E83B7E" w:rsidRDefault="00681D94" w:rsidP="00725F1A">
      <w:pPr>
        <w:pStyle w:val="Heading2"/>
        <w:ind w:left="0"/>
        <w:rPr>
          <w:lang w:val="es-ES_tradnl"/>
        </w:rPr>
      </w:pPr>
      <w:bookmarkStart w:id="10" w:name="_Toc38398631"/>
      <w:bookmarkStart w:id="11" w:name="_Toc36834038"/>
      <w:r w:rsidRPr="00E83B7E">
        <w:rPr>
          <w:lang w:val="es-ES_tradnl"/>
        </w:rPr>
        <w:t>Situación general</w:t>
      </w:r>
      <w:bookmarkEnd w:id="10"/>
      <w:bookmarkEnd w:id="11"/>
    </w:p>
    <w:p w14:paraId="1C5EE5C9" w14:textId="4DA9C73D" w:rsidR="00CA665E" w:rsidRPr="00E83B7E" w:rsidRDefault="00F3704F" w:rsidP="00A700FB">
      <w:pPr>
        <w:jc w:val="both"/>
        <w:rPr>
          <w:lang w:val="es-ES_tradnl"/>
        </w:rPr>
      </w:pPr>
      <w:r w:rsidRPr="00E83B7E">
        <w:rPr>
          <w:lang w:val="es-ES_tradnl"/>
        </w:rPr>
        <w:t xml:space="preserve">Atendiendo a la importancia relativa de los sectores </w:t>
      </w:r>
      <w:r w:rsidR="5A1761A0" w:rsidRPr="00E83B7E">
        <w:rPr>
          <w:lang w:val="es-ES_tradnl"/>
        </w:rPr>
        <w:t>con relación a la</w:t>
      </w:r>
      <w:r w:rsidRPr="00E83B7E">
        <w:rPr>
          <w:lang w:val="es-ES_tradnl"/>
        </w:rPr>
        <w:t xml:space="preserve"> </w:t>
      </w:r>
      <w:r w:rsidR="00815C71" w:rsidRPr="00E83B7E">
        <w:rPr>
          <w:lang w:val="es-ES_tradnl"/>
        </w:rPr>
        <w:t xml:space="preserve">generación de empleo, </w:t>
      </w:r>
      <w:r w:rsidR="1B340F0C" w:rsidRPr="00E83B7E">
        <w:rPr>
          <w:lang w:val="es-ES_tradnl"/>
        </w:rPr>
        <w:t xml:space="preserve">la </w:t>
      </w:r>
      <w:r w:rsidR="00815C71" w:rsidRPr="00E83B7E">
        <w:rPr>
          <w:lang w:val="es-ES_tradnl"/>
        </w:rPr>
        <w:t xml:space="preserve">participación en el PIB y </w:t>
      </w:r>
      <w:r w:rsidR="39BE0D4D" w:rsidRPr="00E83B7E">
        <w:rPr>
          <w:lang w:val="es-ES_tradnl"/>
        </w:rPr>
        <w:t xml:space="preserve">el </w:t>
      </w:r>
      <w:r w:rsidR="00815C71" w:rsidRPr="00E83B7E">
        <w:rPr>
          <w:lang w:val="es-ES_tradnl"/>
        </w:rPr>
        <w:t>número de empresas M</w:t>
      </w:r>
      <w:r w:rsidR="00043713" w:rsidRPr="00E83B7E">
        <w:rPr>
          <w:lang w:val="es-ES_tradnl"/>
        </w:rPr>
        <w:t>i</w:t>
      </w:r>
      <w:r w:rsidR="00815C71" w:rsidRPr="00E83B7E">
        <w:rPr>
          <w:lang w:val="es-ES_tradnl"/>
        </w:rPr>
        <w:t>P</w:t>
      </w:r>
      <w:r w:rsidR="00E83B7E">
        <w:rPr>
          <w:lang w:val="es-ES_tradnl"/>
        </w:rPr>
        <w:t>y</w:t>
      </w:r>
      <w:r w:rsidR="00815C71" w:rsidRPr="00E83B7E">
        <w:rPr>
          <w:lang w:val="es-ES_tradnl"/>
        </w:rPr>
        <w:t xml:space="preserve">ME, como así también a la disponibilidad de información </w:t>
      </w:r>
      <w:r w:rsidR="00E26F82" w:rsidRPr="00E83B7E">
        <w:rPr>
          <w:lang w:val="es-ES_tradnl"/>
        </w:rPr>
        <w:t xml:space="preserve">adecuada para llevar adelante el análisis de vulnerabilidad, </w:t>
      </w:r>
      <w:r w:rsidR="00817E09" w:rsidRPr="00E83B7E">
        <w:rPr>
          <w:lang w:val="es-ES_tradnl"/>
        </w:rPr>
        <w:t xml:space="preserve">los sectores considerados en el análisis para </w:t>
      </w:r>
      <w:r w:rsidR="00332F8F">
        <w:rPr>
          <w:lang w:val="es-ES_tradnl"/>
        </w:rPr>
        <w:t>Argentina</w:t>
      </w:r>
      <w:r w:rsidR="00817E09" w:rsidRPr="00E83B7E">
        <w:rPr>
          <w:lang w:val="es-ES_tradnl"/>
        </w:rPr>
        <w:t xml:space="preserve"> incluyen </w:t>
      </w:r>
      <w:r w:rsidR="0094371B" w:rsidRPr="00E83B7E">
        <w:rPr>
          <w:lang w:val="es-ES_tradnl"/>
        </w:rPr>
        <w:t>a los siguientes sectores: turismo, transporte</w:t>
      </w:r>
      <w:r w:rsidR="00A044C9">
        <w:rPr>
          <w:lang w:val="es-ES_tradnl"/>
        </w:rPr>
        <w:t xml:space="preserve"> de carga y de pasajeros</w:t>
      </w:r>
      <w:r w:rsidR="0094371B" w:rsidRPr="00E83B7E">
        <w:rPr>
          <w:lang w:val="es-ES_tradnl"/>
        </w:rPr>
        <w:t xml:space="preserve">, </w:t>
      </w:r>
      <w:r w:rsidR="00FF1802" w:rsidRPr="00F34FA3">
        <w:rPr>
          <w:lang w:val="es-ES_tradnl"/>
        </w:rPr>
        <w:t>automotriz</w:t>
      </w:r>
      <w:r w:rsidR="00910344" w:rsidRPr="00F34FA3">
        <w:rPr>
          <w:lang w:val="es-ES_tradnl"/>
        </w:rPr>
        <w:t>,</w:t>
      </w:r>
      <w:r w:rsidR="00A044C9" w:rsidRPr="00F34FA3">
        <w:rPr>
          <w:lang w:val="es-ES_tradnl"/>
        </w:rPr>
        <w:t xml:space="preserve"> </w:t>
      </w:r>
      <w:r w:rsidR="00910344" w:rsidRPr="00F34FA3">
        <w:rPr>
          <w:lang w:val="es-ES_tradnl"/>
        </w:rPr>
        <w:t xml:space="preserve">comercio, </w:t>
      </w:r>
      <w:r w:rsidR="00AA7B6E" w:rsidRPr="00F34FA3">
        <w:rPr>
          <w:lang w:val="es-ES_tradnl"/>
        </w:rPr>
        <w:t>maquinaria y equipos</w:t>
      </w:r>
      <w:r w:rsidR="00FF1802" w:rsidRPr="00F34FA3">
        <w:rPr>
          <w:lang w:val="es-ES_tradnl"/>
        </w:rPr>
        <w:t xml:space="preserve">, textil </w:t>
      </w:r>
      <w:r w:rsidR="00F34FA3" w:rsidRPr="00F34FA3">
        <w:rPr>
          <w:lang w:val="es-ES_tradnl"/>
        </w:rPr>
        <w:t xml:space="preserve">y maquila </w:t>
      </w:r>
      <w:r w:rsidR="00FF1802" w:rsidRPr="00F34FA3">
        <w:rPr>
          <w:lang w:val="es-ES_tradnl"/>
        </w:rPr>
        <w:t>y</w:t>
      </w:r>
      <w:r w:rsidR="00FF1802" w:rsidRPr="00E83B7E">
        <w:rPr>
          <w:lang w:val="es-ES_tradnl"/>
        </w:rPr>
        <w:t xml:space="preserve"> </w:t>
      </w:r>
      <w:r w:rsidR="00681B57" w:rsidRPr="00E83B7E">
        <w:rPr>
          <w:lang w:val="es-ES_tradnl"/>
        </w:rPr>
        <w:t>agro</w:t>
      </w:r>
      <w:r w:rsidR="00A216E1">
        <w:rPr>
          <w:lang w:val="es-ES_tradnl"/>
        </w:rPr>
        <w:t>alimentario</w:t>
      </w:r>
      <w:r w:rsidR="00681B57" w:rsidRPr="00E83B7E">
        <w:rPr>
          <w:lang w:val="es-ES_tradnl"/>
        </w:rPr>
        <w:t>.</w:t>
      </w:r>
      <w:r w:rsidR="00BE4C81" w:rsidRPr="00E83B7E">
        <w:rPr>
          <w:lang w:val="es-ES_tradnl"/>
        </w:rPr>
        <w:t xml:space="preserve"> </w:t>
      </w:r>
    </w:p>
    <w:p w14:paraId="795987BF" w14:textId="157C86F8" w:rsidR="00D316B0" w:rsidRPr="000B0A4A" w:rsidRDefault="00BE4C81" w:rsidP="000B0A4A">
      <w:pPr>
        <w:jc w:val="both"/>
        <w:rPr>
          <w:highlight w:val="yellow"/>
          <w:lang w:val="es-ES_tradnl"/>
        </w:rPr>
      </w:pPr>
      <w:r w:rsidRPr="00E83B7E">
        <w:rPr>
          <w:lang w:val="es-ES_tradnl"/>
        </w:rPr>
        <w:t>En la tabla II.</w:t>
      </w:r>
      <w:r w:rsidR="00C5740C" w:rsidRPr="00E83B7E">
        <w:rPr>
          <w:lang w:val="es-ES_tradnl"/>
        </w:rPr>
        <w:t>A.</w:t>
      </w:r>
      <w:r w:rsidRPr="00E83B7E">
        <w:rPr>
          <w:lang w:val="es-ES_tradnl"/>
        </w:rPr>
        <w:t>1 se presenta</w:t>
      </w:r>
      <w:r w:rsidR="00DC3871" w:rsidRPr="00E83B7E">
        <w:rPr>
          <w:lang w:val="es-ES_tradnl"/>
        </w:rPr>
        <w:t xml:space="preserve"> el grado de vulnerabilidad calculado para cada sector.</w:t>
      </w:r>
      <w:r w:rsidR="00CC1B3A" w:rsidRPr="00E83B7E">
        <w:rPr>
          <w:lang w:val="es-ES_tradnl"/>
        </w:rPr>
        <w:t xml:space="preserve"> Como puede observarse, </w:t>
      </w:r>
      <w:r w:rsidR="00E5440E" w:rsidRPr="00E83B7E">
        <w:rPr>
          <w:lang w:val="es-ES_tradnl"/>
        </w:rPr>
        <w:t>el mayor índice de vulnerabilidad</w:t>
      </w:r>
      <w:r w:rsidR="00C1409E" w:rsidRPr="00E83B7E">
        <w:rPr>
          <w:lang w:val="es-ES_tradnl"/>
        </w:rPr>
        <w:t xml:space="preserve"> global</w:t>
      </w:r>
      <w:r w:rsidR="00E5440E" w:rsidRPr="00E83B7E">
        <w:rPr>
          <w:lang w:val="es-ES_tradnl"/>
        </w:rPr>
        <w:t xml:space="preserve"> se </w:t>
      </w:r>
      <w:r w:rsidR="00E5440E" w:rsidRPr="00F74A03">
        <w:rPr>
          <w:lang w:val="es-ES_tradnl"/>
        </w:rPr>
        <w:t xml:space="preserve">presenta en </w:t>
      </w:r>
      <w:r w:rsidR="00A306E2">
        <w:rPr>
          <w:lang w:val="es-ES_tradnl"/>
        </w:rPr>
        <w:t>de</w:t>
      </w:r>
      <w:r w:rsidR="00E724E1">
        <w:rPr>
          <w:lang w:val="es-ES_tradnl"/>
        </w:rPr>
        <w:t xml:space="preserve"> </w:t>
      </w:r>
      <w:r w:rsidR="00E724E1" w:rsidRPr="00F74A03">
        <w:rPr>
          <w:lang w:val="es-ES_tradnl"/>
        </w:rPr>
        <w:t>turismo</w:t>
      </w:r>
      <w:r w:rsidR="003D1C79">
        <w:rPr>
          <w:lang w:val="es-ES_tradnl"/>
        </w:rPr>
        <w:t xml:space="preserve"> y automotriz</w:t>
      </w:r>
      <w:r w:rsidR="00E724E1" w:rsidRPr="00F74A03">
        <w:rPr>
          <w:lang w:val="es-ES_tradnl"/>
        </w:rPr>
        <w:t xml:space="preserve"> </w:t>
      </w:r>
      <w:r w:rsidR="00C54B08" w:rsidRPr="00F74A03">
        <w:rPr>
          <w:lang w:val="es-ES_tradnl"/>
        </w:rPr>
        <w:t>(</w:t>
      </w:r>
      <w:r w:rsidR="000E23D0" w:rsidRPr="00F74A03">
        <w:rPr>
          <w:lang w:val="es-ES_tradnl"/>
        </w:rPr>
        <w:t>con índice</w:t>
      </w:r>
      <w:r w:rsidR="003D1C79">
        <w:rPr>
          <w:lang w:val="es-ES_tradnl"/>
        </w:rPr>
        <w:t xml:space="preserve"> de 79 y 76</w:t>
      </w:r>
      <w:r w:rsidR="00F74A03">
        <w:rPr>
          <w:lang w:val="es-ES_tradnl"/>
        </w:rPr>
        <w:t xml:space="preserve"> </w:t>
      </w:r>
      <w:r w:rsidR="00C1409E" w:rsidRPr="00F74A03">
        <w:rPr>
          <w:lang w:val="es-ES_tradnl"/>
        </w:rPr>
        <w:t>respectivamente).</w:t>
      </w:r>
      <w:r w:rsidR="00063F34" w:rsidRPr="00F74A03">
        <w:rPr>
          <w:lang w:val="es-ES_tradnl"/>
        </w:rPr>
        <w:t xml:space="preserve"> </w:t>
      </w:r>
      <w:r w:rsidR="000B1E8D">
        <w:rPr>
          <w:lang w:val="es-AR"/>
        </w:rPr>
        <w:t>La media simple de sectores es de un IV de 58 (severo grado 3). Al ponderarse los índices sectoriales por la contribución al PIB o por empleo, los valores ponderados arrojan un IV de 57 (severo, grado 3).</w:t>
      </w:r>
    </w:p>
    <w:p w14:paraId="38B1F6E9" w14:textId="7AB99FB9" w:rsidR="00755EA6" w:rsidRPr="00D536DF" w:rsidRDefault="00755EA6" w:rsidP="00A55D13">
      <w:pPr>
        <w:spacing w:after="0" w:line="240" w:lineRule="auto"/>
        <w:jc w:val="center"/>
        <w:rPr>
          <w:b/>
          <w:bCs/>
          <w:lang w:val="es-ES_tradnl"/>
        </w:rPr>
      </w:pPr>
      <w:r w:rsidRPr="00D536DF">
        <w:rPr>
          <w:b/>
          <w:bCs/>
          <w:lang w:val="es-ES_tradnl"/>
        </w:rPr>
        <w:t>Tabla II</w:t>
      </w:r>
      <w:r w:rsidR="00C5740C" w:rsidRPr="00D536DF">
        <w:rPr>
          <w:b/>
          <w:bCs/>
          <w:lang w:val="es-ES_tradnl"/>
        </w:rPr>
        <w:t>.A</w:t>
      </w:r>
      <w:r w:rsidRPr="00D536DF">
        <w:rPr>
          <w:b/>
          <w:bCs/>
          <w:lang w:val="es-ES_tradnl"/>
        </w:rPr>
        <w:t>.1</w:t>
      </w:r>
    </w:p>
    <w:p w14:paraId="04794EBF" w14:textId="15E364A1" w:rsidR="00755EA6" w:rsidRPr="00D536DF" w:rsidRDefault="00CE3E2B" w:rsidP="00A55D13">
      <w:pPr>
        <w:spacing w:after="0" w:line="240" w:lineRule="auto"/>
        <w:jc w:val="center"/>
        <w:rPr>
          <w:b/>
          <w:bCs/>
          <w:lang w:val="es-ES_tradnl"/>
        </w:rPr>
      </w:pPr>
      <w:r w:rsidRPr="00D536DF">
        <w:rPr>
          <w:b/>
          <w:bCs/>
          <w:lang w:val="es-ES_tradnl"/>
        </w:rPr>
        <w:t>Índice de vulnerabilidad</w:t>
      </w:r>
      <w:r w:rsidR="00F86B31" w:rsidRPr="00D536DF">
        <w:rPr>
          <w:b/>
          <w:bCs/>
          <w:lang w:val="es-ES_tradnl"/>
        </w:rPr>
        <w:t xml:space="preserve"> (IV)</w:t>
      </w:r>
      <w:r w:rsidRPr="00D536DF">
        <w:rPr>
          <w:b/>
          <w:bCs/>
          <w:lang w:val="es-ES_tradnl"/>
        </w:rPr>
        <w:t xml:space="preserve"> por sectores.</w:t>
      </w:r>
    </w:p>
    <w:p w14:paraId="153A124C" w14:textId="77777777" w:rsidR="00A55D13" w:rsidRPr="00D536DF" w:rsidRDefault="00F86B31" w:rsidP="00A55D13">
      <w:pPr>
        <w:spacing w:after="0" w:line="240" w:lineRule="auto"/>
        <w:jc w:val="center"/>
        <w:rPr>
          <w:b/>
          <w:bCs/>
          <w:lang w:val="es-ES_tradnl"/>
        </w:rPr>
      </w:pPr>
      <w:r w:rsidRPr="00D536DF">
        <w:rPr>
          <w:b/>
          <w:bCs/>
          <w:lang w:val="es-ES_tradnl"/>
        </w:rPr>
        <w:t>El IV ha sido escalado para tomar valores entre 0 y 100.</w:t>
      </w:r>
    </w:p>
    <w:p w14:paraId="1BD2AC59" w14:textId="2802C249" w:rsidR="00EA4073" w:rsidRPr="00D536DF" w:rsidRDefault="00A55D13" w:rsidP="00EA4073">
      <w:pPr>
        <w:spacing w:after="0" w:line="240" w:lineRule="auto"/>
        <w:jc w:val="center"/>
        <w:rPr>
          <w:lang w:val="es-ES_tradnl"/>
        </w:rPr>
      </w:pPr>
      <w:r w:rsidRPr="00D536DF">
        <w:rPr>
          <w:b/>
          <w:bCs/>
          <w:lang w:val="es-ES_tradnl"/>
        </w:rPr>
        <w:t>Un valor más alto indica una mayor vulnerabilidad global del sector.</w:t>
      </w:r>
      <w:r w:rsidR="007C05F4" w:rsidRPr="00D536DF">
        <w:rPr>
          <w:lang w:val="es-ES_tradnl"/>
        </w:rPr>
        <w:t xml:space="preserve"> </w:t>
      </w:r>
    </w:p>
    <w:tbl>
      <w:tblPr>
        <w:tblW w:w="8196" w:type="dxa"/>
        <w:jc w:val="center"/>
        <w:tblLook w:val="04A0" w:firstRow="1" w:lastRow="0" w:firstColumn="1" w:lastColumn="0" w:noHBand="0" w:noVBand="1"/>
      </w:tblPr>
      <w:tblGrid>
        <w:gridCol w:w="6096"/>
        <w:gridCol w:w="2100"/>
      </w:tblGrid>
      <w:tr w:rsidR="00A97C96" w:rsidRPr="00A97C96" w14:paraId="6D25D7BE" w14:textId="77777777" w:rsidTr="00A97C96">
        <w:trPr>
          <w:divId w:val="1676885892"/>
          <w:trHeight w:val="300"/>
          <w:jc w:val="center"/>
        </w:trPr>
        <w:tc>
          <w:tcPr>
            <w:tcW w:w="609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70AB698" w14:textId="77777777" w:rsidR="00A97C96" w:rsidRPr="00A97C96" w:rsidRDefault="00A97C96" w:rsidP="00E34617">
            <w:pPr>
              <w:jc w:val="center"/>
              <w:rPr>
                <w:rFonts w:ascii="Calibri" w:eastAsia="Times New Roman" w:hAnsi="Calibri" w:cs="Calibri"/>
                <w:b/>
                <w:bCs/>
                <w:color w:val="000000"/>
                <w:lang w:val="es-ES_tradnl"/>
              </w:rPr>
            </w:pPr>
            <w:r w:rsidRPr="00A97C96">
              <w:rPr>
                <w:rFonts w:ascii="Calibri" w:eastAsia="Times New Roman" w:hAnsi="Calibri" w:cs="Calibri"/>
                <w:b/>
                <w:bCs/>
                <w:color w:val="000000"/>
                <w:lang w:val="es-ES_tradnl"/>
              </w:rPr>
              <w:t>Sector</w:t>
            </w:r>
          </w:p>
        </w:tc>
        <w:tc>
          <w:tcPr>
            <w:tcW w:w="2100" w:type="dxa"/>
            <w:tcBorders>
              <w:top w:val="single" w:sz="4" w:space="0" w:color="auto"/>
              <w:left w:val="nil"/>
              <w:bottom w:val="single" w:sz="4" w:space="0" w:color="auto"/>
              <w:right w:val="single" w:sz="4" w:space="0" w:color="auto"/>
            </w:tcBorders>
            <w:shd w:val="clear" w:color="000000" w:fill="DDEBF7"/>
            <w:noWrap/>
            <w:vAlign w:val="bottom"/>
            <w:hideMark/>
          </w:tcPr>
          <w:p w14:paraId="710BCF8A" w14:textId="77777777" w:rsidR="00A97C96" w:rsidRPr="00A97C96" w:rsidRDefault="00A97C96" w:rsidP="00E34617">
            <w:pPr>
              <w:spacing w:after="0" w:line="240" w:lineRule="auto"/>
              <w:jc w:val="center"/>
              <w:rPr>
                <w:rFonts w:ascii="Calibri" w:eastAsia="Times New Roman" w:hAnsi="Calibri" w:cs="Calibri"/>
                <w:b/>
                <w:bCs/>
                <w:color w:val="000000"/>
                <w:lang w:val="es-ES_tradnl"/>
              </w:rPr>
            </w:pPr>
            <w:r w:rsidRPr="00A97C96">
              <w:rPr>
                <w:rFonts w:ascii="Calibri" w:eastAsia="Times New Roman" w:hAnsi="Calibri" w:cs="Calibri"/>
                <w:b/>
                <w:bCs/>
                <w:color w:val="000000"/>
                <w:lang w:val="es-ES_tradnl"/>
              </w:rPr>
              <w:t>Índice vulnerabilidad</w:t>
            </w:r>
          </w:p>
        </w:tc>
      </w:tr>
      <w:tr w:rsidR="00F34FA3" w:rsidRPr="00F34FA3" w14:paraId="35F37004" w14:textId="77777777" w:rsidTr="00A97C96">
        <w:trPr>
          <w:divId w:val="1676885892"/>
          <w:trHeight w:val="300"/>
          <w:jc w:val="center"/>
        </w:trPr>
        <w:tc>
          <w:tcPr>
            <w:tcW w:w="6096" w:type="dxa"/>
            <w:tcBorders>
              <w:top w:val="nil"/>
              <w:left w:val="single" w:sz="4" w:space="0" w:color="auto"/>
              <w:bottom w:val="single" w:sz="4" w:space="0" w:color="auto"/>
              <w:right w:val="single" w:sz="4" w:space="0" w:color="auto"/>
            </w:tcBorders>
            <w:shd w:val="clear" w:color="000000" w:fill="FFFFFF"/>
            <w:noWrap/>
            <w:vAlign w:val="bottom"/>
            <w:hideMark/>
          </w:tcPr>
          <w:p w14:paraId="14ED5BAA" w14:textId="77777777" w:rsidR="00F34FA3" w:rsidRPr="00F34FA3" w:rsidRDefault="00F34FA3" w:rsidP="00E34617">
            <w:pPr>
              <w:spacing w:after="0" w:line="240" w:lineRule="auto"/>
              <w:rPr>
                <w:rFonts w:ascii="Calibri" w:eastAsia="Times New Roman" w:hAnsi="Calibri" w:cs="Calibri"/>
                <w:color w:val="000000"/>
                <w:lang w:val="es-ES_tradnl"/>
              </w:rPr>
            </w:pPr>
            <w:r w:rsidRPr="00F34FA3">
              <w:rPr>
                <w:rFonts w:ascii="Calibri" w:eastAsia="Times New Roman" w:hAnsi="Calibri" w:cs="Calibri"/>
                <w:color w:val="000000"/>
                <w:lang w:val="es-ES_tradnl"/>
              </w:rPr>
              <w:t>Turismo</w:t>
            </w:r>
          </w:p>
        </w:tc>
        <w:tc>
          <w:tcPr>
            <w:tcW w:w="2100" w:type="dxa"/>
            <w:tcBorders>
              <w:top w:val="nil"/>
              <w:left w:val="nil"/>
              <w:bottom w:val="single" w:sz="4" w:space="0" w:color="auto"/>
              <w:right w:val="single" w:sz="4" w:space="0" w:color="auto"/>
            </w:tcBorders>
            <w:shd w:val="clear" w:color="000000" w:fill="FFFFFF"/>
            <w:noWrap/>
            <w:vAlign w:val="bottom"/>
          </w:tcPr>
          <w:p w14:paraId="70E25568" w14:textId="77777777" w:rsidR="00F34FA3" w:rsidRPr="00F34FA3" w:rsidRDefault="00F34FA3" w:rsidP="00E34617">
            <w:pPr>
              <w:spacing w:after="0" w:line="240" w:lineRule="auto"/>
              <w:jc w:val="center"/>
              <w:rPr>
                <w:rFonts w:ascii="Calibri" w:eastAsia="Times New Roman" w:hAnsi="Calibri" w:cs="Calibri"/>
                <w:color w:val="000000"/>
                <w:lang w:val="es-ES_tradnl"/>
              </w:rPr>
            </w:pPr>
            <w:r w:rsidRPr="00F34FA3">
              <w:rPr>
                <w:rFonts w:ascii="Calibri" w:eastAsia="Times New Roman" w:hAnsi="Calibri" w:cs="Calibri"/>
                <w:color w:val="000000"/>
                <w:lang w:val="es-ES_tradnl"/>
              </w:rPr>
              <w:t>79</w:t>
            </w:r>
          </w:p>
        </w:tc>
      </w:tr>
      <w:tr w:rsidR="00F34FA3" w:rsidRPr="00F34FA3" w14:paraId="246B1F73" w14:textId="77777777" w:rsidTr="00A97C96">
        <w:trPr>
          <w:divId w:val="1676885892"/>
          <w:trHeight w:val="300"/>
          <w:jc w:val="center"/>
        </w:trPr>
        <w:tc>
          <w:tcPr>
            <w:tcW w:w="6096" w:type="dxa"/>
            <w:tcBorders>
              <w:top w:val="nil"/>
              <w:left w:val="single" w:sz="4" w:space="0" w:color="auto"/>
              <w:bottom w:val="single" w:sz="4" w:space="0" w:color="auto"/>
              <w:right w:val="single" w:sz="4" w:space="0" w:color="auto"/>
            </w:tcBorders>
            <w:shd w:val="clear" w:color="000000" w:fill="FFFFFF"/>
            <w:noWrap/>
            <w:vAlign w:val="bottom"/>
          </w:tcPr>
          <w:p w14:paraId="571D1F65" w14:textId="77777777" w:rsidR="00F34FA3" w:rsidRPr="00F34FA3" w:rsidRDefault="00F34FA3" w:rsidP="00E34617">
            <w:pPr>
              <w:spacing w:after="0" w:line="240" w:lineRule="auto"/>
              <w:rPr>
                <w:rFonts w:ascii="Calibri" w:eastAsia="Times New Roman" w:hAnsi="Calibri" w:cs="Calibri"/>
                <w:color w:val="000000"/>
                <w:lang w:val="es-ES_tradnl"/>
              </w:rPr>
            </w:pPr>
            <w:r w:rsidRPr="00F34FA3">
              <w:rPr>
                <w:rFonts w:ascii="Calibri" w:eastAsia="Times New Roman" w:hAnsi="Calibri" w:cs="Calibri"/>
                <w:color w:val="000000"/>
                <w:lang w:val="es-ES_tradnl"/>
              </w:rPr>
              <w:t>Automotriz</w:t>
            </w:r>
          </w:p>
        </w:tc>
        <w:tc>
          <w:tcPr>
            <w:tcW w:w="2100" w:type="dxa"/>
            <w:tcBorders>
              <w:top w:val="nil"/>
              <w:left w:val="nil"/>
              <w:bottom w:val="single" w:sz="4" w:space="0" w:color="auto"/>
              <w:right w:val="single" w:sz="4" w:space="0" w:color="auto"/>
            </w:tcBorders>
            <w:shd w:val="clear" w:color="000000" w:fill="FFFFFF"/>
            <w:noWrap/>
            <w:vAlign w:val="bottom"/>
          </w:tcPr>
          <w:p w14:paraId="134A4CA5" w14:textId="77777777" w:rsidR="00F34FA3" w:rsidRPr="00F34FA3" w:rsidRDefault="00F34FA3" w:rsidP="00E34617">
            <w:pPr>
              <w:spacing w:after="0" w:line="240" w:lineRule="auto"/>
              <w:jc w:val="center"/>
              <w:rPr>
                <w:rFonts w:ascii="Calibri" w:eastAsia="Times New Roman" w:hAnsi="Calibri" w:cs="Calibri"/>
                <w:color w:val="000000"/>
                <w:lang w:val="es-ES_tradnl"/>
              </w:rPr>
            </w:pPr>
            <w:r w:rsidRPr="00F34FA3">
              <w:rPr>
                <w:rFonts w:ascii="Calibri" w:eastAsia="Times New Roman" w:hAnsi="Calibri" w:cs="Calibri"/>
                <w:color w:val="000000"/>
                <w:lang w:val="es-ES_tradnl"/>
              </w:rPr>
              <w:t>76</w:t>
            </w:r>
          </w:p>
        </w:tc>
      </w:tr>
      <w:tr w:rsidR="00F34FA3" w:rsidRPr="00F34FA3" w14:paraId="3C751E4E" w14:textId="77777777" w:rsidTr="003D1C79">
        <w:trPr>
          <w:divId w:val="1676885892"/>
          <w:trHeight w:val="300"/>
          <w:jc w:val="center"/>
        </w:trPr>
        <w:tc>
          <w:tcPr>
            <w:tcW w:w="6096" w:type="dxa"/>
            <w:tcBorders>
              <w:top w:val="nil"/>
              <w:left w:val="single" w:sz="4" w:space="0" w:color="auto"/>
              <w:bottom w:val="single" w:sz="4" w:space="0" w:color="auto"/>
              <w:right w:val="single" w:sz="4" w:space="0" w:color="auto"/>
            </w:tcBorders>
            <w:shd w:val="clear" w:color="auto" w:fill="auto"/>
            <w:noWrap/>
            <w:vAlign w:val="bottom"/>
          </w:tcPr>
          <w:p w14:paraId="3CA23986" w14:textId="17B3A0FC" w:rsidR="00F34FA3" w:rsidRPr="00F34FA3" w:rsidRDefault="00F34FA3" w:rsidP="00E34617">
            <w:pPr>
              <w:spacing w:after="0" w:line="240" w:lineRule="auto"/>
              <w:rPr>
                <w:rFonts w:ascii="Calibri" w:eastAsia="Times New Roman" w:hAnsi="Calibri" w:cs="Calibri"/>
                <w:color w:val="000000"/>
                <w:lang w:val="es-ES_tradnl"/>
              </w:rPr>
            </w:pPr>
            <w:r w:rsidRPr="00F34FA3">
              <w:rPr>
                <w:rFonts w:ascii="Calibri" w:eastAsia="Times New Roman" w:hAnsi="Calibri" w:cs="Calibri"/>
                <w:color w:val="000000"/>
                <w:lang w:val="es-ES_tradnl"/>
              </w:rPr>
              <w:lastRenderedPageBreak/>
              <w:t xml:space="preserve">Transporte </w:t>
            </w:r>
            <w:r w:rsidR="002E05B3">
              <w:rPr>
                <w:rFonts w:ascii="Calibri" w:eastAsia="Times New Roman" w:hAnsi="Calibri" w:cs="Calibri"/>
                <w:color w:val="000000"/>
                <w:lang w:val="es-ES_tradnl"/>
              </w:rPr>
              <w:t xml:space="preserve">de </w:t>
            </w:r>
            <w:r w:rsidRPr="00F34FA3">
              <w:rPr>
                <w:rFonts w:ascii="Calibri" w:eastAsia="Times New Roman" w:hAnsi="Calibri" w:cs="Calibri"/>
                <w:color w:val="000000"/>
                <w:lang w:val="es-ES_tradnl"/>
              </w:rPr>
              <w:t>pasajeros</w:t>
            </w:r>
          </w:p>
        </w:tc>
        <w:tc>
          <w:tcPr>
            <w:tcW w:w="2100" w:type="dxa"/>
            <w:tcBorders>
              <w:top w:val="nil"/>
              <w:left w:val="nil"/>
              <w:bottom w:val="single" w:sz="4" w:space="0" w:color="auto"/>
              <w:right w:val="single" w:sz="4" w:space="0" w:color="auto"/>
            </w:tcBorders>
            <w:shd w:val="clear" w:color="auto" w:fill="auto"/>
            <w:noWrap/>
            <w:vAlign w:val="bottom"/>
          </w:tcPr>
          <w:p w14:paraId="36858CBE" w14:textId="77777777" w:rsidR="00F34FA3" w:rsidRPr="00F34FA3" w:rsidRDefault="00F34FA3" w:rsidP="00E34617">
            <w:pPr>
              <w:spacing w:after="0" w:line="240" w:lineRule="auto"/>
              <w:jc w:val="center"/>
              <w:rPr>
                <w:rFonts w:ascii="Calibri" w:eastAsia="Times New Roman" w:hAnsi="Calibri" w:cs="Calibri"/>
                <w:color w:val="000000"/>
                <w:lang w:val="es-ES_tradnl"/>
              </w:rPr>
            </w:pPr>
            <w:r w:rsidRPr="00F34FA3">
              <w:rPr>
                <w:rFonts w:ascii="Calibri" w:eastAsia="Times New Roman" w:hAnsi="Calibri" w:cs="Calibri"/>
                <w:color w:val="000000"/>
                <w:lang w:val="es-ES_tradnl"/>
              </w:rPr>
              <w:t>64</w:t>
            </w:r>
          </w:p>
        </w:tc>
      </w:tr>
      <w:tr w:rsidR="00F34FA3" w:rsidRPr="00F34FA3" w14:paraId="3459911B" w14:textId="77777777" w:rsidTr="003D1C79">
        <w:trPr>
          <w:divId w:val="1676885892"/>
          <w:trHeight w:val="300"/>
          <w:jc w:val="center"/>
        </w:trPr>
        <w:tc>
          <w:tcPr>
            <w:tcW w:w="6096" w:type="dxa"/>
            <w:tcBorders>
              <w:top w:val="nil"/>
              <w:left w:val="single" w:sz="4" w:space="0" w:color="auto"/>
              <w:bottom w:val="single" w:sz="4" w:space="0" w:color="auto"/>
              <w:right w:val="single" w:sz="4" w:space="0" w:color="auto"/>
            </w:tcBorders>
            <w:shd w:val="clear" w:color="auto" w:fill="auto"/>
            <w:noWrap/>
            <w:vAlign w:val="bottom"/>
          </w:tcPr>
          <w:p w14:paraId="74186289" w14:textId="77777777" w:rsidR="00F34FA3" w:rsidRPr="00F34FA3" w:rsidRDefault="00F34FA3" w:rsidP="00E34617">
            <w:pPr>
              <w:spacing w:after="0" w:line="240" w:lineRule="auto"/>
              <w:rPr>
                <w:rFonts w:ascii="Calibri" w:eastAsia="Times New Roman" w:hAnsi="Calibri" w:cs="Calibri"/>
                <w:color w:val="000000"/>
                <w:lang w:val="es-ES_tradnl"/>
              </w:rPr>
            </w:pPr>
            <w:r w:rsidRPr="00F34FA3">
              <w:rPr>
                <w:rFonts w:ascii="Calibri" w:eastAsia="Times New Roman" w:hAnsi="Calibri" w:cs="Calibri"/>
                <w:color w:val="000000"/>
                <w:lang w:val="es-ES_tradnl"/>
              </w:rPr>
              <w:t>Agroalimentario</w:t>
            </w:r>
          </w:p>
        </w:tc>
        <w:tc>
          <w:tcPr>
            <w:tcW w:w="2100" w:type="dxa"/>
            <w:tcBorders>
              <w:top w:val="nil"/>
              <w:left w:val="nil"/>
              <w:bottom w:val="single" w:sz="4" w:space="0" w:color="auto"/>
              <w:right w:val="single" w:sz="4" w:space="0" w:color="auto"/>
            </w:tcBorders>
            <w:shd w:val="clear" w:color="auto" w:fill="auto"/>
            <w:noWrap/>
            <w:vAlign w:val="bottom"/>
          </w:tcPr>
          <w:p w14:paraId="6689178E" w14:textId="77777777" w:rsidR="00F34FA3" w:rsidRPr="00F34FA3" w:rsidRDefault="00F34FA3" w:rsidP="00E34617">
            <w:pPr>
              <w:spacing w:after="0" w:line="240" w:lineRule="auto"/>
              <w:jc w:val="center"/>
              <w:rPr>
                <w:rFonts w:ascii="Calibri" w:eastAsia="Times New Roman" w:hAnsi="Calibri" w:cs="Calibri"/>
                <w:color w:val="000000"/>
                <w:lang w:val="es-ES_tradnl"/>
              </w:rPr>
            </w:pPr>
            <w:r w:rsidRPr="00F34FA3">
              <w:rPr>
                <w:rFonts w:ascii="Calibri" w:eastAsia="Times New Roman" w:hAnsi="Calibri" w:cs="Calibri"/>
                <w:color w:val="000000"/>
                <w:lang w:val="es-ES_tradnl"/>
              </w:rPr>
              <w:t>60</w:t>
            </w:r>
          </w:p>
        </w:tc>
      </w:tr>
      <w:tr w:rsidR="00F34FA3" w:rsidRPr="00F34FA3" w14:paraId="7D3F49C4" w14:textId="77777777" w:rsidTr="00A97C96">
        <w:trPr>
          <w:divId w:val="1676885892"/>
          <w:trHeight w:val="300"/>
          <w:jc w:val="center"/>
        </w:trPr>
        <w:tc>
          <w:tcPr>
            <w:tcW w:w="6096" w:type="dxa"/>
            <w:tcBorders>
              <w:top w:val="nil"/>
              <w:left w:val="single" w:sz="4" w:space="0" w:color="auto"/>
              <w:bottom w:val="single" w:sz="4" w:space="0" w:color="auto"/>
              <w:right w:val="single" w:sz="4" w:space="0" w:color="auto"/>
            </w:tcBorders>
            <w:shd w:val="clear" w:color="000000" w:fill="FFFFFF"/>
            <w:noWrap/>
            <w:vAlign w:val="bottom"/>
          </w:tcPr>
          <w:p w14:paraId="6B208F93" w14:textId="77777777" w:rsidR="00F34FA3" w:rsidRPr="00F34FA3" w:rsidRDefault="00F34FA3" w:rsidP="00E34617">
            <w:pPr>
              <w:spacing w:after="0" w:line="240" w:lineRule="auto"/>
              <w:rPr>
                <w:rFonts w:ascii="Calibri" w:eastAsia="Times New Roman" w:hAnsi="Calibri" w:cs="Calibri"/>
                <w:color w:val="000000"/>
                <w:lang w:val="es-ES_tradnl"/>
              </w:rPr>
            </w:pPr>
            <w:r w:rsidRPr="00F34FA3">
              <w:rPr>
                <w:rFonts w:ascii="Calibri" w:eastAsia="Times New Roman" w:hAnsi="Calibri" w:cs="Calibri"/>
                <w:color w:val="000000"/>
                <w:lang w:val="es-ES_tradnl"/>
              </w:rPr>
              <w:t>Maquinaria y equipos</w:t>
            </w:r>
          </w:p>
        </w:tc>
        <w:tc>
          <w:tcPr>
            <w:tcW w:w="2100" w:type="dxa"/>
            <w:tcBorders>
              <w:top w:val="nil"/>
              <w:left w:val="nil"/>
              <w:bottom w:val="single" w:sz="4" w:space="0" w:color="auto"/>
              <w:right w:val="single" w:sz="4" w:space="0" w:color="auto"/>
            </w:tcBorders>
            <w:shd w:val="clear" w:color="000000" w:fill="FFFFFF"/>
            <w:noWrap/>
            <w:vAlign w:val="bottom"/>
          </w:tcPr>
          <w:p w14:paraId="5B30E147" w14:textId="77777777" w:rsidR="00F34FA3" w:rsidRPr="00F34FA3" w:rsidRDefault="00F34FA3" w:rsidP="00E34617">
            <w:pPr>
              <w:spacing w:after="0" w:line="240" w:lineRule="auto"/>
              <w:jc w:val="center"/>
              <w:rPr>
                <w:rFonts w:ascii="Calibri" w:eastAsia="Times New Roman" w:hAnsi="Calibri" w:cs="Calibri"/>
                <w:color w:val="000000"/>
                <w:lang w:val="es-ES_tradnl"/>
              </w:rPr>
            </w:pPr>
            <w:r w:rsidRPr="00F34FA3">
              <w:rPr>
                <w:rFonts w:ascii="Calibri" w:eastAsia="Times New Roman" w:hAnsi="Calibri" w:cs="Calibri"/>
                <w:color w:val="000000"/>
                <w:lang w:val="es-ES_tradnl"/>
              </w:rPr>
              <w:t>46</w:t>
            </w:r>
          </w:p>
        </w:tc>
      </w:tr>
      <w:tr w:rsidR="00F34FA3" w:rsidRPr="00F34FA3" w14:paraId="33F539CD" w14:textId="77777777" w:rsidTr="00A97C96">
        <w:trPr>
          <w:divId w:val="1676885892"/>
          <w:trHeight w:val="300"/>
          <w:jc w:val="center"/>
        </w:trPr>
        <w:tc>
          <w:tcPr>
            <w:tcW w:w="6096" w:type="dxa"/>
            <w:tcBorders>
              <w:top w:val="nil"/>
              <w:left w:val="single" w:sz="4" w:space="0" w:color="auto"/>
              <w:bottom w:val="single" w:sz="4" w:space="0" w:color="auto"/>
              <w:right w:val="single" w:sz="4" w:space="0" w:color="auto"/>
            </w:tcBorders>
            <w:shd w:val="clear" w:color="000000" w:fill="FFFFFF"/>
            <w:noWrap/>
            <w:vAlign w:val="bottom"/>
          </w:tcPr>
          <w:p w14:paraId="7FFDD065" w14:textId="167D189E" w:rsidR="00F34FA3" w:rsidRPr="00F34FA3" w:rsidRDefault="00F34FA3" w:rsidP="00E34617">
            <w:pPr>
              <w:spacing w:after="0" w:line="240" w:lineRule="auto"/>
              <w:rPr>
                <w:rFonts w:ascii="Calibri" w:eastAsia="Times New Roman" w:hAnsi="Calibri" w:cs="Calibri"/>
                <w:color w:val="000000"/>
                <w:lang w:val="es-ES_tradnl"/>
              </w:rPr>
            </w:pPr>
            <w:r w:rsidRPr="00F34FA3">
              <w:rPr>
                <w:rFonts w:ascii="Calibri" w:eastAsia="Times New Roman" w:hAnsi="Calibri" w:cs="Calibri"/>
                <w:color w:val="000000"/>
                <w:lang w:val="es-ES_tradnl"/>
              </w:rPr>
              <w:t xml:space="preserve">Textil </w:t>
            </w:r>
            <w:r w:rsidR="002E05B3">
              <w:rPr>
                <w:rFonts w:ascii="Calibri" w:eastAsia="Times New Roman" w:hAnsi="Calibri" w:cs="Calibri"/>
                <w:color w:val="000000"/>
                <w:lang w:val="es-ES_tradnl"/>
              </w:rPr>
              <w:t>y maquila</w:t>
            </w:r>
          </w:p>
        </w:tc>
        <w:tc>
          <w:tcPr>
            <w:tcW w:w="2100" w:type="dxa"/>
            <w:tcBorders>
              <w:top w:val="nil"/>
              <w:left w:val="nil"/>
              <w:bottom w:val="single" w:sz="4" w:space="0" w:color="auto"/>
              <w:right w:val="single" w:sz="4" w:space="0" w:color="auto"/>
            </w:tcBorders>
            <w:shd w:val="clear" w:color="000000" w:fill="FFFFFF"/>
            <w:noWrap/>
            <w:vAlign w:val="bottom"/>
          </w:tcPr>
          <w:p w14:paraId="4730BDFC" w14:textId="77777777" w:rsidR="00F34FA3" w:rsidRPr="00F34FA3" w:rsidRDefault="00F34FA3" w:rsidP="00E34617">
            <w:pPr>
              <w:spacing w:after="0" w:line="240" w:lineRule="auto"/>
              <w:jc w:val="center"/>
              <w:rPr>
                <w:rFonts w:ascii="Calibri" w:eastAsia="Times New Roman" w:hAnsi="Calibri" w:cs="Calibri"/>
                <w:color w:val="000000"/>
                <w:lang w:val="es-ES_tradnl"/>
              </w:rPr>
            </w:pPr>
            <w:r w:rsidRPr="00F34FA3">
              <w:rPr>
                <w:rFonts w:ascii="Calibri" w:eastAsia="Times New Roman" w:hAnsi="Calibri" w:cs="Calibri"/>
                <w:color w:val="000000"/>
                <w:lang w:val="es-ES_tradnl"/>
              </w:rPr>
              <w:t>46</w:t>
            </w:r>
          </w:p>
        </w:tc>
      </w:tr>
      <w:tr w:rsidR="00F34FA3" w:rsidRPr="00F34FA3" w14:paraId="76795177" w14:textId="77777777" w:rsidTr="003D1C79">
        <w:trPr>
          <w:divId w:val="1676885892"/>
          <w:trHeight w:val="300"/>
          <w:jc w:val="center"/>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61B72B5D" w14:textId="73C83058" w:rsidR="00F34FA3" w:rsidRPr="00F34FA3" w:rsidRDefault="00F34FA3" w:rsidP="00E34617">
            <w:pPr>
              <w:spacing w:after="0" w:line="240" w:lineRule="auto"/>
              <w:rPr>
                <w:rFonts w:ascii="Calibri" w:eastAsia="Times New Roman" w:hAnsi="Calibri" w:cs="Calibri"/>
                <w:color w:val="000000"/>
                <w:lang w:val="es-ES_tradnl"/>
              </w:rPr>
            </w:pPr>
            <w:r w:rsidRPr="00F34FA3">
              <w:rPr>
                <w:rFonts w:ascii="Calibri" w:eastAsia="Times New Roman" w:hAnsi="Calibri" w:cs="Calibri"/>
                <w:color w:val="000000"/>
                <w:lang w:val="es-ES_tradnl"/>
              </w:rPr>
              <w:t xml:space="preserve">Transporte </w:t>
            </w:r>
            <w:r w:rsidR="002E05B3">
              <w:rPr>
                <w:rFonts w:ascii="Calibri" w:eastAsia="Times New Roman" w:hAnsi="Calibri" w:cs="Calibri"/>
                <w:color w:val="000000"/>
                <w:lang w:val="es-ES_tradnl"/>
              </w:rPr>
              <w:t xml:space="preserve">de </w:t>
            </w:r>
            <w:r w:rsidRPr="00F34FA3">
              <w:rPr>
                <w:rFonts w:ascii="Calibri" w:eastAsia="Times New Roman" w:hAnsi="Calibri" w:cs="Calibri"/>
                <w:color w:val="000000"/>
                <w:lang w:val="es-ES_tradnl"/>
              </w:rPr>
              <w:t>carga</w:t>
            </w:r>
          </w:p>
        </w:tc>
        <w:tc>
          <w:tcPr>
            <w:tcW w:w="2100" w:type="dxa"/>
            <w:tcBorders>
              <w:top w:val="nil"/>
              <w:left w:val="nil"/>
              <w:bottom w:val="single" w:sz="4" w:space="0" w:color="auto"/>
              <w:right w:val="single" w:sz="4" w:space="0" w:color="auto"/>
            </w:tcBorders>
            <w:shd w:val="clear" w:color="auto" w:fill="auto"/>
            <w:noWrap/>
            <w:vAlign w:val="bottom"/>
          </w:tcPr>
          <w:p w14:paraId="4B0769F9" w14:textId="77777777" w:rsidR="00F34FA3" w:rsidRPr="00F34FA3" w:rsidRDefault="00F34FA3" w:rsidP="00E34617">
            <w:pPr>
              <w:spacing w:after="0" w:line="240" w:lineRule="auto"/>
              <w:jc w:val="center"/>
              <w:rPr>
                <w:rFonts w:ascii="Calibri" w:eastAsia="Times New Roman" w:hAnsi="Calibri" w:cs="Calibri"/>
                <w:color w:val="000000"/>
                <w:lang w:val="es-ES_tradnl"/>
              </w:rPr>
            </w:pPr>
            <w:r w:rsidRPr="00F34FA3">
              <w:rPr>
                <w:rFonts w:ascii="Calibri" w:eastAsia="Times New Roman" w:hAnsi="Calibri" w:cs="Calibri"/>
                <w:color w:val="000000"/>
                <w:lang w:val="es-ES_tradnl"/>
              </w:rPr>
              <w:t>45</w:t>
            </w:r>
          </w:p>
        </w:tc>
      </w:tr>
      <w:tr w:rsidR="00F34FA3" w:rsidRPr="00FE5090" w14:paraId="37CB1DD6" w14:textId="77777777" w:rsidTr="00A97C96">
        <w:trPr>
          <w:divId w:val="1676885892"/>
          <w:trHeight w:val="300"/>
          <w:jc w:val="center"/>
        </w:trPr>
        <w:tc>
          <w:tcPr>
            <w:tcW w:w="6096" w:type="dxa"/>
            <w:tcBorders>
              <w:top w:val="nil"/>
              <w:left w:val="single" w:sz="4" w:space="0" w:color="auto"/>
              <w:bottom w:val="single" w:sz="4" w:space="0" w:color="auto"/>
              <w:right w:val="single" w:sz="4" w:space="0" w:color="auto"/>
            </w:tcBorders>
            <w:shd w:val="clear" w:color="000000" w:fill="FFFFFF"/>
            <w:noWrap/>
            <w:vAlign w:val="bottom"/>
          </w:tcPr>
          <w:p w14:paraId="27374488" w14:textId="1BAABD23" w:rsidR="00F34FA3" w:rsidRPr="00F34FA3" w:rsidRDefault="00F34FA3" w:rsidP="00E34617">
            <w:pPr>
              <w:spacing w:after="0" w:line="240" w:lineRule="auto"/>
              <w:rPr>
                <w:rFonts w:ascii="Calibri" w:eastAsia="Times New Roman" w:hAnsi="Calibri" w:cs="Calibri"/>
                <w:color w:val="000000"/>
                <w:lang w:val="es-ES_tradnl"/>
              </w:rPr>
            </w:pPr>
            <w:r w:rsidRPr="00F34FA3">
              <w:rPr>
                <w:rFonts w:ascii="Calibri" w:eastAsia="Times New Roman" w:hAnsi="Calibri" w:cs="Calibri"/>
                <w:color w:val="000000"/>
                <w:lang w:val="es-ES_tradnl"/>
              </w:rPr>
              <w:t>Comercio</w:t>
            </w:r>
            <w:r w:rsidR="00F66F77">
              <w:rPr>
                <w:rFonts w:ascii="Calibri" w:eastAsia="Times New Roman" w:hAnsi="Calibri" w:cs="Calibri"/>
                <w:color w:val="000000"/>
                <w:lang w:val="es-ES_tradnl"/>
              </w:rPr>
              <w:t xml:space="preserve"> minorista</w:t>
            </w:r>
            <w:r w:rsidRPr="00F34FA3">
              <w:rPr>
                <w:rFonts w:ascii="Calibri" w:eastAsia="Times New Roman" w:hAnsi="Calibri" w:cs="Calibri"/>
                <w:color w:val="000000"/>
                <w:lang w:val="es-ES_tradnl"/>
              </w:rPr>
              <w:t xml:space="preserve"> </w:t>
            </w:r>
          </w:p>
        </w:tc>
        <w:tc>
          <w:tcPr>
            <w:tcW w:w="2100" w:type="dxa"/>
            <w:tcBorders>
              <w:top w:val="nil"/>
              <w:left w:val="nil"/>
              <w:bottom w:val="single" w:sz="4" w:space="0" w:color="auto"/>
              <w:right w:val="single" w:sz="4" w:space="0" w:color="auto"/>
            </w:tcBorders>
            <w:shd w:val="clear" w:color="000000" w:fill="FFFFFF"/>
            <w:noWrap/>
            <w:vAlign w:val="bottom"/>
          </w:tcPr>
          <w:p w14:paraId="0E4CEA74" w14:textId="77777777" w:rsidR="00F34FA3" w:rsidRPr="00E724E1" w:rsidRDefault="00F34FA3" w:rsidP="00E34617">
            <w:pPr>
              <w:spacing w:after="0" w:line="240" w:lineRule="auto"/>
              <w:jc w:val="center"/>
              <w:rPr>
                <w:rFonts w:ascii="Calibri" w:eastAsia="Times New Roman" w:hAnsi="Calibri" w:cs="Calibri"/>
                <w:color w:val="000000"/>
                <w:lang w:val="es-ES_tradnl"/>
              </w:rPr>
            </w:pPr>
            <w:r w:rsidRPr="00F34FA3">
              <w:rPr>
                <w:rFonts w:ascii="Calibri" w:eastAsia="Times New Roman" w:hAnsi="Calibri" w:cs="Calibri"/>
                <w:color w:val="000000"/>
                <w:lang w:val="es-ES_tradnl"/>
              </w:rPr>
              <w:t>44</w:t>
            </w:r>
          </w:p>
        </w:tc>
      </w:tr>
      <w:tr w:rsidR="00A306E2" w:rsidRPr="00FE5090" w14:paraId="7A021563" w14:textId="77777777" w:rsidTr="00A97C96">
        <w:trPr>
          <w:divId w:val="1676885892"/>
          <w:trHeight w:val="150"/>
          <w:jc w:val="center"/>
        </w:trPr>
        <w:tc>
          <w:tcPr>
            <w:tcW w:w="6096" w:type="dxa"/>
            <w:tcBorders>
              <w:top w:val="nil"/>
              <w:left w:val="single" w:sz="4" w:space="0" w:color="auto"/>
              <w:bottom w:val="single" w:sz="4" w:space="0" w:color="auto"/>
              <w:right w:val="nil"/>
            </w:tcBorders>
            <w:shd w:val="clear" w:color="000000" w:fill="FFFFFF"/>
            <w:noWrap/>
            <w:vAlign w:val="bottom"/>
            <w:hideMark/>
          </w:tcPr>
          <w:p w14:paraId="1E721C5E" w14:textId="77777777" w:rsidR="00A306E2" w:rsidRPr="002E05B3" w:rsidRDefault="00A306E2" w:rsidP="00E34617">
            <w:pPr>
              <w:spacing w:after="0" w:line="240" w:lineRule="auto"/>
              <w:rPr>
                <w:rFonts w:ascii="Calibri" w:eastAsia="Times New Roman" w:hAnsi="Calibri" w:cs="Calibri"/>
                <w:color w:val="000000"/>
                <w:lang w:val="es-ES_tradnl"/>
              </w:rPr>
            </w:pPr>
            <w:r w:rsidRPr="002E05B3">
              <w:rPr>
                <w:rFonts w:ascii="Calibri" w:eastAsia="Times New Roman" w:hAnsi="Calibri" w:cs="Calibri"/>
                <w:color w:val="000000"/>
                <w:lang w:val="es-ES_tradnl"/>
              </w:rPr>
              <w:t> </w:t>
            </w:r>
          </w:p>
        </w:tc>
        <w:tc>
          <w:tcPr>
            <w:tcW w:w="2100" w:type="dxa"/>
            <w:tcBorders>
              <w:top w:val="nil"/>
              <w:left w:val="nil"/>
              <w:bottom w:val="single" w:sz="4" w:space="0" w:color="auto"/>
              <w:right w:val="single" w:sz="4" w:space="0" w:color="auto"/>
            </w:tcBorders>
            <w:shd w:val="clear" w:color="000000" w:fill="FFFFFF"/>
            <w:noWrap/>
            <w:vAlign w:val="bottom"/>
            <w:hideMark/>
          </w:tcPr>
          <w:p w14:paraId="1AB70330" w14:textId="77777777" w:rsidR="00A306E2" w:rsidRPr="002E05B3" w:rsidRDefault="00A306E2" w:rsidP="00E34617">
            <w:pPr>
              <w:spacing w:after="0" w:line="240" w:lineRule="auto"/>
              <w:jc w:val="center"/>
              <w:rPr>
                <w:rFonts w:ascii="Calibri" w:eastAsia="Times New Roman" w:hAnsi="Calibri" w:cs="Calibri"/>
                <w:color w:val="000000"/>
                <w:lang w:val="es-ES_tradnl"/>
              </w:rPr>
            </w:pPr>
            <w:r w:rsidRPr="002E05B3">
              <w:rPr>
                <w:rFonts w:ascii="Calibri" w:eastAsia="Times New Roman" w:hAnsi="Calibri" w:cs="Calibri"/>
                <w:color w:val="000000"/>
                <w:lang w:val="es-ES_tradnl"/>
              </w:rPr>
              <w:t> </w:t>
            </w:r>
          </w:p>
        </w:tc>
      </w:tr>
      <w:tr w:rsidR="002E05B3" w:rsidRPr="00FE5090" w14:paraId="1F9AFE5E" w14:textId="77777777" w:rsidTr="00A97C96">
        <w:trPr>
          <w:divId w:val="1676885892"/>
          <w:trHeight w:val="300"/>
          <w:jc w:val="center"/>
        </w:trPr>
        <w:tc>
          <w:tcPr>
            <w:tcW w:w="6096" w:type="dxa"/>
            <w:tcBorders>
              <w:top w:val="nil"/>
              <w:left w:val="single" w:sz="4" w:space="0" w:color="auto"/>
              <w:bottom w:val="single" w:sz="4" w:space="0" w:color="auto"/>
              <w:right w:val="single" w:sz="4" w:space="0" w:color="auto"/>
            </w:tcBorders>
            <w:shd w:val="clear" w:color="000000" w:fill="FFFFFF"/>
            <w:noWrap/>
            <w:vAlign w:val="bottom"/>
            <w:hideMark/>
          </w:tcPr>
          <w:p w14:paraId="12757F7D" w14:textId="77777777" w:rsidR="002E05B3" w:rsidRPr="002E05B3" w:rsidRDefault="002E05B3" w:rsidP="002E05B3">
            <w:pPr>
              <w:spacing w:after="0" w:line="240" w:lineRule="auto"/>
              <w:rPr>
                <w:rFonts w:ascii="Calibri" w:eastAsia="Times New Roman" w:hAnsi="Calibri" w:cs="Calibri"/>
                <w:i/>
                <w:iCs/>
                <w:color w:val="000000"/>
                <w:lang w:val="es-ES_tradnl"/>
              </w:rPr>
            </w:pPr>
            <w:r w:rsidRPr="002E05B3">
              <w:rPr>
                <w:rFonts w:ascii="Calibri" w:eastAsia="Times New Roman" w:hAnsi="Calibri" w:cs="Calibri"/>
                <w:i/>
                <w:iCs/>
                <w:color w:val="000000"/>
                <w:lang w:val="es-ES_tradnl"/>
              </w:rPr>
              <w:t>Mediana sectores</w:t>
            </w:r>
          </w:p>
        </w:tc>
        <w:tc>
          <w:tcPr>
            <w:tcW w:w="2100" w:type="dxa"/>
            <w:tcBorders>
              <w:top w:val="nil"/>
              <w:left w:val="nil"/>
              <w:bottom w:val="single" w:sz="4" w:space="0" w:color="auto"/>
              <w:right w:val="single" w:sz="4" w:space="0" w:color="auto"/>
            </w:tcBorders>
            <w:shd w:val="clear" w:color="000000" w:fill="FFFFFF"/>
            <w:noWrap/>
            <w:vAlign w:val="bottom"/>
          </w:tcPr>
          <w:p w14:paraId="40A89CFA" w14:textId="791CA568" w:rsidR="002E05B3" w:rsidRPr="002E05B3" w:rsidRDefault="002E05B3" w:rsidP="002E05B3">
            <w:pPr>
              <w:spacing w:after="0" w:line="240" w:lineRule="auto"/>
              <w:jc w:val="center"/>
              <w:rPr>
                <w:rFonts w:ascii="Calibri" w:eastAsia="Times New Roman" w:hAnsi="Calibri" w:cs="Calibri"/>
                <w:i/>
                <w:iCs/>
                <w:color w:val="000000"/>
                <w:lang w:val="es-ES_tradnl"/>
              </w:rPr>
            </w:pPr>
            <w:r w:rsidRPr="002E05B3">
              <w:rPr>
                <w:rFonts w:ascii="Calibri" w:hAnsi="Calibri" w:cs="Calibri"/>
                <w:i/>
                <w:iCs/>
                <w:color w:val="000000"/>
              </w:rPr>
              <w:t>53</w:t>
            </w:r>
          </w:p>
        </w:tc>
      </w:tr>
      <w:tr w:rsidR="002E05B3" w:rsidRPr="00FE5090" w14:paraId="7B7CEDFC" w14:textId="77777777" w:rsidTr="00A97C96">
        <w:trPr>
          <w:divId w:val="1676885892"/>
          <w:trHeight w:val="300"/>
          <w:jc w:val="center"/>
        </w:trPr>
        <w:tc>
          <w:tcPr>
            <w:tcW w:w="6096" w:type="dxa"/>
            <w:tcBorders>
              <w:top w:val="nil"/>
              <w:left w:val="single" w:sz="4" w:space="0" w:color="auto"/>
              <w:bottom w:val="single" w:sz="4" w:space="0" w:color="auto"/>
              <w:right w:val="single" w:sz="4" w:space="0" w:color="auto"/>
            </w:tcBorders>
            <w:shd w:val="clear" w:color="000000" w:fill="FFFFFF"/>
            <w:noWrap/>
            <w:vAlign w:val="bottom"/>
            <w:hideMark/>
          </w:tcPr>
          <w:p w14:paraId="181D1625" w14:textId="77777777" w:rsidR="002E05B3" w:rsidRPr="002E05B3" w:rsidRDefault="002E05B3" w:rsidP="002E05B3">
            <w:pPr>
              <w:spacing w:after="0" w:line="240" w:lineRule="auto"/>
              <w:rPr>
                <w:rFonts w:ascii="Calibri" w:eastAsia="Times New Roman" w:hAnsi="Calibri" w:cs="Calibri"/>
                <w:i/>
                <w:iCs/>
                <w:color w:val="000000"/>
                <w:lang w:val="es-ES_tradnl"/>
              </w:rPr>
            </w:pPr>
            <w:r w:rsidRPr="002E05B3">
              <w:rPr>
                <w:rFonts w:ascii="Calibri" w:eastAsia="Times New Roman" w:hAnsi="Calibri" w:cs="Calibri"/>
                <w:i/>
                <w:iCs/>
                <w:color w:val="000000"/>
                <w:lang w:val="es-ES_tradnl"/>
              </w:rPr>
              <w:t>Promedio simple sectores</w:t>
            </w:r>
          </w:p>
        </w:tc>
        <w:tc>
          <w:tcPr>
            <w:tcW w:w="2100" w:type="dxa"/>
            <w:tcBorders>
              <w:top w:val="nil"/>
              <w:left w:val="nil"/>
              <w:bottom w:val="single" w:sz="4" w:space="0" w:color="auto"/>
              <w:right w:val="single" w:sz="4" w:space="0" w:color="auto"/>
            </w:tcBorders>
            <w:shd w:val="clear" w:color="000000" w:fill="FFFFFF"/>
            <w:noWrap/>
            <w:vAlign w:val="bottom"/>
          </w:tcPr>
          <w:p w14:paraId="2EE7538C" w14:textId="5B02845C" w:rsidR="002E05B3" w:rsidRPr="002E05B3" w:rsidRDefault="002E05B3" w:rsidP="002E05B3">
            <w:pPr>
              <w:spacing w:after="0" w:line="240" w:lineRule="auto"/>
              <w:jc w:val="center"/>
              <w:rPr>
                <w:rFonts w:ascii="Calibri" w:eastAsia="Times New Roman" w:hAnsi="Calibri" w:cs="Calibri"/>
                <w:i/>
                <w:iCs/>
                <w:color w:val="000000"/>
                <w:lang w:val="es-ES_tradnl"/>
              </w:rPr>
            </w:pPr>
            <w:r w:rsidRPr="002E05B3">
              <w:rPr>
                <w:rFonts w:ascii="Calibri" w:hAnsi="Calibri" w:cs="Calibri"/>
                <w:i/>
                <w:iCs/>
                <w:color w:val="000000"/>
              </w:rPr>
              <w:t>58</w:t>
            </w:r>
          </w:p>
        </w:tc>
      </w:tr>
      <w:tr w:rsidR="002E05B3" w:rsidRPr="00F34FA3" w14:paraId="614088DC" w14:textId="77777777" w:rsidTr="00A97C96">
        <w:trPr>
          <w:divId w:val="1676885892"/>
          <w:trHeight w:val="300"/>
          <w:jc w:val="center"/>
        </w:trPr>
        <w:tc>
          <w:tcPr>
            <w:tcW w:w="6096" w:type="dxa"/>
            <w:tcBorders>
              <w:top w:val="nil"/>
              <w:left w:val="single" w:sz="4" w:space="0" w:color="auto"/>
              <w:bottom w:val="single" w:sz="4" w:space="0" w:color="auto"/>
              <w:right w:val="single" w:sz="4" w:space="0" w:color="auto"/>
            </w:tcBorders>
            <w:shd w:val="clear" w:color="000000" w:fill="FFFFFF"/>
            <w:noWrap/>
            <w:vAlign w:val="bottom"/>
            <w:hideMark/>
          </w:tcPr>
          <w:p w14:paraId="02C2CB5F" w14:textId="77777777" w:rsidR="002E05B3" w:rsidRPr="002E05B3" w:rsidRDefault="002E05B3" w:rsidP="002E05B3">
            <w:pPr>
              <w:spacing w:after="0" w:line="240" w:lineRule="auto"/>
              <w:rPr>
                <w:rFonts w:ascii="Calibri" w:eastAsia="Times New Roman" w:hAnsi="Calibri" w:cs="Calibri"/>
                <w:i/>
                <w:iCs/>
                <w:color w:val="000000"/>
                <w:lang w:val="es-ES_tradnl"/>
              </w:rPr>
            </w:pPr>
            <w:r w:rsidRPr="002E05B3">
              <w:rPr>
                <w:rFonts w:ascii="Calibri" w:eastAsia="Times New Roman" w:hAnsi="Calibri" w:cs="Calibri"/>
                <w:i/>
                <w:iCs/>
                <w:color w:val="000000"/>
                <w:lang w:val="es-ES_tradnl"/>
              </w:rPr>
              <w:t>Promedio sectores (ponderado por contribución al PIB) (*)</w:t>
            </w:r>
          </w:p>
        </w:tc>
        <w:tc>
          <w:tcPr>
            <w:tcW w:w="2100" w:type="dxa"/>
            <w:tcBorders>
              <w:top w:val="nil"/>
              <w:left w:val="nil"/>
              <w:bottom w:val="single" w:sz="4" w:space="0" w:color="auto"/>
              <w:right w:val="single" w:sz="4" w:space="0" w:color="auto"/>
            </w:tcBorders>
            <w:shd w:val="clear" w:color="000000" w:fill="FFFFFF"/>
            <w:noWrap/>
            <w:vAlign w:val="bottom"/>
          </w:tcPr>
          <w:p w14:paraId="0600A181" w14:textId="0A9CA7C0" w:rsidR="002E05B3" w:rsidRPr="002E05B3" w:rsidRDefault="002E05B3" w:rsidP="002E05B3">
            <w:pPr>
              <w:spacing w:after="0" w:line="240" w:lineRule="auto"/>
              <w:jc w:val="center"/>
              <w:rPr>
                <w:rFonts w:ascii="Calibri" w:eastAsia="Times New Roman" w:hAnsi="Calibri" w:cs="Calibri"/>
                <w:i/>
                <w:iCs/>
                <w:color w:val="000000"/>
                <w:lang w:val="es-ES_tradnl"/>
              </w:rPr>
            </w:pPr>
            <w:r w:rsidRPr="002E05B3">
              <w:rPr>
                <w:rFonts w:ascii="Calibri" w:hAnsi="Calibri" w:cs="Calibri"/>
                <w:i/>
                <w:iCs/>
                <w:color w:val="000000"/>
              </w:rPr>
              <w:t>57</w:t>
            </w:r>
          </w:p>
        </w:tc>
      </w:tr>
      <w:tr w:rsidR="002E05B3" w:rsidRPr="00F34FA3" w14:paraId="6AFAA313" w14:textId="77777777" w:rsidTr="00A97C96">
        <w:trPr>
          <w:divId w:val="1676885892"/>
          <w:trHeight w:val="300"/>
          <w:jc w:val="center"/>
        </w:trPr>
        <w:tc>
          <w:tcPr>
            <w:tcW w:w="6096" w:type="dxa"/>
            <w:tcBorders>
              <w:top w:val="nil"/>
              <w:left w:val="single" w:sz="4" w:space="0" w:color="auto"/>
              <w:bottom w:val="single" w:sz="4" w:space="0" w:color="auto"/>
              <w:right w:val="single" w:sz="4" w:space="0" w:color="auto"/>
            </w:tcBorders>
            <w:shd w:val="clear" w:color="000000" w:fill="FFFFFF"/>
            <w:noWrap/>
            <w:vAlign w:val="bottom"/>
            <w:hideMark/>
          </w:tcPr>
          <w:p w14:paraId="03CF5D32" w14:textId="77777777" w:rsidR="002E05B3" w:rsidRPr="002E05B3" w:rsidRDefault="002E05B3" w:rsidP="002E05B3">
            <w:pPr>
              <w:spacing w:after="0" w:line="240" w:lineRule="auto"/>
              <w:rPr>
                <w:rFonts w:ascii="Calibri" w:eastAsia="Times New Roman" w:hAnsi="Calibri" w:cs="Calibri"/>
                <w:i/>
                <w:iCs/>
                <w:color w:val="000000"/>
                <w:lang w:val="es-ES_tradnl"/>
              </w:rPr>
            </w:pPr>
            <w:r w:rsidRPr="002E05B3">
              <w:rPr>
                <w:rFonts w:ascii="Calibri" w:eastAsia="Times New Roman" w:hAnsi="Calibri" w:cs="Calibri"/>
                <w:i/>
                <w:iCs/>
                <w:color w:val="000000"/>
                <w:lang w:val="es-ES_tradnl"/>
              </w:rPr>
              <w:t>Promedio sectores (ponderado por contribución al empleo) (*)</w:t>
            </w:r>
          </w:p>
        </w:tc>
        <w:tc>
          <w:tcPr>
            <w:tcW w:w="2100" w:type="dxa"/>
            <w:tcBorders>
              <w:top w:val="nil"/>
              <w:left w:val="nil"/>
              <w:bottom w:val="single" w:sz="4" w:space="0" w:color="auto"/>
              <w:right w:val="single" w:sz="4" w:space="0" w:color="auto"/>
            </w:tcBorders>
            <w:shd w:val="clear" w:color="000000" w:fill="FFFFFF"/>
            <w:noWrap/>
            <w:vAlign w:val="bottom"/>
          </w:tcPr>
          <w:p w14:paraId="45370654" w14:textId="36DC1A90" w:rsidR="002E05B3" w:rsidRPr="002E05B3" w:rsidRDefault="002E05B3" w:rsidP="002E05B3">
            <w:pPr>
              <w:spacing w:after="0" w:line="240" w:lineRule="auto"/>
              <w:jc w:val="center"/>
              <w:rPr>
                <w:rFonts w:ascii="Calibri" w:eastAsia="Times New Roman" w:hAnsi="Calibri" w:cs="Calibri"/>
                <w:i/>
                <w:iCs/>
                <w:color w:val="000000"/>
                <w:lang w:val="es-ES_tradnl"/>
              </w:rPr>
            </w:pPr>
            <w:r w:rsidRPr="002E05B3">
              <w:rPr>
                <w:rFonts w:ascii="Calibri" w:hAnsi="Calibri" w:cs="Calibri"/>
                <w:i/>
                <w:iCs/>
                <w:color w:val="000000"/>
              </w:rPr>
              <w:t>57</w:t>
            </w:r>
          </w:p>
        </w:tc>
      </w:tr>
      <w:tr w:rsidR="00A97C96" w:rsidRPr="000B0A4A" w14:paraId="6BBD2082" w14:textId="77777777" w:rsidTr="00A97C96">
        <w:trPr>
          <w:divId w:val="1676885892"/>
          <w:trHeight w:val="975"/>
          <w:jc w:val="center"/>
        </w:trPr>
        <w:tc>
          <w:tcPr>
            <w:tcW w:w="8196" w:type="dxa"/>
            <w:gridSpan w:val="2"/>
            <w:tcBorders>
              <w:top w:val="single" w:sz="4" w:space="0" w:color="auto"/>
              <w:left w:val="nil"/>
              <w:bottom w:val="single" w:sz="4" w:space="0" w:color="auto"/>
              <w:right w:val="nil"/>
            </w:tcBorders>
            <w:shd w:val="clear" w:color="000000" w:fill="FFFFFF"/>
            <w:vAlign w:val="bottom"/>
            <w:hideMark/>
          </w:tcPr>
          <w:p w14:paraId="2C4EF296" w14:textId="77777777" w:rsidR="00A97C96" w:rsidRPr="00A97C96" w:rsidRDefault="00A97C96" w:rsidP="00E34617">
            <w:pPr>
              <w:spacing w:after="0" w:line="240" w:lineRule="auto"/>
              <w:rPr>
                <w:rFonts w:ascii="Calibri" w:eastAsia="Times New Roman" w:hAnsi="Calibri" w:cs="Calibri"/>
                <w:color w:val="000000"/>
                <w:sz w:val="18"/>
                <w:szCs w:val="18"/>
                <w:lang w:val="es-ES_tradnl"/>
              </w:rPr>
            </w:pPr>
            <w:r w:rsidRPr="00A97C96">
              <w:rPr>
                <w:rFonts w:ascii="Calibri" w:eastAsia="Times New Roman" w:hAnsi="Calibri" w:cs="Calibri"/>
                <w:color w:val="000000"/>
                <w:sz w:val="18"/>
                <w:szCs w:val="18"/>
                <w:lang w:val="es-ES_tradnl"/>
              </w:rPr>
              <w:t xml:space="preserve">Fuente: IFD/CMF. </w:t>
            </w:r>
            <w:r w:rsidRPr="00A97C96">
              <w:rPr>
                <w:rFonts w:ascii="Calibri" w:eastAsia="Times New Roman" w:hAnsi="Calibri" w:cs="Calibri"/>
                <w:color w:val="000000"/>
                <w:sz w:val="18"/>
                <w:szCs w:val="18"/>
                <w:lang w:val="es-ES_tradnl"/>
              </w:rPr>
              <w:br/>
            </w:r>
            <w:r w:rsidRPr="00A97C96">
              <w:rPr>
                <w:rFonts w:ascii="Calibri" w:eastAsia="Times New Roman" w:hAnsi="Calibri" w:cs="Calibri"/>
                <w:i/>
                <w:iCs/>
                <w:color w:val="000000"/>
                <w:sz w:val="18"/>
                <w:szCs w:val="18"/>
                <w:lang w:val="es-ES_tradnl"/>
              </w:rPr>
              <w:t>(*) La ponderación considera sólo los sectores enumerados.</w:t>
            </w:r>
            <w:r w:rsidRPr="00A97C96">
              <w:rPr>
                <w:rFonts w:ascii="Calibri" w:eastAsia="Times New Roman" w:hAnsi="Calibri" w:cs="Calibri"/>
                <w:i/>
                <w:iCs/>
                <w:color w:val="000000"/>
                <w:sz w:val="18"/>
                <w:szCs w:val="18"/>
                <w:lang w:val="es-ES_tradnl"/>
              </w:rPr>
              <w:br/>
              <w:t>El IV ha sido escalado para tomar valores entre 0 y 100. Un valor más alto indica una mayor vulnerabilidad global del sector.</w:t>
            </w:r>
          </w:p>
        </w:tc>
      </w:tr>
    </w:tbl>
    <w:p w14:paraId="3C106EF7" w14:textId="4ACCA5D5" w:rsidR="00303A21" w:rsidRPr="00D536DF" w:rsidRDefault="00303A21" w:rsidP="00A700FB">
      <w:pPr>
        <w:jc w:val="both"/>
        <w:rPr>
          <w:lang w:val="es-ES_tradnl"/>
        </w:rPr>
      </w:pPr>
    </w:p>
    <w:p w14:paraId="23669336" w14:textId="04DAD552" w:rsidR="00725F1A" w:rsidRPr="00D536DF" w:rsidRDefault="00725F1A" w:rsidP="00725F1A">
      <w:pPr>
        <w:pStyle w:val="Heading2"/>
        <w:ind w:left="0"/>
        <w:rPr>
          <w:lang w:val="es-ES_tradnl"/>
        </w:rPr>
      </w:pPr>
      <w:bookmarkStart w:id="12" w:name="_Toc38398632"/>
      <w:bookmarkStart w:id="13" w:name="_Toc36834039"/>
      <w:r w:rsidRPr="00D536DF">
        <w:rPr>
          <w:lang w:val="es-ES_tradnl"/>
        </w:rPr>
        <w:t>Situación por sectores</w:t>
      </w:r>
      <w:bookmarkEnd w:id="12"/>
      <w:bookmarkEnd w:id="13"/>
    </w:p>
    <w:p w14:paraId="1EBE358E" w14:textId="77777777" w:rsidR="00F74A03" w:rsidRPr="00D536DF" w:rsidRDefault="00F74A03" w:rsidP="00E3628F">
      <w:pPr>
        <w:jc w:val="both"/>
        <w:rPr>
          <w:lang w:val="es-ES_tradnl"/>
        </w:rPr>
      </w:pPr>
    </w:p>
    <w:p w14:paraId="1A1F6695" w14:textId="019213B2" w:rsidR="00A216E1" w:rsidRPr="00AD0640" w:rsidRDefault="00A216E1" w:rsidP="00A216E1">
      <w:pPr>
        <w:jc w:val="both"/>
        <w:rPr>
          <w:lang w:val="es-AR"/>
        </w:rPr>
      </w:pPr>
      <w:r w:rsidRPr="00AD0640">
        <w:rPr>
          <w:lang w:val="es-AR"/>
        </w:rPr>
        <w:t>Antes de pasar a la discusión de la situación por sectores, conviene recordar que la metodología utilizada está identificando un grado de vulnerabilidad global del sector determinado por el impacto del COVID-19. El análisis está, por construcción, centrado en los sectores en los que se espera un mayor impacto, por lo que se está graduando a partir de un nivel de vulnerabilidad elevado. Atendiendo a esto, el siguiente cuadro propone los siguientes rangos para la interpretación del índice (que serán usados en la discusión de esta sección).</w:t>
      </w:r>
    </w:p>
    <w:p w14:paraId="41AF141B" w14:textId="77777777" w:rsidR="00A216E1" w:rsidRPr="00AD0640" w:rsidRDefault="00A216E1" w:rsidP="00A216E1">
      <w:pPr>
        <w:spacing w:after="0" w:line="240" w:lineRule="auto"/>
        <w:jc w:val="center"/>
        <w:rPr>
          <w:b/>
          <w:bCs/>
          <w:lang w:val="es-AR"/>
        </w:rPr>
      </w:pPr>
      <w:r w:rsidRPr="00AD0640">
        <w:rPr>
          <w:b/>
          <w:bCs/>
          <w:lang w:val="es-AR"/>
        </w:rPr>
        <w:t>Tabla II.B.1</w:t>
      </w:r>
    </w:p>
    <w:p w14:paraId="74A32F90" w14:textId="77777777" w:rsidR="00A216E1" w:rsidRPr="00AD0640" w:rsidRDefault="00A216E1" w:rsidP="00A216E1">
      <w:pPr>
        <w:spacing w:after="0" w:line="240" w:lineRule="auto"/>
        <w:jc w:val="center"/>
        <w:rPr>
          <w:b/>
          <w:bCs/>
          <w:lang w:val="es-AR"/>
        </w:rPr>
      </w:pPr>
      <w:r w:rsidRPr="00AD0640">
        <w:rPr>
          <w:b/>
          <w:bCs/>
          <w:lang w:val="es-AR"/>
        </w:rPr>
        <w:t>Clasificación cualitativa del</w:t>
      </w:r>
    </w:p>
    <w:p w14:paraId="3364ACC3" w14:textId="77777777" w:rsidR="00A216E1" w:rsidRPr="00AD0640" w:rsidRDefault="00A216E1" w:rsidP="00A216E1">
      <w:pPr>
        <w:spacing w:after="0" w:line="240" w:lineRule="auto"/>
        <w:jc w:val="center"/>
        <w:rPr>
          <w:lang w:val="es-AR"/>
        </w:rPr>
      </w:pPr>
      <w:r w:rsidRPr="00AD0640">
        <w:rPr>
          <w:b/>
          <w:bCs/>
          <w:lang w:val="es-AR"/>
        </w:rPr>
        <w:t>Índice de vulnerabilidad (IV)</w:t>
      </w:r>
      <w:r w:rsidRPr="00AD0640">
        <w:rPr>
          <w:lang w:val="es-AR"/>
        </w:rPr>
        <w:t xml:space="preserve"> </w:t>
      </w:r>
    </w:p>
    <w:tbl>
      <w:tblPr>
        <w:tblW w:w="2785" w:type="dxa"/>
        <w:jc w:val="center"/>
        <w:tblLook w:val="04A0" w:firstRow="1" w:lastRow="0" w:firstColumn="1" w:lastColumn="0" w:noHBand="0" w:noVBand="1"/>
      </w:tblPr>
      <w:tblGrid>
        <w:gridCol w:w="960"/>
        <w:gridCol w:w="1825"/>
      </w:tblGrid>
      <w:tr w:rsidR="00A216E1" w:rsidRPr="00AD0640" w14:paraId="10F3F944" w14:textId="77777777" w:rsidTr="00844123">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38447BA6" w14:textId="77777777" w:rsidR="00A216E1" w:rsidRPr="00AD0640" w:rsidRDefault="00A216E1" w:rsidP="00844123">
            <w:pPr>
              <w:spacing w:after="0" w:line="240" w:lineRule="auto"/>
              <w:jc w:val="center"/>
              <w:rPr>
                <w:rFonts w:ascii="Calibri" w:eastAsia="Times New Roman" w:hAnsi="Calibri" w:cs="Calibri"/>
                <w:b/>
                <w:bCs/>
                <w:color w:val="000000"/>
                <w:lang w:val="es-AR"/>
              </w:rPr>
            </w:pPr>
            <w:r w:rsidRPr="00AD0640">
              <w:rPr>
                <w:rFonts w:ascii="Calibri" w:eastAsia="Times New Roman" w:hAnsi="Calibri" w:cs="Calibri"/>
                <w:b/>
                <w:bCs/>
                <w:color w:val="000000"/>
                <w:lang w:val="es-AR"/>
              </w:rPr>
              <w:t>IV</w:t>
            </w:r>
          </w:p>
        </w:tc>
        <w:tc>
          <w:tcPr>
            <w:tcW w:w="1825" w:type="dxa"/>
            <w:tcBorders>
              <w:top w:val="single" w:sz="4" w:space="0" w:color="auto"/>
              <w:left w:val="nil"/>
              <w:bottom w:val="single" w:sz="4" w:space="0" w:color="auto"/>
              <w:right w:val="single" w:sz="4" w:space="0" w:color="auto"/>
            </w:tcBorders>
            <w:shd w:val="clear" w:color="000000" w:fill="D9E1F2"/>
            <w:noWrap/>
            <w:vAlign w:val="bottom"/>
            <w:hideMark/>
          </w:tcPr>
          <w:p w14:paraId="36485BBC" w14:textId="77777777" w:rsidR="00A216E1" w:rsidRPr="00AD0640" w:rsidRDefault="00A216E1" w:rsidP="00844123">
            <w:pPr>
              <w:spacing w:after="0" w:line="240" w:lineRule="auto"/>
              <w:jc w:val="center"/>
              <w:rPr>
                <w:rFonts w:ascii="Calibri" w:eastAsia="Times New Roman" w:hAnsi="Calibri" w:cs="Calibri"/>
                <w:b/>
                <w:bCs/>
                <w:color w:val="000000"/>
                <w:lang w:val="es-AR"/>
              </w:rPr>
            </w:pPr>
            <w:r w:rsidRPr="00AD0640">
              <w:rPr>
                <w:rFonts w:ascii="Calibri" w:eastAsia="Times New Roman" w:hAnsi="Calibri" w:cs="Calibri"/>
                <w:b/>
                <w:bCs/>
                <w:color w:val="000000"/>
                <w:lang w:val="es-AR"/>
              </w:rPr>
              <w:t>Interpretación</w:t>
            </w:r>
          </w:p>
        </w:tc>
      </w:tr>
      <w:tr w:rsidR="00A216E1" w:rsidRPr="00AD0640" w14:paraId="206971EF" w14:textId="77777777" w:rsidTr="00844123">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AAE617E" w14:textId="77777777" w:rsidR="00A216E1" w:rsidRPr="00AD0640" w:rsidRDefault="00A216E1" w:rsidP="00844123">
            <w:pPr>
              <w:spacing w:after="0" w:line="240" w:lineRule="auto"/>
              <w:jc w:val="center"/>
              <w:rPr>
                <w:rFonts w:ascii="Calibri" w:eastAsia="Times New Roman" w:hAnsi="Calibri" w:cs="Calibri"/>
                <w:color w:val="000000"/>
                <w:lang w:val="es-AR"/>
              </w:rPr>
            </w:pPr>
            <w:r w:rsidRPr="00AD0640">
              <w:rPr>
                <w:rFonts w:ascii="Calibri" w:eastAsia="Times New Roman" w:hAnsi="Calibri" w:cs="Calibri"/>
                <w:color w:val="000000"/>
                <w:lang w:val="es-AR"/>
              </w:rPr>
              <w:t>0-24</w:t>
            </w:r>
          </w:p>
        </w:tc>
        <w:tc>
          <w:tcPr>
            <w:tcW w:w="1825" w:type="dxa"/>
            <w:tcBorders>
              <w:top w:val="nil"/>
              <w:left w:val="nil"/>
              <w:bottom w:val="single" w:sz="4" w:space="0" w:color="auto"/>
              <w:right w:val="single" w:sz="4" w:space="0" w:color="auto"/>
            </w:tcBorders>
            <w:shd w:val="clear" w:color="000000" w:fill="FFFFFF"/>
            <w:noWrap/>
            <w:vAlign w:val="bottom"/>
            <w:hideMark/>
          </w:tcPr>
          <w:p w14:paraId="0EDF1D08" w14:textId="77777777" w:rsidR="00A216E1" w:rsidRPr="00AD0640" w:rsidRDefault="00A216E1" w:rsidP="00844123">
            <w:pPr>
              <w:spacing w:after="0" w:line="240" w:lineRule="auto"/>
              <w:jc w:val="center"/>
              <w:rPr>
                <w:rFonts w:ascii="Calibri" w:eastAsia="Times New Roman" w:hAnsi="Calibri" w:cs="Calibri"/>
                <w:color w:val="000000"/>
                <w:lang w:val="es-AR"/>
              </w:rPr>
            </w:pPr>
            <w:r w:rsidRPr="00AD0640">
              <w:rPr>
                <w:rFonts w:ascii="Calibri" w:eastAsia="Times New Roman" w:hAnsi="Calibri" w:cs="Calibri"/>
                <w:color w:val="000000"/>
                <w:lang w:val="es-AR"/>
              </w:rPr>
              <w:t>Severo grado 1</w:t>
            </w:r>
          </w:p>
        </w:tc>
      </w:tr>
      <w:tr w:rsidR="00A216E1" w:rsidRPr="00AD0640" w14:paraId="2D299F69" w14:textId="77777777" w:rsidTr="00844123">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8448FE1" w14:textId="77777777" w:rsidR="00A216E1" w:rsidRPr="00AD0640" w:rsidRDefault="00A216E1" w:rsidP="00844123">
            <w:pPr>
              <w:spacing w:after="0" w:line="240" w:lineRule="auto"/>
              <w:jc w:val="center"/>
              <w:rPr>
                <w:rFonts w:ascii="Calibri" w:eastAsia="Times New Roman" w:hAnsi="Calibri" w:cs="Calibri"/>
                <w:color w:val="000000"/>
                <w:lang w:val="es-AR"/>
              </w:rPr>
            </w:pPr>
            <w:r w:rsidRPr="00AD0640">
              <w:rPr>
                <w:rFonts w:ascii="Calibri" w:eastAsia="Times New Roman" w:hAnsi="Calibri" w:cs="Calibri"/>
                <w:color w:val="000000"/>
                <w:lang w:val="es-AR"/>
              </w:rPr>
              <w:t>25-49</w:t>
            </w:r>
          </w:p>
        </w:tc>
        <w:tc>
          <w:tcPr>
            <w:tcW w:w="1825" w:type="dxa"/>
            <w:tcBorders>
              <w:top w:val="nil"/>
              <w:left w:val="nil"/>
              <w:bottom w:val="single" w:sz="4" w:space="0" w:color="auto"/>
              <w:right w:val="single" w:sz="4" w:space="0" w:color="auto"/>
            </w:tcBorders>
            <w:shd w:val="clear" w:color="000000" w:fill="FFFFFF"/>
            <w:noWrap/>
            <w:vAlign w:val="bottom"/>
            <w:hideMark/>
          </w:tcPr>
          <w:p w14:paraId="49506B1A" w14:textId="77777777" w:rsidR="00A216E1" w:rsidRPr="00AD0640" w:rsidRDefault="00A216E1" w:rsidP="00844123">
            <w:pPr>
              <w:spacing w:after="0" w:line="240" w:lineRule="auto"/>
              <w:jc w:val="center"/>
              <w:rPr>
                <w:rFonts w:ascii="Calibri" w:eastAsia="Times New Roman" w:hAnsi="Calibri" w:cs="Calibri"/>
                <w:color w:val="000000"/>
                <w:lang w:val="es-AR"/>
              </w:rPr>
            </w:pPr>
            <w:r w:rsidRPr="00AD0640">
              <w:rPr>
                <w:rFonts w:ascii="Calibri" w:eastAsia="Times New Roman" w:hAnsi="Calibri" w:cs="Calibri"/>
                <w:color w:val="000000"/>
                <w:lang w:val="es-AR"/>
              </w:rPr>
              <w:t>Severo grado 2</w:t>
            </w:r>
          </w:p>
        </w:tc>
      </w:tr>
      <w:tr w:rsidR="00A216E1" w:rsidRPr="00AD0640" w14:paraId="4F4A0E11" w14:textId="77777777" w:rsidTr="00844123">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0D54641" w14:textId="77777777" w:rsidR="00A216E1" w:rsidRPr="00AD0640" w:rsidRDefault="00A216E1" w:rsidP="00844123">
            <w:pPr>
              <w:spacing w:after="0" w:line="240" w:lineRule="auto"/>
              <w:jc w:val="center"/>
              <w:rPr>
                <w:rFonts w:ascii="Calibri" w:eastAsia="Times New Roman" w:hAnsi="Calibri" w:cs="Calibri"/>
                <w:color w:val="000000"/>
                <w:lang w:val="es-AR"/>
              </w:rPr>
            </w:pPr>
            <w:r w:rsidRPr="00AD0640">
              <w:rPr>
                <w:rFonts w:ascii="Calibri" w:eastAsia="Times New Roman" w:hAnsi="Calibri" w:cs="Calibri"/>
                <w:color w:val="000000"/>
                <w:lang w:val="es-AR"/>
              </w:rPr>
              <w:t>50-74</w:t>
            </w:r>
          </w:p>
        </w:tc>
        <w:tc>
          <w:tcPr>
            <w:tcW w:w="1825" w:type="dxa"/>
            <w:tcBorders>
              <w:top w:val="nil"/>
              <w:left w:val="nil"/>
              <w:bottom w:val="single" w:sz="4" w:space="0" w:color="auto"/>
              <w:right w:val="single" w:sz="4" w:space="0" w:color="auto"/>
            </w:tcBorders>
            <w:shd w:val="clear" w:color="000000" w:fill="FFFFFF"/>
            <w:noWrap/>
            <w:vAlign w:val="bottom"/>
            <w:hideMark/>
          </w:tcPr>
          <w:p w14:paraId="00F4ED8E" w14:textId="77777777" w:rsidR="00A216E1" w:rsidRPr="00AD0640" w:rsidRDefault="00A216E1" w:rsidP="00844123">
            <w:pPr>
              <w:spacing w:after="0" w:line="240" w:lineRule="auto"/>
              <w:jc w:val="center"/>
              <w:rPr>
                <w:rFonts w:ascii="Calibri" w:eastAsia="Times New Roman" w:hAnsi="Calibri" w:cs="Calibri"/>
                <w:color w:val="000000"/>
                <w:lang w:val="es-AR"/>
              </w:rPr>
            </w:pPr>
            <w:r w:rsidRPr="00AD0640">
              <w:rPr>
                <w:rFonts w:ascii="Calibri" w:eastAsia="Times New Roman" w:hAnsi="Calibri" w:cs="Calibri"/>
                <w:color w:val="000000"/>
                <w:lang w:val="es-AR"/>
              </w:rPr>
              <w:t>Severo grado 3</w:t>
            </w:r>
          </w:p>
        </w:tc>
      </w:tr>
      <w:tr w:rsidR="00A216E1" w:rsidRPr="00AD0640" w14:paraId="055ADBE9" w14:textId="77777777" w:rsidTr="00844123">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70A85D4" w14:textId="77777777" w:rsidR="00A216E1" w:rsidRPr="00AD0640" w:rsidRDefault="00A216E1" w:rsidP="00844123">
            <w:pPr>
              <w:spacing w:after="0" w:line="240" w:lineRule="auto"/>
              <w:jc w:val="center"/>
              <w:rPr>
                <w:rFonts w:ascii="Calibri" w:eastAsia="Times New Roman" w:hAnsi="Calibri" w:cs="Calibri"/>
                <w:color w:val="000000"/>
                <w:lang w:val="es-AR"/>
              </w:rPr>
            </w:pPr>
            <w:r w:rsidRPr="00AD0640">
              <w:rPr>
                <w:rFonts w:ascii="Calibri" w:eastAsia="Times New Roman" w:hAnsi="Calibri" w:cs="Calibri"/>
                <w:color w:val="000000"/>
                <w:lang w:val="es-AR"/>
              </w:rPr>
              <w:t>75-100</w:t>
            </w:r>
          </w:p>
        </w:tc>
        <w:tc>
          <w:tcPr>
            <w:tcW w:w="1825" w:type="dxa"/>
            <w:tcBorders>
              <w:top w:val="nil"/>
              <w:left w:val="nil"/>
              <w:bottom w:val="single" w:sz="4" w:space="0" w:color="auto"/>
              <w:right w:val="single" w:sz="4" w:space="0" w:color="auto"/>
            </w:tcBorders>
            <w:shd w:val="clear" w:color="000000" w:fill="FFFFFF"/>
            <w:noWrap/>
            <w:vAlign w:val="bottom"/>
            <w:hideMark/>
          </w:tcPr>
          <w:p w14:paraId="19BD11A6" w14:textId="77777777" w:rsidR="00A216E1" w:rsidRPr="00AD0640" w:rsidRDefault="00A216E1" w:rsidP="00844123">
            <w:pPr>
              <w:spacing w:after="0" w:line="240" w:lineRule="auto"/>
              <w:jc w:val="center"/>
              <w:rPr>
                <w:rFonts w:ascii="Calibri" w:eastAsia="Times New Roman" w:hAnsi="Calibri" w:cs="Calibri"/>
                <w:color w:val="000000"/>
                <w:lang w:val="es-AR"/>
              </w:rPr>
            </w:pPr>
            <w:r w:rsidRPr="00AD0640">
              <w:rPr>
                <w:rFonts w:ascii="Calibri" w:eastAsia="Times New Roman" w:hAnsi="Calibri" w:cs="Calibri"/>
                <w:color w:val="000000"/>
                <w:lang w:val="es-AR"/>
              </w:rPr>
              <w:t>Severo grado 4</w:t>
            </w:r>
          </w:p>
        </w:tc>
      </w:tr>
      <w:tr w:rsidR="00A216E1" w:rsidRPr="00AD0640" w14:paraId="37334E53" w14:textId="77777777" w:rsidTr="00844123">
        <w:trPr>
          <w:trHeight w:val="300"/>
          <w:jc w:val="center"/>
        </w:trPr>
        <w:tc>
          <w:tcPr>
            <w:tcW w:w="2785" w:type="dxa"/>
            <w:gridSpan w:val="2"/>
            <w:tcBorders>
              <w:top w:val="nil"/>
              <w:left w:val="nil"/>
              <w:bottom w:val="nil"/>
              <w:right w:val="nil"/>
            </w:tcBorders>
            <w:shd w:val="clear" w:color="000000" w:fill="FFFFFF"/>
            <w:noWrap/>
            <w:vAlign w:val="bottom"/>
            <w:hideMark/>
          </w:tcPr>
          <w:p w14:paraId="09B31B84" w14:textId="77777777" w:rsidR="00A216E1" w:rsidRPr="00AD0640" w:rsidRDefault="00A216E1" w:rsidP="00844123">
            <w:pPr>
              <w:spacing w:after="0" w:line="240" w:lineRule="auto"/>
              <w:rPr>
                <w:rFonts w:ascii="Calibri" w:eastAsia="Times New Roman" w:hAnsi="Calibri" w:cs="Calibri"/>
                <w:color w:val="000000"/>
                <w:sz w:val="18"/>
                <w:szCs w:val="18"/>
                <w:lang w:val="es-AR"/>
              </w:rPr>
            </w:pPr>
            <w:r w:rsidRPr="00AD0640">
              <w:rPr>
                <w:rFonts w:ascii="Calibri" w:eastAsia="Times New Roman" w:hAnsi="Calibri" w:cs="Calibri"/>
                <w:color w:val="000000"/>
                <w:sz w:val="18"/>
                <w:szCs w:val="18"/>
                <w:lang w:val="es-AR"/>
              </w:rPr>
              <w:t>Fuente: IFD/CMF.</w:t>
            </w:r>
          </w:p>
        </w:tc>
      </w:tr>
    </w:tbl>
    <w:p w14:paraId="7FE3D607" w14:textId="77777777" w:rsidR="008A7A2A" w:rsidRDefault="008A7A2A" w:rsidP="00A97D13">
      <w:pPr>
        <w:jc w:val="both"/>
        <w:rPr>
          <w:lang w:val="es-ES_tradnl"/>
        </w:rPr>
      </w:pPr>
    </w:p>
    <w:p w14:paraId="130B2A7A" w14:textId="77C5F20D" w:rsidR="00A97D13" w:rsidRPr="00941B33" w:rsidRDefault="00A97D13" w:rsidP="00A97D13">
      <w:pPr>
        <w:jc w:val="both"/>
        <w:rPr>
          <w:lang w:val="es-ES_tradnl"/>
        </w:rPr>
      </w:pPr>
      <w:r w:rsidRPr="00941B33">
        <w:rPr>
          <w:lang w:val="es-ES_tradnl"/>
        </w:rPr>
        <w:t xml:space="preserve">El </w:t>
      </w:r>
      <w:r w:rsidRPr="00941B33">
        <w:rPr>
          <w:b/>
          <w:bCs/>
          <w:lang w:val="es-ES_tradnl"/>
        </w:rPr>
        <w:t>sector turismo</w:t>
      </w:r>
      <w:r w:rsidRPr="00941B33">
        <w:rPr>
          <w:lang w:val="es-ES_tradnl"/>
        </w:rPr>
        <w:t xml:space="preserve">, presenta un grado de vulnerabilidad </w:t>
      </w:r>
      <w:r w:rsidR="006B2D10">
        <w:rPr>
          <w:lang w:val="es-ES_tradnl"/>
        </w:rPr>
        <w:t>severo</w:t>
      </w:r>
      <w:r w:rsidR="00650B03">
        <w:rPr>
          <w:lang w:val="es-ES_tradnl"/>
        </w:rPr>
        <w:t xml:space="preserve"> de grado </w:t>
      </w:r>
      <w:r w:rsidR="004F08B2">
        <w:rPr>
          <w:lang w:val="es-ES_tradnl"/>
        </w:rPr>
        <w:t>cuatro</w:t>
      </w:r>
      <w:r w:rsidRPr="00941B33">
        <w:rPr>
          <w:lang w:val="es-ES_tradnl"/>
        </w:rPr>
        <w:t xml:space="preserve">, con un índice de vulnerabilidad (IV) de </w:t>
      </w:r>
      <w:r w:rsidR="004F08B2">
        <w:rPr>
          <w:lang w:val="es-ES_tradnl"/>
        </w:rPr>
        <w:t>7</w:t>
      </w:r>
      <w:r w:rsidR="001C1800">
        <w:rPr>
          <w:lang w:val="es-ES_tradnl"/>
        </w:rPr>
        <w:t>9</w:t>
      </w:r>
      <w:r w:rsidRPr="00941B33">
        <w:rPr>
          <w:lang w:val="es-ES_tradnl"/>
        </w:rPr>
        <w:t>. Según la contribución de los distintos factores al índice global para el sector, se observa que el mayor índice de precepción de la materialización de riesgos se encuentra en los factores de demanda (100), seguido de los factores financieros y patrimoniales (</w:t>
      </w:r>
      <w:r w:rsidR="001C1800">
        <w:rPr>
          <w:lang w:val="es-ES_tradnl"/>
        </w:rPr>
        <w:t>83</w:t>
      </w:r>
      <w:r w:rsidRPr="00941B33">
        <w:rPr>
          <w:lang w:val="es-ES_tradnl"/>
        </w:rPr>
        <w:t>) y luego por factores de oferta (</w:t>
      </w:r>
      <w:r w:rsidR="001C1800">
        <w:rPr>
          <w:lang w:val="es-ES_tradnl"/>
        </w:rPr>
        <w:t>80</w:t>
      </w:r>
      <w:r w:rsidRPr="00941B33">
        <w:rPr>
          <w:lang w:val="es-ES_tradnl"/>
        </w:rPr>
        <w:t xml:space="preserve">). </w:t>
      </w:r>
    </w:p>
    <w:p w14:paraId="2E6937CE" w14:textId="45A6CFCE" w:rsidR="00A97D13" w:rsidRDefault="00A97D13" w:rsidP="00A97D13">
      <w:pPr>
        <w:jc w:val="both"/>
        <w:rPr>
          <w:lang w:val="es-ES_tradnl"/>
        </w:rPr>
      </w:pPr>
      <w:r w:rsidRPr="00941B33">
        <w:rPr>
          <w:lang w:val="es-ES_tradnl"/>
        </w:rPr>
        <w:t xml:space="preserve">Dentro de cada uno de estos grupos de factores los más relevantes están relacionados con la reducción de la demanda, tanto interna como externa. Por el lado de los factores financieros y patrimoniales, </w:t>
      </w:r>
      <w:r w:rsidRPr="00941B33">
        <w:rPr>
          <w:lang w:val="es-ES_tradnl"/>
        </w:rPr>
        <w:lastRenderedPageBreak/>
        <w:t>destaca</w:t>
      </w:r>
      <w:r w:rsidR="00187630">
        <w:rPr>
          <w:lang w:val="es-ES_tradnl"/>
        </w:rPr>
        <w:t xml:space="preserve"> por su severidad la</w:t>
      </w:r>
      <w:r w:rsidR="00187630" w:rsidRPr="00941B33">
        <w:rPr>
          <w:lang w:val="es-ES_tradnl"/>
        </w:rPr>
        <w:t xml:space="preserve"> interrupción de financiamientos de corto</w:t>
      </w:r>
      <w:r w:rsidR="00187630">
        <w:rPr>
          <w:lang w:val="es-ES_tradnl"/>
        </w:rPr>
        <w:t xml:space="preserve"> plazo</w:t>
      </w:r>
      <w:r w:rsidR="00187630" w:rsidRPr="00941B33">
        <w:rPr>
          <w:lang w:val="es-ES_tradnl"/>
        </w:rPr>
        <w:t xml:space="preserve"> </w:t>
      </w:r>
      <w:r w:rsidRPr="00941B33">
        <w:rPr>
          <w:lang w:val="es-ES_tradnl"/>
        </w:rPr>
        <w:t>el retraso</w:t>
      </w:r>
      <w:r w:rsidR="00187630">
        <w:rPr>
          <w:lang w:val="es-ES_tradnl"/>
        </w:rPr>
        <w:t xml:space="preserve">, la </w:t>
      </w:r>
      <w:r w:rsidRPr="00941B33">
        <w:rPr>
          <w:lang w:val="es-ES_tradnl"/>
        </w:rPr>
        <w:t>interrupción del ciclo de pagos</w:t>
      </w:r>
      <w:r w:rsidR="00187630">
        <w:rPr>
          <w:lang w:val="es-ES_tradnl"/>
        </w:rPr>
        <w:t>,</w:t>
      </w:r>
      <w:r w:rsidR="004F08B2" w:rsidRPr="004F08B2">
        <w:rPr>
          <w:lang w:val="es-ES_tradnl"/>
        </w:rPr>
        <w:t xml:space="preserve"> </w:t>
      </w:r>
      <w:r w:rsidR="004F08B2">
        <w:rPr>
          <w:lang w:val="es-ES_tradnl"/>
        </w:rPr>
        <w:t xml:space="preserve">y </w:t>
      </w:r>
      <w:r w:rsidR="00187630" w:rsidRPr="00941B33">
        <w:rPr>
          <w:lang w:val="es-ES_tradnl"/>
        </w:rPr>
        <w:t xml:space="preserve">la acumulación de pasivos por atrasos en pagos de sueldos, alquileres, etc. </w:t>
      </w:r>
      <w:r w:rsidR="00187630">
        <w:rPr>
          <w:lang w:val="es-ES_tradnl"/>
        </w:rPr>
        <w:t xml:space="preserve">Por el lado de la oferta destacan las restricciones en el uso del factor trabajo y del capital fijo como instalaciones y oficinas y las limitaciones al acceso de servicios como riegos de mayor impacto. </w:t>
      </w:r>
      <w:r w:rsidR="004F08B2">
        <w:rPr>
          <w:lang w:val="es-ES_tradnl"/>
        </w:rPr>
        <w:t xml:space="preserve">También se considera de riesgo alto </w:t>
      </w:r>
      <w:r w:rsidR="00187630">
        <w:rPr>
          <w:lang w:val="es-ES_tradnl"/>
        </w:rPr>
        <w:t xml:space="preserve">el aumento en el costo de los insumos, </w:t>
      </w:r>
      <w:r w:rsidRPr="00941B33">
        <w:rPr>
          <w:lang w:val="es-ES_tradnl"/>
        </w:rPr>
        <w:t xml:space="preserve">la reducción </w:t>
      </w:r>
      <w:r w:rsidR="00187630">
        <w:rPr>
          <w:lang w:val="es-ES_tradnl"/>
        </w:rPr>
        <w:t>o interrupción del financiamiento de</w:t>
      </w:r>
      <w:r w:rsidR="004F08B2">
        <w:rPr>
          <w:lang w:val="es-ES_tradnl"/>
        </w:rPr>
        <w:t xml:space="preserve"> mediano</w:t>
      </w:r>
      <w:r w:rsidR="00187630">
        <w:rPr>
          <w:lang w:val="es-ES_tradnl"/>
        </w:rPr>
        <w:t xml:space="preserve"> y largo</w:t>
      </w:r>
      <w:r w:rsidR="004F08B2">
        <w:rPr>
          <w:lang w:val="es-ES_tradnl"/>
        </w:rPr>
        <w:t xml:space="preserve"> </w:t>
      </w:r>
      <w:r w:rsidRPr="00941B33">
        <w:rPr>
          <w:lang w:val="es-ES_tradnl"/>
        </w:rPr>
        <w:t>plazo</w:t>
      </w:r>
      <w:r>
        <w:rPr>
          <w:lang w:val="es-ES_tradnl"/>
        </w:rPr>
        <w:t xml:space="preserve">, el aumento de los costes financieros, y </w:t>
      </w:r>
      <w:r w:rsidR="00187630">
        <w:rPr>
          <w:lang w:val="es-ES_tradnl"/>
        </w:rPr>
        <w:t xml:space="preserve">la reducción en el valor de los activos patrimoniales por la retracción de la demanda. </w:t>
      </w:r>
      <w:r w:rsidRPr="00E83B7E">
        <w:rPr>
          <w:lang w:val="es-ES_tradnl"/>
        </w:rPr>
        <w:t xml:space="preserve">El sector incluye más de </w:t>
      </w:r>
      <w:r w:rsidR="00187630">
        <w:rPr>
          <w:lang w:val="es-ES_tradnl"/>
        </w:rPr>
        <w:t xml:space="preserve">41.000 </w:t>
      </w:r>
      <w:r w:rsidRPr="00E83B7E">
        <w:rPr>
          <w:lang w:val="es-ES_tradnl"/>
        </w:rPr>
        <w:t>MiP</w:t>
      </w:r>
      <w:r>
        <w:rPr>
          <w:lang w:val="es-ES_tradnl"/>
        </w:rPr>
        <w:t>y</w:t>
      </w:r>
      <w:r w:rsidRPr="00E83B7E">
        <w:rPr>
          <w:lang w:val="es-ES_tradnl"/>
        </w:rPr>
        <w:t xml:space="preserve">ME (más del </w:t>
      </w:r>
      <w:r w:rsidR="00187630">
        <w:rPr>
          <w:lang w:val="es-ES_tradnl"/>
        </w:rPr>
        <w:t>99</w:t>
      </w:r>
      <w:r w:rsidRPr="00E83B7E">
        <w:rPr>
          <w:lang w:val="es-ES_tradnl"/>
        </w:rPr>
        <w:t xml:space="preserve">% del total de empresas del sector), contribuye un </w:t>
      </w:r>
      <w:r w:rsidR="00187630">
        <w:rPr>
          <w:lang w:val="es-ES_tradnl"/>
        </w:rPr>
        <w:t>3,35</w:t>
      </w:r>
      <w:r w:rsidRPr="00E83B7E">
        <w:rPr>
          <w:lang w:val="es-ES_tradnl"/>
        </w:rPr>
        <w:t xml:space="preserve">% al PIB y </w:t>
      </w:r>
      <w:r>
        <w:rPr>
          <w:lang w:val="es-ES_tradnl"/>
        </w:rPr>
        <w:t xml:space="preserve">en un </w:t>
      </w:r>
      <w:r w:rsidR="00187630">
        <w:rPr>
          <w:lang w:val="es-ES_tradnl"/>
        </w:rPr>
        <w:t>2,42</w:t>
      </w:r>
      <w:r>
        <w:rPr>
          <w:lang w:val="es-ES_tradnl"/>
        </w:rPr>
        <w:t xml:space="preserve">% al empleo, aproximadamente el </w:t>
      </w:r>
      <w:r w:rsidR="00187630">
        <w:rPr>
          <w:lang w:val="es-ES_tradnl"/>
        </w:rPr>
        <w:t>6,45</w:t>
      </w:r>
      <w:r w:rsidRPr="00E83B7E">
        <w:rPr>
          <w:lang w:val="es-ES_tradnl"/>
        </w:rPr>
        <w:t xml:space="preserve"> % de su producción se orienta a la demanda externa</w:t>
      </w:r>
      <w:r>
        <w:rPr>
          <w:lang w:val="es-ES_tradnl"/>
        </w:rPr>
        <w:t xml:space="preserve"> y existen más de</w:t>
      </w:r>
      <w:r w:rsidR="00187630">
        <w:rPr>
          <w:lang w:val="es-ES_tradnl"/>
        </w:rPr>
        <w:t xml:space="preserve"> 372</w:t>
      </w:r>
      <w:r>
        <w:rPr>
          <w:lang w:val="es-ES_tradnl"/>
        </w:rPr>
        <w:t xml:space="preserve"> empresas tractoras</w:t>
      </w:r>
      <w:r w:rsidRPr="00E83B7E">
        <w:rPr>
          <w:lang w:val="es-ES_tradnl"/>
        </w:rPr>
        <w:t>.</w:t>
      </w:r>
      <w:r>
        <w:rPr>
          <w:lang w:val="es-ES_tradnl"/>
        </w:rPr>
        <w:t xml:space="preserve"> </w:t>
      </w:r>
      <w:r w:rsidRPr="00941B33">
        <w:rPr>
          <w:lang w:val="es-ES_tradnl"/>
        </w:rPr>
        <w:t>A nivel general, la capacidad de la MiPyME de realizar transferencias por otros canales como el comercio electrónico es</w:t>
      </w:r>
      <w:r w:rsidR="004F08B2">
        <w:rPr>
          <w:lang w:val="es-ES_tradnl"/>
        </w:rPr>
        <w:t xml:space="preserve"> medio</w:t>
      </w:r>
      <w:r w:rsidR="004F08B2">
        <w:rPr>
          <w:rStyle w:val="FootnoteReference"/>
          <w:lang w:val="es-ES_tradnl"/>
        </w:rPr>
        <w:footnoteReference w:id="9"/>
      </w:r>
      <w:r w:rsidRPr="00941B33">
        <w:rPr>
          <w:lang w:val="es-ES_tradnl"/>
        </w:rPr>
        <w:t xml:space="preserve">. </w:t>
      </w:r>
    </w:p>
    <w:p w14:paraId="45392A1F" w14:textId="4483C609" w:rsidR="003D1C79" w:rsidRPr="003D1C79" w:rsidRDefault="003D1C79" w:rsidP="003D1C79">
      <w:pPr>
        <w:jc w:val="both"/>
        <w:rPr>
          <w:lang w:val="es-ES_tradnl"/>
        </w:rPr>
      </w:pPr>
      <w:r>
        <w:rPr>
          <w:lang w:val="es-ES_tradnl"/>
        </w:rPr>
        <w:t xml:space="preserve">El sector </w:t>
      </w:r>
      <w:r>
        <w:rPr>
          <w:b/>
          <w:bCs/>
          <w:lang w:val="es-ES_tradnl"/>
        </w:rPr>
        <w:t>automotriz</w:t>
      </w:r>
      <w:r>
        <w:rPr>
          <w:lang w:val="es-ES_tradnl"/>
        </w:rPr>
        <w:t xml:space="preserve"> tiene una vulnerabilidad severa de grado cuatro, con un IV de 76, como resultado de factores de demanda (100) y financieros y patrimoniales (83), y en menor grado de oferta (59). </w:t>
      </w:r>
      <w:r w:rsidR="00504BA6">
        <w:rPr>
          <w:lang w:val="es-ES_tradnl"/>
        </w:rPr>
        <w:t xml:space="preserve">Como parte de los factores de demanda se considera un riesgo elevado tanto la reducción de la demanda interna como externa. Como percepción de riesgos con impactos extremos se incluyen del lado financiero la interrupción del financiamiento de corto, mediano y largo plazo, y el aumento de los costos financieros y de intermediación. </w:t>
      </w:r>
      <w:r w:rsidR="00933D03">
        <w:rPr>
          <w:lang w:val="es-ES_tradnl"/>
        </w:rPr>
        <w:t xml:space="preserve">Por el lado de la oferta, factores de materialización del riesgo alto son las limitaciones en el uso de la fuerza del trabajo y del capital y la insuficiencia en la cantidad y calidad de insumos y su coste. Otros factores como los patrimoniales o el retraso o interrupción de los ciclos de pagos son percibidos como de alto riesgo. </w:t>
      </w:r>
      <w:r>
        <w:rPr>
          <w:lang w:val="es-ES_tradnl"/>
        </w:rPr>
        <w:t xml:space="preserve">Este sector </w:t>
      </w:r>
      <w:r w:rsidR="00D52479">
        <w:rPr>
          <w:lang w:val="es-ES_tradnl"/>
        </w:rPr>
        <w:t>está constituido por más de 10.000 MiP</w:t>
      </w:r>
      <w:r w:rsidR="000039BD">
        <w:rPr>
          <w:lang w:val="es-ES_tradnl"/>
        </w:rPr>
        <w:t>y</w:t>
      </w:r>
      <w:r w:rsidR="00D52479">
        <w:rPr>
          <w:lang w:val="es-ES_tradnl"/>
        </w:rPr>
        <w:t xml:space="preserve">ME y </w:t>
      </w:r>
      <w:r>
        <w:rPr>
          <w:lang w:val="es-ES_tradnl"/>
        </w:rPr>
        <w:t xml:space="preserve">contribuye en un 1,2% al empleo y en un 0,5% al PIB. </w:t>
      </w:r>
      <w:r w:rsidR="004B1767">
        <w:rPr>
          <w:lang w:val="es-ES_tradnl"/>
        </w:rPr>
        <w:t xml:space="preserve">Gran </w:t>
      </w:r>
      <w:r w:rsidR="004B1767" w:rsidRPr="008432DC">
        <w:rPr>
          <w:lang w:val="es-ES_tradnl"/>
        </w:rPr>
        <w:t>parte de la producción tiene destino en los mercados externos (</w:t>
      </w:r>
      <w:r w:rsidR="004B1767" w:rsidRPr="008432DC">
        <w:rPr>
          <w:lang w:val="es-AR"/>
        </w:rPr>
        <w:t>72% de las unidades producidas en el segmento de automóviles y vehículos comerciales livianos estuvieron destinadas a la exportación</w:t>
      </w:r>
      <w:r w:rsidR="008432DC" w:rsidRPr="008432DC">
        <w:rPr>
          <w:lang w:val="es-AR"/>
        </w:rPr>
        <w:t xml:space="preserve"> durante 2019).</w:t>
      </w:r>
    </w:p>
    <w:p w14:paraId="395F3420" w14:textId="0413CA64" w:rsidR="00933D03" w:rsidRPr="00933D03" w:rsidRDefault="00933D03" w:rsidP="00A97D13">
      <w:pPr>
        <w:jc w:val="both"/>
        <w:rPr>
          <w:lang w:val="es-ES_tradnl"/>
        </w:rPr>
      </w:pPr>
      <w:r w:rsidRPr="00933D03">
        <w:rPr>
          <w:lang w:val="es-ES_tradnl"/>
        </w:rPr>
        <w:t xml:space="preserve">El subsector </w:t>
      </w:r>
      <w:r w:rsidRPr="00933D03">
        <w:rPr>
          <w:b/>
          <w:bCs/>
          <w:lang w:val="es-ES_tradnl"/>
        </w:rPr>
        <w:t xml:space="preserve">transporte de pasajeros </w:t>
      </w:r>
      <w:r w:rsidRPr="00933D03">
        <w:rPr>
          <w:lang w:val="es-ES_tradnl"/>
        </w:rPr>
        <w:t>presenta un grado de vulnerabilidad severo de grado 3, con un IV de 64 como resultado de factores de demanda (100) y financieros y patrimoniales (78) y en menor medida institucionales (66). El riesgo más severo percibido es la reducción de la demanda interna o doméstica y la externa, junto con otros riesgos financieros y patrimoniales, como son la interrupción de ciclos de pagos</w:t>
      </w:r>
      <w:r>
        <w:rPr>
          <w:lang w:val="es-ES_tradnl"/>
        </w:rPr>
        <w:t xml:space="preserve"> y la reducción o interrupción de financiamiento de mediano y largo plazo y el aumento de los costos financieros y de intermediación. </w:t>
      </w:r>
      <w:r w:rsidR="00B74825">
        <w:rPr>
          <w:lang w:val="es-ES_tradnl"/>
        </w:rPr>
        <w:t xml:space="preserve">También se considera que tiene un impacto elevado la reducción del financiamiento a corto plazo y la acumulación de pasivos como alquileres y sueldos. Por último, destacan riesgos elevados de inestabilidad política y social y de incertidumbre institucional y legal. </w:t>
      </w:r>
      <w:r w:rsidR="00D52479" w:rsidRPr="00D52479">
        <w:rPr>
          <w:lang w:val="es-AR"/>
        </w:rPr>
        <w:t>El transporte de pasajeros en la Argentina</w:t>
      </w:r>
      <w:r w:rsidR="00D52479">
        <w:rPr>
          <w:lang w:val="es-AR"/>
        </w:rPr>
        <w:t xml:space="preserve"> incluye</w:t>
      </w:r>
      <w:r w:rsidR="00D52479" w:rsidRPr="00D52479">
        <w:rPr>
          <w:lang w:val="es-AR"/>
        </w:rPr>
        <w:t xml:space="preserve"> taxis, </w:t>
      </w:r>
      <w:proofErr w:type="spellStart"/>
      <w:r w:rsidR="00D52479" w:rsidRPr="00D52479">
        <w:rPr>
          <w:lang w:val="es-AR"/>
        </w:rPr>
        <w:t>remises</w:t>
      </w:r>
      <w:proofErr w:type="spellEnd"/>
      <w:r w:rsidR="00D52479" w:rsidRPr="00D52479">
        <w:rPr>
          <w:lang w:val="es-AR"/>
        </w:rPr>
        <w:t xml:space="preserve">, transporte escolar, urbano, y de media y larga distancia. </w:t>
      </w:r>
      <w:r w:rsidR="00D52479">
        <w:rPr>
          <w:lang w:val="es-AR"/>
        </w:rPr>
        <w:t>Es un sector</w:t>
      </w:r>
      <w:r w:rsidR="00D52479" w:rsidRPr="00D52479">
        <w:rPr>
          <w:lang w:val="es-AR"/>
        </w:rPr>
        <w:t xml:space="preserve"> fuertemente regulado </w:t>
      </w:r>
      <w:r w:rsidR="00D52479">
        <w:rPr>
          <w:lang w:val="es-AR"/>
        </w:rPr>
        <w:t xml:space="preserve">en </w:t>
      </w:r>
      <w:r w:rsidR="00D52479" w:rsidRPr="00D52479">
        <w:rPr>
          <w:lang w:val="es-AR"/>
        </w:rPr>
        <w:t xml:space="preserve">recorridos y </w:t>
      </w:r>
      <w:proofErr w:type="gramStart"/>
      <w:r w:rsidR="00D52479" w:rsidRPr="00D52479">
        <w:rPr>
          <w:lang w:val="es-AR"/>
        </w:rPr>
        <w:t>tarifas</w:t>
      </w:r>
      <w:proofErr w:type="gramEnd"/>
      <w:r w:rsidR="00D52479">
        <w:rPr>
          <w:lang w:val="es-AR"/>
        </w:rPr>
        <w:t xml:space="preserve"> pero con </w:t>
      </w:r>
      <w:r w:rsidR="00D52479" w:rsidRPr="00D52479">
        <w:rPr>
          <w:lang w:val="es-AR"/>
        </w:rPr>
        <w:t>relativamente pocas empresas públicas</w:t>
      </w:r>
      <w:r w:rsidR="00D52479">
        <w:rPr>
          <w:lang w:val="es-AR"/>
        </w:rPr>
        <w:t>.</w:t>
      </w:r>
    </w:p>
    <w:p w14:paraId="1B253578" w14:textId="6E34769A" w:rsidR="00094F02" w:rsidRPr="00B74825" w:rsidRDefault="009E4173" w:rsidP="00094F02">
      <w:pPr>
        <w:jc w:val="both"/>
        <w:rPr>
          <w:lang w:val="es-ES_tradnl"/>
        </w:rPr>
      </w:pPr>
      <w:r w:rsidRPr="00B74825">
        <w:rPr>
          <w:lang w:val="es-ES_tradnl"/>
        </w:rPr>
        <w:t xml:space="preserve">El subsector de </w:t>
      </w:r>
      <w:r w:rsidRPr="00B74825">
        <w:rPr>
          <w:b/>
          <w:bCs/>
          <w:lang w:val="es-ES_tradnl"/>
        </w:rPr>
        <w:t>transporte de carga</w:t>
      </w:r>
      <w:r w:rsidRPr="00B74825">
        <w:rPr>
          <w:lang w:val="es-ES_tradnl"/>
        </w:rPr>
        <w:t xml:space="preserve"> tiene un grado de vulnerabilidad severo de grado dos, (con un IV de </w:t>
      </w:r>
      <w:r w:rsidR="00B74825" w:rsidRPr="00B74825">
        <w:rPr>
          <w:lang w:val="es-ES_tradnl"/>
        </w:rPr>
        <w:t>45</w:t>
      </w:r>
      <w:r w:rsidRPr="00B74825">
        <w:rPr>
          <w:lang w:val="es-ES_tradnl"/>
        </w:rPr>
        <w:t xml:space="preserve">), como resultado de factores de severidad de los riesgos especialmente en temas </w:t>
      </w:r>
      <w:r w:rsidR="00B74825" w:rsidRPr="00B74825">
        <w:rPr>
          <w:lang w:val="es-ES_tradnl"/>
        </w:rPr>
        <w:t xml:space="preserve">financieros y </w:t>
      </w:r>
      <w:r w:rsidRPr="00B74825">
        <w:rPr>
          <w:lang w:val="es-ES_tradnl"/>
        </w:rPr>
        <w:t>patrimoniales</w:t>
      </w:r>
      <w:r w:rsidR="00AA7B6E">
        <w:rPr>
          <w:lang w:val="es-ES_tradnl"/>
        </w:rPr>
        <w:t>:</w:t>
      </w:r>
      <w:r w:rsidRPr="00B74825">
        <w:rPr>
          <w:lang w:val="es-ES_tradnl"/>
        </w:rPr>
        <w:t xml:space="preserve"> </w:t>
      </w:r>
      <w:r w:rsidR="00B74825" w:rsidRPr="00B74825">
        <w:rPr>
          <w:lang w:val="es-ES_tradnl"/>
        </w:rPr>
        <w:t>interrupción o retraso de financiamiento de corto, mediano y largo plazo, y de aumento de los costos financieros y de intermediación. En menor medida le afecta la a</w:t>
      </w:r>
      <w:r w:rsidRPr="00B74825">
        <w:rPr>
          <w:lang w:val="es-ES_tradnl"/>
        </w:rPr>
        <w:t xml:space="preserve">cumulación de pasivos (alquileres, sueldos, </w:t>
      </w:r>
      <w:proofErr w:type="spellStart"/>
      <w:r w:rsidRPr="00B74825">
        <w:rPr>
          <w:lang w:val="es-ES_tradnl"/>
        </w:rPr>
        <w:t>et</w:t>
      </w:r>
      <w:r w:rsidR="002B14AC" w:rsidRPr="00B74825">
        <w:rPr>
          <w:lang w:val="es-ES_tradnl"/>
        </w:rPr>
        <w:t>c</w:t>
      </w:r>
      <w:proofErr w:type="spellEnd"/>
      <w:r w:rsidRPr="00B74825">
        <w:rPr>
          <w:lang w:val="es-ES_tradnl"/>
        </w:rPr>
        <w:t>)</w:t>
      </w:r>
      <w:r w:rsidR="00B74825" w:rsidRPr="00B74825">
        <w:rPr>
          <w:lang w:val="es-ES_tradnl"/>
        </w:rPr>
        <w:t xml:space="preserve"> y la inestabilidad política y social. </w:t>
      </w:r>
      <w:r w:rsidRPr="00B74825">
        <w:rPr>
          <w:lang w:val="es-ES_tradnl"/>
        </w:rPr>
        <w:t xml:space="preserve">Destacan también los riesgos percibidos </w:t>
      </w:r>
      <w:r w:rsidRPr="00B74825">
        <w:rPr>
          <w:lang w:val="es-ES_tradnl"/>
        </w:rPr>
        <w:lastRenderedPageBreak/>
        <w:t>financieros de retrasos en la interrupción de ciclos de pagos y riesgos de reducción en la demanda</w:t>
      </w:r>
      <w:r w:rsidR="00B74825" w:rsidRPr="00B74825">
        <w:rPr>
          <w:lang w:val="es-ES_tradnl"/>
        </w:rPr>
        <w:t xml:space="preserve"> interna.</w:t>
      </w:r>
      <w:r w:rsidRPr="00B74825">
        <w:rPr>
          <w:lang w:val="es-ES_tradnl"/>
        </w:rPr>
        <w:t xml:space="preserve"> El sector </w:t>
      </w:r>
      <w:r w:rsidR="00B74825" w:rsidRPr="00B74825">
        <w:rPr>
          <w:lang w:val="es-ES_tradnl"/>
        </w:rPr>
        <w:t xml:space="preserve">transporte en su conjunto </w:t>
      </w:r>
      <w:r w:rsidRPr="00B74825">
        <w:rPr>
          <w:lang w:val="es-ES_tradnl"/>
        </w:rPr>
        <w:t xml:space="preserve">contribuye al empleo en un </w:t>
      </w:r>
      <w:r w:rsidR="00B74825" w:rsidRPr="00B74825">
        <w:rPr>
          <w:lang w:val="es-ES_tradnl"/>
        </w:rPr>
        <w:t>9</w:t>
      </w:r>
      <w:r w:rsidRPr="00B74825">
        <w:rPr>
          <w:lang w:val="es-ES_tradnl"/>
        </w:rPr>
        <w:t xml:space="preserve">%. </w:t>
      </w:r>
      <w:r w:rsidR="00B74825" w:rsidRPr="00B74825">
        <w:rPr>
          <w:lang w:val="es-ES_tradnl"/>
        </w:rPr>
        <w:t>E</w:t>
      </w:r>
      <w:r w:rsidR="00094F02" w:rsidRPr="00B74825">
        <w:rPr>
          <w:lang w:val="es-ES_tradnl"/>
        </w:rPr>
        <w:t xml:space="preserve">stá constituido por más de </w:t>
      </w:r>
      <w:r w:rsidR="00B74825" w:rsidRPr="00B74825">
        <w:rPr>
          <w:lang w:val="es-ES_tradnl"/>
        </w:rPr>
        <w:t>53.000</w:t>
      </w:r>
      <w:r w:rsidR="00094F02" w:rsidRPr="00B74825">
        <w:rPr>
          <w:lang w:val="es-ES_tradnl"/>
        </w:rPr>
        <w:t xml:space="preserve"> MiPyME</w:t>
      </w:r>
      <w:r w:rsidRPr="00B74825">
        <w:rPr>
          <w:lang w:val="es-ES_tradnl"/>
        </w:rPr>
        <w:t xml:space="preserve"> (</w:t>
      </w:r>
      <w:r w:rsidR="00B74825" w:rsidRPr="00B74825">
        <w:rPr>
          <w:lang w:val="es-ES_tradnl"/>
        </w:rPr>
        <w:t>99</w:t>
      </w:r>
      <w:r w:rsidRPr="00B74825">
        <w:rPr>
          <w:lang w:val="es-ES_tradnl"/>
        </w:rPr>
        <w:t>% del total de Empresas son MiP</w:t>
      </w:r>
      <w:r w:rsidR="000039BD">
        <w:rPr>
          <w:lang w:val="es-ES_tradnl"/>
        </w:rPr>
        <w:t>y</w:t>
      </w:r>
      <w:r w:rsidRPr="00B74825">
        <w:rPr>
          <w:lang w:val="es-ES_tradnl"/>
        </w:rPr>
        <w:t>ME)</w:t>
      </w:r>
      <w:r w:rsidR="00094F02" w:rsidRPr="00B74825">
        <w:rPr>
          <w:lang w:val="es-ES_tradnl"/>
        </w:rPr>
        <w:t xml:space="preserve">. El sector contribuye al nivel de actividad en un </w:t>
      </w:r>
      <w:r w:rsidR="00B74825" w:rsidRPr="00B74825">
        <w:rPr>
          <w:lang w:val="es-ES_tradnl"/>
        </w:rPr>
        <w:t>7</w:t>
      </w:r>
      <w:r w:rsidR="00094F02" w:rsidRPr="00B74825">
        <w:rPr>
          <w:lang w:val="es-ES_tradnl"/>
        </w:rPr>
        <w:t>%</w:t>
      </w:r>
      <w:r w:rsidR="00E61633">
        <w:rPr>
          <w:lang w:val="es-ES_tradnl"/>
        </w:rPr>
        <w:t xml:space="preserve"> del PIB</w:t>
      </w:r>
      <w:r w:rsidR="00094F02" w:rsidRPr="00B74825">
        <w:rPr>
          <w:lang w:val="es-ES_tradnl"/>
        </w:rPr>
        <w:t xml:space="preserve">. </w:t>
      </w:r>
      <w:r w:rsidR="00D52479">
        <w:rPr>
          <w:lang w:val="es-ES_tradnl"/>
        </w:rPr>
        <w:t>Es un sector clave para las fases de comercialización en el resto de las industrias.</w:t>
      </w:r>
    </w:p>
    <w:p w14:paraId="7723B084" w14:textId="1B0A94DE" w:rsidR="002D3335" w:rsidRDefault="002D3335" w:rsidP="002D3335">
      <w:pPr>
        <w:jc w:val="both"/>
        <w:rPr>
          <w:lang w:val="es-ES_tradnl"/>
        </w:rPr>
      </w:pPr>
      <w:r w:rsidRPr="00E75EDB">
        <w:rPr>
          <w:lang w:val="es-ES_tradnl"/>
        </w:rPr>
        <w:t xml:space="preserve">El sector </w:t>
      </w:r>
      <w:r w:rsidRPr="00E75EDB">
        <w:rPr>
          <w:b/>
          <w:bCs/>
          <w:lang w:val="es-ES_tradnl"/>
        </w:rPr>
        <w:t xml:space="preserve">agroalimentario </w:t>
      </w:r>
      <w:r w:rsidRPr="00E75EDB">
        <w:rPr>
          <w:lang w:val="es-ES_tradnl"/>
        </w:rPr>
        <w:t xml:space="preserve">tiene un grado de vulnerabilidad severo de grado </w:t>
      </w:r>
      <w:r w:rsidR="006E06A4" w:rsidRPr="00E75EDB">
        <w:rPr>
          <w:lang w:val="es-ES_tradnl"/>
        </w:rPr>
        <w:t>tres</w:t>
      </w:r>
      <w:r w:rsidRPr="00E75EDB">
        <w:rPr>
          <w:lang w:val="es-ES_tradnl"/>
        </w:rPr>
        <w:t xml:space="preserve">, con un índice de </w:t>
      </w:r>
      <w:r w:rsidR="00053819">
        <w:rPr>
          <w:lang w:val="es-ES_tradnl"/>
        </w:rPr>
        <w:t>60</w:t>
      </w:r>
      <w:r w:rsidRPr="00E75EDB">
        <w:rPr>
          <w:lang w:val="es-ES_tradnl"/>
        </w:rPr>
        <w:t>, guiado por factores de percepción de riesgo significativo en la demanda (</w:t>
      </w:r>
      <w:r w:rsidR="00E75EDB" w:rsidRPr="00E75EDB">
        <w:rPr>
          <w:lang w:val="es-ES_tradnl"/>
        </w:rPr>
        <w:t>66</w:t>
      </w:r>
      <w:r w:rsidRPr="00E75EDB">
        <w:rPr>
          <w:lang w:val="es-ES_tradnl"/>
        </w:rPr>
        <w:t>)</w:t>
      </w:r>
      <w:r w:rsidR="00E75EDB" w:rsidRPr="00E75EDB">
        <w:rPr>
          <w:lang w:val="es-ES_tradnl"/>
        </w:rPr>
        <w:t>, financieros y patrimoniales (66) e institucionales (66)</w:t>
      </w:r>
      <w:r w:rsidRPr="00E75EDB">
        <w:rPr>
          <w:lang w:val="es-ES_tradnl"/>
        </w:rPr>
        <w:t xml:space="preserve">. El índice de vulnerabilidad contempla </w:t>
      </w:r>
      <w:r w:rsidR="00E75EDB" w:rsidRPr="00E75EDB">
        <w:rPr>
          <w:lang w:val="es-ES_tradnl"/>
        </w:rPr>
        <w:t xml:space="preserve">en </w:t>
      </w:r>
      <w:r w:rsidRPr="00E75EDB">
        <w:rPr>
          <w:lang w:val="es-ES_tradnl"/>
        </w:rPr>
        <w:t xml:space="preserve">el análisis </w:t>
      </w:r>
      <w:r w:rsidR="00E75EDB" w:rsidRPr="00E75EDB">
        <w:rPr>
          <w:lang w:val="es-ES_tradnl"/>
        </w:rPr>
        <w:t>diferencias entre pequeños y medianos productores, grandes productores, MiP</w:t>
      </w:r>
      <w:r w:rsidR="000039BD">
        <w:rPr>
          <w:lang w:val="es-ES_tradnl"/>
        </w:rPr>
        <w:t>y</w:t>
      </w:r>
      <w:r w:rsidR="00E75EDB" w:rsidRPr="00E75EDB">
        <w:rPr>
          <w:lang w:val="es-ES_tradnl"/>
        </w:rPr>
        <w:t>ME y agroindustrias</w:t>
      </w:r>
      <w:r w:rsidRPr="00E75EDB">
        <w:rPr>
          <w:lang w:val="es-ES_tradnl"/>
        </w:rPr>
        <w:t xml:space="preserve">, encontrando riesgos mayores en el sector de </w:t>
      </w:r>
      <w:r w:rsidR="00E75EDB" w:rsidRPr="00E75EDB">
        <w:rPr>
          <w:lang w:val="es-ES_tradnl"/>
        </w:rPr>
        <w:t>agroindustria (62) y para los productores de mayor tamaño (62)</w:t>
      </w:r>
      <w:r w:rsidRPr="00E75EDB">
        <w:rPr>
          <w:lang w:val="es-ES_tradnl"/>
        </w:rPr>
        <w:t xml:space="preserve">, fundamentalmente limitaciones severas en la reducción de la demanda </w:t>
      </w:r>
      <w:r w:rsidR="00E75EDB" w:rsidRPr="00E75EDB">
        <w:rPr>
          <w:lang w:val="es-ES_tradnl"/>
        </w:rPr>
        <w:t xml:space="preserve">externa, así como por limitaciones en el uso de capital fijo. Para el sector en su conjunto, se perciben riesgos elevados en el acceso a servicios como transporte y comunicaciones y reducción de la demanda interna. </w:t>
      </w:r>
      <w:r w:rsidRPr="00E75EDB">
        <w:rPr>
          <w:lang w:val="es-ES_tradnl"/>
        </w:rPr>
        <w:t>También se perciben riesgos severos desde el punto de vista del financiamiento, por falta de financiamiento a corto plazo, por ejemplo, de proveedores y patrimoniales por el retraso o interrupción de los ciclos de pagos</w:t>
      </w:r>
      <w:r w:rsidR="00E75EDB" w:rsidRPr="00E75EDB">
        <w:rPr>
          <w:lang w:val="es-ES_tradnl"/>
        </w:rPr>
        <w:t>, y por el aumento de los costos financieros y de intermediación.</w:t>
      </w:r>
      <w:r w:rsidRPr="00E75EDB">
        <w:rPr>
          <w:lang w:val="es-ES_tradnl"/>
        </w:rPr>
        <w:t xml:space="preserve"> Otros riesgos percibidos son </w:t>
      </w:r>
      <w:r w:rsidR="00E75EDB" w:rsidRPr="00E75EDB">
        <w:rPr>
          <w:lang w:val="es-ES_tradnl"/>
        </w:rPr>
        <w:t>por la inestabilidad política y social y la incertidumbre institucional y legal</w:t>
      </w:r>
      <w:r w:rsidR="00E75EDB" w:rsidRPr="00796FED">
        <w:rPr>
          <w:lang w:val="es-ES_tradnl"/>
        </w:rPr>
        <w:t xml:space="preserve">. </w:t>
      </w:r>
      <w:r w:rsidRPr="00796FED">
        <w:rPr>
          <w:lang w:val="es-ES_tradnl"/>
        </w:rPr>
        <w:t>El sector tiene una contribución al empleo, en</w:t>
      </w:r>
      <w:r w:rsidR="00E75EDB" w:rsidRPr="00796FED">
        <w:rPr>
          <w:lang w:val="es-ES_tradnl"/>
        </w:rPr>
        <w:t xml:space="preserve"> </w:t>
      </w:r>
      <w:r w:rsidRPr="00796FED">
        <w:rPr>
          <w:lang w:val="es-ES_tradnl"/>
        </w:rPr>
        <w:t>2%</w:t>
      </w:r>
      <w:r w:rsidR="00D52479">
        <w:rPr>
          <w:lang w:val="es-ES_tradnl"/>
        </w:rPr>
        <w:t xml:space="preserve"> cuando se considera la producción primaria, y de un 32% cuando se incluye el sector agroalimentario y la agroindustria. El sector lo </w:t>
      </w:r>
      <w:proofErr w:type="gramStart"/>
      <w:r w:rsidR="00D52479">
        <w:rPr>
          <w:lang w:val="es-ES_tradnl"/>
        </w:rPr>
        <w:t xml:space="preserve">conforman </w:t>
      </w:r>
      <w:r w:rsidRPr="00796FED">
        <w:rPr>
          <w:lang w:val="es-ES_tradnl"/>
        </w:rPr>
        <w:t xml:space="preserve"> un</w:t>
      </w:r>
      <w:proofErr w:type="gramEnd"/>
      <w:r w:rsidRPr="00796FED">
        <w:rPr>
          <w:lang w:val="es-ES_tradnl"/>
        </w:rPr>
        <w:t xml:space="preserve"> total de más de </w:t>
      </w:r>
      <w:r w:rsidR="00796FED" w:rsidRPr="00796FED">
        <w:rPr>
          <w:lang w:val="es-ES_tradnl"/>
        </w:rPr>
        <w:t>164.520</w:t>
      </w:r>
      <w:r w:rsidRPr="00796FED">
        <w:rPr>
          <w:lang w:val="es-ES_tradnl"/>
        </w:rPr>
        <w:t xml:space="preserve"> </w:t>
      </w:r>
      <w:r w:rsidR="00796FED" w:rsidRPr="00796FED">
        <w:rPr>
          <w:lang w:val="es-ES_tradnl"/>
        </w:rPr>
        <w:t>MiP</w:t>
      </w:r>
      <w:r w:rsidR="000039BD">
        <w:rPr>
          <w:lang w:val="es-ES_tradnl"/>
        </w:rPr>
        <w:t>y</w:t>
      </w:r>
      <w:r w:rsidR="00796FED" w:rsidRPr="00796FED">
        <w:rPr>
          <w:lang w:val="es-ES_tradnl"/>
        </w:rPr>
        <w:t>ME</w:t>
      </w:r>
      <w:r w:rsidRPr="00796FED">
        <w:rPr>
          <w:lang w:val="es-ES_tradnl"/>
        </w:rPr>
        <w:t xml:space="preserve"> (80%). Contribuyen en </w:t>
      </w:r>
      <w:r w:rsidR="00796FED" w:rsidRPr="00796FED">
        <w:rPr>
          <w:lang w:val="es-ES_tradnl"/>
        </w:rPr>
        <w:t>6</w:t>
      </w:r>
      <w:r w:rsidRPr="00796FED">
        <w:rPr>
          <w:lang w:val="es-ES_tradnl"/>
        </w:rPr>
        <w:t xml:space="preserve">% </w:t>
      </w:r>
      <w:r w:rsidR="00D52479">
        <w:rPr>
          <w:lang w:val="es-ES_tradnl"/>
        </w:rPr>
        <w:t xml:space="preserve">del PIB </w:t>
      </w:r>
      <w:r w:rsidRPr="00796FED">
        <w:rPr>
          <w:lang w:val="es-ES_tradnl"/>
        </w:rPr>
        <w:t xml:space="preserve">al nivel de actividad. Además, más del </w:t>
      </w:r>
      <w:r w:rsidR="00796FED" w:rsidRPr="00796FED">
        <w:rPr>
          <w:lang w:val="es-ES_tradnl"/>
        </w:rPr>
        <w:t>93</w:t>
      </w:r>
      <w:r w:rsidRPr="00796FED">
        <w:rPr>
          <w:lang w:val="es-ES_tradnl"/>
        </w:rPr>
        <w:t>% de la producción del sector se destina a la exportación.</w:t>
      </w:r>
    </w:p>
    <w:p w14:paraId="239A25F9" w14:textId="740C7CFC" w:rsidR="008A7A2A" w:rsidRDefault="008A7A2A" w:rsidP="008A7A2A">
      <w:pPr>
        <w:jc w:val="both"/>
        <w:rPr>
          <w:lang w:val="es-ES_tradnl"/>
        </w:rPr>
      </w:pPr>
      <w:r w:rsidRPr="008A7A2A">
        <w:rPr>
          <w:lang w:val="es-ES_tradnl"/>
        </w:rPr>
        <w:t xml:space="preserve">El sector </w:t>
      </w:r>
      <w:r w:rsidRPr="008A7A2A">
        <w:rPr>
          <w:b/>
          <w:bCs/>
          <w:lang w:val="es-ES_tradnl"/>
        </w:rPr>
        <w:t xml:space="preserve">maquinaria y equipos </w:t>
      </w:r>
      <w:r w:rsidRPr="008A7A2A">
        <w:rPr>
          <w:lang w:val="es-ES_tradnl"/>
        </w:rPr>
        <w:t>presenta un grado de vulnerabilidad severo de grado dos, con un IV de 46 en función del alto grado de percepción de riesgos de demanda (66) de oferta (59) y en menor medida financieros y patrimoniales (33). Se consideraron como factores de riesgo más relevantes las limitaciones en el uso de la fuerza del trabajo y del capital fijo, el retraso o interrupción en los ciclos de pago, y la acumulación de pasivos como alquileres y sueldos, que pueda afectar al sector. El 9</w:t>
      </w:r>
      <w:r w:rsidR="008067E2">
        <w:rPr>
          <w:lang w:val="es-ES_tradnl"/>
        </w:rPr>
        <w:t>5</w:t>
      </w:r>
      <w:r w:rsidRPr="008A7A2A">
        <w:rPr>
          <w:lang w:val="es-ES_tradnl"/>
        </w:rPr>
        <w:t xml:space="preserve">% de las empresas del sector son MIPYME con un total de más de </w:t>
      </w:r>
      <w:r w:rsidR="008067E2">
        <w:rPr>
          <w:lang w:val="es-ES_tradnl"/>
        </w:rPr>
        <w:t>4</w:t>
      </w:r>
      <w:r w:rsidRPr="008A7A2A">
        <w:rPr>
          <w:lang w:val="es-ES_tradnl"/>
        </w:rPr>
        <w:t xml:space="preserve"> mil, y contribuyen en un 1</w:t>
      </w:r>
      <w:r w:rsidR="008067E2">
        <w:rPr>
          <w:lang w:val="es-ES_tradnl"/>
        </w:rPr>
        <w:t>,</w:t>
      </w:r>
      <w:r w:rsidRPr="008A7A2A">
        <w:rPr>
          <w:lang w:val="es-ES_tradnl"/>
        </w:rPr>
        <w:t>0</w:t>
      </w:r>
      <w:r w:rsidR="008067E2">
        <w:rPr>
          <w:lang w:val="es-ES_tradnl"/>
        </w:rPr>
        <w:t>6</w:t>
      </w:r>
      <w:r w:rsidRPr="008A7A2A">
        <w:rPr>
          <w:lang w:val="es-ES_tradnl"/>
        </w:rPr>
        <w:t xml:space="preserve">% al PIB, y en un </w:t>
      </w:r>
      <w:r w:rsidR="008067E2">
        <w:rPr>
          <w:lang w:val="es-ES_tradnl"/>
        </w:rPr>
        <w:t>0,6</w:t>
      </w:r>
      <w:r w:rsidRPr="008A7A2A">
        <w:rPr>
          <w:lang w:val="es-ES_tradnl"/>
        </w:rPr>
        <w:t>% al empleo.</w:t>
      </w:r>
    </w:p>
    <w:p w14:paraId="160D1641" w14:textId="48E9B276" w:rsidR="002D5CF1" w:rsidRDefault="002D5CF1" w:rsidP="002D5CF1">
      <w:pPr>
        <w:jc w:val="both"/>
        <w:rPr>
          <w:lang w:val="es-ES_tradnl"/>
        </w:rPr>
      </w:pPr>
      <w:r w:rsidRPr="008A7A2A">
        <w:rPr>
          <w:lang w:val="es-ES_tradnl"/>
        </w:rPr>
        <w:t xml:space="preserve">El sector </w:t>
      </w:r>
      <w:r w:rsidRPr="008A7A2A">
        <w:rPr>
          <w:b/>
          <w:bCs/>
          <w:lang w:val="es-ES_tradnl"/>
        </w:rPr>
        <w:t xml:space="preserve">textil y maquila </w:t>
      </w:r>
      <w:r w:rsidRPr="008A7A2A">
        <w:rPr>
          <w:lang w:val="es-ES_tradnl"/>
        </w:rPr>
        <w:t xml:space="preserve">presenta un grado de vulnerabilidad severo de grado dos, con un IV de 46 debido a factores de demanda (66) y de oferta (53) así como a factores financieros y patrimoniales (33). </w:t>
      </w:r>
      <w:r>
        <w:rPr>
          <w:lang w:val="es-ES_tradnl"/>
        </w:rPr>
        <w:t xml:space="preserve">Se consideran como </w:t>
      </w:r>
      <w:r w:rsidRPr="008A7A2A">
        <w:rPr>
          <w:lang w:val="es-ES_tradnl"/>
        </w:rPr>
        <w:t>principales limitaciones del lado de la oferta el uso de la fuerza de trabajo y del capital fijo que restringen la actividad del sector</w:t>
      </w:r>
      <w:r w:rsidRPr="002D5CF1">
        <w:rPr>
          <w:lang w:val="es-ES_tradnl"/>
        </w:rPr>
        <w:t xml:space="preserve">. Además, se considera relevante como factor financiero el retraso en la interrupción de los ciclos de pago, y desde el punto de vista patrimonial la acumulación de pasivos </w:t>
      </w:r>
      <w:r>
        <w:rPr>
          <w:lang w:val="es-ES_tradnl"/>
        </w:rPr>
        <w:t>es</w:t>
      </w:r>
      <w:r w:rsidRPr="002D5CF1">
        <w:rPr>
          <w:lang w:val="es-ES_tradnl"/>
        </w:rPr>
        <w:t xml:space="preserve"> considerado como factor de alto riesgo para el sector. La actividad de este sector contribuye en un </w:t>
      </w:r>
      <w:r w:rsidR="008067E2">
        <w:rPr>
          <w:lang w:val="es-ES_tradnl"/>
        </w:rPr>
        <w:t>0,9</w:t>
      </w:r>
      <w:r w:rsidRPr="002D5CF1">
        <w:rPr>
          <w:lang w:val="es-ES_tradnl"/>
        </w:rPr>
        <w:t xml:space="preserve">% al PIB y en </w:t>
      </w:r>
      <w:r w:rsidR="008067E2">
        <w:rPr>
          <w:lang w:val="es-ES_tradnl"/>
        </w:rPr>
        <w:t>torno</w:t>
      </w:r>
      <w:r w:rsidRPr="002D5CF1">
        <w:rPr>
          <w:lang w:val="es-ES_tradnl"/>
        </w:rPr>
        <w:t xml:space="preserve"> </w:t>
      </w:r>
      <w:r w:rsidR="008067E2">
        <w:rPr>
          <w:lang w:val="es-ES_tradnl"/>
        </w:rPr>
        <w:t>al</w:t>
      </w:r>
      <w:r w:rsidRPr="002D5CF1">
        <w:rPr>
          <w:lang w:val="es-ES_tradnl"/>
        </w:rPr>
        <w:t xml:space="preserve"> 1% al empleo. Lo conforman </w:t>
      </w:r>
      <w:r w:rsidR="00E61633">
        <w:rPr>
          <w:lang w:val="es-ES_tradnl"/>
        </w:rPr>
        <w:t>casi 8</w:t>
      </w:r>
      <w:r w:rsidR="00E61633" w:rsidRPr="002D5CF1">
        <w:rPr>
          <w:lang w:val="es-ES_tradnl"/>
        </w:rPr>
        <w:t xml:space="preserve"> </w:t>
      </w:r>
      <w:r w:rsidRPr="002D5CF1">
        <w:rPr>
          <w:lang w:val="es-ES_tradnl"/>
        </w:rPr>
        <w:t>mil MiP</w:t>
      </w:r>
      <w:r w:rsidR="000039BD">
        <w:rPr>
          <w:lang w:val="es-ES_tradnl"/>
        </w:rPr>
        <w:t>y</w:t>
      </w:r>
      <w:r w:rsidRPr="002D5CF1">
        <w:rPr>
          <w:lang w:val="es-ES_tradnl"/>
        </w:rPr>
        <w:t>ME, casi el 98% de las empresas del sector.</w:t>
      </w:r>
      <w:r w:rsidRPr="00E83B7E">
        <w:rPr>
          <w:lang w:val="es-ES_tradnl"/>
        </w:rPr>
        <w:t xml:space="preserve">  </w:t>
      </w:r>
    </w:p>
    <w:p w14:paraId="56EF4FE4" w14:textId="201D4D10" w:rsidR="00F66F77" w:rsidRDefault="00F66F77" w:rsidP="00F66F77">
      <w:pPr>
        <w:jc w:val="both"/>
        <w:rPr>
          <w:lang w:val="es-ES_tradnl"/>
        </w:rPr>
      </w:pPr>
      <w:r>
        <w:rPr>
          <w:lang w:val="es-ES_tradnl"/>
        </w:rPr>
        <w:t xml:space="preserve">El sector </w:t>
      </w:r>
      <w:r w:rsidRPr="00F66F77">
        <w:rPr>
          <w:b/>
          <w:bCs/>
          <w:lang w:val="es-ES_tradnl"/>
        </w:rPr>
        <w:t>comercio</w:t>
      </w:r>
      <w:r w:rsidRPr="00F66F77">
        <w:rPr>
          <w:lang w:val="es-ES_tradnl"/>
        </w:rPr>
        <w:t xml:space="preserve"> </w:t>
      </w:r>
      <w:r w:rsidRPr="00F66F77">
        <w:rPr>
          <w:b/>
          <w:bCs/>
          <w:lang w:val="es-ES_tradnl"/>
        </w:rPr>
        <w:t>minorista</w:t>
      </w:r>
      <w:r>
        <w:rPr>
          <w:lang w:val="es-ES_tradnl"/>
        </w:rPr>
        <w:t xml:space="preserve"> </w:t>
      </w:r>
      <w:r w:rsidRPr="00F66F77">
        <w:rPr>
          <w:lang w:val="es-ES_tradnl"/>
        </w:rPr>
        <w:t xml:space="preserve">tiene grado severo de vulnerabilidad de grado dos con un IV de 44. Por los factores del lado de la demanda (83), y en menor medida financieros y patrimoniales (39). </w:t>
      </w:r>
      <w:r>
        <w:rPr>
          <w:lang w:val="es-ES_tradnl"/>
        </w:rPr>
        <w:t>Destacan como riesgos percibidos de mayor impacto los de retracción de la demanda interna y</w:t>
      </w:r>
      <w:r w:rsidR="008067E2">
        <w:rPr>
          <w:lang w:val="es-ES_tradnl"/>
        </w:rPr>
        <w:t xml:space="preserve"> externa</w:t>
      </w:r>
      <w:r>
        <w:rPr>
          <w:lang w:val="es-ES_tradnl"/>
        </w:rPr>
        <w:t xml:space="preserve">. Dentro de los </w:t>
      </w:r>
      <w:r w:rsidR="0020295D">
        <w:rPr>
          <w:lang w:val="es-ES_tradnl"/>
        </w:rPr>
        <w:t>financieros</w:t>
      </w:r>
      <w:r>
        <w:rPr>
          <w:lang w:val="es-ES_tradnl"/>
        </w:rPr>
        <w:t xml:space="preserve"> y patrimoniales se considera el mayor impacto en el retraso o interrupción de </w:t>
      </w:r>
      <w:r w:rsidR="0020295D">
        <w:rPr>
          <w:lang w:val="es-ES_tradnl"/>
        </w:rPr>
        <w:t xml:space="preserve">los ciclos de pago, y de los patrimoniales, la acumulación de pasivos. </w:t>
      </w:r>
      <w:r w:rsidRPr="00F66F77">
        <w:rPr>
          <w:lang w:val="es-ES_tradnl"/>
        </w:rPr>
        <w:t>El sector contribuye en más del 9,3% al empleo y en un 10,41% al PIB. Lo conforman alrededor de 149 mil de empresas, siendo el 97% MiP</w:t>
      </w:r>
      <w:r w:rsidR="000039BD">
        <w:rPr>
          <w:lang w:val="es-ES_tradnl"/>
        </w:rPr>
        <w:t>y</w:t>
      </w:r>
      <w:r w:rsidRPr="00F66F77">
        <w:rPr>
          <w:lang w:val="es-ES_tradnl"/>
        </w:rPr>
        <w:t xml:space="preserve">ME. </w:t>
      </w:r>
    </w:p>
    <w:p w14:paraId="1F220F5E" w14:textId="77777777" w:rsidR="000039BD" w:rsidRDefault="000039BD" w:rsidP="00F66F77">
      <w:pPr>
        <w:jc w:val="both"/>
        <w:rPr>
          <w:lang w:val="es-ES_tradnl"/>
        </w:rPr>
      </w:pPr>
    </w:p>
    <w:p w14:paraId="7C473A84" w14:textId="0C8D5958" w:rsidR="004F54FB" w:rsidRPr="00E83B7E" w:rsidRDefault="00DF757D" w:rsidP="0033629B">
      <w:pPr>
        <w:spacing w:after="0" w:line="240" w:lineRule="auto"/>
        <w:jc w:val="center"/>
        <w:rPr>
          <w:b/>
          <w:bCs/>
          <w:lang w:val="es-ES_tradnl"/>
        </w:rPr>
      </w:pPr>
      <w:r w:rsidRPr="00E83B7E">
        <w:rPr>
          <w:b/>
          <w:bCs/>
          <w:lang w:val="es-ES_tradnl"/>
        </w:rPr>
        <w:lastRenderedPageBreak/>
        <w:t>Tabla II.B.1</w:t>
      </w:r>
    </w:p>
    <w:p w14:paraId="18468152" w14:textId="399BCE8D" w:rsidR="00DF757D" w:rsidRPr="00D536DF" w:rsidRDefault="0033629B" w:rsidP="0033629B">
      <w:pPr>
        <w:spacing w:after="0" w:line="240" w:lineRule="auto"/>
        <w:jc w:val="center"/>
        <w:rPr>
          <w:b/>
          <w:bCs/>
          <w:lang w:val="es-ES"/>
        </w:rPr>
      </w:pPr>
      <w:r w:rsidRPr="009E067C">
        <w:rPr>
          <w:b/>
          <w:bCs/>
          <w:lang w:val="es-ES_tradnl"/>
        </w:rPr>
        <w:t>Situación por sectores</w:t>
      </w:r>
    </w:p>
    <w:p w14:paraId="31B644F0" w14:textId="3D9F5066" w:rsidR="0033629B" w:rsidRDefault="0033629B" w:rsidP="0033629B">
      <w:pPr>
        <w:spacing w:after="0" w:line="240" w:lineRule="auto"/>
        <w:jc w:val="center"/>
        <w:rPr>
          <w:b/>
          <w:bCs/>
          <w:lang w:val="es-ES_tradnl"/>
        </w:rPr>
      </w:pPr>
    </w:p>
    <w:p w14:paraId="5A83D77D" w14:textId="706D0931" w:rsidR="004A113A" w:rsidRDefault="00877F6D" w:rsidP="0033629B">
      <w:pPr>
        <w:spacing w:after="0" w:line="240" w:lineRule="auto"/>
        <w:jc w:val="center"/>
        <w:rPr>
          <w:b/>
          <w:bCs/>
          <w:lang w:val="es-ES_tradnl"/>
        </w:rPr>
      </w:pPr>
      <w:r w:rsidRPr="00877F6D">
        <w:rPr>
          <w:noProof/>
        </w:rPr>
        <w:drawing>
          <wp:inline distT="0" distB="0" distL="0" distR="0" wp14:anchorId="19166096" wp14:editId="356FEF8F">
            <wp:extent cx="5943600" cy="276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768600"/>
                    </a:xfrm>
                    <a:prstGeom prst="rect">
                      <a:avLst/>
                    </a:prstGeom>
                    <a:noFill/>
                    <a:ln>
                      <a:noFill/>
                    </a:ln>
                  </pic:spPr>
                </pic:pic>
              </a:graphicData>
            </a:graphic>
          </wp:inline>
        </w:drawing>
      </w:r>
    </w:p>
    <w:p w14:paraId="76C6CF17" w14:textId="77777777" w:rsidR="004A113A" w:rsidRPr="00E83B7E" w:rsidRDefault="004A113A" w:rsidP="0033629B">
      <w:pPr>
        <w:spacing w:after="0" w:line="240" w:lineRule="auto"/>
        <w:jc w:val="center"/>
        <w:rPr>
          <w:b/>
          <w:bCs/>
          <w:lang w:val="es-ES_tradnl"/>
        </w:rPr>
      </w:pPr>
    </w:p>
    <w:p w14:paraId="23D11D59" w14:textId="679369EC" w:rsidR="00404E61" w:rsidRPr="00E83B7E" w:rsidRDefault="00404E61" w:rsidP="00404E61">
      <w:pPr>
        <w:spacing w:after="0" w:line="240" w:lineRule="auto"/>
        <w:rPr>
          <w:sz w:val="18"/>
          <w:szCs w:val="18"/>
          <w:lang w:val="es-ES_tradnl"/>
        </w:rPr>
      </w:pPr>
      <w:r w:rsidRPr="00E83B7E">
        <w:rPr>
          <w:sz w:val="18"/>
          <w:szCs w:val="18"/>
          <w:lang w:val="es-ES_tradnl"/>
        </w:rPr>
        <w:t xml:space="preserve">Fuente: </w:t>
      </w:r>
      <w:r w:rsidR="009E067C">
        <w:rPr>
          <w:sz w:val="18"/>
          <w:szCs w:val="18"/>
          <w:lang w:val="es-ES_tradnl"/>
        </w:rPr>
        <w:t>Elaboración propia</w:t>
      </w:r>
      <w:r w:rsidRPr="00E83B7E">
        <w:rPr>
          <w:sz w:val="18"/>
          <w:szCs w:val="18"/>
          <w:lang w:val="es-ES_tradnl"/>
        </w:rPr>
        <w:t>.</w:t>
      </w:r>
    </w:p>
    <w:p w14:paraId="43F989F6" w14:textId="1DC6E638" w:rsidR="00B506B7" w:rsidRDefault="00B506B7" w:rsidP="00A700FB">
      <w:pPr>
        <w:jc w:val="both"/>
        <w:rPr>
          <w:lang w:val="es-ES_tradnl"/>
        </w:rPr>
      </w:pPr>
    </w:p>
    <w:p w14:paraId="0CA925C5" w14:textId="318E5DBA" w:rsidR="00AB05B2" w:rsidRPr="00E83B7E" w:rsidRDefault="00AB05B2" w:rsidP="0007292C">
      <w:pPr>
        <w:pStyle w:val="Heading1"/>
        <w:jc w:val="both"/>
        <w:rPr>
          <w:lang w:val="es-ES_tradnl"/>
        </w:rPr>
      </w:pPr>
      <w:bookmarkStart w:id="14" w:name="_Toc38398633"/>
      <w:bookmarkStart w:id="15" w:name="_Toc36834040"/>
      <w:r w:rsidRPr="00E83B7E">
        <w:rPr>
          <w:lang w:val="es-ES_tradnl"/>
        </w:rPr>
        <w:t>Conclusión</w:t>
      </w:r>
      <w:bookmarkEnd w:id="14"/>
      <w:bookmarkEnd w:id="15"/>
      <w:r w:rsidRPr="00E83B7E">
        <w:rPr>
          <w:lang w:val="es-ES_tradnl"/>
        </w:rPr>
        <w:t xml:space="preserve"> </w:t>
      </w:r>
    </w:p>
    <w:p w14:paraId="65A8F1B5" w14:textId="3BB424A9" w:rsidR="00A700FB" w:rsidRPr="00E83B7E" w:rsidRDefault="00A700FB" w:rsidP="00A700FB">
      <w:pPr>
        <w:jc w:val="both"/>
        <w:rPr>
          <w:lang w:val="es-ES_tradnl"/>
        </w:rPr>
      </w:pPr>
      <w:r w:rsidRPr="00E83B7E">
        <w:rPr>
          <w:lang w:val="es-ES_tradnl"/>
        </w:rPr>
        <w:t xml:space="preserve">El análisis concluye que los sectores productivos que pueden considerarse de mayor vulnerabilidad en </w:t>
      </w:r>
      <w:r w:rsidR="00332F8F">
        <w:rPr>
          <w:lang w:val="es-ES_tradnl"/>
        </w:rPr>
        <w:t>Argentina</w:t>
      </w:r>
      <w:r w:rsidRPr="00E83B7E">
        <w:rPr>
          <w:lang w:val="es-ES_tradnl"/>
        </w:rPr>
        <w:t xml:space="preserve"> ante la crisis del COVID-19</w:t>
      </w:r>
      <w:r w:rsidR="00994BAE" w:rsidRPr="00E83B7E">
        <w:rPr>
          <w:lang w:val="es-ES_tradnl"/>
        </w:rPr>
        <w:t xml:space="preserve"> dentro de los analizados</w:t>
      </w:r>
      <w:r w:rsidRPr="00E83B7E">
        <w:rPr>
          <w:lang w:val="es-ES_tradnl"/>
        </w:rPr>
        <w:t xml:space="preserve"> son: </w:t>
      </w:r>
      <w:r w:rsidR="002B14AC">
        <w:rPr>
          <w:lang w:val="es-ES_tradnl"/>
        </w:rPr>
        <w:t xml:space="preserve">turismo </w:t>
      </w:r>
      <w:r w:rsidR="00743A44">
        <w:rPr>
          <w:lang w:val="es-ES_tradnl"/>
        </w:rPr>
        <w:t xml:space="preserve">y automotriz, </w:t>
      </w:r>
      <w:r w:rsidR="002B00EE">
        <w:rPr>
          <w:lang w:val="es-ES_tradnl"/>
        </w:rPr>
        <w:t>con un</w:t>
      </w:r>
      <w:r w:rsidR="00743A44">
        <w:rPr>
          <w:lang w:val="es-ES_tradnl"/>
        </w:rPr>
        <w:t>os</w:t>
      </w:r>
      <w:r w:rsidR="002B00EE">
        <w:rPr>
          <w:lang w:val="es-ES_tradnl"/>
        </w:rPr>
        <w:t xml:space="preserve"> impacto</w:t>
      </w:r>
      <w:r w:rsidR="00743A44">
        <w:rPr>
          <w:lang w:val="es-ES_tradnl"/>
        </w:rPr>
        <w:t>s</w:t>
      </w:r>
      <w:r w:rsidR="002B00EE">
        <w:rPr>
          <w:lang w:val="es-ES_tradnl"/>
        </w:rPr>
        <w:t xml:space="preserve"> severo</w:t>
      </w:r>
      <w:r w:rsidR="00743A44">
        <w:rPr>
          <w:lang w:val="es-ES_tradnl"/>
        </w:rPr>
        <w:t>s</w:t>
      </w:r>
      <w:r w:rsidR="002B00EE">
        <w:rPr>
          <w:lang w:val="es-ES_tradnl"/>
        </w:rPr>
        <w:t xml:space="preserve"> de grado cuatro, </w:t>
      </w:r>
      <w:r w:rsidR="002B00EE" w:rsidRPr="00743A44">
        <w:rPr>
          <w:lang w:val="es-ES_tradnl"/>
        </w:rPr>
        <w:t xml:space="preserve">seguido de los sectores </w:t>
      </w:r>
      <w:r w:rsidR="00EC45B4" w:rsidRPr="00743A44">
        <w:rPr>
          <w:lang w:val="es-ES_tradnl"/>
        </w:rPr>
        <w:t xml:space="preserve">con severidad de grado tres como </w:t>
      </w:r>
      <w:r w:rsidR="002B14AC" w:rsidRPr="00743A44">
        <w:rPr>
          <w:lang w:val="es-ES_tradnl"/>
        </w:rPr>
        <w:t xml:space="preserve">transporte de </w:t>
      </w:r>
      <w:r w:rsidR="00743A44" w:rsidRPr="00743A44">
        <w:rPr>
          <w:lang w:val="es-ES_tradnl"/>
        </w:rPr>
        <w:t>pasajeros y sector agropecuario</w:t>
      </w:r>
      <w:r w:rsidR="0077797C" w:rsidRPr="00743A44">
        <w:rPr>
          <w:lang w:val="es-ES_tradnl"/>
        </w:rPr>
        <w:t xml:space="preserve">. </w:t>
      </w:r>
      <w:r w:rsidR="003B6735" w:rsidRPr="00743A44">
        <w:rPr>
          <w:lang w:val="es-ES_tradnl"/>
        </w:rPr>
        <w:t>E</w:t>
      </w:r>
      <w:r w:rsidR="00743A44" w:rsidRPr="00743A44">
        <w:rPr>
          <w:lang w:val="es-ES_tradnl"/>
        </w:rPr>
        <w:t>l</w:t>
      </w:r>
      <w:r w:rsidR="009E067C" w:rsidRPr="00743A44">
        <w:rPr>
          <w:lang w:val="es-ES_tradnl"/>
        </w:rPr>
        <w:t xml:space="preserve"> </w:t>
      </w:r>
      <w:r w:rsidR="00743A44">
        <w:rPr>
          <w:lang w:val="es-ES_tradnl"/>
        </w:rPr>
        <w:t>sub</w:t>
      </w:r>
      <w:r w:rsidR="009E067C" w:rsidRPr="00743A44">
        <w:rPr>
          <w:lang w:val="es-ES_tradnl"/>
        </w:rPr>
        <w:t xml:space="preserve">sector </w:t>
      </w:r>
      <w:r w:rsidR="002B14AC" w:rsidRPr="00743A44">
        <w:rPr>
          <w:lang w:val="es-ES_tradnl"/>
        </w:rPr>
        <w:t xml:space="preserve">de </w:t>
      </w:r>
      <w:r w:rsidR="00F66F77">
        <w:rPr>
          <w:lang w:val="es-ES_tradnl"/>
        </w:rPr>
        <w:t xml:space="preserve">maquinaria y equipos, textil y maquila, comercio minorista y </w:t>
      </w:r>
      <w:r w:rsidR="002B14AC" w:rsidRPr="00743A44">
        <w:rPr>
          <w:lang w:val="es-ES_tradnl"/>
        </w:rPr>
        <w:t xml:space="preserve">transporte de carga </w:t>
      </w:r>
      <w:r w:rsidR="0077797C" w:rsidRPr="00743A44">
        <w:rPr>
          <w:lang w:val="es-ES_tradnl"/>
        </w:rPr>
        <w:t xml:space="preserve">se encuentra en una situación </w:t>
      </w:r>
      <w:r w:rsidR="00A044C9" w:rsidRPr="00743A44">
        <w:rPr>
          <w:lang w:val="es-ES_tradnl"/>
        </w:rPr>
        <w:t xml:space="preserve">de </w:t>
      </w:r>
      <w:r w:rsidR="009E067C" w:rsidRPr="00743A44">
        <w:rPr>
          <w:lang w:val="es-ES_tradnl"/>
        </w:rPr>
        <w:t>menor</w:t>
      </w:r>
      <w:r w:rsidR="002B00EE" w:rsidRPr="00743A44">
        <w:rPr>
          <w:lang w:val="es-ES_tradnl"/>
        </w:rPr>
        <w:t xml:space="preserve"> severidad del</w:t>
      </w:r>
      <w:r w:rsidR="00A044C9" w:rsidRPr="00743A44">
        <w:rPr>
          <w:lang w:val="es-ES_tradnl"/>
        </w:rPr>
        <w:t xml:space="preserve"> impacto</w:t>
      </w:r>
      <w:r w:rsidR="00F66F77">
        <w:rPr>
          <w:lang w:val="es-ES_tradnl"/>
        </w:rPr>
        <w:t xml:space="preserve"> de grado dos</w:t>
      </w:r>
      <w:r w:rsidR="0077797C" w:rsidRPr="00743A44">
        <w:rPr>
          <w:lang w:val="es-ES_tradnl"/>
        </w:rPr>
        <w:t xml:space="preserve"> (ver tabla II.A.1).</w:t>
      </w:r>
    </w:p>
    <w:p w14:paraId="1D4D8D30" w14:textId="1C45F377" w:rsidR="00A700FB" w:rsidRPr="00E83B7E" w:rsidRDefault="00A700FB" w:rsidP="00A700FB">
      <w:pPr>
        <w:jc w:val="both"/>
        <w:rPr>
          <w:lang w:val="es-ES_tradnl"/>
        </w:rPr>
      </w:pPr>
      <w:r w:rsidRPr="00E83B7E">
        <w:rPr>
          <w:lang w:val="es-ES_tradnl"/>
        </w:rPr>
        <w:t>Este diagnóstico toma en consideración los sectores que presentan una mayor probabilidad de verse afectados en términos de pérdidas de empleo en función de la posible materialización de los siguientes riesgos identificados ante la crisis del COVID-19: (i) factores de contracción de la oferta (como limitaciones al uso del factor trabajo, insuficiencia en la cantidad y calidad de insumos variables, aumentos en los costes de factores de producción, disrupciones en la cadena de valor, entre otros; (ii) factores de contracción de la demanda (como los cambios en los comportamientos y preferencias del consumo, restricciones de liquidez de demandantes, reducción en la demanda de exportación, entre otros); (</w:t>
      </w:r>
      <w:proofErr w:type="spellStart"/>
      <w:r w:rsidRPr="00E83B7E">
        <w:rPr>
          <w:lang w:val="es-ES_tradnl"/>
        </w:rPr>
        <w:t>iii</w:t>
      </w:r>
      <w:proofErr w:type="spellEnd"/>
      <w:r w:rsidRPr="00E83B7E">
        <w:rPr>
          <w:lang w:val="es-ES_tradnl"/>
        </w:rPr>
        <w:t>)</w:t>
      </w:r>
      <w:r w:rsidR="000039BD">
        <w:rPr>
          <w:lang w:val="es-ES_tradnl"/>
        </w:rPr>
        <w:t> </w:t>
      </w:r>
      <w:r w:rsidRPr="00E83B7E">
        <w:rPr>
          <w:lang w:val="es-ES_tradnl"/>
        </w:rPr>
        <w:t>factores financieros (como retraso e interrupción en los ciclos de pago, reducción o interrupción de financiamiento, incremento en los costos de financiamiento) y patrimoniales (reducción en el valor de activos y acumulación de pasivos); y (iv) otros riesgos sistémicos y del entorno regulatorio (incertidumbre institucional y legal e inestabilidad política y social).</w:t>
      </w:r>
    </w:p>
    <w:p w14:paraId="31851136" w14:textId="77777777" w:rsidR="00D4307D" w:rsidRPr="00E83B7E" w:rsidRDefault="00D4307D">
      <w:pPr>
        <w:rPr>
          <w:rFonts w:asciiTheme="majorHAnsi" w:eastAsiaTheme="majorEastAsia" w:hAnsiTheme="majorHAnsi" w:cstheme="majorBidi"/>
          <w:sz w:val="32"/>
          <w:szCs w:val="32"/>
          <w:lang w:val="es-ES_tradnl"/>
        </w:rPr>
      </w:pPr>
      <w:r w:rsidRPr="00E83B7E">
        <w:rPr>
          <w:lang w:val="es-ES_tradnl"/>
        </w:rPr>
        <w:br w:type="page"/>
      </w:r>
    </w:p>
    <w:p w14:paraId="6222AD1D" w14:textId="201B9F1B" w:rsidR="00945B21" w:rsidRPr="00E83B7E" w:rsidRDefault="00945B21" w:rsidP="0007292C">
      <w:pPr>
        <w:pStyle w:val="Heading1"/>
        <w:numPr>
          <w:ilvl w:val="0"/>
          <w:numId w:val="0"/>
        </w:numPr>
        <w:jc w:val="both"/>
        <w:rPr>
          <w:lang w:val="es-ES_tradnl"/>
        </w:rPr>
      </w:pPr>
      <w:bookmarkStart w:id="16" w:name="_Toc38398634"/>
      <w:bookmarkStart w:id="17" w:name="_Toc36834041"/>
      <w:r w:rsidRPr="00E83B7E">
        <w:rPr>
          <w:lang w:val="es-ES_tradnl"/>
        </w:rPr>
        <w:lastRenderedPageBreak/>
        <w:t>Anexo</w:t>
      </w:r>
      <w:r w:rsidR="00BF3440" w:rsidRPr="00E83B7E">
        <w:rPr>
          <w:lang w:val="es-ES_tradnl"/>
        </w:rPr>
        <w:t xml:space="preserve"> I: </w:t>
      </w:r>
      <w:r w:rsidRPr="00E83B7E">
        <w:rPr>
          <w:lang w:val="es-ES_tradnl"/>
        </w:rPr>
        <w:t>aspectos metodológicos</w:t>
      </w:r>
      <w:bookmarkEnd w:id="16"/>
      <w:bookmarkEnd w:id="17"/>
    </w:p>
    <w:p w14:paraId="5059A126" w14:textId="79A8B94B" w:rsidR="00C705C2" w:rsidRPr="00E83B7E" w:rsidRDefault="00A87C9A" w:rsidP="00A87C9A">
      <w:pPr>
        <w:jc w:val="both"/>
        <w:rPr>
          <w:lang w:val="es-ES_tradnl"/>
        </w:rPr>
      </w:pPr>
      <w:r w:rsidRPr="00E83B7E">
        <w:rPr>
          <w:lang w:val="es-ES_tradnl"/>
        </w:rPr>
        <w:t>Este documento presente un análisis de vulnerabilidades desagregado por sectores y con referencia a la situación de las MIPYME. Se consideran en particular los siguientes sectores</w:t>
      </w:r>
      <w:r w:rsidRPr="008C57F9">
        <w:rPr>
          <w:lang w:val="es-ES_tradnl"/>
        </w:rPr>
        <w:t xml:space="preserve">: </w:t>
      </w:r>
      <w:r w:rsidR="0096126B" w:rsidRPr="00F6489C">
        <w:rPr>
          <w:lang w:val="es-ES_tradnl"/>
        </w:rPr>
        <w:t>Comercio al por meno</w:t>
      </w:r>
      <w:r w:rsidR="0096126B" w:rsidRPr="008C57F9">
        <w:rPr>
          <w:lang w:val="es-ES_tradnl"/>
        </w:rPr>
        <w:t xml:space="preserve">r, </w:t>
      </w:r>
      <w:r w:rsidRPr="008C57F9">
        <w:rPr>
          <w:lang w:val="es-ES_tradnl"/>
        </w:rPr>
        <w:t>Turismo, Transporte</w:t>
      </w:r>
      <w:r w:rsidR="0096126B" w:rsidRPr="008C57F9">
        <w:rPr>
          <w:lang w:val="es-ES_tradnl"/>
        </w:rPr>
        <w:t xml:space="preserve"> de carga y de pasajeros</w:t>
      </w:r>
      <w:r w:rsidRPr="008C57F9">
        <w:rPr>
          <w:lang w:val="es-ES_tradnl"/>
        </w:rPr>
        <w:t>, Automotriz,</w:t>
      </w:r>
      <w:r w:rsidRPr="00F6489C">
        <w:rPr>
          <w:lang w:val="es-ES_tradnl"/>
        </w:rPr>
        <w:t xml:space="preserve"> </w:t>
      </w:r>
      <w:r w:rsidR="00AA7B6E" w:rsidRPr="00F6489C">
        <w:rPr>
          <w:lang w:val="es-ES_tradnl"/>
        </w:rPr>
        <w:t>maquinaria y equipos</w:t>
      </w:r>
      <w:r w:rsidRPr="00F6489C">
        <w:rPr>
          <w:lang w:val="es-ES_tradnl"/>
        </w:rPr>
        <w:t>, Textil</w:t>
      </w:r>
      <w:r w:rsidRPr="008C57F9">
        <w:rPr>
          <w:lang w:val="es-ES_tradnl"/>
        </w:rPr>
        <w:t xml:space="preserve"> y Agropecuario</w:t>
      </w:r>
      <w:r w:rsidRPr="00E83B7E">
        <w:rPr>
          <w:lang w:val="es-ES_tradnl"/>
        </w:rPr>
        <w:t>.</w:t>
      </w:r>
      <w:r w:rsidR="003426B4" w:rsidRPr="00E83B7E">
        <w:rPr>
          <w:lang w:val="es-ES_tradnl"/>
        </w:rPr>
        <w:t xml:space="preserve"> </w:t>
      </w:r>
    </w:p>
    <w:p w14:paraId="682A224F" w14:textId="77777777" w:rsidR="00781E24" w:rsidRPr="00E83B7E" w:rsidRDefault="00A87C9A" w:rsidP="00A87C9A">
      <w:pPr>
        <w:jc w:val="both"/>
        <w:rPr>
          <w:lang w:val="es-ES_tradnl"/>
        </w:rPr>
      </w:pPr>
      <w:r w:rsidRPr="00E83B7E">
        <w:rPr>
          <w:lang w:val="es-ES_tradnl"/>
        </w:rPr>
        <w:t>Para la determinación de la vulnerabilidad general de un sector se identifican</w:t>
      </w:r>
      <w:r w:rsidR="00C705C2" w:rsidRPr="00E83B7E">
        <w:rPr>
          <w:lang w:val="es-ES_tradnl"/>
        </w:rPr>
        <w:t xml:space="preserve"> factores agrupados en</w:t>
      </w:r>
      <w:r w:rsidRPr="00E83B7E">
        <w:rPr>
          <w:lang w:val="es-ES_tradnl"/>
        </w:rPr>
        <w:t xml:space="preserve"> cuatro áreas</w:t>
      </w:r>
      <w:r w:rsidR="00C705C2" w:rsidRPr="00E83B7E">
        <w:rPr>
          <w:lang w:val="es-ES_tradnl"/>
        </w:rPr>
        <w:t>:</w:t>
      </w:r>
      <w:r w:rsidRPr="00E83B7E">
        <w:rPr>
          <w:lang w:val="es-ES_tradnl"/>
        </w:rPr>
        <w:t xml:space="preserve"> oferta</w:t>
      </w:r>
      <w:r w:rsidR="002145E1" w:rsidRPr="00E83B7E">
        <w:rPr>
          <w:lang w:val="es-ES_tradnl"/>
        </w:rPr>
        <w:t>,</w:t>
      </w:r>
      <w:r w:rsidRPr="00E83B7E">
        <w:rPr>
          <w:lang w:val="es-ES_tradnl"/>
        </w:rPr>
        <w:t xml:space="preserve"> demanda</w:t>
      </w:r>
      <w:r w:rsidR="002145E1" w:rsidRPr="00E83B7E">
        <w:rPr>
          <w:lang w:val="es-ES_tradnl"/>
        </w:rPr>
        <w:t>,</w:t>
      </w:r>
      <w:r w:rsidRPr="00E83B7E">
        <w:rPr>
          <w:lang w:val="es-ES_tradnl"/>
        </w:rPr>
        <w:t xml:space="preserve"> financiera y patrimonial y sistémico y regulatorio. En estas cuatro áreas se identifican tipos de riesgo y se los evalúa asignándoles un grado cualitativo de materialización potencial e impacto del riesgo, a saber: moderado, significativo, severo y extremo.</w:t>
      </w:r>
    </w:p>
    <w:p w14:paraId="2BF9AE76" w14:textId="7863E4C2" w:rsidR="00A87C9A" w:rsidRPr="00E83B7E" w:rsidRDefault="00A87C9A" w:rsidP="00A87C9A">
      <w:pPr>
        <w:jc w:val="both"/>
        <w:rPr>
          <w:lang w:val="es-ES_tradnl"/>
        </w:rPr>
      </w:pPr>
      <w:r w:rsidRPr="00E83B7E">
        <w:rPr>
          <w:lang w:val="es-ES_tradnl"/>
        </w:rPr>
        <w:t>La calificación de cada componente ha sido llevada adelante por expertos sectoriales del Banco Interamericano de Desarrollo, quienes han generado una evaluación general al momento del inicio de la crisis del COVID-19, basada en sus percepciones, experiencia y utilizando distintas fuentes de información (incluyendo entre otras, entrevistas a cámaras de comercio y actores relevantes, estadísticas de acceso público y otros informes especializados). Los factores considerados y las distintas áreas a las que pertenecen</w:t>
      </w:r>
      <w:r w:rsidR="00E54526" w:rsidRPr="00E83B7E">
        <w:rPr>
          <w:lang w:val="es-ES_tradnl"/>
        </w:rPr>
        <w:t>, junto con una descripción del concepto se incluyen en el cuadro A.</w:t>
      </w:r>
      <w:r w:rsidR="00FE18AA" w:rsidRPr="00E83B7E">
        <w:rPr>
          <w:lang w:val="es-ES_tradnl"/>
        </w:rPr>
        <w:t>I.</w:t>
      </w:r>
      <w:r w:rsidR="00E54526" w:rsidRPr="00E83B7E">
        <w:rPr>
          <w:lang w:val="es-ES_tradnl"/>
        </w:rPr>
        <w:t>1</w:t>
      </w:r>
      <w:r w:rsidR="00FE18AA" w:rsidRPr="00E83B7E">
        <w:rPr>
          <w:lang w:val="es-ES_tradnl"/>
        </w:rPr>
        <w:t>.</w:t>
      </w:r>
    </w:p>
    <w:p w14:paraId="24A6AD40" w14:textId="4770015A" w:rsidR="00A87C9A" w:rsidRPr="00E83B7E" w:rsidRDefault="00A87C9A" w:rsidP="00667CD9">
      <w:pPr>
        <w:jc w:val="both"/>
        <w:rPr>
          <w:lang w:val="es-ES_tradnl"/>
        </w:rPr>
      </w:pPr>
      <w:r w:rsidRPr="00E83B7E">
        <w:rPr>
          <w:lang w:val="es-ES_tradnl"/>
        </w:rPr>
        <w:t>Una vez asignada la calificación de riesgo/vulnerabilidad para cada factor, se evalúan los resultados y se agregan en un índice que asigna un peso de 30% respectivamente para los factores de oferta, demanda y financieros y patrimoniales y de 10% para los factores sistémicos y regulatorios.</w:t>
      </w:r>
      <w:r w:rsidR="001321AA" w:rsidRPr="00E83B7E">
        <w:rPr>
          <w:lang w:val="es-ES_tradnl"/>
        </w:rPr>
        <w:t xml:space="preserve"> Se le ha dado mayor ponderación relativa a los factores que se consideran más volátiles </w:t>
      </w:r>
      <w:r w:rsidR="00DE5A58" w:rsidRPr="00E83B7E">
        <w:rPr>
          <w:lang w:val="es-ES_tradnl"/>
        </w:rPr>
        <w:t>en el corto plazo</w:t>
      </w:r>
      <w:r w:rsidR="00C21AD8" w:rsidRPr="00E83B7E">
        <w:rPr>
          <w:lang w:val="es-ES_tradnl"/>
        </w:rPr>
        <w:t xml:space="preserve"> (oferta, demanda, factores patrimoniales y financieros), pero también se ha decidido la inclusión de factores institucionales debido al riesgo en esa dimensión que emerge por la significatividad del problema generado por la pandemia del COVID-19.</w:t>
      </w:r>
      <w:r w:rsidRPr="00E83B7E">
        <w:rPr>
          <w:lang w:val="es-ES_tradnl"/>
        </w:rPr>
        <w:t xml:space="preserve"> </w:t>
      </w:r>
    </w:p>
    <w:p w14:paraId="20A3C259" w14:textId="5402A2A8" w:rsidR="00D755A2" w:rsidRPr="00E83B7E" w:rsidRDefault="00A87C9A" w:rsidP="00A87C9A">
      <w:pPr>
        <w:jc w:val="both"/>
        <w:rPr>
          <w:lang w:val="es-ES_tradnl"/>
        </w:rPr>
      </w:pPr>
      <w:r w:rsidRPr="00E83B7E">
        <w:rPr>
          <w:lang w:val="es-ES_tradnl"/>
        </w:rPr>
        <w:t xml:space="preserve">De manera adicional, también se presenta el grado de vulnerabilidad agregado generado por dichos sectores productivos utilizando </w:t>
      </w:r>
      <w:r w:rsidR="00D755A2" w:rsidRPr="00E83B7E">
        <w:rPr>
          <w:lang w:val="es-ES_tradnl"/>
        </w:rPr>
        <w:t xml:space="preserve">la contribución al PIB y al empleo como ponderadores alternativos. En este caso (ver tabla </w:t>
      </w:r>
      <w:r w:rsidR="005D1844" w:rsidRPr="00E83B7E">
        <w:rPr>
          <w:lang w:val="es-ES_tradnl"/>
        </w:rPr>
        <w:t xml:space="preserve">II.A.1), </w:t>
      </w:r>
      <w:r w:rsidR="00825D67" w:rsidRPr="00E83B7E">
        <w:rPr>
          <w:lang w:val="es-ES_tradnl"/>
        </w:rPr>
        <w:t xml:space="preserve">se están considerando las contribuciones sólo de los sectores bajo análisis, con lo cual </w:t>
      </w:r>
      <w:r w:rsidR="00F95A60" w:rsidRPr="00E83B7E">
        <w:rPr>
          <w:lang w:val="es-ES_tradnl"/>
        </w:rPr>
        <w:t xml:space="preserve">los ponderadores se recalculan para llegar al 100 a pesar de que la contribución al PIB esté en torno al 35% y del empleo </w:t>
      </w:r>
      <w:r w:rsidR="0091146C" w:rsidRPr="00E83B7E">
        <w:rPr>
          <w:lang w:val="es-ES_tradnl"/>
        </w:rPr>
        <w:t>cerca del 41%.</w:t>
      </w:r>
    </w:p>
    <w:p w14:paraId="38ED9B12" w14:textId="77777777" w:rsidR="00EC45B4" w:rsidRPr="00AD0640" w:rsidRDefault="00EC45B4" w:rsidP="00EC45B4">
      <w:pPr>
        <w:rPr>
          <w:b/>
          <w:bCs/>
          <w:lang w:val="es-AR"/>
        </w:rPr>
      </w:pPr>
      <w:r w:rsidRPr="00AD0640">
        <w:rPr>
          <w:b/>
          <w:bCs/>
          <w:lang w:val="es-AR"/>
        </w:rPr>
        <w:t>Interpretación del IV</w:t>
      </w:r>
    </w:p>
    <w:p w14:paraId="0E62C56D" w14:textId="5944A4D8" w:rsidR="00EC45B4" w:rsidRDefault="00EC45B4" w:rsidP="00EC45B4">
      <w:pPr>
        <w:jc w:val="both"/>
        <w:rPr>
          <w:lang w:val="es-AR"/>
        </w:rPr>
      </w:pPr>
      <w:r w:rsidRPr="00AD0640">
        <w:rPr>
          <w:lang w:val="es-AR"/>
        </w:rPr>
        <w:t xml:space="preserve">La metodología utilizada está identificando un grado de vulnerabilidad global de un sector determinado por el impacto del COVID-19. Los sectores analizados han sido elegidos por su importancia relativa en lo que refiere a la creación de empleo y a su contribución al PBI y por su potencial vulnerabilidad ante los cambios en las condiciones de oferta, demanda, financieras y patrimoniales, como así también institucionales. En ese sentido, el índice está graduando a partir de un nivel de vulnerabilidad elevado. De esta manera, el que un sector cuente con un IV relativamente bajo, por ejemplo, entre 0 y 24, no significa que ese sector no sea vulnerable, sino que está en un primer nivel de severidad dentro de los afectados. Para resaltar este concepto, se propone en el siguiente cuadro una lectura por rangos del IV que va desde “Severo grado 1” a “Severo grado 4”. </w:t>
      </w:r>
    </w:p>
    <w:p w14:paraId="3974E3E9" w14:textId="54583BA2" w:rsidR="00EC45B4" w:rsidRDefault="00EC45B4" w:rsidP="00EC45B4">
      <w:pPr>
        <w:jc w:val="both"/>
        <w:rPr>
          <w:lang w:val="es-AR"/>
        </w:rPr>
      </w:pPr>
    </w:p>
    <w:p w14:paraId="57F49575" w14:textId="5D16A103" w:rsidR="00EC45B4" w:rsidRDefault="00EC45B4" w:rsidP="00EC45B4">
      <w:pPr>
        <w:jc w:val="both"/>
        <w:rPr>
          <w:lang w:val="es-AR"/>
        </w:rPr>
      </w:pPr>
    </w:p>
    <w:p w14:paraId="482BE56D" w14:textId="570D71AB" w:rsidR="00EC45B4" w:rsidRDefault="00EC45B4" w:rsidP="00EC45B4">
      <w:pPr>
        <w:jc w:val="both"/>
        <w:rPr>
          <w:lang w:val="es-AR"/>
        </w:rPr>
      </w:pPr>
    </w:p>
    <w:p w14:paraId="7E3CAFCD" w14:textId="77777777" w:rsidR="00EC45B4" w:rsidRPr="00AD0640" w:rsidRDefault="00EC45B4" w:rsidP="00EC45B4">
      <w:pPr>
        <w:spacing w:after="0" w:line="240" w:lineRule="auto"/>
        <w:jc w:val="center"/>
        <w:rPr>
          <w:b/>
          <w:bCs/>
          <w:lang w:val="es-AR"/>
        </w:rPr>
      </w:pPr>
      <w:r w:rsidRPr="00AD0640">
        <w:rPr>
          <w:b/>
          <w:bCs/>
          <w:lang w:val="es-AR"/>
        </w:rPr>
        <w:lastRenderedPageBreak/>
        <w:t>Tabla A.I.1</w:t>
      </w:r>
    </w:p>
    <w:p w14:paraId="79313711" w14:textId="77777777" w:rsidR="00EC45B4" w:rsidRPr="00AD0640" w:rsidRDefault="00EC45B4" w:rsidP="00EC45B4">
      <w:pPr>
        <w:spacing w:after="0" w:line="240" w:lineRule="auto"/>
        <w:jc w:val="center"/>
        <w:rPr>
          <w:b/>
          <w:bCs/>
          <w:lang w:val="es-AR"/>
        </w:rPr>
      </w:pPr>
      <w:r w:rsidRPr="00AD0640">
        <w:rPr>
          <w:b/>
          <w:bCs/>
          <w:lang w:val="es-AR"/>
        </w:rPr>
        <w:t>Clasificación cualitativa del</w:t>
      </w:r>
    </w:p>
    <w:p w14:paraId="701A8115" w14:textId="77777777" w:rsidR="00EC45B4" w:rsidRPr="00AD0640" w:rsidRDefault="00EC45B4" w:rsidP="00EC45B4">
      <w:pPr>
        <w:spacing w:after="0" w:line="240" w:lineRule="auto"/>
        <w:jc w:val="center"/>
        <w:rPr>
          <w:lang w:val="es-AR"/>
        </w:rPr>
      </w:pPr>
      <w:r w:rsidRPr="00AD0640">
        <w:rPr>
          <w:b/>
          <w:bCs/>
          <w:lang w:val="es-AR"/>
        </w:rPr>
        <w:t>Índice de vulnerabilidad (IV)</w:t>
      </w:r>
      <w:r w:rsidRPr="00AD0640">
        <w:rPr>
          <w:lang w:val="es-AR"/>
        </w:rPr>
        <w:t xml:space="preserve"> </w:t>
      </w:r>
    </w:p>
    <w:tbl>
      <w:tblPr>
        <w:tblW w:w="2785" w:type="dxa"/>
        <w:jc w:val="center"/>
        <w:tblLook w:val="04A0" w:firstRow="1" w:lastRow="0" w:firstColumn="1" w:lastColumn="0" w:noHBand="0" w:noVBand="1"/>
      </w:tblPr>
      <w:tblGrid>
        <w:gridCol w:w="960"/>
        <w:gridCol w:w="1825"/>
      </w:tblGrid>
      <w:tr w:rsidR="00EC45B4" w:rsidRPr="00AD0640" w14:paraId="3AA7A139" w14:textId="77777777" w:rsidTr="00844123">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43D6F0D9" w14:textId="77777777" w:rsidR="00EC45B4" w:rsidRPr="00AD0640" w:rsidRDefault="00EC45B4" w:rsidP="00844123">
            <w:pPr>
              <w:spacing w:after="0" w:line="240" w:lineRule="auto"/>
              <w:jc w:val="center"/>
              <w:rPr>
                <w:rFonts w:ascii="Calibri" w:eastAsia="Times New Roman" w:hAnsi="Calibri" w:cs="Calibri"/>
                <w:b/>
                <w:bCs/>
                <w:color w:val="000000"/>
                <w:lang w:val="es-AR"/>
              </w:rPr>
            </w:pPr>
            <w:r w:rsidRPr="00AD0640">
              <w:rPr>
                <w:rFonts w:ascii="Calibri" w:eastAsia="Times New Roman" w:hAnsi="Calibri" w:cs="Calibri"/>
                <w:b/>
                <w:bCs/>
                <w:color w:val="000000"/>
                <w:lang w:val="es-AR"/>
              </w:rPr>
              <w:t>IV</w:t>
            </w:r>
          </w:p>
        </w:tc>
        <w:tc>
          <w:tcPr>
            <w:tcW w:w="1825" w:type="dxa"/>
            <w:tcBorders>
              <w:top w:val="single" w:sz="4" w:space="0" w:color="auto"/>
              <w:left w:val="nil"/>
              <w:bottom w:val="single" w:sz="4" w:space="0" w:color="auto"/>
              <w:right w:val="single" w:sz="4" w:space="0" w:color="auto"/>
            </w:tcBorders>
            <w:shd w:val="clear" w:color="000000" w:fill="D9E1F2"/>
            <w:noWrap/>
            <w:vAlign w:val="bottom"/>
            <w:hideMark/>
          </w:tcPr>
          <w:p w14:paraId="27E2962A" w14:textId="77777777" w:rsidR="00EC45B4" w:rsidRPr="00AD0640" w:rsidRDefault="00EC45B4" w:rsidP="00844123">
            <w:pPr>
              <w:spacing w:after="0" w:line="240" w:lineRule="auto"/>
              <w:jc w:val="center"/>
              <w:rPr>
                <w:rFonts w:ascii="Calibri" w:eastAsia="Times New Roman" w:hAnsi="Calibri" w:cs="Calibri"/>
                <w:b/>
                <w:bCs/>
                <w:color w:val="000000"/>
                <w:lang w:val="es-AR"/>
              </w:rPr>
            </w:pPr>
            <w:r w:rsidRPr="00AD0640">
              <w:rPr>
                <w:rFonts w:ascii="Calibri" w:eastAsia="Times New Roman" w:hAnsi="Calibri" w:cs="Calibri"/>
                <w:b/>
                <w:bCs/>
                <w:color w:val="000000"/>
                <w:lang w:val="es-AR"/>
              </w:rPr>
              <w:t>Interpretación</w:t>
            </w:r>
          </w:p>
        </w:tc>
      </w:tr>
      <w:tr w:rsidR="00EC45B4" w:rsidRPr="00AD0640" w14:paraId="3A061E05" w14:textId="77777777" w:rsidTr="00844123">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BE0EAFD" w14:textId="77777777" w:rsidR="00EC45B4" w:rsidRPr="00AD0640" w:rsidRDefault="00EC45B4" w:rsidP="00844123">
            <w:pPr>
              <w:spacing w:after="0" w:line="240" w:lineRule="auto"/>
              <w:jc w:val="center"/>
              <w:rPr>
                <w:rFonts w:ascii="Calibri" w:eastAsia="Times New Roman" w:hAnsi="Calibri" w:cs="Calibri"/>
                <w:color w:val="000000"/>
                <w:lang w:val="es-AR"/>
              </w:rPr>
            </w:pPr>
            <w:r w:rsidRPr="00AD0640">
              <w:rPr>
                <w:rFonts w:ascii="Calibri" w:eastAsia="Times New Roman" w:hAnsi="Calibri" w:cs="Calibri"/>
                <w:color w:val="000000"/>
                <w:lang w:val="es-AR"/>
              </w:rPr>
              <w:t>0-24</w:t>
            </w:r>
          </w:p>
        </w:tc>
        <w:tc>
          <w:tcPr>
            <w:tcW w:w="1825" w:type="dxa"/>
            <w:tcBorders>
              <w:top w:val="nil"/>
              <w:left w:val="nil"/>
              <w:bottom w:val="single" w:sz="4" w:space="0" w:color="auto"/>
              <w:right w:val="single" w:sz="4" w:space="0" w:color="auto"/>
            </w:tcBorders>
            <w:shd w:val="clear" w:color="000000" w:fill="FFFFFF"/>
            <w:noWrap/>
            <w:vAlign w:val="bottom"/>
            <w:hideMark/>
          </w:tcPr>
          <w:p w14:paraId="0EA3B93D" w14:textId="77777777" w:rsidR="00EC45B4" w:rsidRPr="00AD0640" w:rsidRDefault="00EC45B4" w:rsidP="00844123">
            <w:pPr>
              <w:spacing w:after="0" w:line="240" w:lineRule="auto"/>
              <w:jc w:val="center"/>
              <w:rPr>
                <w:rFonts w:ascii="Calibri" w:eastAsia="Times New Roman" w:hAnsi="Calibri" w:cs="Calibri"/>
                <w:color w:val="000000"/>
                <w:lang w:val="es-AR"/>
              </w:rPr>
            </w:pPr>
            <w:r w:rsidRPr="00AD0640">
              <w:rPr>
                <w:rFonts w:ascii="Calibri" w:eastAsia="Times New Roman" w:hAnsi="Calibri" w:cs="Calibri"/>
                <w:color w:val="000000"/>
                <w:lang w:val="es-AR"/>
              </w:rPr>
              <w:t>Severo grado 1</w:t>
            </w:r>
          </w:p>
        </w:tc>
      </w:tr>
      <w:tr w:rsidR="00EC45B4" w:rsidRPr="00AD0640" w14:paraId="3DAC81D3" w14:textId="77777777" w:rsidTr="00844123">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7BA7CE3" w14:textId="77777777" w:rsidR="00EC45B4" w:rsidRPr="00AD0640" w:rsidRDefault="00EC45B4" w:rsidP="00844123">
            <w:pPr>
              <w:spacing w:after="0" w:line="240" w:lineRule="auto"/>
              <w:jc w:val="center"/>
              <w:rPr>
                <w:rFonts w:ascii="Calibri" w:eastAsia="Times New Roman" w:hAnsi="Calibri" w:cs="Calibri"/>
                <w:color w:val="000000"/>
                <w:lang w:val="es-AR"/>
              </w:rPr>
            </w:pPr>
            <w:r w:rsidRPr="00AD0640">
              <w:rPr>
                <w:rFonts w:ascii="Calibri" w:eastAsia="Times New Roman" w:hAnsi="Calibri" w:cs="Calibri"/>
                <w:color w:val="000000"/>
                <w:lang w:val="es-AR"/>
              </w:rPr>
              <w:t>25-49</w:t>
            </w:r>
          </w:p>
        </w:tc>
        <w:tc>
          <w:tcPr>
            <w:tcW w:w="1825" w:type="dxa"/>
            <w:tcBorders>
              <w:top w:val="nil"/>
              <w:left w:val="nil"/>
              <w:bottom w:val="single" w:sz="4" w:space="0" w:color="auto"/>
              <w:right w:val="single" w:sz="4" w:space="0" w:color="auto"/>
            </w:tcBorders>
            <w:shd w:val="clear" w:color="000000" w:fill="FFFFFF"/>
            <w:noWrap/>
            <w:vAlign w:val="bottom"/>
            <w:hideMark/>
          </w:tcPr>
          <w:p w14:paraId="6855C67C" w14:textId="77777777" w:rsidR="00EC45B4" w:rsidRPr="00AD0640" w:rsidRDefault="00EC45B4" w:rsidP="00844123">
            <w:pPr>
              <w:spacing w:after="0" w:line="240" w:lineRule="auto"/>
              <w:jc w:val="center"/>
              <w:rPr>
                <w:rFonts w:ascii="Calibri" w:eastAsia="Times New Roman" w:hAnsi="Calibri" w:cs="Calibri"/>
                <w:color w:val="000000"/>
                <w:lang w:val="es-AR"/>
              </w:rPr>
            </w:pPr>
            <w:r w:rsidRPr="00AD0640">
              <w:rPr>
                <w:rFonts w:ascii="Calibri" w:eastAsia="Times New Roman" w:hAnsi="Calibri" w:cs="Calibri"/>
                <w:color w:val="000000"/>
                <w:lang w:val="es-AR"/>
              </w:rPr>
              <w:t>Severo grado 2</w:t>
            </w:r>
          </w:p>
        </w:tc>
      </w:tr>
      <w:tr w:rsidR="00EC45B4" w:rsidRPr="00AD0640" w14:paraId="402BD7FF" w14:textId="77777777" w:rsidTr="00844123">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DFD6262" w14:textId="77777777" w:rsidR="00EC45B4" w:rsidRPr="00AD0640" w:rsidRDefault="00EC45B4" w:rsidP="00844123">
            <w:pPr>
              <w:spacing w:after="0" w:line="240" w:lineRule="auto"/>
              <w:jc w:val="center"/>
              <w:rPr>
                <w:rFonts w:ascii="Calibri" w:eastAsia="Times New Roman" w:hAnsi="Calibri" w:cs="Calibri"/>
                <w:color w:val="000000"/>
                <w:lang w:val="es-AR"/>
              </w:rPr>
            </w:pPr>
            <w:r w:rsidRPr="00AD0640">
              <w:rPr>
                <w:rFonts w:ascii="Calibri" w:eastAsia="Times New Roman" w:hAnsi="Calibri" w:cs="Calibri"/>
                <w:color w:val="000000"/>
                <w:lang w:val="es-AR"/>
              </w:rPr>
              <w:t>50-74</w:t>
            </w:r>
          </w:p>
        </w:tc>
        <w:tc>
          <w:tcPr>
            <w:tcW w:w="1825" w:type="dxa"/>
            <w:tcBorders>
              <w:top w:val="nil"/>
              <w:left w:val="nil"/>
              <w:bottom w:val="single" w:sz="4" w:space="0" w:color="auto"/>
              <w:right w:val="single" w:sz="4" w:space="0" w:color="auto"/>
            </w:tcBorders>
            <w:shd w:val="clear" w:color="000000" w:fill="FFFFFF"/>
            <w:noWrap/>
            <w:vAlign w:val="bottom"/>
            <w:hideMark/>
          </w:tcPr>
          <w:p w14:paraId="1CB3FE34" w14:textId="77777777" w:rsidR="00EC45B4" w:rsidRPr="00AD0640" w:rsidRDefault="00EC45B4" w:rsidP="00844123">
            <w:pPr>
              <w:spacing w:after="0" w:line="240" w:lineRule="auto"/>
              <w:jc w:val="center"/>
              <w:rPr>
                <w:rFonts w:ascii="Calibri" w:eastAsia="Times New Roman" w:hAnsi="Calibri" w:cs="Calibri"/>
                <w:color w:val="000000"/>
                <w:lang w:val="es-AR"/>
              </w:rPr>
            </w:pPr>
            <w:r w:rsidRPr="00AD0640">
              <w:rPr>
                <w:rFonts w:ascii="Calibri" w:eastAsia="Times New Roman" w:hAnsi="Calibri" w:cs="Calibri"/>
                <w:color w:val="000000"/>
                <w:lang w:val="es-AR"/>
              </w:rPr>
              <w:t>Severo grado 3</w:t>
            </w:r>
          </w:p>
        </w:tc>
      </w:tr>
      <w:tr w:rsidR="00EC45B4" w:rsidRPr="00AD0640" w14:paraId="6A0596A2" w14:textId="77777777" w:rsidTr="00844123">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D0A39EF" w14:textId="77777777" w:rsidR="00EC45B4" w:rsidRPr="00AD0640" w:rsidRDefault="00EC45B4" w:rsidP="00844123">
            <w:pPr>
              <w:spacing w:after="0" w:line="240" w:lineRule="auto"/>
              <w:jc w:val="center"/>
              <w:rPr>
                <w:rFonts w:ascii="Calibri" w:eastAsia="Times New Roman" w:hAnsi="Calibri" w:cs="Calibri"/>
                <w:color w:val="000000"/>
                <w:lang w:val="es-AR"/>
              </w:rPr>
            </w:pPr>
            <w:r w:rsidRPr="00AD0640">
              <w:rPr>
                <w:rFonts w:ascii="Calibri" w:eastAsia="Times New Roman" w:hAnsi="Calibri" w:cs="Calibri"/>
                <w:color w:val="000000"/>
                <w:lang w:val="es-AR"/>
              </w:rPr>
              <w:t>75-100</w:t>
            </w:r>
          </w:p>
        </w:tc>
        <w:tc>
          <w:tcPr>
            <w:tcW w:w="1825" w:type="dxa"/>
            <w:tcBorders>
              <w:top w:val="nil"/>
              <w:left w:val="nil"/>
              <w:bottom w:val="single" w:sz="4" w:space="0" w:color="auto"/>
              <w:right w:val="single" w:sz="4" w:space="0" w:color="auto"/>
            </w:tcBorders>
            <w:shd w:val="clear" w:color="000000" w:fill="FFFFFF"/>
            <w:noWrap/>
            <w:vAlign w:val="bottom"/>
            <w:hideMark/>
          </w:tcPr>
          <w:p w14:paraId="3C5D8008" w14:textId="77777777" w:rsidR="00EC45B4" w:rsidRPr="00AD0640" w:rsidRDefault="00EC45B4" w:rsidP="00844123">
            <w:pPr>
              <w:spacing w:after="0" w:line="240" w:lineRule="auto"/>
              <w:jc w:val="center"/>
              <w:rPr>
                <w:rFonts w:ascii="Calibri" w:eastAsia="Times New Roman" w:hAnsi="Calibri" w:cs="Calibri"/>
                <w:color w:val="000000"/>
                <w:lang w:val="es-AR"/>
              </w:rPr>
            </w:pPr>
            <w:r w:rsidRPr="00AD0640">
              <w:rPr>
                <w:rFonts w:ascii="Calibri" w:eastAsia="Times New Roman" w:hAnsi="Calibri" w:cs="Calibri"/>
                <w:color w:val="000000"/>
                <w:lang w:val="es-AR"/>
              </w:rPr>
              <w:t>Severo grado 4</w:t>
            </w:r>
          </w:p>
        </w:tc>
      </w:tr>
      <w:tr w:rsidR="00EC45B4" w:rsidRPr="00AD0640" w14:paraId="46E8AB68" w14:textId="77777777" w:rsidTr="00844123">
        <w:trPr>
          <w:trHeight w:val="300"/>
          <w:jc w:val="center"/>
        </w:trPr>
        <w:tc>
          <w:tcPr>
            <w:tcW w:w="2785" w:type="dxa"/>
            <w:gridSpan w:val="2"/>
            <w:tcBorders>
              <w:top w:val="nil"/>
              <w:left w:val="nil"/>
              <w:bottom w:val="nil"/>
              <w:right w:val="nil"/>
            </w:tcBorders>
            <w:shd w:val="clear" w:color="000000" w:fill="FFFFFF"/>
            <w:noWrap/>
            <w:vAlign w:val="bottom"/>
            <w:hideMark/>
          </w:tcPr>
          <w:p w14:paraId="7370BBFC" w14:textId="77777777" w:rsidR="00EC45B4" w:rsidRPr="00AD0640" w:rsidRDefault="00EC45B4" w:rsidP="00844123">
            <w:pPr>
              <w:spacing w:after="0" w:line="240" w:lineRule="auto"/>
              <w:rPr>
                <w:rFonts w:ascii="Calibri" w:eastAsia="Times New Roman" w:hAnsi="Calibri" w:cs="Calibri"/>
                <w:color w:val="000000"/>
                <w:sz w:val="18"/>
                <w:szCs w:val="18"/>
                <w:lang w:val="es-AR"/>
              </w:rPr>
            </w:pPr>
            <w:r w:rsidRPr="00AD0640">
              <w:rPr>
                <w:rFonts w:ascii="Calibri" w:eastAsia="Times New Roman" w:hAnsi="Calibri" w:cs="Calibri"/>
                <w:color w:val="000000"/>
                <w:sz w:val="18"/>
                <w:szCs w:val="18"/>
                <w:lang w:val="es-AR"/>
              </w:rPr>
              <w:t>Fuente: IFD/CMF.</w:t>
            </w:r>
          </w:p>
        </w:tc>
      </w:tr>
    </w:tbl>
    <w:p w14:paraId="67048E2B" w14:textId="77777777" w:rsidR="00EC45B4" w:rsidRPr="00AD0640" w:rsidRDefault="00EC45B4" w:rsidP="00EC45B4">
      <w:pPr>
        <w:jc w:val="both"/>
        <w:rPr>
          <w:lang w:val="es-AR"/>
        </w:rPr>
      </w:pPr>
    </w:p>
    <w:p w14:paraId="34CEFC36" w14:textId="77777777" w:rsidR="00EC45B4" w:rsidRPr="00AD0640" w:rsidRDefault="00EC45B4" w:rsidP="00EC45B4">
      <w:pPr>
        <w:jc w:val="both"/>
        <w:rPr>
          <w:lang w:val="es-AR"/>
        </w:rPr>
      </w:pPr>
      <w:r w:rsidRPr="00AD0640">
        <w:rPr>
          <w:lang w:val="es-AR"/>
        </w:rPr>
        <w:t xml:space="preserve">De manera adicional, un IV más elevado no debe interpretarse de manera directa como un ordenamiento directo para guiar la asignación de recursos paliativos. Para ellos debe realizarse un análisis más pormenorizado, atendiendo no solamente a la vulnerabilidad global sino a la situación por factores y al instrumento a utilizar. Por ejemplo, si un sector A tuviese un IV global mayor que un sector B y se estuviese considerando la utilización de instrumentos financieros, sería aconsejable prestar particular atención a la situación de los factores financieros y patrimoniales que contribuyen al índice. Y aún en el caso de un mayor índice de vulnerabilidad a nivel de subcomponente, eso no debe interpretarse de manera directa y monótona como un ordenamiento para establecer sectores prioritarios, ya que es posible que el retorno social esperado de la utilización de ciertos instrumentos no sea lineal condicional al grado de vulnerabilidad calculado. Hechas estas acotaciones, a continuación, se discuten brevemente las condiciones en los distintos sectores considerados. </w:t>
      </w:r>
    </w:p>
    <w:p w14:paraId="289161A9" w14:textId="77777777" w:rsidR="00366688" w:rsidRPr="00E83B7E" w:rsidRDefault="00366688" w:rsidP="003708D1">
      <w:pPr>
        <w:rPr>
          <w:lang w:val="es-ES_tradnl"/>
        </w:rPr>
      </w:pPr>
    </w:p>
    <w:p w14:paraId="02FD0D32" w14:textId="01DBA46B" w:rsidR="00C4729C" w:rsidRPr="00E83B7E" w:rsidRDefault="00C4729C" w:rsidP="00C4729C">
      <w:pPr>
        <w:spacing w:after="0" w:line="240" w:lineRule="auto"/>
        <w:jc w:val="center"/>
        <w:rPr>
          <w:b/>
          <w:bCs/>
          <w:lang w:val="es-ES_tradnl"/>
        </w:rPr>
      </w:pPr>
      <w:r w:rsidRPr="00E83B7E">
        <w:rPr>
          <w:b/>
          <w:bCs/>
          <w:lang w:val="es-ES_tradnl"/>
        </w:rPr>
        <w:t>Cuadro A.I.1</w:t>
      </w:r>
    </w:p>
    <w:p w14:paraId="12BF60EB" w14:textId="6B943098" w:rsidR="00C4729C" w:rsidRPr="00E83B7E" w:rsidRDefault="00C4729C" w:rsidP="0007292C">
      <w:pPr>
        <w:spacing w:after="0" w:line="240" w:lineRule="auto"/>
        <w:jc w:val="center"/>
        <w:rPr>
          <w:b/>
          <w:bCs/>
          <w:lang w:val="es-ES_tradnl"/>
        </w:rPr>
      </w:pPr>
      <w:r w:rsidRPr="00E83B7E">
        <w:rPr>
          <w:b/>
          <w:bCs/>
          <w:lang w:val="es-ES_tradnl"/>
        </w:rPr>
        <w:t>Descripción componentes índice de vulnerabilidad</w:t>
      </w:r>
    </w:p>
    <w:tbl>
      <w:tblPr>
        <w:tblStyle w:val="TableGrid"/>
        <w:tblW w:w="0" w:type="auto"/>
        <w:tblLook w:val="04A0" w:firstRow="1" w:lastRow="0" w:firstColumn="1" w:lastColumn="0" w:noHBand="0" w:noVBand="1"/>
      </w:tblPr>
      <w:tblGrid>
        <w:gridCol w:w="498"/>
        <w:gridCol w:w="498"/>
        <w:gridCol w:w="1647"/>
        <w:gridCol w:w="6707"/>
      </w:tblGrid>
      <w:tr w:rsidR="00C4729C" w:rsidRPr="00E83B7E" w14:paraId="78D47CF3" w14:textId="77777777" w:rsidTr="000B0A4A">
        <w:trPr>
          <w:trHeight w:val="300"/>
        </w:trPr>
        <w:tc>
          <w:tcPr>
            <w:tcW w:w="498" w:type="dxa"/>
            <w:noWrap/>
            <w:hideMark/>
          </w:tcPr>
          <w:p w14:paraId="79275396" w14:textId="77777777" w:rsidR="00C4729C" w:rsidRPr="00E83B7E" w:rsidRDefault="00C4729C" w:rsidP="00C4729C">
            <w:pPr>
              <w:jc w:val="both"/>
              <w:rPr>
                <w:b/>
                <w:bCs/>
                <w:lang w:val="es-ES_tradnl"/>
              </w:rPr>
            </w:pPr>
            <w:r w:rsidRPr="00E83B7E">
              <w:rPr>
                <w:b/>
                <w:bCs/>
                <w:lang w:val="es-ES_tradnl"/>
              </w:rPr>
              <w:t> </w:t>
            </w:r>
          </w:p>
        </w:tc>
        <w:tc>
          <w:tcPr>
            <w:tcW w:w="498" w:type="dxa"/>
            <w:noWrap/>
            <w:hideMark/>
          </w:tcPr>
          <w:p w14:paraId="74BE89B7" w14:textId="77777777" w:rsidR="00C4729C" w:rsidRPr="00E83B7E" w:rsidRDefault="00C4729C" w:rsidP="00C4729C">
            <w:pPr>
              <w:jc w:val="both"/>
              <w:rPr>
                <w:b/>
                <w:bCs/>
                <w:lang w:val="es-ES_tradnl"/>
              </w:rPr>
            </w:pPr>
            <w:r w:rsidRPr="00E83B7E">
              <w:rPr>
                <w:b/>
                <w:bCs/>
                <w:lang w:val="es-ES_tradnl"/>
              </w:rPr>
              <w:t> </w:t>
            </w:r>
          </w:p>
        </w:tc>
        <w:tc>
          <w:tcPr>
            <w:tcW w:w="1647" w:type="dxa"/>
            <w:hideMark/>
          </w:tcPr>
          <w:p w14:paraId="4CB624CB" w14:textId="77777777" w:rsidR="00C4729C" w:rsidRPr="00E83B7E" w:rsidRDefault="00C4729C" w:rsidP="00C4729C">
            <w:pPr>
              <w:jc w:val="both"/>
              <w:rPr>
                <w:b/>
                <w:bCs/>
                <w:lang w:val="es-ES_tradnl"/>
              </w:rPr>
            </w:pPr>
            <w:r w:rsidRPr="00E83B7E">
              <w:rPr>
                <w:b/>
                <w:bCs/>
                <w:lang w:val="es-ES_tradnl"/>
              </w:rPr>
              <w:t>Riesgo</w:t>
            </w:r>
          </w:p>
        </w:tc>
        <w:tc>
          <w:tcPr>
            <w:tcW w:w="6707" w:type="dxa"/>
            <w:hideMark/>
          </w:tcPr>
          <w:p w14:paraId="02AE6E92" w14:textId="77777777" w:rsidR="00C4729C" w:rsidRPr="00E83B7E" w:rsidRDefault="00C4729C" w:rsidP="00C4729C">
            <w:pPr>
              <w:jc w:val="both"/>
              <w:rPr>
                <w:b/>
                <w:bCs/>
                <w:lang w:val="es-ES_tradnl"/>
              </w:rPr>
            </w:pPr>
            <w:r w:rsidRPr="00E83B7E">
              <w:rPr>
                <w:b/>
                <w:bCs/>
                <w:lang w:val="es-ES_tradnl"/>
              </w:rPr>
              <w:t>Descripción</w:t>
            </w:r>
          </w:p>
        </w:tc>
      </w:tr>
      <w:tr w:rsidR="00C4729C" w:rsidRPr="000B0A4A" w14:paraId="3DC80164" w14:textId="77777777" w:rsidTr="000B0A4A">
        <w:trPr>
          <w:trHeight w:val="3600"/>
        </w:trPr>
        <w:tc>
          <w:tcPr>
            <w:tcW w:w="498" w:type="dxa"/>
            <w:noWrap/>
            <w:textDirection w:val="btLr"/>
            <w:hideMark/>
          </w:tcPr>
          <w:p w14:paraId="0ACA730A" w14:textId="77777777" w:rsidR="00C4729C" w:rsidRPr="00E83B7E" w:rsidRDefault="00C4729C" w:rsidP="0007292C">
            <w:pPr>
              <w:jc w:val="center"/>
              <w:rPr>
                <w:lang w:val="es-ES_tradnl"/>
              </w:rPr>
            </w:pPr>
            <w:r w:rsidRPr="00E83B7E">
              <w:rPr>
                <w:lang w:val="es-ES_tradnl"/>
              </w:rPr>
              <w:t>Oferta</w:t>
            </w:r>
          </w:p>
        </w:tc>
        <w:tc>
          <w:tcPr>
            <w:tcW w:w="498" w:type="dxa"/>
            <w:noWrap/>
            <w:textDirection w:val="btLr"/>
            <w:hideMark/>
          </w:tcPr>
          <w:p w14:paraId="13ABFB4F" w14:textId="77777777" w:rsidR="00C4729C" w:rsidRPr="00E83B7E" w:rsidRDefault="00C4729C" w:rsidP="0007292C">
            <w:pPr>
              <w:jc w:val="center"/>
              <w:rPr>
                <w:lang w:val="es-ES_tradnl"/>
              </w:rPr>
            </w:pPr>
            <w:r w:rsidRPr="00E83B7E">
              <w:rPr>
                <w:lang w:val="es-ES_tradnl"/>
              </w:rPr>
              <w:t>Operativo</w:t>
            </w:r>
          </w:p>
        </w:tc>
        <w:tc>
          <w:tcPr>
            <w:tcW w:w="1647" w:type="dxa"/>
            <w:hideMark/>
          </w:tcPr>
          <w:p w14:paraId="47D4D3C6" w14:textId="77777777" w:rsidR="00C4729C" w:rsidRPr="00E83B7E" w:rsidRDefault="00C4729C" w:rsidP="000B0A4A">
            <w:pPr>
              <w:jc w:val="both"/>
              <w:rPr>
                <w:lang w:val="es-ES_tradnl"/>
              </w:rPr>
            </w:pPr>
            <w:r w:rsidRPr="00E83B7E">
              <w:rPr>
                <w:lang w:val="es-ES_tradnl"/>
              </w:rPr>
              <w:t>Limitaciones uso de fuerza de trabajo</w:t>
            </w:r>
          </w:p>
        </w:tc>
        <w:tc>
          <w:tcPr>
            <w:tcW w:w="6707" w:type="dxa"/>
            <w:hideMark/>
          </w:tcPr>
          <w:p w14:paraId="4ACD371C" w14:textId="77777777" w:rsidR="00C4729C" w:rsidRPr="00E83B7E" w:rsidRDefault="00C4729C" w:rsidP="000B0A4A">
            <w:pPr>
              <w:jc w:val="both"/>
              <w:rPr>
                <w:lang w:val="es-ES_tradnl"/>
              </w:rPr>
            </w:pPr>
            <w:r w:rsidRPr="00E83B7E">
              <w:rPr>
                <w:lang w:val="es-ES_tradnl"/>
              </w:rPr>
              <w:t xml:space="preserve">Indica las limitaciones en la disponibilidad efectiva de la fuerza de trabajo, con relación a la disponibilidad habitual en condiciones normales. </w:t>
            </w:r>
            <w:r w:rsidRPr="00E83B7E">
              <w:rPr>
                <w:lang w:val="es-ES_tradnl"/>
              </w:rPr>
              <w:br/>
            </w:r>
            <w:r w:rsidRPr="00E83B7E">
              <w:rPr>
                <w:lang w:val="es-ES_tradnl"/>
              </w:rPr>
              <w:br/>
              <w:t>La disponibilidad efectiva ha de tratar de considerar el uso efectivo de la fuerza de trabajo. Así, por ejemplo, si nominalmente se cuenta con el 100% de la fuerza de trabajo, pero solo pueden trabajar una jornada reducida de medio día, la disponibilidad efectiva puede ser del 50% (o todavía menor si se considera un grado de pérdida de eficiencia en la organización del trabajo.</w:t>
            </w:r>
            <w:r w:rsidRPr="00E83B7E">
              <w:rPr>
                <w:lang w:val="es-ES_tradnl"/>
              </w:rPr>
              <w:br/>
            </w:r>
            <w:r w:rsidRPr="00E83B7E">
              <w:rPr>
                <w:lang w:val="es-ES_tradnl"/>
              </w:rPr>
              <w:br/>
              <w:t>Considerar la posibilidad de hacer uso de teletrabajo, turnos alternativos/extendidos y otras soluciones que puedan presentarse.</w:t>
            </w:r>
          </w:p>
        </w:tc>
      </w:tr>
      <w:tr w:rsidR="00C4729C" w:rsidRPr="000B0A4A" w14:paraId="45C51843" w14:textId="77777777" w:rsidTr="000B0A4A">
        <w:trPr>
          <w:trHeight w:val="2100"/>
        </w:trPr>
        <w:tc>
          <w:tcPr>
            <w:tcW w:w="498" w:type="dxa"/>
            <w:noWrap/>
            <w:textDirection w:val="btLr"/>
            <w:hideMark/>
          </w:tcPr>
          <w:p w14:paraId="3CEA3976" w14:textId="77777777" w:rsidR="00C4729C" w:rsidRPr="00E83B7E" w:rsidRDefault="00C4729C" w:rsidP="0007292C">
            <w:pPr>
              <w:jc w:val="center"/>
              <w:rPr>
                <w:lang w:val="es-ES_tradnl"/>
              </w:rPr>
            </w:pPr>
            <w:r w:rsidRPr="00E83B7E">
              <w:rPr>
                <w:lang w:val="es-ES_tradnl"/>
              </w:rPr>
              <w:lastRenderedPageBreak/>
              <w:t>Oferta</w:t>
            </w:r>
          </w:p>
        </w:tc>
        <w:tc>
          <w:tcPr>
            <w:tcW w:w="498" w:type="dxa"/>
            <w:noWrap/>
            <w:textDirection w:val="btLr"/>
            <w:hideMark/>
          </w:tcPr>
          <w:p w14:paraId="00AB3F6F" w14:textId="77777777" w:rsidR="00C4729C" w:rsidRPr="00E83B7E" w:rsidRDefault="00C4729C" w:rsidP="0007292C">
            <w:pPr>
              <w:jc w:val="center"/>
              <w:rPr>
                <w:lang w:val="es-ES_tradnl"/>
              </w:rPr>
            </w:pPr>
            <w:r w:rsidRPr="00E83B7E">
              <w:rPr>
                <w:lang w:val="es-ES_tradnl"/>
              </w:rPr>
              <w:t>Operativo</w:t>
            </w:r>
          </w:p>
        </w:tc>
        <w:tc>
          <w:tcPr>
            <w:tcW w:w="1647" w:type="dxa"/>
            <w:hideMark/>
          </w:tcPr>
          <w:p w14:paraId="44AD3774" w14:textId="77777777" w:rsidR="00C4729C" w:rsidRPr="00E83B7E" w:rsidRDefault="00C4729C" w:rsidP="000B0A4A">
            <w:pPr>
              <w:jc w:val="both"/>
              <w:rPr>
                <w:lang w:val="es-ES_tradnl"/>
              </w:rPr>
            </w:pPr>
            <w:r w:rsidRPr="00E83B7E">
              <w:rPr>
                <w:lang w:val="es-ES_tradnl"/>
              </w:rPr>
              <w:t>Limitaciones al uso de capital fijo (oficinas, centros comerciales, maquinas, etc.)</w:t>
            </w:r>
          </w:p>
        </w:tc>
        <w:tc>
          <w:tcPr>
            <w:tcW w:w="6707" w:type="dxa"/>
            <w:hideMark/>
          </w:tcPr>
          <w:p w14:paraId="44352479" w14:textId="77777777" w:rsidR="00C4729C" w:rsidRPr="00E83B7E" w:rsidRDefault="00C4729C" w:rsidP="000B0A4A">
            <w:pPr>
              <w:jc w:val="both"/>
              <w:rPr>
                <w:lang w:val="es-ES_tradnl"/>
              </w:rPr>
            </w:pPr>
            <w:r w:rsidRPr="00E83B7E">
              <w:rPr>
                <w:lang w:val="es-ES_tradnl"/>
              </w:rPr>
              <w:t xml:space="preserve">Refiere a las limitaciones al uso de activos necesarios para la producción. </w:t>
            </w:r>
            <w:r w:rsidRPr="00E83B7E">
              <w:rPr>
                <w:lang w:val="es-ES_tradnl"/>
              </w:rPr>
              <w:br/>
            </w:r>
            <w:r w:rsidRPr="00E83B7E">
              <w:rPr>
                <w:lang w:val="es-ES_tradnl"/>
              </w:rPr>
              <w:br/>
              <w:t>Atender especialmente la posibilidad o grado de continuidad que pueda lograrse mediante arreglos alternativos (por ej.: uso de turnos para minimizar número de empleados en un horario) y la importancia relativa de comercialización digital (presencia digital y capacidad logística). Considerar la disponibilidad equivalente de manera similar a las limitaciones de trabajo (arreglo de turnos, canales digitales, otros).</w:t>
            </w:r>
          </w:p>
        </w:tc>
      </w:tr>
      <w:tr w:rsidR="00C4729C" w:rsidRPr="000B0A4A" w14:paraId="2A30ED4B" w14:textId="77777777" w:rsidTr="000B0A4A">
        <w:trPr>
          <w:trHeight w:val="2100"/>
        </w:trPr>
        <w:tc>
          <w:tcPr>
            <w:tcW w:w="498" w:type="dxa"/>
            <w:noWrap/>
            <w:textDirection w:val="btLr"/>
            <w:hideMark/>
          </w:tcPr>
          <w:p w14:paraId="3540A82B" w14:textId="77777777" w:rsidR="00C4729C" w:rsidRPr="00E83B7E" w:rsidRDefault="00C4729C" w:rsidP="0007292C">
            <w:pPr>
              <w:jc w:val="center"/>
              <w:rPr>
                <w:lang w:val="es-ES_tradnl"/>
              </w:rPr>
            </w:pPr>
            <w:r w:rsidRPr="00E83B7E">
              <w:rPr>
                <w:lang w:val="es-ES_tradnl"/>
              </w:rPr>
              <w:t>Oferta</w:t>
            </w:r>
          </w:p>
        </w:tc>
        <w:tc>
          <w:tcPr>
            <w:tcW w:w="498" w:type="dxa"/>
            <w:noWrap/>
            <w:textDirection w:val="btLr"/>
            <w:hideMark/>
          </w:tcPr>
          <w:p w14:paraId="0C804DB2" w14:textId="77777777" w:rsidR="00C4729C" w:rsidRPr="00E83B7E" w:rsidRDefault="00C4729C" w:rsidP="0007292C">
            <w:pPr>
              <w:jc w:val="center"/>
              <w:rPr>
                <w:lang w:val="es-ES_tradnl"/>
              </w:rPr>
            </w:pPr>
            <w:r w:rsidRPr="00E83B7E">
              <w:rPr>
                <w:lang w:val="es-ES_tradnl"/>
              </w:rPr>
              <w:t>Operativo</w:t>
            </w:r>
          </w:p>
        </w:tc>
        <w:tc>
          <w:tcPr>
            <w:tcW w:w="1647" w:type="dxa"/>
            <w:hideMark/>
          </w:tcPr>
          <w:p w14:paraId="31315180" w14:textId="77777777" w:rsidR="00C4729C" w:rsidRPr="00E83B7E" w:rsidRDefault="00C4729C" w:rsidP="000B0A4A">
            <w:pPr>
              <w:jc w:val="both"/>
              <w:rPr>
                <w:lang w:val="es-ES_tradnl"/>
              </w:rPr>
            </w:pPr>
            <w:r w:rsidRPr="00E83B7E">
              <w:rPr>
                <w:lang w:val="es-ES_tradnl"/>
              </w:rPr>
              <w:t>Insuficiencia en cantidad y calidad de insumos físicos</w:t>
            </w:r>
          </w:p>
        </w:tc>
        <w:tc>
          <w:tcPr>
            <w:tcW w:w="6707" w:type="dxa"/>
            <w:hideMark/>
          </w:tcPr>
          <w:p w14:paraId="4C1058F1" w14:textId="6C403BDA" w:rsidR="00C4729C" w:rsidRPr="00E83B7E" w:rsidRDefault="00C4729C" w:rsidP="000B0A4A">
            <w:pPr>
              <w:jc w:val="both"/>
              <w:rPr>
                <w:lang w:val="es-ES_tradnl"/>
              </w:rPr>
            </w:pPr>
            <w:r w:rsidRPr="00E83B7E">
              <w:rPr>
                <w:lang w:val="es-ES_tradnl"/>
              </w:rPr>
              <w:t xml:space="preserve">Limitaciones al acceso de insumos de producción (de bienes o servicios). </w:t>
            </w:r>
            <w:r w:rsidRPr="00E83B7E">
              <w:rPr>
                <w:lang w:val="es-ES_tradnl"/>
              </w:rPr>
              <w:br/>
            </w:r>
            <w:r w:rsidRPr="00E83B7E">
              <w:rPr>
                <w:lang w:val="es-ES_tradnl"/>
              </w:rPr>
              <w:br/>
              <w:t>Considerar, energía, materias primas e insumos físicos en general. No considerar servicios como transporte, comunicaciones ni financieros (considerados aparte).</w:t>
            </w:r>
            <w:r w:rsidRPr="00E83B7E">
              <w:rPr>
                <w:lang w:val="es-ES_tradnl"/>
              </w:rPr>
              <w:br/>
            </w:r>
            <w:r w:rsidRPr="00E83B7E">
              <w:rPr>
                <w:lang w:val="es-ES_tradnl"/>
              </w:rPr>
              <w:br/>
              <w:t>Considerar la posibilidad de utilizar insumos de menor calidad o cambios en las relaciones de uso.</w:t>
            </w:r>
          </w:p>
        </w:tc>
      </w:tr>
      <w:tr w:rsidR="00C4729C" w:rsidRPr="000B0A4A" w14:paraId="0B3FB335" w14:textId="77777777" w:rsidTr="000B0A4A">
        <w:trPr>
          <w:trHeight w:val="1500"/>
        </w:trPr>
        <w:tc>
          <w:tcPr>
            <w:tcW w:w="498" w:type="dxa"/>
            <w:noWrap/>
            <w:textDirection w:val="btLr"/>
            <w:hideMark/>
          </w:tcPr>
          <w:p w14:paraId="320C249F" w14:textId="77777777" w:rsidR="00C4729C" w:rsidRPr="00E83B7E" w:rsidRDefault="00C4729C" w:rsidP="0007292C">
            <w:pPr>
              <w:jc w:val="center"/>
              <w:rPr>
                <w:lang w:val="es-ES_tradnl"/>
              </w:rPr>
            </w:pPr>
            <w:r w:rsidRPr="00E83B7E">
              <w:rPr>
                <w:lang w:val="es-ES_tradnl"/>
              </w:rPr>
              <w:t>Oferta</w:t>
            </w:r>
          </w:p>
        </w:tc>
        <w:tc>
          <w:tcPr>
            <w:tcW w:w="498" w:type="dxa"/>
            <w:noWrap/>
            <w:textDirection w:val="btLr"/>
            <w:hideMark/>
          </w:tcPr>
          <w:p w14:paraId="16E5C174" w14:textId="77777777" w:rsidR="00C4729C" w:rsidRPr="00E83B7E" w:rsidRDefault="00C4729C" w:rsidP="0007292C">
            <w:pPr>
              <w:jc w:val="center"/>
              <w:rPr>
                <w:lang w:val="es-ES_tradnl"/>
              </w:rPr>
            </w:pPr>
            <w:r w:rsidRPr="00E83B7E">
              <w:rPr>
                <w:lang w:val="es-ES_tradnl"/>
              </w:rPr>
              <w:t>Operativo</w:t>
            </w:r>
          </w:p>
        </w:tc>
        <w:tc>
          <w:tcPr>
            <w:tcW w:w="1647" w:type="dxa"/>
            <w:hideMark/>
          </w:tcPr>
          <w:p w14:paraId="073B42E1" w14:textId="7744FCCC" w:rsidR="00C4729C" w:rsidRPr="00E83B7E" w:rsidRDefault="00C4729C" w:rsidP="000B0A4A">
            <w:pPr>
              <w:jc w:val="both"/>
              <w:rPr>
                <w:lang w:val="es-ES_tradnl"/>
              </w:rPr>
            </w:pPr>
            <w:r w:rsidRPr="00E83B7E">
              <w:rPr>
                <w:lang w:val="es-ES_tradnl"/>
              </w:rPr>
              <w:t>Limitaciones al acceso a servicios (transporte, comunicación)</w:t>
            </w:r>
          </w:p>
        </w:tc>
        <w:tc>
          <w:tcPr>
            <w:tcW w:w="6707" w:type="dxa"/>
            <w:hideMark/>
          </w:tcPr>
          <w:p w14:paraId="07816D03" w14:textId="4E17E248" w:rsidR="00C4729C" w:rsidRPr="00E83B7E" w:rsidRDefault="00C4729C" w:rsidP="000B0A4A">
            <w:pPr>
              <w:jc w:val="both"/>
              <w:rPr>
                <w:lang w:val="es-ES_tradnl"/>
              </w:rPr>
            </w:pPr>
            <w:r w:rsidRPr="00E83B7E">
              <w:rPr>
                <w:lang w:val="es-ES_tradnl"/>
              </w:rPr>
              <w:t>Limitaciones logísticas y de servicios de comunicación.</w:t>
            </w:r>
            <w:r w:rsidRPr="00E83B7E">
              <w:rPr>
                <w:lang w:val="es-ES_tradnl"/>
              </w:rPr>
              <w:br/>
            </w:r>
            <w:r w:rsidRPr="00E83B7E">
              <w:rPr>
                <w:lang w:val="es-ES_tradnl"/>
              </w:rPr>
              <w:br/>
              <w:t>Considerar las limitaciones a la logística (en particular a los servicios de transporte y distribución) y a los servicios de comunicaciones.</w:t>
            </w:r>
          </w:p>
        </w:tc>
      </w:tr>
      <w:tr w:rsidR="00C4729C" w:rsidRPr="000B0A4A" w14:paraId="73B3AAD4" w14:textId="77777777" w:rsidTr="000B0A4A">
        <w:trPr>
          <w:trHeight w:val="2100"/>
        </w:trPr>
        <w:tc>
          <w:tcPr>
            <w:tcW w:w="498" w:type="dxa"/>
            <w:noWrap/>
            <w:textDirection w:val="btLr"/>
            <w:hideMark/>
          </w:tcPr>
          <w:p w14:paraId="25CAA4B0" w14:textId="77777777" w:rsidR="00C4729C" w:rsidRPr="00E83B7E" w:rsidRDefault="00C4729C" w:rsidP="0007292C">
            <w:pPr>
              <w:jc w:val="center"/>
              <w:rPr>
                <w:lang w:val="es-ES_tradnl"/>
              </w:rPr>
            </w:pPr>
            <w:r w:rsidRPr="00E83B7E">
              <w:rPr>
                <w:lang w:val="es-ES_tradnl"/>
              </w:rPr>
              <w:t>Oferta</w:t>
            </w:r>
          </w:p>
        </w:tc>
        <w:tc>
          <w:tcPr>
            <w:tcW w:w="498" w:type="dxa"/>
            <w:noWrap/>
            <w:textDirection w:val="btLr"/>
            <w:hideMark/>
          </w:tcPr>
          <w:p w14:paraId="6A1CC2C3" w14:textId="77777777" w:rsidR="00C4729C" w:rsidRPr="00E83B7E" w:rsidRDefault="00C4729C" w:rsidP="0007292C">
            <w:pPr>
              <w:jc w:val="center"/>
              <w:rPr>
                <w:lang w:val="es-ES_tradnl"/>
              </w:rPr>
            </w:pPr>
            <w:r w:rsidRPr="00E83B7E">
              <w:rPr>
                <w:lang w:val="es-ES_tradnl"/>
              </w:rPr>
              <w:t>De mercado</w:t>
            </w:r>
          </w:p>
        </w:tc>
        <w:tc>
          <w:tcPr>
            <w:tcW w:w="1647" w:type="dxa"/>
            <w:hideMark/>
          </w:tcPr>
          <w:p w14:paraId="6C688FF9" w14:textId="77777777" w:rsidR="00C4729C" w:rsidRPr="00E83B7E" w:rsidRDefault="00C4729C" w:rsidP="000B0A4A">
            <w:pPr>
              <w:jc w:val="both"/>
              <w:rPr>
                <w:lang w:val="es-ES_tradnl"/>
              </w:rPr>
            </w:pPr>
            <w:r w:rsidRPr="00E83B7E">
              <w:rPr>
                <w:lang w:val="es-ES_tradnl"/>
              </w:rPr>
              <w:t>Aumento de los costos de insumos y de producción</w:t>
            </w:r>
          </w:p>
        </w:tc>
        <w:tc>
          <w:tcPr>
            <w:tcW w:w="6707" w:type="dxa"/>
            <w:hideMark/>
          </w:tcPr>
          <w:p w14:paraId="02683B32" w14:textId="77777777" w:rsidR="00C4729C" w:rsidRPr="00E83B7E" w:rsidRDefault="00C4729C" w:rsidP="000B0A4A">
            <w:pPr>
              <w:rPr>
                <w:lang w:val="es-ES_tradnl"/>
              </w:rPr>
            </w:pPr>
            <w:r w:rsidRPr="00E83B7E">
              <w:rPr>
                <w:lang w:val="es-ES_tradnl"/>
              </w:rPr>
              <w:t>Aumento de los costos de producción de bienes y servicios (mano de obra, servicios del capital, transporte, energía, comunicaciones, etc.).</w:t>
            </w:r>
            <w:r w:rsidRPr="00E83B7E">
              <w:rPr>
                <w:lang w:val="es-ES_tradnl"/>
              </w:rPr>
              <w:br/>
            </w:r>
            <w:r w:rsidRPr="00E83B7E">
              <w:rPr>
                <w:lang w:val="es-ES_tradnl"/>
              </w:rPr>
              <w:br/>
              <w:t>En términos reales.</w:t>
            </w:r>
            <w:r w:rsidRPr="00E83B7E">
              <w:rPr>
                <w:lang w:val="es-ES_tradnl"/>
              </w:rPr>
              <w:br/>
            </w:r>
            <w:r w:rsidRPr="00E83B7E">
              <w:rPr>
                <w:lang w:val="es-ES_tradnl"/>
              </w:rPr>
              <w:br/>
              <w:t>Considerar costos de manera global aun cuando insumos particulares puedan tener incrementos muy significativos.</w:t>
            </w:r>
          </w:p>
        </w:tc>
      </w:tr>
      <w:tr w:rsidR="00C4729C" w:rsidRPr="000B0A4A" w14:paraId="263C2690" w14:textId="77777777" w:rsidTr="000B0A4A">
        <w:trPr>
          <w:trHeight w:val="1215"/>
        </w:trPr>
        <w:tc>
          <w:tcPr>
            <w:tcW w:w="498" w:type="dxa"/>
            <w:noWrap/>
            <w:textDirection w:val="btLr"/>
            <w:hideMark/>
          </w:tcPr>
          <w:p w14:paraId="4EAD73AA" w14:textId="77777777" w:rsidR="00C4729C" w:rsidRPr="00E83B7E" w:rsidRDefault="00C4729C" w:rsidP="0007292C">
            <w:pPr>
              <w:jc w:val="center"/>
              <w:rPr>
                <w:lang w:val="es-ES_tradnl"/>
              </w:rPr>
            </w:pPr>
            <w:r w:rsidRPr="00E83B7E">
              <w:rPr>
                <w:lang w:val="es-ES_tradnl"/>
              </w:rPr>
              <w:t>Demanda</w:t>
            </w:r>
          </w:p>
        </w:tc>
        <w:tc>
          <w:tcPr>
            <w:tcW w:w="498" w:type="dxa"/>
            <w:noWrap/>
            <w:textDirection w:val="btLr"/>
            <w:hideMark/>
          </w:tcPr>
          <w:p w14:paraId="6F3B19D8" w14:textId="77777777" w:rsidR="00C4729C" w:rsidRPr="00E83B7E" w:rsidRDefault="00C4729C" w:rsidP="0007292C">
            <w:pPr>
              <w:jc w:val="center"/>
              <w:rPr>
                <w:lang w:val="es-ES_tradnl"/>
              </w:rPr>
            </w:pPr>
            <w:r w:rsidRPr="00E83B7E">
              <w:rPr>
                <w:lang w:val="es-ES_tradnl"/>
              </w:rPr>
              <w:t>De mercado</w:t>
            </w:r>
          </w:p>
        </w:tc>
        <w:tc>
          <w:tcPr>
            <w:tcW w:w="1647" w:type="dxa"/>
            <w:hideMark/>
          </w:tcPr>
          <w:p w14:paraId="495B728C" w14:textId="77777777" w:rsidR="00C4729C" w:rsidRPr="00E83B7E" w:rsidRDefault="00C4729C" w:rsidP="000B0A4A">
            <w:pPr>
              <w:jc w:val="both"/>
              <w:rPr>
                <w:lang w:val="es-ES_tradnl"/>
              </w:rPr>
            </w:pPr>
            <w:r w:rsidRPr="00E83B7E">
              <w:rPr>
                <w:lang w:val="es-ES_tradnl"/>
              </w:rPr>
              <w:t>Reducción de la demanda interna / domestica</w:t>
            </w:r>
          </w:p>
        </w:tc>
        <w:tc>
          <w:tcPr>
            <w:tcW w:w="6707" w:type="dxa"/>
            <w:hideMark/>
          </w:tcPr>
          <w:p w14:paraId="54464118" w14:textId="77777777" w:rsidR="00C4729C" w:rsidRPr="00E83B7E" w:rsidRDefault="00C4729C" w:rsidP="000B0A4A">
            <w:pPr>
              <w:jc w:val="both"/>
              <w:rPr>
                <w:lang w:val="es-ES_tradnl"/>
              </w:rPr>
            </w:pPr>
            <w:r w:rsidRPr="00E83B7E">
              <w:rPr>
                <w:lang w:val="es-ES_tradnl"/>
              </w:rPr>
              <w:t>Reducción de la demanda interna por los bienes y/o servicios producidos. Incluye demanda de consumidores (familias o empresas) y del gobierno.</w:t>
            </w:r>
          </w:p>
        </w:tc>
      </w:tr>
      <w:tr w:rsidR="00C4729C" w:rsidRPr="000B0A4A" w14:paraId="13379CD2" w14:textId="77777777" w:rsidTr="000B0A4A">
        <w:trPr>
          <w:trHeight w:val="1215"/>
        </w:trPr>
        <w:tc>
          <w:tcPr>
            <w:tcW w:w="498" w:type="dxa"/>
            <w:noWrap/>
            <w:textDirection w:val="btLr"/>
            <w:hideMark/>
          </w:tcPr>
          <w:p w14:paraId="6CA02AEA" w14:textId="77777777" w:rsidR="00C4729C" w:rsidRPr="00E83B7E" w:rsidRDefault="00C4729C" w:rsidP="0007292C">
            <w:pPr>
              <w:jc w:val="center"/>
              <w:rPr>
                <w:lang w:val="es-ES_tradnl"/>
              </w:rPr>
            </w:pPr>
            <w:r w:rsidRPr="00E83B7E">
              <w:rPr>
                <w:lang w:val="es-ES_tradnl"/>
              </w:rPr>
              <w:t>Demanda</w:t>
            </w:r>
          </w:p>
        </w:tc>
        <w:tc>
          <w:tcPr>
            <w:tcW w:w="498" w:type="dxa"/>
            <w:noWrap/>
            <w:textDirection w:val="btLr"/>
            <w:hideMark/>
          </w:tcPr>
          <w:p w14:paraId="579B5395" w14:textId="77777777" w:rsidR="00C4729C" w:rsidRPr="00E83B7E" w:rsidRDefault="00C4729C" w:rsidP="0007292C">
            <w:pPr>
              <w:jc w:val="center"/>
              <w:rPr>
                <w:lang w:val="es-ES_tradnl"/>
              </w:rPr>
            </w:pPr>
            <w:r w:rsidRPr="00E83B7E">
              <w:rPr>
                <w:lang w:val="es-ES_tradnl"/>
              </w:rPr>
              <w:t>De mercado</w:t>
            </w:r>
          </w:p>
        </w:tc>
        <w:tc>
          <w:tcPr>
            <w:tcW w:w="1647" w:type="dxa"/>
            <w:hideMark/>
          </w:tcPr>
          <w:p w14:paraId="7CE26FA4" w14:textId="0908323A" w:rsidR="00C4729C" w:rsidRPr="00E83B7E" w:rsidRDefault="00C4729C" w:rsidP="000B0A4A">
            <w:pPr>
              <w:jc w:val="both"/>
              <w:rPr>
                <w:lang w:val="es-ES_tradnl"/>
              </w:rPr>
            </w:pPr>
            <w:r w:rsidRPr="00E83B7E">
              <w:rPr>
                <w:lang w:val="es-ES_tradnl"/>
              </w:rPr>
              <w:t>Reducción en la demanda de exportación o extranjera</w:t>
            </w:r>
          </w:p>
        </w:tc>
        <w:tc>
          <w:tcPr>
            <w:tcW w:w="6707" w:type="dxa"/>
            <w:hideMark/>
          </w:tcPr>
          <w:p w14:paraId="15E1D1BA" w14:textId="77777777" w:rsidR="00C4729C" w:rsidRPr="00E83B7E" w:rsidRDefault="00C4729C" w:rsidP="000B0A4A">
            <w:pPr>
              <w:jc w:val="both"/>
              <w:rPr>
                <w:lang w:val="es-ES_tradnl"/>
              </w:rPr>
            </w:pPr>
            <w:r w:rsidRPr="00E83B7E">
              <w:rPr>
                <w:lang w:val="es-ES_tradnl"/>
              </w:rPr>
              <w:t>Reducción de la demanda externa por los bienes y/o servicios producidos. Considerar la demanda de turistas por bienes y servicios provistos dentro del país como demanda externa.</w:t>
            </w:r>
          </w:p>
        </w:tc>
      </w:tr>
      <w:tr w:rsidR="00C4729C" w:rsidRPr="000B0A4A" w14:paraId="1752AC31" w14:textId="77777777" w:rsidTr="000B0A4A">
        <w:trPr>
          <w:trHeight w:val="1170"/>
        </w:trPr>
        <w:tc>
          <w:tcPr>
            <w:tcW w:w="498" w:type="dxa"/>
            <w:noWrap/>
            <w:textDirection w:val="btLr"/>
            <w:hideMark/>
          </w:tcPr>
          <w:p w14:paraId="5787EC5E" w14:textId="77777777" w:rsidR="00C4729C" w:rsidRPr="00E83B7E" w:rsidRDefault="00C4729C" w:rsidP="0007292C">
            <w:pPr>
              <w:jc w:val="center"/>
              <w:rPr>
                <w:lang w:val="es-ES_tradnl"/>
              </w:rPr>
            </w:pPr>
            <w:r w:rsidRPr="00E83B7E">
              <w:rPr>
                <w:lang w:val="es-ES_tradnl"/>
              </w:rPr>
              <w:t>Financiero</w:t>
            </w:r>
          </w:p>
        </w:tc>
        <w:tc>
          <w:tcPr>
            <w:tcW w:w="498" w:type="dxa"/>
            <w:noWrap/>
            <w:textDirection w:val="btLr"/>
            <w:hideMark/>
          </w:tcPr>
          <w:p w14:paraId="1483C850" w14:textId="77777777" w:rsidR="00C4729C" w:rsidRPr="00E83B7E" w:rsidRDefault="00C4729C" w:rsidP="0007292C">
            <w:pPr>
              <w:jc w:val="center"/>
              <w:rPr>
                <w:lang w:val="es-ES_tradnl"/>
              </w:rPr>
            </w:pPr>
            <w:r w:rsidRPr="00E83B7E">
              <w:rPr>
                <w:lang w:val="es-ES_tradnl"/>
              </w:rPr>
              <w:t>de Liquidez</w:t>
            </w:r>
          </w:p>
        </w:tc>
        <w:tc>
          <w:tcPr>
            <w:tcW w:w="1647" w:type="dxa"/>
            <w:hideMark/>
          </w:tcPr>
          <w:p w14:paraId="1EA869B3" w14:textId="77777777" w:rsidR="00C4729C" w:rsidRPr="00E83B7E" w:rsidRDefault="00C4729C" w:rsidP="000B0A4A">
            <w:pPr>
              <w:jc w:val="both"/>
              <w:rPr>
                <w:lang w:val="es-ES_tradnl"/>
              </w:rPr>
            </w:pPr>
            <w:r w:rsidRPr="00E83B7E">
              <w:rPr>
                <w:lang w:val="es-ES_tradnl"/>
              </w:rPr>
              <w:t>Retraso o interrupción del ciclo de pagos</w:t>
            </w:r>
          </w:p>
        </w:tc>
        <w:tc>
          <w:tcPr>
            <w:tcW w:w="6707" w:type="dxa"/>
            <w:hideMark/>
          </w:tcPr>
          <w:p w14:paraId="3DEBBA31" w14:textId="77777777" w:rsidR="00C4729C" w:rsidRPr="00E83B7E" w:rsidRDefault="00C4729C" w:rsidP="000B0A4A">
            <w:pPr>
              <w:jc w:val="both"/>
              <w:rPr>
                <w:lang w:val="es-ES_tradnl"/>
              </w:rPr>
            </w:pPr>
            <w:r w:rsidRPr="00E83B7E">
              <w:rPr>
                <w:lang w:val="es-ES_tradnl"/>
              </w:rPr>
              <w:t>Grado de retracción o demora en los pagos por ventas de bienes y servicios realizados. con relación a las condiciones usuales</w:t>
            </w:r>
          </w:p>
        </w:tc>
      </w:tr>
      <w:tr w:rsidR="00C4729C" w:rsidRPr="000B0A4A" w14:paraId="5517B61E" w14:textId="77777777" w:rsidTr="000B0A4A">
        <w:trPr>
          <w:trHeight w:val="1200"/>
        </w:trPr>
        <w:tc>
          <w:tcPr>
            <w:tcW w:w="498" w:type="dxa"/>
            <w:noWrap/>
            <w:textDirection w:val="btLr"/>
            <w:hideMark/>
          </w:tcPr>
          <w:p w14:paraId="59A484BA" w14:textId="77777777" w:rsidR="00C4729C" w:rsidRPr="00E83B7E" w:rsidRDefault="00C4729C" w:rsidP="0007292C">
            <w:pPr>
              <w:jc w:val="center"/>
              <w:rPr>
                <w:lang w:val="es-ES_tradnl"/>
              </w:rPr>
            </w:pPr>
            <w:r w:rsidRPr="00E83B7E">
              <w:rPr>
                <w:lang w:val="es-ES_tradnl"/>
              </w:rPr>
              <w:t>Financiero</w:t>
            </w:r>
          </w:p>
        </w:tc>
        <w:tc>
          <w:tcPr>
            <w:tcW w:w="498" w:type="dxa"/>
            <w:noWrap/>
            <w:textDirection w:val="btLr"/>
            <w:hideMark/>
          </w:tcPr>
          <w:p w14:paraId="1784C4DD" w14:textId="77777777" w:rsidR="00C4729C" w:rsidRPr="00E83B7E" w:rsidRDefault="00C4729C" w:rsidP="0007292C">
            <w:pPr>
              <w:jc w:val="center"/>
              <w:rPr>
                <w:lang w:val="es-ES_tradnl"/>
              </w:rPr>
            </w:pPr>
            <w:r w:rsidRPr="00E83B7E">
              <w:rPr>
                <w:lang w:val="es-ES_tradnl"/>
              </w:rPr>
              <w:t>de Liquidez</w:t>
            </w:r>
          </w:p>
        </w:tc>
        <w:tc>
          <w:tcPr>
            <w:tcW w:w="1647" w:type="dxa"/>
            <w:hideMark/>
          </w:tcPr>
          <w:p w14:paraId="5B811E56" w14:textId="77777777" w:rsidR="00C4729C" w:rsidRPr="00E83B7E" w:rsidRDefault="00C4729C" w:rsidP="000B0A4A">
            <w:pPr>
              <w:jc w:val="both"/>
              <w:rPr>
                <w:lang w:val="es-ES_tradnl"/>
              </w:rPr>
            </w:pPr>
            <w:r w:rsidRPr="00E83B7E">
              <w:rPr>
                <w:lang w:val="es-ES_tradnl"/>
              </w:rPr>
              <w:t>Reducción o interrupción de financiamientos de corto plazo</w:t>
            </w:r>
          </w:p>
        </w:tc>
        <w:tc>
          <w:tcPr>
            <w:tcW w:w="6707" w:type="dxa"/>
            <w:hideMark/>
          </w:tcPr>
          <w:p w14:paraId="0375B119" w14:textId="77777777" w:rsidR="00C4729C" w:rsidRPr="00E83B7E" w:rsidRDefault="00C4729C" w:rsidP="000B0A4A">
            <w:pPr>
              <w:jc w:val="both"/>
              <w:rPr>
                <w:lang w:val="es-ES_tradnl"/>
              </w:rPr>
            </w:pPr>
            <w:r w:rsidRPr="00E83B7E">
              <w:rPr>
                <w:lang w:val="es-ES_tradnl"/>
              </w:rPr>
              <w:t xml:space="preserve">Reducción o interrupción de financiamientos de corto plazo (crédito de proveedores, </w:t>
            </w:r>
            <w:proofErr w:type="spellStart"/>
            <w:r w:rsidRPr="00E83B7E">
              <w:rPr>
                <w:lang w:val="es-ES_tradnl"/>
              </w:rPr>
              <w:t>factoreo</w:t>
            </w:r>
            <w:proofErr w:type="spellEnd"/>
            <w:r w:rsidRPr="00E83B7E">
              <w:rPr>
                <w:lang w:val="es-ES_tradnl"/>
              </w:rPr>
              <w:t>, capital de trabajo, otros financiamientos de corto plazo (ej. tarjetas de crédito)</w:t>
            </w:r>
          </w:p>
        </w:tc>
      </w:tr>
      <w:tr w:rsidR="00C4729C" w:rsidRPr="000B0A4A" w14:paraId="74E2622D" w14:textId="77777777" w:rsidTr="000B0A4A">
        <w:trPr>
          <w:trHeight w:val="1500"/>
        </w:trPr>
        <w:tc>
          <w:tcPr>
            <w:tcW w:w="498" w:type="dxa"/>
            <w:noWrap/>
            <w:textDirection w:val="btLr"/>
            <w:hideMark/>
          </w:tcPr>
          <w:p w14:paraId="09B272EB" w14:textId="77777777" w:rsidR="00C4729C" w:rsidRPr="00E83B7E" w:rsidRDefault="00C4729C" w:rsidP="0007292C">
            <w:pPr>
              <w:jc w:val="center"/>
              <w:rPr>
                <w:lang w:val="es-ES_tradnl"/>
              </w:rPr>
            </w:pPr>
            <w:r w:rsidRPr="00E83B7E">
              <w:rPr>
                <w:lang w:val="es-ES_tradnl"/>
              </w:rPr>
              <w:lastRenderedPageBreak/>
              <w:t>Financiero</w:t>
            </w:r>
          </w:p>
        </w:tc>
        <w:tc>
          <w:tcPr>
            <w:tcW w:w="498" w:type="dxa"/>
            <w:noWrap/>
            <w:textDirection w:val="btLr"/>
            <w:hideMark/>
          </w:tcPr>
          <w:p w14:paraId="1DEF68EE" w14:textId="77777777" w:rsidR="00C4729C" w:rsidRPr="00E83B7E" w:rsidRDefault="00C4729C" w:rsidP="0007292C">
            <w:pPr>
              <w:jc w:val="center"/>
              <w:rPr>
                <w:lang w:val="es-ES_tradnl"/>
              </w:rPr>
            </w:pPr>
            <w:r w:rsidRPr="00E83B7E">
              <w:rPr>
                <w:lang w:val="es-ES_tradnl"/>
              </w:rPr>
              <w:t>Crédito</w:t>
            </w:r>
          </w:p>
        </w:tc>
        <w:tc>
          <w:tcPr>
            <w:tcW w:w="1647" w:type="dxa"/>
            <w:hideMark/>
          </w:tcPr>
          <w:p w14:paraId="049937D9" w14:textId="1A7B8F5F" w:rsidR="00C4729C" w:rsidRPr="00E83B7E" w:rsidRDefault="00C4729C" w:rsidP="000B0A4A">
            <w:pPr>
              <w:jc w:val="both"/>
              <w:rPr>
                <w:lang w:val="es-ES_tradnl"/>
              </w:rPr>
            </w:pPr>
            <w:r w:rsidRPr="00E83B7E">
              <w:rPr>
                <w:lang w:val="es-ES_tradnl"/>
              </w:rPr>
              <w:t>Reducción o interrupción de financiamiento de mediano y largo plazo</w:t>
            </w:r>
          </w:p>
        </w:tc>
        <w:tc>
          <w:tcPr>
            <w:tcW w:w="6707" w:type="dxa"/>
            <w:hideMark/>
          </w:tcPr>
          <w:p w14:paraId="05003AF4" w14:textId="77777777" w:rsidR="00C4729C" w:rsidRPr="00E83B7E" w:rsidRDefault="00C4729C" w:rsidP="000B0A4A">
            <w:pPr>
              <w:jc w:val="both"/>
              <w:rPr>
                <w:lang w:val="es-ES_tradnl"/>
              </w:rPr>
            </w:pPr>
            <w:r w:rsidRPr="00E83B7E">
              <w:rPr>
                <w:lang w:val="es-ES_tradnl"/>
              </w:rPr>
              <w:t>Reducción o interrupción de financiamientos de mediano y largo plazo (incluye comercio exterior e inversión)</w:t>
            </w:r>
          </w:p>
        </w:tc>
      </w:tr>
      <w:tr w:rsidR="00C4729C" w:rsidRPr="000B0A4A" w14:paraId="7C241AEA" w14:textId="77777777" w:rsidTr="000B0A4A">
        <w:trPr>
          <w:trHeight w:val="2400"/>
        </w:trPr>
        <w:tc>
          <w:tcPr>
            <w:tcW w:w="498" w:type="dxa"/>
            <w:noWrap/>
            <w:textDirection w:val="btLr"/>
            <w:hideMark/>
          </w:tcPr>
          <w:p w14:paraId="2BDD59C0" w14:textId="77777777" w:rsidR="00C4729C" w:rsidRPr="00E83B7E" w:rsidRDefault="00C4729C" w:rsidP="0007292C">
            <w:pPr>
              <w:jc w:val="center"/>
              <w:rPr>
                <w:lang w:val="es-ES_tradnl"/>
              </w:rPr>
            </w:pPr>
            <w:r w:rsidRPr="00E83B7E">
              <w:rPr>
                <w:lang w:val="es-ES_tradnl"/>
              </w:rPr>
              <w:t>Financiero</w:t>
            </w:r>
          </w:p>
        </w:tc>
        <w:tc>
          <w:tcPr>
            <w:tcW w:w="498" w:type="dxa"/>
            <w:noWrap/>
            <w:textDirection w:val="btLr"/>
            <w:hideMark/>
          </w:tcPr>
          <w:p w14:paraId="65C8E8E6" w14:textId="77777777" w:rsidR="00C4729C" w:rsidRPr="00E83B7E" w:rsidRDefault="00C4729C" w:rsidP="0007292C">
            <w:pPr>
              <w:jc w:val="center"/>
              <w:rPr>
                <w:lang w:val="es-ES_tradnl"/>
              </w:rPr>
            </w:pPr>
            <w:r w:rsidRPr="00E83B7E">
              <w:rPr>
                <w:lang w:val="es-ES_tradnl"/>
              </w:rPr>
              <w:t>Operativo</w:t>
            </w:r>
          </w:p>
        </w:tc>
        <w:tc>
          <w:tcPr>
            <w:tcW w:w="1647" w:type="dxa"/>
            <w:hideMark/>
          </w:tcPr>
          <w:p w14:paraId="679BAAB3" w14:textId="77777777" w:rsidR="00C4729C" w:rsidRPr="00E83B7E" w:rsidRDefault="00C4729C" w:rsidP="000B0A4A">
            <w:pPr>
              <w:jc w:val="both"/>
              <w:rPr>
                <w:lang w:val="es-ES_tradnl"/>
              </w:rPr>
            </w:pPr>
            <w:r w:rsidRPr="00E83B7E">
              <w:rPr>
                <w:lang w:val="es-ES_tradnl"/>
              </w:rPr>
              <w:t>Aumento de los costos financieros y de intermediación (tasas de interés, comisiones, etc.)</w:t>
            </w:r>
          </w:p>
        </w:tc>
        <w:tc>
          <w:tcPr>
            <w:tcW w:w="6707" w:type="dxa"/>
            <w:hideMark/>
          </w:tcPr>
          <w:p w14:paraId="59F08B7D" w14:textId="77777777" w:rsidR="00C4729C" w:rsidRPr="00E83B7E" w:rsidRDefault="00C4729C" w:rsidP="000B0A4A">
            <w:pPr>
              <w:jc w:val="both"/>
              <w:rPr>
                <w:lang w:val="es-ES_tradnl"/>
              </w:rPr>
            </w:pPr>
            <w:r w:rsidRPr="00E83B7E">
              <w:rPr>
                <w:lang w:val="es-ES_tradnl"/>
              </w:rPr>
              <w:t>Aumento de los costos financieros y de intermediación (tasas de interés, comisiones, etc.). Considerar costos de todas las fuentes (proveedores, bancarios, tarjetas de crédito, etc.)</w:t>
            </w:r>
            <w:r w:rsidRPr="00E83B7E">
              <w:rPr>
                <w:lang w:val="es-ES_tradnl"/>
              </w:rPr>
              <w:br/>
            </w:r>
            <w:r w:rsidRPr="00E83B7E">
              <w:rPr>
                <w:lang w:val="es-ES_tradnl"/>
              </w:rPr>
              <w:br/>
              <w:t>Considerar costos y tasas en términos reales (prestar atención a la inflación)</w:t>
            </w:r>
          </w:p>
        </w:tc>
      </w:tr>
      <w:tr w:rsidR="00C4729C" w:rsidRPr="00E83B7E" w14:paraId="7BFB4721" w14:textId="77777777" w:rsidTr="000B0A4A">
        <w:trPr>
          <w:trHeight w:val="1500"/>
        </w:trPr>
        <w:tc>
          <w:tcPr>
            <w:tcW w:w="498" w:type="dxa"/>
            <w:noWrap/>
            <w:textDirection w:val="btLr"/>
            <w:hideMark/>
          </w:tcPr>
          <w:p w14:paraId="1029816A" w14:textId="77777777" w:rsidR="00C4729C" w:rsidRPr="00E83B7E" w:rsidRDefault="00C4729C" w:rsidP="0007292C">
            <w:pPr>
              <w:jc w:val="center"/>
              <w:rPr>
                <w:lang w:val="es-ES_tradnl"/>
              </w:rPr>
            </w:pPr>
            <w:r w:rsidRPr="00E83B7E">
              <w:rPr>
                <w:lang w:val="es-ES_tradnl"/>
              </w:rPr>
              <w:t>Patrimonial</w:t>
            </w:r>
          </w:p>
        </w:tc>
        <w:tc>
          <w:tcPr>
            <w:tcW w:w="498" w:type="dxa"/>
            <w:noWrap/>
            <w:textDirection w:val="btLr"/>
            <w:hideMark/>
          </w:tcPr>
          <w:p w14:paraId="23568378" w14:textId="77777777" w:rsidR="00C4729C" w:rsidRPr="00E83B7E" w:rsidRDefault="00C4729C" w:rsidP="0007292C">
            <w:pPr>
              <w:jc w:val="center"/>
              <w:rPr>
                <w:lang w:val="es-ES_tradnl"/>
              </w:rPr>
            </w:pPr>
            <w:r w:rsidRPr="00E83B7E">
              <w:rPr>
                <w:lang w:val="es-ES_tradnl"/>
              </w:rPr>
              <w:t>Patrimonial</w:t>
            </w:r>
          </w:p>
        </w:tc>
        <w:tc>
          <w:tcPr>
            <w:tcW w:w="1647" w:type="dxa"/>
            <w:hideMark/>
          </w:tcPr>
          <w:p w14:paraId="48FE62C4" w14:textId="77777777" w:rsidR="00C4729C" w:rsidRPr="00E83B7E" w:rsidRDefault="00C4729C" w:rsidP="000B0A4A">
            <w:pPr>
              <w:jc w:val="both"/>
              <w:rPr>
                <w:lang w:val="es-ES_tradnl"/>
              </w:rPr>
            </w:pPr>
            <w:r w:rsidRPr="00E83B7E">
              <w:rPr>
                <w:lang w:val="es-ES_tradnl"/>
              </w:rPr>
              <w:t>Reducción del valor de los activos reales por retracción de la demanda</w:t>
            </w:r>
          </w:p>
        </w:tc>
        <w:tc>
          <w:tcPr>
            <w:tcW w:w="6707" w:type="dxa"/>
            <w:hideMark/>
          </w:tcPr>
          <w:p w14:paraId="621FE0AD" w14:textId="77777777" w:rsidR="00C4729C" w:rsidRPr="00E83B7E" w:rsidRDefault="00C4729C" w:rsidP="000B0A4A">
            <w:pPr>
              <w:jc w:val="both"/>
              <w:rPr>
                <w:lang w:val="es-ES_tradnl"/>
              </w:rPr>
            </w:pPr>
            <w:r w:rsidRPr="00E83B7E">
              <w:rPr>
                <w:lang w:val="es-ES_tradnl"/>
              </w:rPr>
              <w:t>Reducción del valor de los activos reales por retracción de la demanda (valor edificios, terrenos, inventarios, etc.) y depreciación (ej. vencimientos de mercadería).</w:t>
            </w:r>
            <w:r w:rsidRPr="00E83B7E">
              <w:rPr>
                <w:lang w:val="es-ES_tradnl"/>
              </w:rPr>
              <w:br/>
            </w:r>
            <w:r w:rsidRPr="00E83B7E">
              <w:rPr>
                <w:lang w:val="es-ES_tradnl"/>
              </w:rPr>
              <w:br/>
              <w:t>Considerar en términos reales.</w:t>
            </w:r>
          </w:p>
        </w:tc>
      </w:tr>
      <w:tr w:rsidR="00C4729C" w:rsidRPr="000B0A4A" w14:paraId="7774CA64" w14:textId="77777777" w:rsidTr="000B0A4A">
        <w:trPr>
          <w:trHeight w:val="1500"/>
        </w:trPr>
        <w:tc>
          <w:tcPr>
            <w:tcW w:w="498" w:type="dxa"/>
            <w:noWrap/>
            <w:textDirection w:val="btLr"/>
            <w:hideMark/>
          </w:tcPr>
          <w:p w14:paraId="71E4A79C" w14:textId="77777777" w:rsidR="00C4729C" w:rsidRPr="00E83B7E" w:rsidRDefault="00C4729C" w:rsidP="0007292C">
            <w:pPr>
              <w:jc w:val="center"/>
              <w:rPr>
                <w:lang w:val="es-ES_tradnl"/>
              </w:rPr>
            </w:pPr>
            <w:r w:rsidRPr="00E83B7E">
              <w:rPr>
                <w:lang w:val="es-ES_tradnl"/>
              </w:rPr>
              <w:t>Patrimonial</w:t>
            </w:r>
          </w:p>
        </w:tc>
        <w:tc>
          <w:tcPr>
            <w:tcW w:w="498" w:type="dxa"/>
            <w:noWrap/>
            <w:textDirection w:val="btLr"/>
            <w:hideMark/>
          </w:tcPr>
          <w:p w14:paraId="6BFEF7CB" w14:textId="77777777" w:rsidR="00C4729C" w:rsidRPr="00E83B7E" w:rsidRDefault="00C4729C" w:rsidP="0007292C">
            <w:pPr>
              <w:jc w:val="center"/>
              <w:rPr>
                <w:lang w:val="es-ES_tradnl"/>
              </w:rPr>
            </w:pPr>
            <w:r w:rsidRPr="00E83B7E">
              <w:rPr>
                <w:lang w:val="es-ES_tradnl"/>
              </w:rPr>
              <w:t>Operativo</w:t>
            </w:r>
          </w:p>
        </w:tc>
        <w:tc>
          <w:tcPr>
            <w:tcW w:w="1647" w:type="dxa"/>
            <w:hideMark/>
          </w:tcPr>
          <w:p w14:paraId="2F7504C8" w14:textId="77777777" w:rsidR="00C4729C" w:rsidRPr="00E83B7E" w:rsidRDefault="00C4729C" w:rsidP="000B0A4A">
            <w:pPr>
              <w:jc w:val="both"/>
              <w:rPr>
                <w:lang w:val="es-ES_tradnl"/>
              </w:rPr>
            </w:pPr>
            <w:r w:rsidRPr="00E83B7E">
              <w:rPr>
                <w:lang w:val="es-ES_tradnl"/>
              </w:rPr>
              <w:t>Acumulación de pasivos (alquileres, sueldos, etc.)</w:t>
            </w:r>
          </w:p>
        </w:tc>
        <w:tc>
          <w:tcPr>
            <w:tcW w:w="6707" w:type="dxa"/>
            <w:hideMark/>
          </w:tcPr>
          <w:p w14:paraId="374544FF" w14:textId="77777777" w:rsidR="00C4729C" w:rsidRPr="00E83B7E" w:rsidRDefault="00C4729C" w:rsidP="000B0A4A">
            <w:pPr>
              <w:jc w:val="both"/>
              <w:rPr>
                <w:lang w:val="es-ES_tradnl"/>
              </w:rPr>
            </w:pPr>
            <w:r w:rsidRPr="00E83B7E">
              <w:rPr>
                <w:lang w:val="es-ES_tradnl"/>
              </w:rPr>
              <w:t>Considerar principalmente el aumento de pasivos asociados a la falta de ingresos por ventas que normalmente se utilizarían, por ejemplo, pago de salarios, alquileres, obligaciones impositivas, pago de servicios (energía, comunicaciones), etc. Considerar los endeudamientos incurridos para mantener dichos pagos (ejemplo, préstamos para pago de sueldos y jornales).</w:t>
            </w:r>
          </w:p>
        </w:tc>
      </w:tr>
      <w:tr w:rsidR="00C4729C" w:rsidRPr="000B0A4A" w14:paraId="148667C4" w14:textId="77777777" w:rsidTr="000B0A4A">
        <w:trPr>
          <w:trHeight w:val="2100"/>
        </w:trPr>
        <w:tc>
          <w:tcPr>
            <w:tcW w:w="498" w:type="dxa"/>
            <w:noWrap/>
            <w:textDirection w:val="btLr"/>
            <w:hideMark/>
          </w:tcPr>
          <w:p w14:paraId="568563C6" w14:textId="77777777" w:rsidR="00C4729C" w:rsidRPr="00E83B7E" w:rsidRDefault="00C4729C" w:rsidP="0007292C">
            <w:pPr>
              <w:jc w:val="center"/>
              <w:rPr>
                <w:lang w:val="es-ES_tradnl"/>
              </w:rPr>
            </w:pPr>
            <w:r w:rsidRPr="00E83B7E">
              <w:rPr>
                <w:lang w:val="es-ES_tradnl"/>
              </w:rPr>
              <w:t>Institucionales</w:t>
            </w:r>
          </w:p>
        </w:tc>
        <w:tc>
          <w:tcPr>
            <w:tcW w:w="498" w:type="dxa"/>
            <w:noWrap/>
            <w:textDirection w:val="btLr"/>
            <w:hideMark/>
          </w:tcPr>
          <w:p w14:paraId="56519019" w14:textId="77777777" w:rsidR="00C4729C" w:rsidRPr="00E83B7E" w:rsidRDefault="00C4729C" w:rsidP="0007292C">
            <w:pPr>
              <w:jc w:val="center"/>
              <w:rPr>
                <w:lang w:val="es-ES_tradnl"/>
              </w:rPr>
            </w:pPr>
            <w:proofErr w:type="spellStart"/>
            <w:r w:rsidRPr="00E83B7E">
              <w:rPr>
                <w:lang w:val="es-ES_tradnl"/>
              </w:rPr>
              <w:t>Sist</w:t>
            </w:r>
            <w:proofErr w:type="spellEnd"/>
            <w:r w:rsidRPr="00E83B7E">
              <w:rPr>
                <w:lang w:val="es-ES_tradnl"/>
              </w:rPr>
              <w:t xml:space="preserve"> y reg.</w:t>
            </w:r>
          </w:p>
        </w:tc>
        <w:tc>
          <w:tcPr>
            <w:tcW w:w="1647" w:type="dxa"/>
            <w:hideMark/>
          </w:tcPr>
          <w:p w14:paraId="121201E0" w14:textId="654DB5F5" w:rsidR="00C4729C" w:rsidRPr="00E83B7E" w:rsidRDefault="00C4729C" w:rsidP="000B0A4A">
            <w:pPr>
              <w:jc w:val="both"/>
              <w:rPr>
                <w:lang w:val="es-ES_tradnl"/>
              </w:rPr>
            </w:pPr>
            <w:r w:rsidRPr="00E83B7E">
              <w:rPr>
                <w:lang w:val="es-ES_tradnl"/>
              </w:rPr>
              <w:t>Inestabilidad política y social</w:t>
            </w:r>
          </w:p>
        </w:tc>
        <w:tc>
          <w:tcPr>
            <w:tcW w:w="6707" w:type="dxa"/>
            <w:hideMark/>
          </w:tcPr>
          <w:p w14:paraId="57DEAC57" w14:textId="77777777" w:rsidR="00C4729C" w:rsidRPr="00E83B7E" w:rsidRDefault="00C4729C" w:rsidP="000B0A4A">
            <w:pPr>
              <w:jc w:val="both"/>
              <w:rPr>
                <w:lang w:val="es-ES_tradnl"/>
              </w:rPr>
            </w:pPr>
            <w:r w:rsidRPr="00E83B7E">
              <w:rPr>
                <w:lang w:val="es-ES_tradnl"/>
              </w:rPr>
              <w:t xml:space="preserve">Impacto que la inestabilidad política y social puede tener en el giro de negocios. </w:t>
            </w:r>
            <w:r w:rsidRPr="00E83B7E">
              <w:rPr>
                <w:lang w:val="es-ES_tradnl"/>
              </w:rPr>
              <w:br/>
            </w:r>
            <w:r w:rsidRPr="00E83B7E">
              <w:rPr>
                <w:lang w:val="es-ES_tradnl"/>
              </w:rPr>
              <w:br/>
              <w:t>Considerar un escenario moderado de inestabilidad política y social (desordenes sociales localizados y contenidos; saqueos y aumento de la violencia y criminalidad localizado y contenido).</w:t>
            </w:r>
          </w:p>
        </w:tc>
      </w:tr>
      <w:tr w:rsidR="00C4729C" w:rsidRPr="000B0A4A" w14:paraId="451F8475" w14:textId="77777777" w:rsidTr="000B0A4A">
        <w:trPr>
          <w:cantSplit/>
          <w:trHeight w:val="1952"/>
        </w:trPr>
        <w:tc>
          <w:tcPr>
            <w:tcW w:w="498" w:type="dxa"/>
            <w:tcBorders>
              <w:bottom w:val="single" w:sz="4" w:space="0" w:color="auto"/>
            </w:tcBorders>
            <w:noWrap/>
            <w:textDirection w:val="btLr"/>
            <w:hideMark/>
          </w:tcPr>
          <w:p w14:paraId="03477BBC" w14:textId="77777777" w:rsidR="00C4729C" w:rsidRPr="00E83B7E" w:rsidRDefault="00C4729C" w:rsidP="00CE223E">
            <w:pPr>
              <w:ind w:left="113" w:right="113"/>
              <w:jc w:val="center"/>
              <w:rPr>
                <w:lang w:val="es-ES_tradnl"/>
              </w:rPr>
            </w:pPr>
            <w:r w:rsidRPr="00E83B7E">
              <w:rPr>
                <w:lang w:val="es-ES_tradnl"/>
              </w:rPr>
              <w:t>Institucionales</w:t>
            </w:r>
          </w:p>
        </w:tc>
        <w:tc>
          <w:tcPr>
            <w:tcW w:w="498" w:type="dxa"/>
            <w:tcBorders>
              <w:bottom w:val="single" w:sz="4" w:space="0" w:color="auto"/>
            </w:tcBorders>
            <w:noWrap/>
            <w:textDirection w:val="btLr"/>
            <w:hideMark/>
          </w:tcPr>
          <w:p w14:paraId="6862913E" w14:textId="77777777" w:rsidR="00C4729C" w:rsidRPr="00E83B7E" w:rsidRDefault="00C4729C" w:rsidP="00CE223E">
            <w:pPr>
              <w:ind w:left="113" w:right="113"/>
              <w:jc w:val="center"/>
              <w:rPr>
                <w:lang w:val="es-ES_tradnl"/>
              </w:rPr>
            </w:pPr>
            <w:proofErr w:type="spellStart"/>
            <w:r w:rsidRPr="00E83B7E">
              <w:rPr>
                <w:lang w:val="es-ES_tradnl"/>
              </w:rPr>
              <w:t>Sist</w:t>
            </w:r>
            <w:proofErr w:type="spellEnd"/>
            <w:r w:rsidRPr="00E83B7E">
              <w:rPr>
                <w:lang w:val="es-ES_tradnl"/>
              </w:rPr>
              <w:t xml:space="preserve"> y reg.</w:t>
            </w:r>
          </w:p>
        </w:tc>
        <w:tc>
          <w:tcPr>
            <w:tcW w:w="1647" w:type="dxa"/>
            <w:tcBorders>
              <w:bottom w:val="single" w:sz="4" w:space="0" w:color="auto"/>
            </w:tcBorders>
            <w:hideMark/>
          </w:tcPr>
          <w:p w14:paraId="286AEF56" w14:textId="77777777" w:rsidR="00C4729C" w:rsidRPr="00E83B7E" w:rsidRDefault="00C4729C" w:rsidP="000B0A4A">
            <w:pPr>
              <w:jc w:val="both"/>
              <w:rPr>
                <w:lang w:val="es-ES_tradnl"/>
              </w:rPr>
            </w:pPr>
            <w:r w:rsidRPr="00E83B7E">
              <w:rPr>
                <w:lang w:val="es-ES_tradnl"/>
              </w:rPr>
              <w:t>Incertidumbre institucional y legal</w:t>
            </w:r>
          </w:p>
        </w:tc>
        <w:tc>
          <w:tcPr>
            <w:tcW w:w="6707" w:type="dxa"/>
            <w:tcBorders>
              <w:bottom w:val="single" w:sz="4" w:space="0" w:color="auto"/>
            </w:tcBorders>
            <w:hideMark/>
          </w:tcPr>
          <w:p w14:paraId="296C91BB" w14:textId="6D718C0C" w:rsidR="00C4729C" w:rsidRPr="00E83B7E" w:rsidRDefault="00C4729C" w:rsidP="000B0A4A">
            <w:pPr>
              <w:jc w:val="both"/>
              <w:rPr>
                <w:lang w:val="es-ES_tradnl"/>
              </w:rPr>
            </w:pPr>
            <w:r w:rsidRPr="00E83B7E">
              <w:rPr>
                <w:lang w:val="es-ES_tradnl"/>
              </w:rPr>
              <w:t xml:space="preserve">Impacto que la inestabilidad institucional y legal puede tener en el giro de negocios. </w:t>
            </w:r>
            <w:r w:rsidRPr="00E83B7E">
              <w:rPr>
                <w:lang w:val="es-ES_tradnl"/>
              </w:rPr>
              <w:br/>
            </w:r>
            <w:r w:rsidRPr="00E83B7E">
              <w:rPr>
                <w:lang w:val="es-ES_tradnl"/>
              </w:rPr>
              <w:br/>
              <w:t>Considerar un escenario moderado de inestabilidad institucional y legal de mantenimiento general del orden constitucional, estado de derecho y protección de la propiedad privada y derechos civiles, pero con avances sobre la propiedad privada y los contratos entre privados.</w:t>
            </w:r>
          </w:p>
        </w:tc>
      </w:tr>
      <w:tr w:rsidR="00C4729C" w:rsidRPr="00E83B7E" w14:paraId="42B382D8" w14:textId="77777777" w:rsidTr="000B0A4A">
        <w:trPr>
          <w:trHeight w:val="197"/>
        </w:trPr>
        <w:tc>
          <w:tcPr>
            <w:tcW w:w="9350" w:type="dxa"/>
            <w:gridSpan w:val="4"/>
            <w:tcBorders>
              <w:top w:val="single" w:sz="4" w:space="0" w:color="auto"/>
              <w:left w:val="nil"/>
              <w:bottom w:val="nil"/>
              <w:right w:val="nil"/>
            </w:tcBorders>
            <w:noWrap/>
          </w:tcPr>
          <w:p w14:paraId="3213F53A" w14:textId="657A0839" w:rsidR="00C4729C" w:rsidRPr="00E83B7E" w:rsidRDefault="00C4729C" w:rsidP="00C4729C">
            <w:pPr>
              <w:rPr>
                <w:sz w:val="18"/>
                <w:szCs w:val="18"/>
                <w:lang w:val="es-ES_tradnl"/>
              </w:rPr>
            </w:pPr>
            <w:r w:rsidRPr="00E83B7E">
              <w:rPr>
                <w:sz w:val="18"/>
                <w:szCs w:val="18"/>
                <w:lang w:val="es-ES_tradnl"/>
              </w:rPr>
              <w:t>Fuente: IFD/CMF.</w:t>
            </w:r>
          </w:p>
        </w:tc>
      </w:tr>
    </w:tbl>
    <w:p w14:paraId="19CCDAB1" w14:textId="77777777" w:rsidR="00C42147" w:rsidRPr="00E83B7E" w:rsidRDefault="00C42147" w:rsidP="00EC45B4">
      <w:pPr>
        <w:jc w:val="both"/>
        <w:rPr>
          <w:b/>
          <w:bCs/>
          <w:sz w:val="24"/>
          <w:szCs w:val="24"/>
          <w:lang w:val="es-ES_tradnl"/>
        </w:rPr>
      </w:pPr>
    </w:p>
    <w:sectPr w:rsidR="00C42147" w:rsidRPr="00E83B7E" w:rsidSect="00F35671">
      <w:head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2A174" w14:textId="77777777" w:rsidR="00A4542D" w:rsidRDefault="00A4542D" w:rsidP="00BF3440">
      <w:pPr>
        <w:spacing w:after="0" w:line="240" w:lineRule="auto"/>
      </w:pPr>
      <w:r>
        <w:separator/>
      </w:r>
    </w:p>
  </w:endnote>
  <w:endnote w:type="continuationSeparator" w:id="0">
    <w:p w14:paraId="27072171" w14:textId="77777777" w:rsidR="00A4542D" w:rsidRDefault="00A4542D" w:rsidP="00BF3440">
      <w:pPr>
        <w:spacing w:after="0" w:line="240" w:lineRule="auto"/>
      </w:pPr>
      <w:r>
        <w:continuationSeparator/>
      </w:r>
    </w:p>
  </w:endnote>
  <w:endnote w:type="continuationNotice" w:id="1">
    <w:p w14:paraId="65A404A6" w14:textId="77777777" w:rsidR="00A4542D" w:rsidRDefault="00A454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C9F0B" w14:textId="77777777" w:rsidR="00A4542D" w:rsidRDefault="00A4542D" w:rsidP="00BF3440">
      <w:pPr>
        <w:spacing w:after="0" w:line="240" w:lineRule="auto"/>
      </w:pPr>
      <w:r>
        <w:separator/>
      </w:r>
    </w:p>
  </w:footnote>
  <w:footnote w:type="continuationSeparator" w:id="0">
    <w:p w14:paraId="0D882B72" w14:textId="77777777" w:rsidR="00A4542D" w:rsidRDefault="00A4542D" w:rsidP="00BF3440">
      <w:pPr>
        <w:spacing w:after="0" w:line="240" w:lineRule="auto"/>
      </w:pPr>
      <w:r>
        <w:continuationSeparator/>
      </w:r>
    </w:p>
  </w:footnote>
  <w:footnote w:type="continuationNotice" w:id="1">
    <w:p w14:paraId="1E257E52" w14:textId="77777777" w:rsidR="00A4542D" w:rsidRDefault="00A4542D">
      <w:pPr>
        <w:spacing w:after="0" w:line="240" w:lineRule="auto"/>
      </w:pPr>
    </w:p>
  </w:footnote>
  <w:footnote w:id="2">
    <w:p w14:paraId="0D39F7A8" w14:textId="2661E0B3" w:rsidR="00274742" w:rsidRPr="00D86D9B" w:rsidRDefault="00274742" w:rsidP="00D86D9B">
      <w:pPr>
        <w:pStyle w:val="FootnoteText"/>
        <w:jc w:val="both"/>
        <w:rPr>
          <w:lang w:val="es-ES"/>
        </w:rPr>
      </w:pPr>
      <w:r>
        <w:rPr>
          <w:rStyle w:val="FootnoteReference"/>
        </w:rPr>
        <w:footnoteRef/>
      </w:r>
      <w:r w:rsidRPr="00D86D9B">
        <w:rPr>
          <w:lang w:val="es-ES"/>
        </w:rPr>
        <w:t xml:space="preserve"> </w:t>
      </w:r>
      <w:r>
        <w:rPr>
          <w:lang w:val="es-ES"/>
        </w:rPr>
        <w:t xml:space="preserve">Inicialmente, tras el brote del COVID-19 en China, las industrias más castigadas fueron aquellas integradas en cadenas de valor globales, por </w:t>
      </w:r>
      <w:r w:rsidR="00621AE6">
        <w:rPr>
          <w:lang w:val="es-ES"/>
        </w:rPr>
        <w:t xml:space="preserve">la disrupción en la cadena de suministro: </w:t>
      </w:r>
      <w:r>
        <w:rPr>
          <w:lang w:val="es-ES"/>
        </w:rPr>
        <w:t>su dependencia de insumos de importación o por producir insumos para estas cadenas. A medida que se declara la pandemia, se vieron afectadas todas aquellas actividades con una alta demanda externa de exportación</w:t>
      </w:r>
      <w:r w:rsidR="003C4188">
        <w:rPr>
          <w:lang w:val="es-ES"/>
        </w:rPr>
        <w:t>, inicialmente la</w:t>
      </w:r>
      <w:r w:rsidR="00621AE6">
        <w:rPr>
          <w:lang w:val="es-ES"/>
        </w:rPr>
        <w:t xml:space="preserve"> europea </w:t>
      </w:r>
      <w:r w:rsidR="003C4188">
        <w:rPr>
          <w:lang w:val="es-ES"/>
        </w:rPr>
        <w:t xml:space="preserve">y de </w:t>
      </w:r>
      <w:proofErr w:type="gramStart"/>
      <w:r w:rsidR="003C4188">
        <w:rPr>
          <w:lang w:val="es-ES"/>
        </w:rPr>
        <w:t>EE.UU.</w:t>
      </w:r>
      <w:proofErr w:type="gramEnd"/>
      <w:r w:rsidR="003C4188">
        <w:rPr>
          <w:lang w:val="es-ES"/>
        </w:rPr>
        <w:t xml:space="preserve"> </w:t>
      </w:r>
      <w:r w:rsidR="00621AE6">
        <w:rPr>
          <w:lang w:val="es-ES"/>
        </w:rPr>
        <w:t>como el automotriz, agroindustria y textil y maquila</w:t>
      </w:r>
      <w:r>
        <w:rPr>
          <w:lang w:val="es-ES"/>
        </w:rPr>
        <w:t>, incluida la demanda de servicios en general</w:t>
      </w:r>
      <w:r w:rsidR="00621AE6">
        <w:rPr>
          <w:lang w:val="es-ES"/>
        </w:rPr>
        <w:t>, como el turismo</w:t>
      </w:r>
      <w:r>
        <w:rPr>
          <w:lang w:val="es-ES"/>
        </w:rPr>
        <w:t xml:space="preserve">. Finalmente, la puesta en marcha de medidas de confinamiento y de distanciamiento social </w:t>
      </w:r>
      <w:r w:rsidR="00621AE6">
        <w:rPr>
          <w:lang w:val="es-ES"/>
        </w:rPr>
        <w:t xml:space="preserve">ha afectado a los factores tanto de demanda como de oferta en el sector servicios, como por ejemplo son el transporte de pasajeros y el comercio minorista.  (Ver </w:t>
      </w:r>
      <w:hyperlink r:id="rId1" w:history="1">
        <w:r w:rsidR="003C4188" w:rsidRPr="003C4188">
          <w:rPr>
            <w:rStyle w:val="Hyperlink"/>
            <w:lang w:val="es-ES"/>
          </w:rPr>
          <w:t>IMF, 2020</w:t>
        </w:r>
      </w:hyperlink>
      <w:r w:rsidR="003C4188">
        <w:rPr>
          <w:lang w:val="es-ES"/>
        </w:rPr>
        <w:t xml:space="preserve">; </w:t>
      </w:r>
      <w:r w:rsidR="00621AE6">
        <w:rPr>
          <w:lang w:val="es-ES"/>
        </w:rPr>
        <w:t xml:space="preserve">Deloitte, </w:t>
      </w:r>
      <w:hyperlink r:id="rId2" w:history="1">
        <w:r w:rsidR="00621AE6" w:rsidRPr="003C4188">
          <w:rPr>
            <w:rStyle w:val="Hyperlink"/>
            <w:lang w:val="es-ES"/>
          </w:rPr>
          <w:t>2020</w:t>
        </w:r>
      </w:hyperlink>
      <w:r w:rsidR="00621AE6">
        <w:rPr>
          <w:lang w:val="es-ES"/>
        </w:rPr>
        <w:t xml:space="preserve">; </w:t>
      </w:r>
      <w:hyperlink r:id="rId3" w:history="1">
        <w:r w:rsidR="003C4188" w:rsidRPr="003C4188">
          <w:rPr>
            <w:rStyle w:val="Hyperlink"/>
            <w:lang w:val="es-ES"/>
          </w:rPr>
          <w:t>CEPAL, 2020</w:t>
        </w:r>
      </w:hyperlink>
      <w:r w:rsidR="003C4188">
        <w:rPr>
          <w:lang w:val="es-ES"/>
        </w:rPr>
        <w:t>).</w:t>
      </w:r>
    </w:p>
  </w:footnote>
  <w:footnote w:id="3">
    <w:p w14:paraId="57DED5FD" w14:textId="24BE4A6D" w:rsidR="00167591" w:rsidRPr="00F6489C" w:rsidRDefault="00167591" w:rsidP="00D86D9B">
      <w:pPr>
        <w:pStyle w:val="FootnoteText"/>
        <w:jc w:val="both"/>
        <w:rPr>
          <w:lang w:val="es-ES_tradnl"/>
        </w:rPr>
      </w:pPr>
      <w:r>
        <w:rPr>
          <w:rStyle w:val="FootnoteReference"/>
        </w:rPr>
        <w:footnoteRef/>
      </w:r>
      <w:r>
        <w:rPr>
          <w:lang w:val="es-ES_tradnl"/>
        </w:rPr>
        <w:t xml:space="preserve"> El sector automotriz abarca un universo amplio de MiP</w:t>
      </w:r>
      <w:r w:rsidR="000039BD">
        <w:rPr>
          <w:lang w:val="es-ES_tradnl"/>
        </w:rPr>
        <w:t>y</w:t>
      </w:r>
      <w:r>
        <w:rPr>
          <w:lang w:val="es-ES_tradnl"/>
        </w:rPr>
        <w:t xml:space="preserve">ME productoras de autopartes y del sector metalmecánico, que proveen de insumos a las terminales productoras de vehículos en el país. </w:t>
      </w:r>
    </w:p>
  </w:footnote>
  <w:footnote w:id="4">
    <w:p w14:paraId="1E4EB76B" w14:textId="01FCD163" w:rsidR="003C4188" w:rsidRPr="00D86D9B" w:rsidRDefault="003C4188" w:rsidP="00D86D9B">
      <w:pPr>
        <w:pStyle w:val="FootnoteText"/>
        <w:jc w:val="both"/>
        <w:rPr>
          <w:lang w:val="es-ES"/>
        </w:rPr>
      </w:pPr>
      <w:r>
        <w:rPr>
          <w:rStyle w:val="FootnoteReference"/>
        </w:rPr>
        <w:footnoteRef/>
      </w:r>
      <w:r w:rsidRPr="00D86D9B">
        <w:rPr>
          <w:lang w:val="es-ES"/>
        </w:rPr>
        <w:t xml:space="preserve"> </w:t>
      </w:r>
      <w:r>
        <w:rPr>
          <w:lang w:val="es-ES"/>
        </w:rPr>
        <w:t>El sector turismo se define en sentido amplio, siguiendo la definición a nivel de cuentas satélites de turismo, por la Organización mundial de turismo (OMT), que describe las actividades como aquellas que realizan las personas durante sus viajes y estancias con fines de ocio, negocios u otros motivos.  Actividades características incluyen: hoteles y similares, segundas viviendas, restaurantes y similares, transporte por ferrocarril, carretera, marítimo y aéreo, alquiler de bienes de equipo de transporte, agencias de viajes y similares, servicios culturales, servicios deportivos y esparcimiento.</w:t>
      </w:r>
    </w:p>
  </w:footnote>
  <w:footnote w:id="5">
    <w:p w14:paraId="0F9978E4" w14:textId="3E63B6D9" w:rsidR="0091753D" w:rsidRPr="00D86D9B" w:rsidRDefault="0091753D" w:rsidP="00D86D9B">
      <w:pPr>
        <w:pStyle w:val="FootnoteText"/>
        <w:jc w:val="both"/>
        <w:rPr>
          <w:lang w:val="es-ES"/>
        </w:rPr>
      </w:pPr>
      <w:r>
        <w:rPr>
          <w:rStyle w:val="FootnoteReference"/>
        </w:rPr>
        <w:footnoteRef/>
      </w:r>
      <w:r w:rsidRPr="00D86D9B">
        <w:rPr>
          <w:lang w:val="es-ES"/>
        </w:rPr>
        <w:t xml:space="preserve"> </w:t>
      </w:r>
      <w:r>
        <w:rPr>
          <w:lang w:val="es-ES"/>
        </w:rPr>
        <w:t xml:space="preserve">Los datos cualitativos de percepción del especialista o experto sectorial toman como base la información recabada </w:t>
      </w:r>
      <w:r w:rsidR="00D41A6C">
        <w:rPr>
          <w:lang w:val="es-ES"/>
        </w:rPr>
        <w:t xml:space="preserve">a través de sus redes </w:t>
      </w:r>
      <w:r>
        <w:rPr>
          <w:lang w:val="es-ES"/>
        </w:rPr>
        <w:t>de los medios públicos, cámaras de comercio, instituciones gubernamentales, y representantes del sector, entre otras. El especialista o experto tiene la función de agregador de dicha información, siendo una op</w:t>
      </w:r>
      <w:r w:rsidR="00D41A6C">
        <w:rPr>
          <w:lang w:val="es-ES"/>
        </w:rPr>
        <w:t xml:space="preserve">inión informada, una fotografía estática al momento actual. La fortaleza del análisis está basada en los criterios comunes de aplicación de selección de las categorías. </w:t>
      </w:r>
      <w:r>
        <w:rPr>
          <w:lang w:val="es-ES"/>
        </w:rPr>
        <w:t>Ver descripción de la metodología para mayor detalle.</w:t>
      </w:r>
    </w:p>
  </w:footnote>
  <w:footnote w:id="6">
    <w:p w14:paraId="0FB5163B" w14:textId="5C64EA52" w:rsidR="00F66F77" w:rsidRPr="0007292C" w:rsidRDefault="00F66F77">
      <w:pPr>
        <w:pStyle w:val="FootnoteText"/>
        <w:rPr>
          <w:lang w:val="es-AR"/>
        </w:rPr>
      </w:pPr>
      <w:r>
        <w:rPr>
          <w:rStyle w:val="FootnoteReference"/>
        </w:rPr>
        <w:footnoteRef/>
      </w:r>
      <w:r w:rsidRPr="0007292C">
        <w:rPr>
          <w:lang w:val="es-AR"/>
        </w:rPr>
        <w:t xml:space="preserve"> </w:t>
      </w:r>
      <w:r>
        <w:rPr>
          <w:lang w:val="es-AR"/>
        </w:rPr>
        <w:t>Una descripción detallada de estos factores se da en el Anexo I.</w:t>
      </w:r>
    </w:p>
  </w:footnote>
  <w:footnote w:id="7">
    <w:p w14:paraId="4E678BF6" w14:textId="640E3DDF" w:rsidR="00F66F77" w:rsidRPr="0007292C" w:rsidRDefault="00F66F77">
      <w:pPr>
        <w:pStyle w:val="FootnoteText"/>
        <w:rPr>
          <w:lang w:val="es-AR"/>
        </w:rPr>
      </w:pPr>
      <w:r>
        <w:rPr>
          <w:rStyle w:val="FootnoteReference"/>
        </w:rPr>
        <w:footnoteRef/>
      </w:r>
      <w:r w:rsidRPr="00E97C66">
        <w:rPr>
          <w:lang w:val="es-AR"/>
        </w:rPr>
        <w:t xml:space="preserve"> </w:t>
      </w:r>
      <w:r>
        <w:rPr>
          <w:lang w:val="es-AR"/>
        </w:rPr>
        <w:t>Para mayor detalle analítico ver Anexo I.</w:t>
      </w:r>
    </w:p>
  </w:footnote>
  <w:footnote w:id="8">
    <w:p w14:paraId="32143FE8" w14:textId="2E5B66C7" w:rsidR="00F66F77" w:rsidRPr="0007292C" w:rsidRDefault="00F66F77">
      <w:pPr>
        <w:pStyle w:val="FootnoteText"/>
        <w:rPr>
          <w:lang w:val="es-AR"/>
        </w:rPr>
      </w:pPr>
      <w:r>
        <w:rPr>
          <w:rStyle w:val="FootnoteReference"/>
        </w:rPr>
        <w:footnoteRef/>
      </w:r>
      <w:r w:rsidRPr="00E97C66">
        <w:rPr>
          <w:lang w:val="es-AR"/>
        </w:rPr>
        <w:t xml:space="preserve"> </w:t>
      </w:r>
      <w:r>
        <w:rPr>
          <w:lang w:val="es-AR"/>
        </w:rPr>
        <w:t>Para mayor detalle analítico ver Anexo I.</w:t>
      </w:r>
    </w:p>
  </w:footnote>
  <w:footnote w:id="9">
    <w:p w14:paraId="5D6E8333" w14:textId="31FBDF7A" w:rsidR="00F66F77" w:rsidRPr="004F08B2" w:rsidRDefault="00F66F77">
      <w:pPr>
        <w:pStyle w:val="FootnoteText"/>
        <w:rPr>
          <w:lang w:val="es-ES"/>
        </w:rPr>
      </w:pPr>
      <w:r>
        <w:rPr>
          <w:rStyle w:val="FootnoteReference"/>
        </w:rPr>
        <w:footnoteRef/>
      </w:r>
      <w:r w:rsidRPr="004F08B2">
        <w:rPr>
          <w:lang w:val="es-ES"/>
        </w:rPr>
        <w:t xml:space="preserve"> En un ranking de </w:t>
      </w:r>
      <w:r>
        <w:rPr>
          <w:lang w:val="es-ES"/>
        </w:rPr>
        <w:t xml:space="preserve">1 a 7, el WEF </w:t>
      </w:r>
      <w:r w:rsidRPr="00187630">
        <w:rPr>
          <w:lang w:val="es-ES"/>
        </w:rPr>
        <w:t xml:space="preserve">puntúa a los diferentes países su nivel de preparación tecnológica para el sector turístico bajo su índice de competitividad turística 2019. Promedio de LATAM es 4,4; </w:t>
      </w:r>
      <w:r>
        <w:rPr>
          <w:lang w:val="es-ES"/>
        </w:rPr>
        <w:t xml:space="preserve">y el de Argentina es de 4,9. </w:t>
      </w:r>
      <w:r w:rsidRPr="00187630">
        <w:rPr>
          <w:lang w:val="es-ES"/>
        </w:rPr>
        <w:t>http://www3.weforum.org/docs/WEF_TTCR_2019.pdf</w:t>
      </w:r>
      <w:r>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FEDAF" w14:textId="77777777" w:rsidR="00F35671" w:rsidRDefault="00F35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2F7A4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47"/>
    <w:rsid w:val="000039BD"/>
    <w:rsid w:val="00012AD7"/>
    <w:rsid w:val="000130CF"/>
    <w:rsid w:val="000153AA"/>
    <w:rsid w:val="0001715E"/>
    <w:rsid w:val="00023A86"/>
    <w:rsid w:val="000243B9"/>
    <w:rsid w:val="00024A68"/>
    <w:rsid w:val="00043713"/>
    <w:rsid w:val="00046679"/>
    <w:rsid w:val="00053819"/>
    <w:rsid w:val="00054F6D"/>
    <w:rsid w:val="000612A6"/>
    <w:rsid w:val="00063F34"/>
    <w:rsid w:val="0007292C"/>
    <w:rsid w:val="00077DD7"/>
    <w:rsid w:val="00084489"/>
    <w:rsid w:val="00094F02"/>
    <w:rsid w:val="000A2F6D"/>
    <w:rsid w:val="000A742C"/>
    <w:rsid w:val="000B0A4A"/>
    <w:rsid w:val="000B0EA0"/>
    <w:rsid w:val="000B1E8D"/>
    <w:rsid w:val="000B2210"/>
    <w:rsid w:val="000B35B1"/>
    <w:rsid w:val="000C1350"/>
    <w:rsid w:val="000E23D0"/>
    <w:rsid w:val="000E6E1E"/>
    <w:rsid w:val="000F0075"/>
    <w:rsid w:val="000F3D91"/>
    <w:rsid w:val="000F59E6"/>
    <w:rsid w:val="00101F9B"/>
    <w:rsid w:val="00121F3B"/>
    <w:rsid w:val="0013196F"/>
    <w:rsid w:val="001321AA"/>
    <w:rsid w:val="00132CB7"/>
    <w:rsid w:val="00143DE2"/>
    <w:rsid w:val="001470EC"/>
    <w:rsid w:val="001570DD"/>
    <w:rsid w:val="00167591"/>
    <w:rsid w:val="0017060A"/>
    <w:rsid w:val="0018115D"/>
    <w:rsid w:val="00182894"/>
    <w:rsid w:val="00187630"/>
    <w:rsid w:val="0019222A"/>
    <w:rsid w:val="001953C0"/>
    <w:rsid w:val="001A12CF"/>
    <w:rsid w:val="001A2D24"/>
    <w:rsid w:val="001A58E1"/>
    <w:rsid w:val="001B58F2"/>
    <w:rsid w:val="001C01FF"/>
    <w:rsid w:val="001C16D9"/>
    <w:rsid w:val="001C1800"/>
    <w:rsid w:val="001C6940"/>
    <w:rsid w:val="001E5AD1"/>
    <w:rsid w:val="001E6937"/>
    <w:rsid w:val="00202828"/>
    <w:rsid w:val="0020295D"/>
    <w:rsid w:val="0020497F"/>
    <w:rsid w:val="002104C9"/>
    <w:rsid w:val="002145E1"/>
    <w:rsid w:val="002263BE"/>
    <w:rsid w:val="00231254"/>
    <w:rsid w:val="00236DA8"/>
    <w:rsid w:val="00263A04"/>
    <w:rsid w:val="00274742"/>
    <w:rsid w:val="00280514"/>
    <w:rsid w:val="002844AD"/>
    <w:rsid w:val="00285CD3"/>
    <w:rsid w:val="002B00EE"/>
    <w:rsid w:val="002B14AC"/>
    <w:rsid w:val="002B3175"/>
    <w:rsid w:val="002C12B9"/>
    <w:rsid w:val="002C1F33"/>
    <w:rsid w:val="002D3335"/>
    <w:rsid w:val="002D5CF1"/>
    <w:rsid w:val="002E05B3"/>
    <w:rsid w:val="002E13A7"/>
    <w:rsid w:val="002E4B4A"/>
    <w:rsid w:val="002E54AC"/>
    <w:rsid w:val="002F60E9"/>
    <w:rsid w:val="00303A21"/>
    <w:rsid w:val="003124BB"/>
    <w:rsid w:val="00315E8E"/>
    <w:rsid w:val="003202C0"/>
    <w:rsid w:val="00332F8F"/>
    <w:rsid w:val="0033629B"/>
    <w:rsid w:val="003426B4"/>
    <w:rsid w:val="003625CE"/>
    <w:rsid w:val="00364A96"/>
    <w:rsid w:val="00366688"/>
    <w:rsid w:val="003708D1"/>
    <w:rsid w:val="003746D5"/>
    <w:rsid w:val="00376D7C"/>
    <w:rsid w:val="00380CB5"/>
    <w:rsid w:val="00381895"/>
    <w:rsid w:val="0038219B"/>
    <w:rsid w:val="00382E7B"/>
    <w:rsid w:val="003845F7"/>
    <w:rsid w:val="003871AA"/>
    <w:rsid w:val="0039233C"/>
    <w:rsid w:val="003941F4"/>
    <w:rsid w:val="003A4989"/>
    <w:rsid w:val="003A5830"/>
    <w:rsid w:val="003A6D81"/>
    <w:rsid w:val="003B358E"/>
    <w:rsid w:val="003B4323"/>
    <w:rsid w:val="003B6735"/>
    <w:rsid w:val="003C033C"/>
    <w:rsid w:val="003C4188"/>
    <w:rsid w:val="003C6DCD"/>
    <w:rsid w:val="003D143A"/>
    <w:rsid w:val="003D1C79"/>
    <w:rsid w:val="003D6AF6"/>
    <w:rsid w:val="003E1812"/>
    <w:rsid w:val="003E2301"/>
    <w:rsid w:val="003E7003"/>
    <w:rsid w:val="00404E61"/>
    <w:rsid w:val="0041747A"/>
    <w:rsid w:val="00420B9E"/>
    <w:rsid w:val="00421C29"/>
    <w:rsid w:val="00425068"/>
    <w:rsid w:val="0043226E"/>
    <w:rsid w:val="004328D5"/>
    <w:rsid w:val="004467EE"/>
    <w:rsid w:val="004656DB"/>
    <w:rsid w:val="00467FF2"/>
    <w:rsid w:val="004732C1"/>
    <w:rsid w:val="0048150E"/>
    <w:rsid w:val="0048338B"/>
    <w:rsid w:val="00491164"/>
    <w:rsid w:val="004A113A"/>
    <w:rsid w:val="004B1767"/>
    <w:rsid w:val="004B3258"/>
    <w:rsid w:val="004B789A"/>
    <w:rsid w:val="004C6262"/>
    <w:rsid w:val="004D25B3"/>
    <w:rsid w:val="004D645F"/>
    <w:rsid w:val="004F08B2"/>
    <w:rsid w:val="004F0E70"/>
    <w:rsid w:val="004F2E76"/>
    <w:rsid w:val="004F54FB"/>
    <w:rsid w:val="00501774"/>
    <w:rsid w:val="0050208F"/>
    <w:rsid w:val="00504BA6"/>
    <w:rsid w:val="0050643B"/>
    <w:rsid w:val="0051340D"/>
    <w:rsid w:val="00517203"/>
    <w:rsid w:val="00524B11"/>
    <w:rsid w:val="005342F5"/>
    <w:rsid w:val="00550023"/>
    <w:rsid w:val="00553C9F"/>
    <w:rsid w:val="00556998"/>
    <w:rsid w:val="00560F55"/>
    <w:rsid w:val="005617F8"/>
    <w:rsid w:val="005654C9"/>
    <w:rsid w:val="00566663"/>
    <w:rsid w:val="00567FA8"/>
    <w:rsid w:val="0057313D"/>
    <w:rsid w:val="0059582D"/>
    <w:rsid w:val="005A31A7"/>
    <w:rsid w:val="005A35B6"/>
    <w:rsid w:val="005A66F3"/>
    <w:rsid w:val="005C49E3"/>
    <w:rsid w:val="005C6CA8"/>
    <w:rsid w:val="005D1844"/>
    <w:rsid w:val="00611B36"/>
    <w:rsid w:val="00621AE6"/>
    <w:rsid w:val="006221D8"/>
    <w:rsid w:val="006239C6"/>
    <w:rsid w:val="006249A6"/>
    <w:rsid w:val="00636076"/>
    <w:rsid w:val="00650B03"/>
    <w:rsid w:val="00651B7E"/>
    <w:rsid w:val="00665C89"/>
    <w:rsid w:val="00667CD9"/>
    <w:rsid w:val="00674E11"/>
    <w:rsid w:val="006809DE"/>
    <w:rsid w:val="00680EB8"/>
    <w:rsid w:val="00681B57"/>
    <w:rsid w:val="00681D94"/>
    <w:rsid w:val="00697AEF"/>
    <w:rsid w:val="006B2D10"/>
    <w:rsid w:val="006B3056"/>
    <w:rsid w:val="006B4520"/>
    <w:rsid w:val="006B79AB"/>
    <w:rsid w:val="006C7388"/>
    <w:rsid w:val="006D0655"/>
    <w:rsid w:val="006D4EEB"/>
    <w:rsid w:val="006E06A4"/>
    <w:rsid w:val="006F1929"/>
    <w:rsid w:val="006F6A85"/>
    <w:rsid w:val="00702813"/>
    <w:rsid w:val="007069C6"/>
    <w:rsid w:val="00710EE5"/>
    <w:rsid w:val="007216B6"/>
    <w:rsid w:val="00725F1A"/>
    <w:rsid w:val="007356A3"/>
    <w:rsid w:val="00743A44"/>
    <w:rsid w:val="00746F48"/>
    <w:rsid w:val="00751AEA"/>
    <w:rsid w:val="00755EA6"/>
    <w:rsid w:val="0076789E"/>
    <w:rsid w:val="0077797C"/>
    <w:rsid w:val="00780E23"/>
    <w:rsid w:val="00781E24"/>
    <w:rsid w:val="0078223F"/>
    <w:rsid w:val="00783223"/>
    <w:rsid w:val="00794557"/>
    <w:rsid w:val="00796FED"/>
    <w:rsid w:val="007B6C0F"/>
    <w:rsid w:val="007C05F4"/>
    <w:rsid w:val="007D7E6F"/>
    <w:rsid w:val="007E4C60"/>
    <w:rsid w:val="007E7523"/>
    <w:rsid w:val="007E7BA1"/>
    <w:rsid w:val="007F33A0"/>
    <w:rsid w:val="007F55F8"/>
    <w:rsid w:val="007F5D75"/>
    <w:rsid w:val="00803756"/>
    <w:rsid w:val="0080449E"/>
    <w:rsid w:val="008067E2"/>
    <w:rsid w:val="0081327D"/>
    <w:rsid w:val="00815C71"/>
    <w:rsid w:val="00816025"/>
    <w:rsid w:val="00816670"/>
    <w:rsid w:val="00817E09"/>
    <w:rsid w:val="00825D67"/>
    <w:rsid w:val="0082722B"/>
    <w:rsid w:val="008432DC"/>
    <w:rsid w:val="00844123"/>
    <w:rsid w:val="00851347"/>
    <w:rsid w:val="00861224"/>
    <w:rsid w:val="008614E1"/>
    <w:rsid w:val="00872C9D"/>
    <w:rsid w:val="00877F6D"/>
    <w:rsid w:val="008973CA"/>
    <w:rsid w:val="008A7A2A"/>
    <w:rsid w:val="008B19F4"/>
    <w:rsid w:val="008B226C"/>
    <w:rsid w:val="008B26E9"/>
    <w:rsid w:val="008C0398"/>
    <w:rsid w:val="008C0FCF"/>
    <w:rsid w:val="008C57F9"/>
    <w:rsid w:val="008D0AB6"/>
    <w:rsid w:val="008D2824"/>
    <w:rsid w:val="008E02A8"/>
    <w:rsid w:val="008F3CE9"/>
    <w:rsid w:val="008F48D9"/>
    <w:rsid w:val="008F50E1"/>
    <w:rsid w:val="00900E28"/>
    <w:rsid w:val="00910344"/>
    <w:rsid w:val="009111B6"/>
    <w:rsid w:val="0091146C"/>
    <w:rsid w:val="00913238"/>
    <w:rsid w:val="00913643"/>
    <w:rsid w:val="0091753D"/>
    <w:rsid w:val="00933D03"/>
    <w:rsid w:val="00933D73"/>
    <w:rsid w:val="00933DA6"/>
    <w:rsid w:val="00941B33"/>
    <w:rsid w:val="0094371B"/>
    <w:rsid w:val="00945B21"/>
    <w:rsid w:val="00947AA8"/>
    <w:rsid w:val="00953364"/>
    <w:rsid w:val="0096126B"/>
    <w:rsid w:val="009634E7"/>
    <w:rsid w:val="00994BAE"/>
    <w:rsid w:val="009B6388"/>
    <w:rsid w:val="009B6E24"/>
    <w:rsid w:val="009C798A"/>
    <w:rsid w:val="009E067C"/>
    <w:rsid w:val="009E4173"/>
    <w:rsid w:val="009E655F"/>
    <w:rsid w:val="00A0198E"/>
    <w:rsid w:val="00A0202B"/>
    <w:rsid w:val="00A044C9"/>
    <w:rsid w:val="00A07C6D"/>
    <w:rsid w:val="00A14F89"/>
    <w:rsid w:val="00A17353"/>
    <w:rsid w:val="00A216E1"/>
    <w:rsid w:val="00A306E2"/>
    <w:rsid w:val="00A330BA"/>
    <w:rsid w:val="00A33B4C"/>
    <w:rsid w:val="00A40BFB"/>
    <w:rsid w:val="00A4357D"/>
    <w:rsid w:val="00A4542D"/>
    <w:rsid w:val="00A460CE"/>
    <w:rsid w:val="00A55D13"/>
    <w:rsid w:val="00A5757F"/>
    <w:rsid w:val="00A60952"/>
    <w:rsid w:val="00A60EBD"/>
    <w:rsid w:val="00A700FB"/>
    <w:rsid w:val="00A81985"/>
    <w:rsid w:val="00A87C9A"/>
    <w:rsid w:val="00A91C1A"/>
    <w:rsid w:val="00A948AB"/>
    <w:rsid w:val="00A97C96"/>
    <w:rsid w:val="00A97D13"/>
    <w:rsid w:val="00AA0B5F"/>
    <w:rsid w:val="00AA1A09"/>
    <w:rsid w:val="00AA2010"/>
    <w:rsid w:val="00AA7B6E"/>
    <w:rsid w:val="00AB05B2"/>
    <w:rsid w:val="00AB406C"/>
    <w:rsid w:val="00AC0CAA"/>
    <w:rsid w:val="00AC45E3"/>
    <w:rsid w:val="00AD37D8"/>
    <w:rsid w:val="00AD7842"/>
    <w:rsid w:val="00AE17AB"/>
    <w:rsid w:val="00B0788D"/>
    <w:rsid w:val="00B209E1"/>
    <w:rsid w:val="00B2795F"/>
    <w:rsid w:val="00B3127A"/>
    <w:rsid w:val="00B31740"/>
    <w:rsid w:val="00B506B7"/>
    <w:rsid w:val="00B604EF"/>
    <w:rsid w:val="00B62285"/>
    <w:rsid w:val="00B629B3"/>
    <w:rsid w:val="00B71D82"/>
    <w:rsid w:val="00B74825"/>
    <w:rsid w:val="00B85ED7"/>
    <w:rsid w:val="00B90260"/>
    <w:rsid w:val="00B905DF"/>
    <w:rsid w:val="00B9430F"/>
    <w:rsid w:val="00BB09E7"/>
    <w:rsid w:val="00BB2068"/>
    <w:rsid w:val="00BC3645"/>
    <w:rsid w:val="00BD6E18"/>
    <w:rsid w:val="00BE4C81"/>
    <w:rsid w:val="00BF3440"/>
    <w:rsid w:val="00C044A5"/>
    <w:rsid w:val="00C07272"/>
    <w:rsid w:val="00C07C7C"/>
    <w:rsid w:val="00C1409E"/>
    <w:rsid w:val="00C210A5"/>
    <w:rsid w:val="00C21AD8"/>
    <w:rsid w:val="00C24074"/>
    <w:rsid w:val="00C42147"/>
    <w:rsid w:val="00C42BBE"/>
    <w:rsid w:val="00C45AE8"/>
    <w:rsid w:val="00C4729C"/>
    <w:rsid w:val="00C50950"/>
    <w:rsid w:val="00C53D5D"/>
    <w:rsid w:val="00C54B08"/>
    <w:rsid w:val="00C5740C"/>
    <w:rsid w:val="00C658C9"/>
    <w:rsid w:val="00C705C2"/>
    <w:rsid w:val="00C7727D"/>
    <w:rsid w:val="00C826D9"/>
    <w:rsid w:val="00C85F68"/>
    <w:rsid w:val="00C95E6F"/>
    <w:rsid w:val="00C9667A"/>
    <w:rsid w:val="00CA2B45"/>
    <w:rsid w:val="00CA665E"/>
    <w:rsid w:val="00CC1B3A"/>
    <w:rsid w:val="00CC1EF9"/>
    <w:rsid w:val="00CC532E"/>
    <w:rsid w:val="00CD4B33"/>
    <w:rsid w:val="00CE223E"/>
    <w:rsid w:val="00CE228D"/>
    <w:rsid w:val="00CE3E2B"/>
    <w:rsid w:val="00D26490"/>
    <w:rsid w:val="00D316B0"/>
    <w:rsid w:val="00D34DFA"/>
    <w:rsid w:val="00D41616"/>
    <w:rsid w:val="00D41A6C"/>
    <w:rsid w:val="00D42F82"/>
    <w:rsid w:val="00D4307D"/>
    <w:rsid w:val="00D46351"/>
    <w:rsid w:val="00D52479"/>
    <w:rsid w:val="00D536DF"/>
    <w:rsid w:val="00D60AA3"/>
    <w:rsid w:val="00D66202"/>
    <w:rsid w:val="00D755A2"/>
    <w:rsid w:val="00D817F2"/>
    <w:rsid w:val="00D85674"/>
    <w:rsid w:val="00D86D9B"/>
    <w:rsid w:val="00D92E9C"/>
    <w:rsid w:val="00D97C15"/>
    <w:rsid w:val="00DA3884"/>
    <w:rsid w:val="00DA5A02"/>
    <w:rsid w:val="00DA6870"/>
    <w:rsid w:val="00DC3871"/>
    <w:rsid w:val="00DC4A64"/>
    <w:rsid w:val="00DE17A5"/>
    <w:rsid w:val="00DE241A"/>
    <w:rsid w:val="00DE39C6"/>
    <w:rsid w:val="00DE5A58"/>
    <w:rsid w:val="00DF757D"/>
    <w:rsid w:val="00E05E9E"/>
    <w:rsid w:val="00E11089"/>
    <w:rsid w:val="00E1357D"/>
    <w:rsid w:val="00E22F51"/>
    <w:rsid w:val="00E26F82"/>
    <w:rsid w:val="00E34617"/>
    <w:rsid w:val="00E356BD"/>
    <w:rsid w:val="00E3628F"/>
    <w:rsid w:val="00E3658E"/>
    <w:rsid w:val="00E46B00"/>
    <w:rsid w:val="00E47960"/>
    <w:rsid w:val="00E5067B"/>
    <w:rsid w:val="00E50C4A"/>
    <w:rsid w:val="00E514F4"/>
    <w:rsid w:val="00E5440E"/>
    <w:rsid w:val="00E54526"/>
    <w:rsid w:val="00E56942"/>
    <w:rsid w:val="00E613E4"/>
    <w:rsid w:val="00E61633"/>
    <w:rsid w:val="00E70BB1"/>
    <w:rsid w:val="00E724E1"/>
    <w:rsid w:val="00E72BE4"/>
    <w:rsid w:val="00E75EDB"/>
    <w:rsid w:val="00E83B7E"/>
    <w:rsid w:val="00E97C66"/>
    <w:rsid w:val="00EA0A8C"/>
    <w:rsid w:val="00EA29AA"/>
    <w:rsid w:val="00EA3206"/>
    <w:rsid w:val="00EA4073"/>
    <w:rsid w:val="00EA4C51"/>
    <w:rsid w:val="00EA5F98"/>
    <w:rsid w:val="00EA71EF"/>
    <w:rsid w:val="00EC2E9B"/>
    <w:rsid w:val="00EC45B4"/>
    <w:rsid w:val="00ED27CF"/>
    <w:rsid w:val="00ED6F69"/>
    <w:rsid w:val="00EE704E"/>
    <w:rsid w:val="00F03121"/>
    <w:rsid w:val="00F03FC6"/>
    <w:rsid w:val="00F24416"/>
    <w:rsid w:val="00F3219B"/>
    <w:rsid w:val="00F34FA3"/>
    <w:rsid w:val="00F35671"/>
    <w:rsid w:val="00F3704F"/>
    <w:rsid w:val="00F6028B"/>
    <w:rsid w:val="00F61082"/>
    <w:rsid w:val="00F63089"/>
    <w:rsid w:val="00F6489C"/>
    <w:rsid w:val="00F657E7"/>
    <w:rsid w:val="00F66F77"/>
    <w:rsid w:val="00F7216E"/>
    <w:rsid w:val="00F74A03"/>
    <w:rsid w:val="00F85C87"/>
    <w:rsid w:val="00F86B31"/>
    <w:rsid w:val="00F95A60"/>
    <w:rsid w:val="00FC14FF"/>
    <w:rsid w:val="00FD67A8"/>
    <w:rsid w:val="00FD7E3E"/>
    <w:rsid w:val="00FE05F3"/>
    <w:rsid w:val="00FE18AA"/>
    <w:rsid w:val="00FE550B"/>
    <w:rsid w:val="00FF1802"/>
    <w:rsid w:val="00FF21F3"/>
    <w:rsid w:val="00FF3D6E"/>
    <w:rsid w:val="00FF4E49"/>
    <w:rsid w:val="00FF5330"/>
    <w:rsid w:val="05D548EB"/>
    <w:rsid w:val="0A291431"/>
    <w:rsid w:val="0A81EE1D"/>
    <w:rsid w:val="0B269FCD"/>
    <w:rsid w:val="0DE8370F"/>
    <w:rsid w:val="17206411"/>
    <w:rsid w:val="17251BEA"/>
    <w:rsid w:val="1B340F0C"/>
    <w:rsid w:val="27356D79"/>
    <w:rsid w:val="388D4838"/>
    <w:rsid w:val="39BE0D4D"/>
    <w:rsid w:val="3A3DE7C2"/>
    <w:rsid w:val="3C122E93"/>
    <w:rsid w:val="3E377DAC"/>
    <w:rsid w:val="40F25CF6"/>
    <w:rsid w:val="464C3263"/>
    <w:rsid w:val="46BE3271"/>
    <w:rsid w:val="47636CBB"/>
    <w:rsid w:val="49E642BF"/>
    <w:rsid w:val="4BEBFC7E"/>
    <w:rsid w:val="4C6478FC"/>
    <w:rsid w:val="4C86B6B0"/>
    <w:rsid w:val="53A60544"/>
    <w:rsid w:val="56F10468"/>
    <w:rsid w:val="5A1761A0"/>
    <w:rsid w:val="5ED60937"/>
    <w:rsid w:val="661FEBC4"/>
    <w:rsid w:val="66AB0C64"/>
    <w:rsid w:val="6A881B99"/>
    <w:rsid w:val="6B2280BB"/>
    <w:rsid w:val="6BEB82F3"/>
    <w:rsid w:val="6EADD849"/>
    <w:rsid w:val="73C9812E"/>
    <w:rsid w:val="74C6EF87"/>
    <w:rsid w:val="74DF2FA9"/>
    <w:rsid w:val="75BE55CF"/>
    <w:rsid w:val="76C1505E"/>
    <w:rsid w:val="792EC07A"/>
    <w:rsid w:val="7A9CAA33"/>
    <w:rsid w:val="7BD03FAF"/>
    <w:rsid w:val="7D4C5BEE"/>
    <w:rsid w:val="7F3A9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49D"/>
  <w15:chartTrackingRefBased/>
  <w15:docId w15:val="{91F9EE39-7A88-42C1-AF69-0D080DC9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7AB"/>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5B21"/>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45B21"/>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45B2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45B2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45B2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45B2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45B2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45B2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147"/>
    <w:rPr>
      <w:rFonts w:ascii="Segoe UI" w:hAnsi="Segoe UI" w:cs="Segoe UI"/>
      <w:sz w:val="18"/>
      <w:szCs w:val="18"/>
    </w:rPr>
  </w:style>
  <w:style w:type="table" w:styleId="TableGrid">
    <w:name w:val="Table Grid"/>
    <w:basedOn w:val="TableNormal"/>
    <w:uiPriority w:val="39"/>
    <w:rsid w:val="00AE1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E17AB"/>
    <w:pPr>
      <w:spacing w:after="0" w:line="240" w:lineRule="auto"/>
    </w:pPr>
    <w:rPr>
      <w:rFonts w:eastAsiaTheme="minorEastAsia"/>
    </w:rPr>
  </w:style>
  <w:style w:type="character" w:customStyle="1" w:styleId="NoSpacingChar">
    <w:name w:val="No Spacing Char"/>
    <w:basedOn w:val="DefaultParagraphFont"/>
    <w:link w:val="NoSpacing"/>
    <w:uiPriority w:val="1"/>
    <w:rsid w:val="00AE17AB"/>
    <w:rPr>
      <w:rFonts w:eastAsiaTheme="minorEastAsia"/>
    </w:rPr>
  </w:style>
  <w:style w:type="character" w:customStyle="1" w:styleId="Heading1Char">
    <w:name w:val="Heading 1 Char"/>
    <w:basedOn w:val="DefaultParagraphFont"/>
    <w:link w:val="Heading1"/>
    <w:uiPriority w:val="9"/>
    <w:rsid w:val="00AE17A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17AB"/>
    <w:pPr>
      <w:outlineLvl w:val="9"/>
    </w:pPr>
  </w:style>
  <w:style w:type="paragraph" w:styleId="TOC1">
    <w:name w:val="toc 1"/>
    <w:basedOn w:val="Normal"/>
    <w:next w:val="Normal"/>
    <w:autoRedefine/>
    <w:uiPriority w:val="39"/>
    <w:unhideWhenUsed/>
    <w:rsid w:val="00AE17AB"/>
    <w:pPr>
      <w:spacing w:after="100"/>
    </w:pPr>
  </w:style>
  <w:style w:type="paragraph" w:styleId="TOC2">
    <w:name w:val="toc 2"/>
    <w:basedOn w:val="Normal"/>
    <w:next w:val="Normal"/>
    <w:autoRedefine/>
    <w:uiPriority w:val="39"/>
    <w:unhideWhenUsed/>
    <w:rsid w:val="00AE17AB"/>
    <w:pPr>
      <w:spacing w:after="100"/>
      <w:ind w:left="220"/>
    </w:pPr>
  </w:style>
  <w:style w:type="paragraph" w:styleId="TOC3">
    <w:name w:val="toc 3"/>
    <w:basedOn w:val="Normal"/>
    <w:next w:val="Normal"/>
    <w:autoRedefine/>
    <w:uiPriority w:val="39"/>
    <w:unhideWhenUsed/>
    <w:rsid w:val="00AE17AB"/>
    <w:pPr>
      <w:spacing w:after="100"/>
      <w:ind w:left="440"/>
    </w:pPr>
  </w:style>
  <w:style w:type="character" w:styleId="Hyperlink">
    <w:name w:val="Hyperlink"/>
    <w:basedOn w:val="DefaultParagraphFont"/>
    <w:uiPriority w:val="99"/>
    <w:unhideWhenUsed/>
    <w:rsid w:val="00AE17AB"/>
    <w:rPr>
      <w:color w:val="0563C1" w:themeColor="hyperlink"/>
      <w:u w:val="single"/>
    </w:rPr>
  </w:style>
  <w:style w:type="character" w:customStyle="1" w:styleId="Heading2Char">
    <w:name w:val="Heading 2 Char"/>
    <w:basedOn w:val="DefaultParagraphFont"/>
    <w:link w:val="Heading2"/>
    <w:uiPriority w:val="9"/>
    <w:rsid w:val="00945B2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45B2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45B2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45B2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45B2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45B2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45B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45B21"/>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BF34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3440"/>
    <w:rPr>
      <w:sz w:val="20"/>
      <w:szCs w:val="20"/>
    </w:rPr>
  </w:style>
  <w:style w:type="character" w:styleId="FootnoteReference">
    <w:name w:val="footnote reference"/>
    <w:basedOn w:val="DefaultParagraphFont"/>
    <w:uiPriority w:val="99"/>
    <w:semiHidden/>
    <w:unhideWhenUsed/>
    <w:rsid w:val="00BF3440"/>
    <w:rPr>
      <w:vertAlign w:val="superscript"/>
    </w:rPr>
  </w:style>
  <w:style w:type="paragraph" w:styleId="Header">
    <w:name w:val="header"/>
    <w:basedOn w:val="Normal"/>
    <w:link w:val="HeaderChar"/>
    <w:uiPriority w:val="99"/>
    <w:unhideWhenUsed/>
    <w:rsid w:val="00C42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BBE"/>
  </w:style>
  <w:style w:type="paragraph" w:styleId="Footer">
    <w:name w:val="footer"/>
    <w:basedOn w:val="Normal"/>
    <w:link w:val="FooterChar"/>
    <w:uiPriority w:val="99"/>
    <w:unhideWhenUsed/>
    <w:rsid w:val="00C42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BBE"/>
  </w:style>
  <w:style w:type="character" w:styleId="CommentReference">
    <w:name w:val="annotation reference"/>
    <w:basedOn w:val="DefaultParagraphFont"/>
    <w:uiPriority w:val="99"/>
    <w:semiHidden/>
    <w:unhideWhenUsed/>
    <w:rsid w:val="007E4C60"/>
    <w:rPr>
      <w:sz w:val="16"/>
      <w:szCs w:val="16"/>
    </w:rPr>
  </w:style>
  <w:style w:type="paragraph" w:styleId="CommentText">
    <w:name w:val="annotation text"/>
    <w:basedOn w:val="Normal"/>
    <w:link w:val="CommentTextChar"/>
    <w:uiPriority w:val="99"/>
    <w:unhideWhenUsed/>
    <w:rsid w:val="00F6489C"/>
    <w:pPr>
      <w:spacing w:line="240" w:lineRule="auto"/>
    </w:pPr>
    <w:rPr>
      <w:sz w:val="20"/>
      <w:szCs w:val="20"/>
    </w:rPr>
  </w:style>
  <w:style w:type="character" w:customStyle="1" w:styleId="CommentTextChar">
    <w:name w:val="Comment Text Char"/>
    <w:basedOn w:val="DefaultParagraphFont"/>
    <w:link w:val="CommentText"/>
    <w:uiPriority w:val="99"/>
    <w:rsid w:val="007E4C60"/>
    <w:rPr>
      <w:sz w:val="20"/>
      <w:szCs w:val="20"/>
    </w:rPr>
  </w:style>
  <w:style w:type="paragraph" w:styleId="CommentSubject">
    <w:name w:val="annotation subject"/>
    <w:basedOn w:val="CommentText"/>
    <w:next w:val="CommentText"/>
    <w:link w:val="CommentSubjectChar"/>
    <w:uiPriority w:val="99"/>
    <w:semiHidden/>
    <w:unhideWhenUsed/>
    <w:rsid w:val="007E4C60"/>
    <w:rPr>
      <w:b/>
      <w:bCs/>
    </w:rPr>
  </w:style>
  <w:style w:type="character" w:customStyle="1" w:styleId="CommentSubjectChar">
    <w:name w:val="Comment Subject Char"/>
    <w:basedOn w:val="CommentTextChar"/>
    <w:link w:val="CommentSubject"/>
    <w:uiPriority w:val="99"/>
    <w:semiHidden/>
    <w:rsid w:val="007E4C60"/>
    <w:rPr>
      <w:b/>
      <w:bCs/>
      <w:sz w:val="20"/>
      <w:szCs w:val="20"/>
    </w:rPr>
  </w:style>
  <w:style w:type="paragraph" w:styleId="Revision">
    <w:name w:val="Revision"/>
    <w:hidden/>
    <w:uiPriority w:val="99"/>
    <w:semiHidden/>
    <w:rsid w:val="00BC3645"/>
    <w:pPr>
      <w:spacing w:after="0" w:line="240" w:lineRule="auto"/>
    </w:pPr>
  </w:style>
  <w:style w:type="character" w:styleId="UnresolvedMention">
    <w:name w:val="Unresolved Mention"/>
    <w:basedOn w:val="DefaultParagraphFont"/>
    <w:uiPriority w:val="99"/>
    <w:semiHidden/>
    <w:unhideWhenUsed/>
    <w:rsid w:val="003C4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658117">
      <w:bodyDiv w:val="1"/>
      <w:marLeft w:val="0"/>
      <w:marRight w:val="0"/>
      <w:marTop w:val="0"/>
      <w:marBottom w:val="0"/>
      <w:divBdr>
        <w:top w:val="none" w:sz="0" w:space="0" w:color="auto"/>
        <w:left w:val="none" w:sz="0" w:space="0" w:color="auto"/>
        <w:bottom w:val="none" w:sz="0" w:space="0" w:color="auto"/>
        <w:right w:val="none" w:sz="0" w:space="0" w:color="auto"/>
      </w:divBdr>
    </w:div>
    <w:div w:id="609238892">
      <w:bodyDiv w:val="1"/>
      <w:marLeft w:val="0"/>
      <w:marRight w:val="0"/>
      <w:marTop w:val="0"/>
      <w:marBottom w:val="0"/>
      <w:divBdr>
        <w:top w:val="none" w:sz="0" w:space="0" w:color="auto"/>
        <w:left w:val="none" w:sz="0" w:space="0" w:color="auto"/>
        <w:bottom w:val="none" w:sz="0" w:space="0" w:color="auto"/>
        <w:right w:val="none" w:sz="0" w:space="0" w:color="auto"/>
      </w:divBdr>
    </w:div>
    <w:div w:id="653919601">
      <w:bodyDiv w:val="1"/>
      <w:marLeft w:val="0"/>
      <w:marRight w:val="0"/>
      <w:marTop w:val="0"/>
      <w:marBottom w:val="0"/>
      <w:divBdr>
        <w:top w:val="none" w:sz="0" w:space="0" w:color="auto"/>
        <w:left w:val="none" w:sz="0" w:space="0" w:color="auto"/>
        <w:bottom w:val="none" w:sz="0" w:space="0" w:color="auto"/>
        <w:right w:val="none" w:sz="0" w:space="0" w:color="auto"/>
      </w:divBdr>
    </w:div>
    <w:div w:id="1104692667">
      <w:bodyDiv w:val="1"/>
      <w:marLeft w:val="0"/>
      <w:marRight w:val="0"/>
      <w:marTop w:val="0"/>
      <w:marBottom w:val="0"/>
      <w:divBdr>
        <w:top w:val="none" w:sz="0" w:space="0" w:color="auto"/>
        <w:left w:val="none" w:sz="0" w:space="0" w:color="auto"/>
        <w:bottom w:val="none" w:sz="0" w:space="0" w:color="auto"/>
        <w:right w:val="none" w:sz="0" w:space="0" w:color="auto"/>
      </w:divBdr>
    </w:div>
    <w:div w:id="1384714488">
      <w:bodyDiv w:val="1"/>
      <w:marLeft w:val="0"/>
      <w:marRight w:val="0"/>
      <w:marTop w:val="0"/>
      <w:marBottom w:val="0"/>
      <w:divBdr>
        <w:top w:val="none" w:sz="0" w:space="0" w:color="auto"/>
        <w:left w:val="none" w:sz="0" w:space="0" w:color="auto"/>
        <w:bottom w:val="none" w:sz="0" w:space="0" w:color="auto"/>
        <w:right w:val="none" w:sz="0" w:space="0" w:color="auto"/>
      </w:divBdr>
    </w:div>
    <w:div w:id="1443455184">
      <w:bodyDiv w:val="1"/>
      <w:marLeft w:val="0"/>
      <w:marRight w:val="0"/>
      <w:marTop w:val="0"/>
      <w:marBottom w:val="0"/>
      <w:divBdr>
        <w:top w:val="none" w:sz="0" w:space="0" w:color="auto"/>
        <w:left w:val="none" w:sz="0" w:space="0" w:color="auto"/>
        <w:bottom w:val="none" w:sz="0" w:space="0" w:color="auto"/>
        <w:right w:val="none" w:sz="0" w:space="0" w:color="auto"/>
      </w:divBdr>
    </w:div>
    <w:div w:id="1519660595">
      <w:bodyDiv w:val="1"/>
      <w:marLeft w:val="0"/>
      <w:marRight w:val="0"/>
      <w:marTop w:val="0"/>
      <w:marBottom w:val="0"/>
      <w:divBdr>
        <w:top w:val="none" w:sz="0" w:space="0" w:color="auto"/>
        <w:left w:val="none" w:sz="0" w:space="0" w:color="auto"/>
        <w:bottom w:val="none" w:sz="0" w:space="0" w:color="auto"/>
        <w:right w:val="none" w:sz="0" w:space="0" w:color="auto"/>
      </w:divBdr>
    </w:div>
    <w:div w:id="1558128332">
      <w:bodyDiv w:val="1"/>
      <w:marLeft w:val="0"/>
      <w:marRight w:val="0"/>
      <w:marTop w:val="0"/>
      <w:marBottom w:val="0"/>
      <w:divBdr>
        <w:top w:val="none" w:sz="0" w:space="0" w:color="auto"/>
        <w:left w:val="none" w:sz="0" w:space="0" w:color="auto"/>
        <w:bottom w:val="none" w:sz="0" w:space="0" w:color="auto"/>
        <w:right w:val="none" w:sz="0" w:space="0" w:color="auto"/>
      </w:divBdr>
    </w:div>
    <w:div w:id="1676885892">
      <w:bodyDiv w:val="1"/>
      <w:marLeft w:val="0"/>
      <w:marRight w:val="0"/>
      <w:marTop w:val="0"/>
      <w:marBottom w:val="0"/>
      <w:divBdr>
        <w:top w:val="none" w:sz="0" w:space="0" w:color="auto"/>
        <w:left w:val="none" w:sz="0" w:space="0" w:color="auto"/>
        <w:bottom w:val="none" w:sz="0" w:space="0" w:color="auto"/>
        <w:right w:val="none" w:sz="0" w:space="0" w:color="auto"/>
      </w:divBdr>
    </w:div>
    <w:div w:id="1689982660">
      <w:bodyDiv w:val="1"/>
      <w:marLeft w:val="0"/>
      <w:marRight w:val="0"/>
      <w:marTop w:val="0"/>
      <w:marBottom w:val="0"/>
      <w:divBdr>
        <w:top w:val="none" w:sz="0" w:space="0" w:color="auto"/>
        <w:left w:val="none" w:sz="0" w:space="0" w:color="auto"/>
        <w:bottom w:val="none" w:sz="0" w:space="0" w:color="auto"/>
        <w:right w:val="none" w:sz="0" w:space="0" w:color="auto"/>
      </w:divBdr>
    </w:div>
    <w:div w:id="17225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openxmlformats.org/officeDocument/2006/relationships/customXml" Target="../customXml/item9.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8.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epositorio.cepal.org/bitstream/handle/11362/45337/4/S2000264_es.pdf" TargetMode="External"/><Relationship Id="rId2" Type="http://schemas.openxmlformats.org/officeDocument/2006/relationships/hyperlink" Target="https://www.cest.org/informe-de-deloitte-covid-19-impacto-y-escenarios-de-recuperacion-en-consumo-y-distribucion-27-03-20/" TargetMode="External"/><Relationship Id="rId1" Type="http://schemas.openxmlformats.org/officeDocument/2006/relationships/hyperlink" Target="https://blogs.imf.org/2020/03/19/covid-19-pandemic-and-latin-america-and-the-caribbean-time-for-strong-policy-a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Ecuador</TermName>
          <TermId xmlns="http://schemas.microsoft.com/office/infopath/2007/PartnerControls">8f163189-00fa-4e7c-827d-28fb5798781c</TermId>
        </TermInfo>
      </Terms>
    </ic46d7e087fd4a108fb86518ca413cc6>
    <IDBDocs_x0020_Number xmlns="cdc7663a-08f0-4737-9e8c-148ce897a09c" xsi:nil="true"/>
    <Division_x0020_or_x0020_Unit xmlns="cdc7663a-08f0-4737-9e8c-148ce897a09c">IFD/CMF</Division_x0020_or_x0020_Unit>
    <Fiscal_x0020_Year_x0020_IDB xmlns="cdc7663a-08f0-4737-9e8c-148ce897a09c">2020</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5057/OC-AR;</Approval_x0020_Number>
    <Phase xmlns="cdc7663a-08f0-4737-9e8c-148ce897a09c" xsi:nil="true"/>
    <Document_x0020_Author xmlns="cdc7663a-08f0-4737-9e8c-148ce897a09c">Lozano Miranda Ana Lucia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BANKING MARKET DEVELOPMENT</TermName>
          <TermId xmlns="http://schemas.microsoft.com/office/infopath/2007/PartnerControls">5f08329b-f2bb-4342-ba75-eb4216b403d4</TermId>
        </TermInfo>
      </Term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Related_x0020_SisCor_x0020_Number xmlns="cdc7663a-08f0-4737-9e8c-148ce897a09c" xsi:nil="true"/>
    <TaxCatchAll xmlns="cdc7663a-08f0-4737-9e8c-148ce897a09c">
      <Value>84</Value>
      <Value>137</Value>
      <Value>419</Value>
      <Value>4</Value>
      <Value>1</Value>
      <Value>85</Value>
    </TaxCatchAll>
    <Operation_x0020_Type xmlns="cdc7663a-08f0-4737-9e8c-148ce897a09c" xsi:nil="true"/>
    <Package_x0020_Code xmlns="cdc7663a-08f0-4737-9e8c-148ce897a09c" xsi:nil="true"/>
    <Identifier xmlns="cdc7663a-08f0-4737-9e8c-148ce897a09c">EEO</Identifier>
    <Project_x0020_Number xmlns="cdc7663a-08f0-4737-9e8c-148ce897a09c">AR-L1328; </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FINANCIAL MARKETS</TermName>
          <TermId xmlns="http://schemas.microsoft.com/office/infopath/2007/PartnerControls">75500f29-2419-473a-bcd8-84901ddc2aa7</TermId>
        </TermInfo>
      </Terms>
    </nddeef1749674d76abdbe4b239a70bc6>
    <Record_x0020_Number xmlns="cdc7663a-08f0-4737-9e8c-148ce897a09c" xsi:nil="true"/>
    <_dlc_DocId xmlns="cdc7663a-08f0-4737-9e8c-148ce897a09c">EZSHARE-1677352023-1</_dlc_DocId>
    <_dlc_DocIdUrl xmlns="cdc7663a-08f0-4737-9e8c-148ce897a09c">
      <Url>https://idbg.sharepoint.com/teams/EZ-AR-LON/AR-L1328/_layouts/15/DocIdRedir.aspx?ID=EZSHARE-1677352023-1</Url>
      <Description>EZSHARE-1677352023-1</Description>
    </_dlc_DocIdUrl>
    <Disclosure_x0020_Activity xmlns="cdc7663a-08f0-4737-9e8c-148ce897a09c">Electronic Links</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F125A14E68A27241B19559FFBEBC8CBF" ma:contentTypeVersion="0" ma:contentTypeDescription="A content type to manage public (operations) IDB documents" ma:contentTypeScope="" ma:versionID="fca2a52b3f7f116d6482699b5e516119">
  <xsd:schema xmlns:xsd="http://www.w3.org/2001/XMLSchema" xmlns:xs="http://www.w3.org/2001/XMLSchema" xmlns:p="http://schemas.microsoft.com/office/2006/metadata/properties" xmlns:ns2="cdc7663a-08f0-4737-9e8c-148ce897a09c" targetNamespace="http://schemas.microsoft.com/office/2006/metadata/properties" ma:root="true" ma:fieldsID="c3987797e87b5cf11d97b6230f067a7a"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AR-L1328"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ae61f9b1-e23d-4f49-b3d7-56b991556c4b" ContentTypeId="0x0101001A458A224826124E8B45B1D613300CFC"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Urls xmlns="http://schemas.microsoft.com/sharepoint/v3/contenttype/forms/url">
  <Display>_catalogs/masterpage/ECMForms/OperationsCT/View.aspx</Display>
  <Edit>_catalogs/masterpage/ECMForms/OperationsCT/Edit.aspx</Edit>
</FormUrls>
</file>

<file path=customXml/item8.xml><?xml version="1.0" encoding="utf-8"?>
<?mso-contentType ?>
<SharedContentType xmlns="Microsoft.SharePoint.Taxonomy.ContentTypeSync" SourceId="ae61f9b1-e23d-4f49-b3d7-56b991556c4b" ContentTypeId="0x0101001A458A224826124E8B45B1D613300CFC" PreviousValue="false"/>
</file>

<file path=customXml/item9.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5856396C-2313-47C8-954B-BAFCC8AFA0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3CFEE0-CDF5-4DA4-9B8F-3BC35B07BCF2}">
  <ds:schemaRefs>
    <ds:schemaRef ds:uri="http://schemas.microsoft.com/sharepoint/v3/contenttype/forms"/>
  </ds:schemaRefs>
</ds:datastoreItem>
</file>

<file path=customXml/itemProps3.xml><?xml version="1.0" encoding="utf-8"?>
<ds:datastoreItem xmlns:ds="http://schemas.openxmlformats.org/officeDocument/2006/customXml" ds:itemID="{BF9235D7-F75A-4A19-93D5-FB581986DB4B}"/>
</file>

<file path=customXml/itemProps4.xml><?xml version="1.0" encoding="utf-8"?>
<ds:datastoreItem xmlns:ds="http://schemas.openxmlformats.org/officeDocument/2006/customXml" ds:itemID="{5E3F7B11-C293-4428-B24E-5DE60D092E8B}">
  <ds:schemaRefs>
    <ds:schemaRef ds:uri="http://schemas.openxmlformats.org/officeDocument/2006/bibliography"/>
  </ds:schemaRefs>
</ds:datastoreItem>
</file>

<file path=customXml/itemProps5.xml><?xml version="1.0" encoding="utf-8"?>
<ds:datastoreItem xmlns:ds="http://schemas.openxmlformats.org/officeDocument/2006/customXml" ds:itemID="{1E6813ED-BFC3-4682-9839-FA30518D6FD3}"/>
</file>

<file path=customXml/itemProps6.xml><?xml version="1.0" encoding="utf-8"?>
<ds:datastoreItem xmlns:ds="http://schemas.openxmlformats.org/officeDocument/2006/customXml" ds:itemID="{1E78459A-94FE-493B-B7BD-D7D69240BC52}"/>
</file>

<file path=customXml/itemProps7.xml><?xml version="1.0" encoding="utf-8"?>
<ds:datastoreItem xmlns:ds="http://schemas.openxmlformats.org/officeDocument/2006/customXml" ds:itemID="{3B115517-749C-4D74-8BFE-FD1BD020B0FE}"/>
</file>

<file path=customXml/itemProps8.xml><?xml version="1.0" encoding="utf-8"?>
<ds:datastoreItem xmlns:ds="http://schemas.openxmlformats.org/officeDocument/2006/customXml" ds:itemID="{B3C52704-EB89-42B4-AAF1-2ECF3CCC2BDD}"/>
</file>

<file path=customXml/itemProps9.xml><?xml version="1.0" encoding="utf-8"?>
<ds:datastoreItem xmlns:ds="http://schemas.openxmlformats.org/officeDocument/2006/customXml" ds:itemID="{6B98E1BD-E3F7-4E5B-8ED1-9DA3EAB500AD}"/>
</file>

<file path=docProps/app.xml><?xml version="1.0" encoding="utf-8"?>
<Properties xmlns="http://schemas.openxmlformats.org/officeDocument/2006/extended-properties" xmlns:vt="http://schemas.openxmlformats.org/officeDocument/2006/docPropsVTypes">
  <Template>Normal</Template>
  <TotalTime>10</TotalTime>
  <Pages>15</Pages>
  <Words>4857</Words>
  <Characters>27685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Carmen Fernández díez (IFD/CMF), Manuel fernandini (IFD/CMF), SIMON FERNANDEZ (IFD/CMF) Alejandro TÁmola (IFD/CMF), Alexander vasa (IFD/CMF), Julieta Abad (INE/TSP), Paolo de Salvo (CSD/RND), ADRIAN RISSO (CSD/RND) y Lucas Barreiros (INT/TIN)</dc:creator>
  <cp:keywords>Enlace opcional DLR para OPC</cp:keywords>
  <dc:description/>
  <cp:lastModifiedBy>Lozano Miranda, Ana Lucia</cp:lastModifiedBy>
  <cp:revision>5</cp:revision>
  <dcterms:created xsi:type="dcterms:W3CDTF">2020-05-20T17:09:00Z</dcterms:created>
  <dcterms:modified xsi:type="dcterms:W3CDTF">2020-05-20T17:13:00Z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419;#Enlace opcional DLR para OPC|104e022a-7419-4841-af19-053128cfddd3</vt:lpwstr>
  </property>
  <property fmtid="{D5CDD505-2E9C-101B-9397-08002B2CF9AE}" pid="4" name="TaxKeywordTaxHTField">
    <vt:lpwstr>Enlace opcional DLR para OPC|104e022a-7419-4841-af19-053128cfddd3</vt:lpwstr>
  </property>
  <property fmtid="{D5CDD505-2E9C-101B-9397-08002B2CF9AE}" pid="5" name="Series Operations IDB">
    <vt:lpwstr/>
  </property>
  <property fmtid="{D5CDD505-2E9C-101B-9397-08002B2CF9AE}" pid="6" name="Sub-Sector">
    <vt:lpwstr>85;#BANKING MARKET DEVELOPMENT|5f08329b-f2bb-4342-ba75-eb4216b403d4</vt:lpwstr>
  </property>
  <property fmtid="{D5CDD505-2E9C-101B-9397-08002B2CF9AE}" pid="7" name="Fund IDB">
    <vt:lpwstr>4;#ORC|c028a4b2-ad8b-4cf4-9cac-a2ae6a778e23</vt:lpwstr>
  </property>
  <property fmtid="{D5CDD505-2E9C-101B-9397-08002B2CF9AE}" pid="8" name="Country">
    <vt:lpwstr>137;#Ecuador|8f163189-00fa-4e7c-827d-28fb5798781c</vt:lpwstr>
  </property>
  <property fmtid="{D5CDD505-2E9C-101B-9397-08002B2CF9AE}" pid="9" name="Sector IDB">
    <vt:lpwstr>84;#FINANCIAL MARKETS|75500f29-2419-473a-bcd8-84901ddc2aa7</vt:lpwstr>
  </property>
  <property fmtid="{D5CDD505-2E9C-101B-9397-08002B2CF9AE}" pid="10" name="Function Operations IDB">
    <vt:lpwstr>1;#Project Preparation Planning and Design|29ca0c72-1fc4-435f-a09c-28585cb5eac9</vt:lpwstr>
  </property>
  <property fmtid="{D5CDD505-2E9C-101B-9397-08002B2CF9AE}" pid="11" name="_dlc_DocIdItemGuid">
    <vt:lpwstr>a8fc7e19-7d40-468e-8726-a14fe45adda8</vt:lpwstr>
  </property>
  <property fmtid="{D5CDD505-2E9C-101B-9397-08002B2CF9AE}" pid="18" name="Disclosed">
    <vt:bool>false</vt:bool>
  </property>
  <property fmtid="{D5CDD505-2E9C-101B-9397-08002B2CF9AE}" pid="19" name="ContentTypeId">
    <vt:lpwstr>0x0101001A458A224826124E8B45B1D613300CFC00F125A14E68A27241B19559FFBEBC8CBF</vt:lpwstr>
  </property>
</Properties>
</file>