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F44D0" w14:textId="77777777" w:rsidR="00847512" w:rsidRPr="00083600" w:rsidRDefault="00847512" w:rsidP="00847512">
      <w:pPr>
        <w:pStyle w:val="SubSubPar"/>
        <w:numPr>
          <w:ilvl w:val="0"/>
          <w:numId w:val="0"/>
        </w:numPr>
        <w:spacing w:after="0"/>
        <w:jc w:val="center"/>
        <w:rPr>
          <w:rFonts w:ascii="Arial" w:hAnsi="Arial"/>
          <w:smallCaps/>
          <w:sz w:val="22"/>
          <w:lang w:val="es-ES_tradnl"/>
        </w:rPr>
      </w:pPr>
      <w:bookmarkStart w:id="0" w:name="_GoBack"/>
      <w:bookmarkEnd w:id="0"/>
      <w:r w:rsidRPr="00083600">
        <w:rPr>
          <w:rFonts w:ascii="Arial" w:hAnsi="Arial"/>
          <w:smallCaps/>
          <w:sz w:val="22"/>
          <w:lang w:val="es-ES_tradnl"/>
        </w:rPr>
        <w:t>Documento del Banco Interamericano de Desarrollo</w:t>
      </w:r>
    </w:p>
    <w:p w14:paraId="5F7FC217" w14:textId="77777777" w:rsidR="00847512" w:rsidRPr="00083600" w:rsidRDefault="00847512" w:rsidP="00847512">
      <w:pPr>
        <w:tabs>
          <w:tab w:val="left" w:pos="1440"/>
          <w:tab w:val="left" w:pos="3060"/>
        </w:tabs>
        <w:jc w:val="center"/>
        <w:rPr>
          <w:rFonts w:ascii="Arial" w:hAnsi="Arial"/>
          <w:smallCaps/>
          <w:lang w:val="es-ES_tradnl"/>
        </w:rPr>
      </w:pPr>
    </w:p>
    <w:p w14:paraId="4345E717" w14:textId="77777777" w:rsidR="00847512" w:rsidRPr="00083600" w:rsidRDefault="00847512" w:rsidP="00847512">
      <w:pPr>
        <w:tabs>
          <w:tab w:val="left" w:pos="1440"/>
          <w:tab w:val="left" w:pos="3060"/>
        </w:tabs>
        <w:jc w:val="center"/>
        <w:rPr>
          <w:rFonts w:ascii="Arial" w:hAnsi="Arial"/>
          <w:smallCaps/>
          <w:lang w:val="es-ES_tradnl"/>
        </w:rPr>
      </w:pPr>
    </w:p>
    <w:p w14:paraId="39B466C0" w14:textId="06E792C1" w:rsidR="00847512" w:rsidRPr="00083600" w:rsidRDefault="00847512" w:rsidP="00847512">
      <w:pPr>
        <w:tabs>
          <w:tab w:val="left" w:pos="1440"/>
          <w:tab w:val="left" w:pos="3060"/>
        </w:tabs>
        <w:jc w:val="center"/>
        <w:rPr>
          <w:rFonts w:ascii="Arial" w:hAnsi="Arial"/>
          <w:smallCaps/>
          <w:lang w:val="es-ES_tradnl"/>
        </w:rPr>
      </w:pPr>
    </w:p>
    <w:p w14:paraId="7CF5BAE5" w14:textId="7A0FD9A6" w:rsidR="00847512" w:rsidRPr="00083600" w:rsidRDefault="00847512" w:rsidP="00847512">
      <w:pPr>
        <w:tabs>
          <w:tab w:val="left" w:pos="1440"/>
          <w:tab w:val="left" w:pos="3060"/>
        </w:tabs>
        <w:jc w:val="center"/>
        <w:rPr>
          <w:rFonts w:ascii="Arial" w:hAnsi="Arial"/>
          <w:smallCaps/>
          <w:lang w:val="es-ES_tradnl"/>
        </w:rPr>
      </w:pPr>
    </w:p>
    <w:p w14:paraId="4D1DBC40" w14:textId="08CBC256" w:rsidR="00847512" w:rsidRPr="00083600" w:rsidRDefault="00847512" w:rsidP="00847512">
      <w:pPr>
        <w:tabs>
          <w:tab w:val="left" w:pos="1440"/>
          <w:tab w:val="left" w:pos="3060"/>
        </w:tabs>
        <w:jc w:val="center"/>
        <w:rPr>
          <w:rFonts w:ascii="Arial" w:hAnsi="Arial"/>
          <w:smallCaps/>
          <w:lang w:val="es-ES_tradnl"/>
        </w:rPr>
      </w:pPr>
    </w:p>
    <w:p w14:paraId="0BEB23FA" w14:textId="56CFF347" w:rsidR="00847512" w:rsidRPr="00083600" w:rsidRDefault="00847512" w:rsidP="00847512">
      <w:pPr>
        <w:tabs>
          <w:tab w:val="left" w:pos="1440"/>
          <w:tab w:val="left" w:pos="3060"/>
        </w:tabs>
        <w:jc w:val="center"/>
        <w:rPr>
          <w:rFonts w:ascii="Arial" w:hAnsi="Arial"/>
          <w:smallCaps/>
          <w:lang w:val="es-ES_tradnl"/>
        </w:rPr>
      </w:pPr>
    </w:p>
    <w:p w14:paraId="496F32C0" w14:textId="77777777" w:rsidR="00847512" w:rsidRPr="00083600" w:rsidRDefault="00847512" w:rsidP="00847512">
      <w:pPr>
        <w:tabs>
          <w:tab w:val="left" w:pos="1440"/>
          <w:tab w:val="left" w:pos="3060"/>
        </w:tabs>
        <w:jc w:val="center"/>
        <w:rPr>
          <w:rFonts w:ascii="Arial" w:hAnsi="Arial"/>
          <w:smallCaps/>
          <w:lang w:val="es-ES_tradnl"/>
        </w:rPr>
      </w:pPr>
    </w:p>
    <w:p w14:paraId="58D6AB1D" w14:textId="77777777" w:rsidR="00847512" w:rsidRPr="00083600" w:rsidRDefault="00847512" w:rsidP="00847512">
      <w:pPr>
        <w:tabs>
          <w:tab w:val="left" w:pos="1440"/>
          <w:tab w:val="left" w:pos="3060"/>
        </w:tabs>
        <w:jc w:val="center"/>
        <w:rPr>
          <w:rFonts w:ascii="Arial" w:hAnsi="Arial"/>
          <w:b/>
          <w:smallCaps/>
          <w:sz w:val="28"/>
          <w:lang w:val="es-ES_tradnl"/>
        </w:rPr>
      </w:pPr>
      <w:r w:rsidRPr="00083600">
        <w:rPr>
          <w:rFonts w:ascii="Arial" w:hAnsi="Arial"/>
          <w:b/>
          <w:smallCaps/>
          <w:sz w:val="28"/>
          <w:lang w:val="es-ES_tradnl"/>
        </w:rPr>
        <w:t>El Salvador</w:t>
      </w:r>
    </w:p>
    <w:p w14:paraId="3E6F6FCC" w14:textId="77777777" w:rsidR="00847512" w:rsidRPr="00083600" w:rsidRDefault="00847512" w:rsidP="00847512">
      <w:pPr>
        <w:tabs>
          <w:tab w:val="left" w:pos="1440"/>
          <w:tab w:val="left" w:pos="3060"/>
        </w:tabs>
        <w:jc w:val="center"/>
        <w:rPr>
          <w:rFonts w:ascii="Arial" w:hAnsi="Arial"/>
          <w:smallCaps/>
          <w:lang w:val="es-ES_tradnl"/>
        </w:rPr>
      </w:pPr>
    </w:p>
    <w:p w14:paraId="6B9AE6E4" w14:textId="77777777" w:rsidR="00847512" w:rsidRPr="00083600" w:rsidRDefault="00847512" w:rsidP="00847512">
      <w:pPr>
        <w:tabs>
          <w:tab w:val="left" w:pos="1440"/>
          <w:tab w:val="left" w:pos="3060"/>
        </w:tabs>
        <w:jc w:val="center"/>
        <w:rPr>
          <w:rFonts w:ascii="Arial" w:hAnsi="Arial"/>
          <w:smallCaps/>
          <w:lang w:val="es-ES_tradnl"/>
        </w:rPr>
      </w:pPr>
    </w:p>
    <w:p w14:paraId="3098B955" w14:textId="324DE26E" w:rsidR="00847512" w:rsidRPr="00083600" w:rsidRDefault="00847512" w:rsidP="00847512">
      <w:pPr>
        <w:tabs>
          <w:tab w:val="left" w:pos="1350"/>
        </w:tabs>
        <w:jc w:val="center"/>
        <w:rPr>
          <w:rFonts w:ascii="Arial" w:hAnsi="Arial"/>
          <w:lang w:val="es-ES_tradnl"/>
        </w:rPr>
      </w:pPr>
      <w:r w:rsidRPr="00083600">
        <w:rPr>
          <w:rFonts w:ascii="Arial" w:hAnsi="Arial"/>
          <w:b/>
          <w:smallCaps/>
          <w:sz w:val="28"/>
          <w:lang w:val="es-ES_tradnl"/>
        </w:rPr>
        <w:t xml:space="preserve">Programa Global de </w:t>
      </w:r>
      <w:r w:rsidR="00762681" w:rsidRPr="00083600">
        <w:rPr>
          <w:rFonts w:ascii="Arial" w:hAnsi="Arial"/>
          <w:b/>
          <w:smallCaps/>
          <w:sz w:val="28"/>
          <w:lang w:val="es-ES_tradnl"/>
        </w:rPr>
        <w:t>C</w:t>
      </w:r>
      <w:r w:rsidRPr="00083600">
        <w:rPr>
          <w:rFonts w:ascii="Arial" w:hAnsi="Arial"/>
          <w:b/>
          <w:smallCaps/>
          <w:sz w:val="28"/>
          <w:lang w:val="es-ES_tradnl"/>
        </w:rPr>
        <w:t>rédito para la Micro y Pequeña Empresa en El Salvador</w:t>
      </w:r>
    </w:p>
    <w:p w14:paraId="6E0AB922" w14:textId="77777777" w:rsidR="00847512" w:rsidRPr="00083600" w:rsidRDefault="00847512" w:rsidP="00847512">
      <w:pPr>
        <w:pStyle w:val="Newpage"/>
        <w:rPr>
          <w:rFonts w:ascii="Arial" w:hAnsi="Arial"/>
          <w:b w:val="0"/>
          <w:caps/>
          <w:smallCaps w:val="0"/>
          <w:sz w:val="22"/>
          <w:lang w:val="es-ES_tradnl"/>
        </w:rPr>
      </w:pPr>
    </w:p>
    <w:p w14:paraId="2C6D4397" w14:textId="77777777" w:rsidR="00847512" w:rsidRPr="00083600" w:rsidRDefault="00847512" w:rsidP="00847512">
      <w:pPr>
        <w:tabs>
          <w:tab w:val="left" w:pos="1440"/>
          <w:tab w:val="left" w:pos="3060"/>
        </w:tabs>
        <w:jc w:val="center"/>
        <w:rPr>
          <w:rFonts w:ascii="Arial" w:hAnsi="Arial"/>
          <w:b/>
          <w:smallCaps/>
          <w:lang w:val="es-ES_tradnl"/>
        </w:rPr>
      </w:pPr>
      <w:r w:rsidRPr="00083600">
        <w:rPr>
          <w:rFonts w:ascii="Arial" w:hAnsi="Arial"/>
          <w:b/>
          <w:smallCaps/>
          <w:lang w:val="es-ES_tradnl"/>
        </w:rPr>
        <w:t>(ES-L1136)</w:t>
      </w:r>
    </w:p>
    <w:p w14:paraId="4C496C67" w14:textId="7183B5BE" w:rsidR="000D492C" w:rsidRPr="00083600" w:rsidRDefault="000D492C" w:rsidP="000D492C">
      <w:pPr>
        <w:tabs>
          <w:tab w:val="left" w:pos="1440"/>
          <w:tab w:val="left" w:pos="3060"/>
        </w:tabs>
        <w:jc w:val="center"/>
        <w:rPr>
          <w:rFonts w:ascii="Arial" w:hAnsi="Arial"/>
          <w:b/>
          <w:smallCaps/>
          <w:lang w:val="es-ES_tradnl"/>
        </w:rPr>
      </w:pPr>
    </w:p>
    <w:p w14:paraId="64E03248" w14:textId="77777777" w:rsidR="00A07083" w:rsidRPr="00083600" w:rsidRDefault="00A07083" w:rsidP="000D492C">
      <w:pPr>
        <w:tabs>
          <w:tab w:val="left" w:pos="1440"/>
          <w:tab w:val="left" w:pos="3060"/>
        </w:tabs>
        <w:jc w:val="center"/>
        <w:rPr>
          <w:rFonts w:ascii="Arial" w:hAnsi="Arial"/>
          <w:b/>
          <w:smallCaps/>
          <w:lang w:val="es-ES_tradnl"/>
        </w:rPr>
      </w:pPr>
    </w:p>
    <w:p w14:paraId="54D4134D" w14:textId="191375F4" w:rsidR="000D492C" w:rsidRPr="00083600" w:rsidRDefault="000D492C" w:rsidP="000D492C">
      <w:pPr>
        <w:tabs>
          <w:tab w:val="left" w:pos="1440"/>
          <w:tab w:val="left" w:pos="3060"/>
        </w:tabs>
        <w:jc w:val="center"/>
        <w:rPr>
          <w:rFonts w:ascii="Arial" w:hAnsi="Arial"/>
          <w:b/>
          <w:smallCaps/>
          <w:lang w:val="es-ES_tradnl"/>
        </w:rPr>
      </w:pPr>
      <w:r w:rsidRPr="00083600">
        <w:rPr>
          <w:rFonts w:ascii="Arial" w:hAnsi="Arial"/>
          <w:b/>
          <w:smallCaps/>
          <w:lang w:val="es-ES_tradnl"/>
        </w:rPr>
        <w:t>Análisis de Demanda</w:t>
      </w:r>
    </w:p>
    <w:p w14:paraId="406287D5" w14:textId="77777777" w:rsidR="00045935" w:rsidRPr="00083600" w:rsidRDefault="00045935" w:rsidP="00045935">
      <w:pPr>
        <w:tabs>
          <w:tab w:val="left" w:pos="1440"/>
          <w:tab w:val="left" w:pos="3060"/>
        </w:tabs>
        <w:rPr>
          <w:rFonts w:ascii="Arial" w:hAnsi="Arial"/>
          <w:b/>
          <w:sz w:val="24"/>
          <w:lang w:val="es-ES_tradnl"/>
        </w:rPr>
      </w:pPr>
    </w:p>
    <w:p w14:paraId="48968FCC" w14:textId="53174F5D" w:rsidR="00847512" w:rsidRPr="00083600" w:rsidRDefault="00847512" w:rsidP="00045935">
      <w:pPr>
        <w:tabs>
          <w:tab w:val="left" w:pos="1440"/>
          <w:tab w:val="left" w:pos="3060"/>
        </w:tabs>
        <w:rPr>
          <w:rFonts w:ascii="Arial" w:hAnsi="Arial"/>
          <w:b/>
          <w:sz w:val="24"/>
          <w:lang w:val="es-ES_tradnl"/>
        </w:rPr>
      </w:pPr>
    </w:p>
    <w:p w14:paraId="3017C42C" w14:textId="77777777" w:rsidR="00847512" w:rsidRPr="00083600" w:rsidRDefault="00847512" w:rsidP="00045935">
      <w:pPr>
        <w:tabs>
          <w:tab w:val="left" w:pos="1440"/>
          <w:tab w:val="left" w:pos="3060"/>
        </w:tabs>
        <w:rPr>
          <w:rFonts w:ascii="Arial" w:hAnsi="Arial"/>
          <w:b/>
          <w:sz w:val="24"/>
          <w:lang w:val="es-ES_tradnl"/>
        </w:rPr>
      </w:pPr>
    </w:p>
    <w:p w14:paraId="21A3DCC7" w14:textId="5BE9943A" w:rsidR="00045935" w:rsidRPr="00083600" w:rsidRDefault="00045935" w:rsidP="00045935">
      <w:pPr>
        <w:tabs>
          <w:tab w:val="left" w:pos="1440"/>
          <w:tab w:val="left" w:pos="3060"/>
        </w:tabs>
        <w:jc w:val="center"/>
        <w:rPr>
          <w:rFonts w:ascii="Arial" w:hAnsi="Arial"/>
          <w:b/>
          <w:sz w:val="24"/>
          <w:lang w:val="es-ES_tradnl"/>
        </w:rPr>
      </w:pPr>
    </w:p>
    <w:p w14:paraId="5DAFCB6D" w14:textId="77777777" w:rsidR="00847512" w:rsidRPr="00083600" w:rsidRDefault="00847512" w:rsidP="00045935">
      <w:pPr>
        <w:tabs>
          <w:tab w:val="left" w:pos="1440"/>
          <w:tab w:val="left" w:pos="3060"/>
        </w:tabs>
        <w:jc w:val="center"/>
        <w:rPr>
          <w:rFonts w:ascii="Arial" w:hAnsi="Arial"/>
          <w:b/>
          <w:sz w:val="24"/>
          <w:lang w:val="es-ES_tradnl"/>
        </w:rPr>
      </w:pPr>
    </w:p>
    <w:p w14:paraId="26599416" w14:textId="77777777" w:rsidR="00045935" w:rsidRPr="00083600" w:rsidRDefault="00045935" w:rsidP="00045935">
      <w:pPr>
        <w:tabs>
          <w:tab w:val="left" w:pos="1440"/>
          <w:tab w:val="left" w:pos="3060"/>
        </w:tabs>
        <w:jc w:val="center"/>
        <w:rPr>
          <w:rFonts w:ascii="Arial" w:hAnsi="Arial"/>
          <w:b/>
          <w:sz w:val="24"/>
          <w:lang w:val="es-ES_tradnl"/>
        </w:rPr>
      </w:pPr>
    </w:p>
    <w:p w14:paraId="5592E902" w14:textId="6B2E6E94" w:rsidR="00045935" w:rsidRPr="00083600" w:rsidRDefault="00045935" w:rsidP="00371766">
      <w:pPr>
        <w:pStyle w:val="BodyText"/>
        <w:pBdr>
          <w:top w:val="single" w:sz="4" w:space="1" w:color="auto"/>
          <w:left w:val="single" w:sz="4" w:space="4" w:color="auto"/>
          <w:bottom w:val="single" w:sz="4" w:space="1" w:color="auto"/>
          <w:right w:val="single" w:sz="4" w:space="4" w:color="auto"/>
        </w:pBdr>
        <w:tabs>
          <w:tab w:val="left" w:pos="1440"/>
        </w:tabs>
        <w:jc w:val="center"/>
        <w:rPr>
          <w:rFonts w:ascii="Arial" w:eastAsia="Calibri" w:hAnsi="Arial"/>
          <w:lang w:val="es-ES_tradnl"/>
        </w:rPr>
      </w:pPr>
      <w:r w:rsidRPr="00083600">
        <w:rPr>
          <w:rFonts w:ascii="Arial" w:eastAsia="Calibri" w:hAnsi="Arial"/>
          <w:lang w:val="es-ES_tradnl"/>
        </w:rPr>
        <w:t>Preparado por</w:t>
      </w:r>
      <w:r w:rsidR="000D492C" w:rsidRPr="00083600">
        <w:rPr>
          <w:rFonts w:ascii="Arial" w:eastAsia="Calibri" w:hAnsi="Arial"/>
          <w:lang w:val="es-ES_tradnl"/>
        </w:rPr>
        <w:t>: Sebastian Vargas</w:t>
      </w:r>
      <w:r w:rsidRPr="00083600">
        <w:rPr>
          <w:rFonts w:ascii="Arial" w:eastAsia="Calibri" w:hAnsi="Arial"/>
          <w:lang w:val="es-ES_tradnl"/>
        </w:rPr>
        <w:t xml:space="preserve"> (IFD/CMF)</w:t>
      </w:r>
    </w:p>
    <w:p w14:paraId="0001C37A" w14:textId="77777777" w:rsidR="00045935" w:rsidRPr="00083600" w:rsidRDefault="00045935" w:rsidP="00371766">
      <w:pPr>
        <w:jc w:val="center"/>
        <w:rPr>
          <w:rFonts w:ascii="Arial" w:hAnsi="Arial"/>
          <w:highlight w:val="yellow"/>
          <w:lang w:val="es-ES_tradnl"/>
        </w:rPr>
        <w:sectPr w:rsidR="00045935" w:rsidRPr="00083600" w:rsidSect="00045935">
          <w:headerReference w:type="even" r:id="rId8"/>
          <w:headerReference w:type="default" r:id="rId9"/>
          <w:footerReference w:type="default" r:id="rId10"/>
          <w:pgSz w:w="12240" w:h="15840" w:code="1"/>
          <w:pgMar w:top="1440" w:right="1800" w:bottom="1440" w:left="1800" w:header="706" w:footer="706" w:gutter="0"/>
          <w:cols w:space="720"/>
          <w:formProt w:val="0"/>
        </w:sectPr>
      </w:pPr>
    </w:p>
    <w:p w14:paraId="5EB4D950" w14:textId="1A108D9E" w:rsidR="00045935" w:rsidRPr="007478C6" w:rsidRDefault="00045935" w:rsidP="00045935">
      <w:pPr>
        <w:pStyle w:val="Paragraph"/>
        <w:numPr>
          <w:ilvl w:val="0"/>
          <w:numId w:val="0"/>
        </w:numPr>
        <w:ind w:left="720"/>
        <w:jc w:val="center"/>
        <w:rPr>
          <w:rFonts w:ascii="Arial" w:hAnsi="Arial"/>
          <w:b/>
          <w:smallCaps/>
          <w:sz w:val="22"/>
          <w:u w:val="single"/>
          <w:lang w:val="es-ES_tradnl"/>
        </w:rPr>
      </w:pPr>
      <w:r w:rsidRPr="007478C6">
        <w:rPr>
          <w:rFonts w:ascii="Arial" w:hAnsi="Arial"/>
          <w:b/>
          <w:smallCaps/>
          <w:sz w:val="22"/>
          <w:u w:val="single"/>
          <w:lang w:val="es-ES_tradnl"/>
        </w:rPr>
        <w:lastRenderedPageBreak/>
        <w:t xml:space="preserve">Análisis de Demanda de Crédito </w:t>
      </w:r>
      <w:r w:rsidR="0090467B" w:rsidRPr="007478C6">
        <w:rPr>
          <w:rFonts w:ascii="Arial" w:hAnsi="Arial"/>
          <w:b/>
          <w:smallCaps/>
          <w:sz w:val="22"/>
          <w:u w:val="single"/>
          <w:lang w:val="es-ES_tradnl"/>
        </w:rPr>
        <w:t>a M</w:t>
      </w:r>
      <w:r w:rsidR="0001562C" w:rsidRPr="007478C6">
        <w:rPr>
          <w:rFonts w:ascii="Arial" w:hAnsi="Arial"/>
          <w:b/>
          <w:smallCaps/>
          <w:sz w:val="22"/>
          <w:u w:val="single"/>
          <w:lang w:val="es-ES_tradnl"/>
        </w:rPr>
        <w:t>y</w:t>
      </w:r>
      <w:r w:rsidR="0090467B" w:rsidRPr="007478C6">
        <w:rPr>
          <w:rFonts w:ascii="Arial" w:hAnsi="Arial"/>
          <w:b/>
          <w:smallCaps/>
          <w:sz w:val="22"/>
          <w:u w:val="single"/>
          <w:lang w:val="es-ES_tradnl"/>
        </w:rPr>
        <w:t>PE en El Salvador</w:t>
      </w:r>
    </w:p>
    <w:p w14:paraId="6D90B565" w14:textId="4E984681" w:rsidR="00045935" w:rsidRPr="007478C6" w:rsidRDefault="00045935" w:rsidP="00045935">
      <w:pPr>
        <w:pStyle w:val="Paragraph"/>
        <w:tabs>
          <w:tab w:val="clear" w:pos="2448"/>
          <w:tab w:val="num" w:pos="720"/>
        </w:tabs>
        <w:ind w:left="720" w:hanging="720"/>
        <w:rPr>
          <w:rFonts w:ascii="Arial" w:hAnsi="Arial" w:cs="Arial"/>
          <w:sz w:val="22"/>
          <w:lang w:val="es-ES_tradnl"/>
        </w:rPr>
      </w:pPr>
      <w:r w:rsidRPr="007478C6">
        <w:rPr>
          <w:rFonts w:ascii="Arial" w:hAnsi="Arial" w:cs="Arial"/>
          <w:b/>
          <w:sz w:val="22"/>
          <w:lang w:val="es-ES_tradnl"/>
        </w:rPr>
        <w:t>Espacio para la intervención pública.</w:t>
      </w:r>
      <w:r w:rsidRPr="007478C6">
        <w:rPr>
          <w:rFonts w:ascii="Arial" w:hAnsi="Arial" w:cs="Arial"/>
          <w:sz w:val="22"/>
          <w:lang w:val="es-ES_tradnl"/>
        </w:rPr>
        <w:t xml:space="preserve"> Intervenciones públicas como las apoyadas en el presente programa han de prestar particular atención a los potenciales efectos que puedan generar a partir de la interacción con el sector privado, cuyos participantes relevantes en este caso son las </w:t>
      </w:r>
      <w:r w:rsidR="0090467B" w:rsidRPr="007478C6">
        <w:rPr>
          <w:rFonts w:ascii="Arial" w:hAnsi="Arial" w:cs="Arial"/>
          <w:sz w:val="22"/>
          <w:lang w:val="es-ES_tradnl"/>
        </w:rPr>
        <w:t>M</w:t>
      </w:r>
      <w:r w:rsidR="00952C26" w:rsidRPr="007478C6">
        <w:rPr>
          <w:rFonts w:ascii="Arial" w:hAnsi="Arial" w:cs="Arial"/>
          <w:sz w:val="22"/>
          <w:lang w:val="es-ES_tradnl"/>
        </w:rPr>
        <w:t>y</w:t>
      </w:r>
      <w:r w:rsidR="0090467B" w:rsidRPr="007478C6">
        <w:rPr>
          <w:rFonts w:ascii="Arial" w:hAnsi="Arial" w:cs="Arial"/>
          <w:sz w:val="22"/>
          <w:lang w:val="es-ES_tradnl"/>
        </w:rPr>
        <w:t>PE de El Salvador</w:t>
      </w:r>
      <w:r w:rsidR="000148B9" w:rsidRPr="007478C6">
        <w:rPr>
          <w:rFonts w:ascii="Arial" w:hAnsi="Arial" w:cs="Arial"/>
          <w:sz w:val="22"/>
          <w:lang w:val="es-ES_tradnl"/>
        </w:rPr>
        <w:t>,</w:t>
      </w:r>
      <w:r w:rsidRPr="007478C6">
        <w:rPr>
          <w:rFonts w:ascii="Arial" w:hAnsi="Arial" w:cs="Arial"/>
          <w:sz w:val="22"/>
          <w:lang w:val="es-ES_tradnl"/>
        </w:rPr>
        <w:t xml:space="preserve"> pero también los actuales intermediarios financieros. En particular en lo relacionado a estos últimos es importante establecer si el accionar público será </w:t>
      </w:r>
      <w:r w:rsidR="007B401F" w:rsidRPr="007478C6">
        <w:rPr>
          <w:rFonts w:ascii="Arial" w:hAnsi="Arial" w:cs="Arial"/>
          <w:sz w:val="22"/>
          <w:lang w:val="es-ES_tradnl"/>
        </w:rPr>
        <w:t>complementario o</w:t>
      </w:r>
      <w:r w:rsidRPr="007478C6">
        <w:rPr>
          <w:rFonts w:ascii="Arial" w:hAnsi="Arial" w:cs="Arial"/>
          <w:sz w:val="22"/>
          <w:lang w:val="es-ES_tradnl"/>
        </w:rPr>
        <w:t xml:space="preserve"> substitutivo de su accionar, en particular, en lo que se refiere al volumen de crédito provisto al sector primario. Esta pregunta se encuentra relacionada al establecimiento de situaciones de racionamiento crediticio y otras restricciones al acceso al financiamiento</w:t>
      </w:r>
      <w:r w:rsidRPr="007478C6">
        <w:rPr>
          <w:rStyle w:val="FootnoteReference"/>
          <w:rFonts w:ascii="Arial" w:hAnsi="Arial" w:cs="Arial"/>
          <w:sz w:val="22"/>
          <w:lang w:val="es-ES_tradnl"/>
        </w:rPr>
        <w:footnoteReference w:id="2"/>
      </w:r>
      <w:r w:rsidRPr="007478C6">
        <w:rPr>
          <w:rFonts w:ascii="Arial" w:hAnsi="Arial" w:cs="Arial"/>
          <w:sz w:val="22"/>
          <w:lang w:val="es-ES_tradnl"/>
        </w:rPr>
        <w:t>. Resulta entonces importante justificar que la intervención no desplazará financiamiento privado existente sólo para reemplazarlo con financiamiento público –es decir, es necesario proveer evidencia de que existe una demanda de crédito insatisfecha que será parcialmente atendida con esta intervención.</w:t>
      </w:r>
    </w:p>
    <w:p w14:paraId="306C4A2A" w14:textId="63554942" w:rsidR="00216123" w:rsidRPr="007478C6" w:rsidRDefault="00045935" w:rsidP="00216123">
      <w:pPr>
        <w:pStyle w:val="Paragraph"/>
        <w:tabs>
          <w:tab w:val="clear" w:pos="2448"/>
          <w:tab w:val="num" w:pos="720"/>
        </w:tabs>
        <w:ind w:left="720" w:hanging="720"/>
        <w:rPr>
          <w:rFonts w:ascii="Arial" w:hAnsi="Arial" w:cs="Arial"/>
          <w:sz w:val="22"/>
          <w:lang w:val="es-ES_tradnl"/>
        </w:rPr>
      </w:pPr>
      <w:r w:rsidRPr="007478C6">
        <w:rPr>
          <w:rFonts w:ascii="Arial" w:hAnsi="Arial" w:cs="Arial"/>
          <w:b/>
          <w:sz w:val="22"/>
          <w:lang w:val="es-ES_tradnl"/>
        </w:rPr>
        <w:t>Alineamiento.</w:t>
      </w:r>
      <w:r w:rsidRPr="007478C6">
        <w:rPr>
          <w:rFonts w:ascii="Arial" w:hAnsi="Arial" w:cs="Arial"/>
          <w:sz w:val="22"/>
          <w:lang w:val="es-ES_tradnl"/>
        </w:rPr>
        <w:t xml:space="preserve"> La importancia del dimensionamiento de la demanda está en línea con la lógica establecida por el Documento de Marco Sectorial </w:t>
      </w:r>
      <w:r w:rsidR="00F33515" w:rsidRPr="007478C6">
        <w:rPr>
          <w:rFonts w:ascii="Arial" w:hAnsi="Arial" w:cs="Arial"/>
          <w:sz w:val="22"/>
          <w:lang w:val="es-ES_tradnl"/>
        </w:rPr>
        <w:t>s</w:t>
      </w:r>
      <w:r w:rsidRPr="007478C6">
        <w:rPr>
          <w:rFonts w:ascii="Arial" w:hAnsi="Arial" w:cs="Arial"/>
          <w:sz w:val="22"/>
          <w:lang w:val="es-ES_tradnl"/>
        </w:rPr>
        <w:t xml:space="preserve">obre </w:t>
      </w:r>
      <w:r w:rsidR="00F33515" w:rsidRPr="007478C6">
        <w:rPr>
          <w:rFonts w:ascii="Arial" w:hAnsi="Arial" w:cs="Arial"/>
          <w:sz w:val="22"/>
          <w:lang w:val="es-ES_tradnl"/>
        </w:rPr>
        <w:t>r</w:t>
      </w:r>
      <w:r w:rsidRPr="007478C6">
        <w:rPr>
          <w:rFonts w:ascii="Arial" w:hAnsi="Arial" w:cs="Arial"/>
          <w:sz w:val="22"/>
          <w:lang w:val="es-ES_tradnl"/>
        </w:rPr>
        <w:t>espaldo para P</w:t>
      </w:r>
      <w:r w:rsidR="005B4BB3" w:rsidRPr="007478C6">
        <w:rPr>
          <w:rFonts w:ascii="Arial" w:hAnsi="Arial" w:cs="Arial"/>
          <w:sz w:val="22"/>
          <w:lang w:val="es-ES_tradnl"/>
        </w:rPr>
        <w:t>y</w:t>
      </w:r>
      <w:r w:rsidRPr="007478C6">
        <w:rPr>
          <w:rFonts w:ascii="Arial" w:hAnsi="Arial" w:cs="Arial"/>
          <w:sz w:val="22"/>
          <w:lang w:val="es-ES_tradnl"/>
        </w:rPr>
        <w:t>ME y Acceso y Supervisión Financiero</w:t>
      </w:r>
      <w:r w:rsidRPr="00083600">
        <w:rPr>
          <w:rFonts w:ascii="Arial" w:hAnsi="Arial"/>
          <w:sz w:val="22"/>
          <w:vertAlign w:val="superscript"/>
          <w:lang w:val="es-ES_tradnl"/>
        </w:rPr>
        <w:footnoteReference w:id="3"/>
      </w:r>
      <w:r w:rsidRPr="007478C6">
        <w:rPr>
          <w:rFonts w:ascii="Arial" w:hAnsi="Arial" w:cs="Arial"/>
          <w:sz w:val="22"/>
          <w:lang w:val="es-ES_tradnl"/>
        </w:rPr>
        <w:t xml:space="preserve"> (o SFD, por sus siglas en inglés), que a su vez se enmarca dentro de la “Estrategia Sectorial sobre las Instituciones para el Crecimiento y el Bienestar Social” (GN-2587-</w:t>
      </w:r>
      <w:r w:rsidR="00782756" w:rsidRPr="007478C6">
        <w:rPr>
          <w:rFonts w:ascii="Arial" w:hAnsi="Arial" w:cs="Arial"/>
          <w:sz w:val="22"/>
          <w:lang w:val="es-ES_tradnl"/>
        </w:rPr>
        <w:t>4</w:t>
      </w:r>
      <w:r w:rsidRPr="007478C6">
        <w:rPr>
          <w:rFonts w:ascii="Arial" w:hAnsi="Arial" w:cs="Arial"/>
          <w:sz w:val="22"/>
          <w:lang w:val="es-ES_tradnl"/>
        </w:rPr>
        <w:t>), la cual establece dentro de sus ámbitos de acción el incremento de la productividad y el crecimiento de la Pequeña y Mediana Empresa (P</w:t>
      </w:r>
      <w:r w:rsidR="00733269" w:rsidRPr="007478C6">
        <w:rPr>
          <w:rFonts w:ascii="Arial" w:hAnsi="Arial" w:cs="Arial"/>
          <w:sz w:val="22"/>
          <w:lang w:val="es-ES_tradnl"/>
        </w:rPr>
        <w:t>y</w:t>
      </w:r>
      <w:r w:rsidRPr="007478C6">
        <w:rPr>
          <w:rFonts w:ascii="Arial" w:hAnsi="Arial" w:cs="Arial"/>
          <w:sz w:val="22"/>
          <w:lang w:val="es-ES_tradnl"/>
        </w:rPr>
        <w:t xml:space="preserve">ME). Más específicamente el referido marco señala el limitado acceso a financiamiento como uno de los factores claves que restringen la productividad y el crecimiento del sector privado, afectando particularmente a las </w:t>
      </w:r>
      <w:r w:rsidR="00563853" w:rsidRPr="007478C6">
        <w:rPr>
          <w:rFonts w:ascii="Arial" w:hAnsi="Arial" w:cs="Arial"/>
          <w:sz w:val="22"/>
          <w:lang w:val="es-ES_tradnl"/>
        </w:rPr>
        <w:t>PyME de</w:t>
      </w:r>
      <w:r w:rsidRPr="007478C6">
        <w:rPr>
          <w:rFonts w:ascii="Arial" w:hAnsi="Arial" w:cs="Arial"/>
          <w:sz w:val="22"/>
          <w:lang w:val="es-ES_tradnl"/>
        </w:rPr>
        <w:t xml:space="preserve"> las cuales las </w:t>
      </w:r>
      <w:r w:rsidR="00563853" w:rsidRPr="007478C6">
        <w:rPr>
          <w:rFonts w:ascii="Arial" w:hAnsi="Arial" w:cs="Arial"/>
          <w:sz w:val="22"/>
          <w:lang w:val="es-ES_tradnl"/>
        </w:rPr>
        <w:t>M</w:t>
      </w:r>
      <w:r w:rsidR="00782756" w:rsidRPr="007478C6">
        <w:rPr>
          <w:rFonts w:ascii="Arial" w:hAnsi="Arial" w:cs="Arial"/>
          <w:sz w:val="22"/>
          <w:lang w:val="es-ES_tradnl"/>
        </w:rPr>
        <w:t>y</w:t>
      </w:r>
      <w:r w:rsidR="00563853" w:rsidRPr="007478C6">
        <w:rPr>
          <w:rFonts w:ascii="Arial" w:hAnsi="Arial" w:cs="Arial"/>
          <w:sz w:val="22"/>
          <w:lang w:val="es-ES_tradnl"/>
        </w:rPr>
        <w:t>PE</w:t>
      </w:r>
      <w:r w:rsidRPr="007478C6">
        <w:rPr>
          <w:rFonts w:ascii="Arial" w:hAnsi="Arial" w:cs="Arial"/>
          <w:sz w:val="22"/>
          <w:lang w:val="es-ES_tradnl"/>
        </w:rPr>
        <w:t xml:space="preserve"> son un caso particular. En línea con los objetivos del programa propuesto establecidos en la </w:t>
      </w:r>
      <w:hyperlink r:id="rId11" w:history="1">
        <w:r w:rsidRPr="007478C6">
          <w:rPr>
            <w:rStyle w:val="Hyperlink"/>
            <w:rFonts w:ascii="Arial" w:hAnsi="Arial" w:cs="Arial"/>
            <w:sz w:val="22"/>
            <w:lang w:val="es-ES_tradnl"/>
          </w:rPr>
          <w:t>Matriz de Resultados</w:t>
        </w:r>
      </w:hyperlink>
      <w:r w:rsidRPr="007478C6">
        <w:rPr>
          <w:rFonts w:ascii="Arial" w:hAnsi="Arial" w:cs="Arial"/>
          <w:sz w:val="22"/>
          <w:lang w:val="es-ES_tradnl"/>
        </w:rPr>
        <w:t xml:space="preserve">, el programa busca </w:t>
      </w:r>
      <w:r w:rsidRPr="00083600">
        <w:rPr>
          <w:rFonts w:ascii="Arial" w:hAnsi="Arial"/>
          <w:sz w:val="22"/>
          <w:lang w:val="es-ES_tradnl"/>
        </w:rPr>
        <w:t xml:space="preserve">contribuir a elevar la productividad del sector primario, mediante un mayor acceso a financiamiento por parte de las </w:t>
      </w:r>
      <w:r w:rsidR="00563853" w:rsidRPr="00083600">
        <w:rPr>
          <w:rFonts w:ascii="Arial" w:hAnsi="Arial"/>
          <w:sz w:val="22"/>
          <w:lang w:val="es-ES_tradnl"/>
        </w:rPr>
        <w:t>M</w:t>
      </w:r>
      <w:r w:rsidR="00912DFA" w:rsidRPr="00083600">
        <w:rPr>
          <w:rFonts w:ascii="Arial" w:hAnsi="Arial"/>
          <w:sz w:val="22"/>
          <w:lang w:val="es-ES_tradnl"/>
        </w:rPr>
        <w:t>y</w:t>
      </w:r>
      <w:r w:rsidR="00563853" w:rsidRPr="00083600">
        <w:rPr>
          <w:rFonts w:ascii="Arial" w:hAnsi="Arial"/>
          <w:sz w:val="22"/>
          <w:lang w:val="es-ES_tradnl"/>
        </w:rPr>
        <w:t>PE</w:t>
      </w:r>
      <w:r w:rsidRPr="00083600">
        <w:rPr>
          <w:rFonts w:ascii="Arial" w:hAnsi="Arial"/>
          <w:sz w:val="22"/>
          <w:lang w:val="es-ES_tradnl"/>
        </w:rPr>
        <w:t>, en particular aquellas de menor inclusión financiera, para realizar inversiones</w:t>
      </w:r>
      <w:r w:rsidR="00563853" w:rsidRPr="00083600">
        <w:rPr>
          <w:rFonts w:ascii="Arial" w:hAnsi="Arial"/>
          <w:sz w:val="22"/>
          <w:lang w:val="es-ES_tradnl"/>
        </w:rPr>
        <w:t xml:space="preserve"> y capitalizaciones</w:t>
      </w:r>
      <w:r w:rsidRPr="00083600">
        <w:rPr>
          <w:rFonts w:ascii="Arial" w:hAnsi="Arial"/>
          <w:sz w:val="22"/>
          <w:lang w:val="es-ES_tradnl"/>
        </w:rPr>
        <w:t xml:space="preserve"> productivas</w:t>
      </w:r>
      <w:r w:rsidRPr="007478C6">
        <w:rPr>
          <w:rFonts w:ascii="Arial" w:hAnsi="Arial" w:cs="Arial"/>
          <w:sz w:val="22"/>
          <w:lang w:val="es-ES_tradnl"/>
        </w:rPr>
        <w:t>.</w:t>
      </w:r>
    </w:p>
    <w:p w14:paraId="143B2A50" w14:textId="302A0784" w:rsidR="00216123" w:rsidRPr="007478C6" w:rsidRDefault="00216123" w:rsidP="00F970DF">
      <w:pPr>
        <w:pStyle w:val="Paragraph"/>
        <w:tabs>
          <w:tab w:val="clear" w:pos="2448"/>
          <w:tab w:val="num" w:pos="720"/>
        </w:tabs>
        <w:ind w:left="720" w:hanging="720"/>
        <w:rPr>
          <w:rFonts w:ascii="Arial" w:hAnsi="Arial" w:cs="Arial"/>
          <w:sz w:val="22"/>
          <w:lang w:val="es-ES_tradnl"/>
        </w:rPr>
      </w:pPr>
      <w:r w:rsidRPr="007478C6">
        <w:rPr>
          <w:rFonts w:ascii="Arial" w:hAnsi="Arial" w:cs="Arial"/>
          <w:b/>
          <w:sz w:val="22"/>
          <w:lang w:val="es-ES_tradnl"/>
        </w:rPr>
        <w:t xml:space="preserve">Caracterización de la </w:t>
      </w:r>
      <w:proofErr w:type="spellStart"/>
      <w:r w:rsidRPr="007478C6">
        <w:rPr>
          <w:rFonts w:ascii="Arial" w:hAnsi="Arial" w:cs="Arial"/>
          <w:b/>
          <w:sz w:val="22"/>
          <w:lang w:val="es-ES_tradnl"/>
        </w:rPr>
        <w:t>MyPE</w:t>
      </w:r>
      <w:proofErr w:type="spellEnd"/>
      <w:r w:rsidRPr="007478C6">
        <w:rPr>
          <w:rFonts w:ascii="Arial" w:hAnsi="Arial" w:cs="Arial"/>
          <w:b/>
          <w:sz w:val="22"/>
          <w:lang w:val="es-ES_tradnl"/>
        </w:rPr>
        <w:t xml:space="preserve"> salvadoreña</w:t>
      </w:r>
      <w:r w:rsidR="009A0294" w:rsidRPr="007478C6">
        <w:rPr>
          <w:rFonts w:ascii="Arial" w:hAnsi="Arial" w:cs="Arial"/>
          <w:b/>
          <w:sz w:val="22"/>
          <w:lang w:val="es-ES_tradnl"/>
        </w:rPr>
        <w:t>.</w:t>
      </w:r>
      <w:r w:rsidRPr="007478C6">
        <w:rPr>
          <w:rFonts w:ascii="Arial" w:hAnsi="Arial" w:cs="Arial"/>
          <w:sz w:val="22"/>
          <w:lang w:val="es-ES_tradnl"/>
        </w:rPr>
        <w:t xml:space="preserve"> Las </w:t>
      </w:r>
      <w:proofErr w:type="spellStart"/>
      <w:r w:rsidRPr="007478C6">
        <w:rPr>
          <w:rFonts w:ascii="Arial" w:hAnsi="Arial" w:cs="Arial"/>
          <w:sz w:val="22"/>
          <w:lang w:val="es-ES_tradnl"/>
        </w:rPr>
        <w:t>MyPE</w:t>
      </w:r>
      <w:proofErr w:type="spellEnd"/>
      <w:r w:rsidRPr="007478C6">
        <w:rPr>
          <w:rFonts w:ascii="Arial" w:hAnsi="Arial" w:cs="Arial"/>
          <w:sz w:val="22"/>
          <w:vertAlign w:val="superscript"/>
          <w:lang w:val="es-ES_tradnl"/>
        </w:rPr>
        <w:footnoteReference w:id="4"/>
      </w:r>
      <w:r w:rsidRPr="007478C6">
        <w:rPr>
          <w:rFonts w:ascii="Arial" w:hAnsi="Arial" w:cs="Arial"/>
          <w:sz w:val="22"/>
          <w:lang w:val="es-ES_tradnl"/>
        </w:rPr>
        <w:t xml:space="preserve"> tienen una gran importancia en términos de su impacto en la actividad económica en El</w:t>
      </w:r>
      <w:r w:rsidR="009A0294" w:rsidRPr="007478C6">
        <w:rPr>
          <w:rFonts w:ascii="Arial" w:hAnsi="Arial" w:cs="Arial"/>
          <w:sz w:val="22"/>
          <w:lang w:val="es-ES_tradnl"/>
        </w:rPr>
        <w:t> </w:t>
      </w:r>
      <w:r w:rsidRPr="007478C6">
        <w:rPr>
          <w:rFonts w:ascii="Arial" w:hAnsi="Arial" w:cs="Arial"/>
          <w:sz w:val="22"/>
          <w:lang w:val="es-ES_tradnl"/>
        </w:rPr>
        <w:t>Salvador. De acuerdo con cifras de la Superintendencia de Competencia de El Salvador</w:t>
      </w:r>
      <w:r w:rsidRPr="007478C6">
        <w:rPr>
          <w:rFonts w:ascii="Arial" w:hAnsi="Arial" w:cs="Arial"/>
          <w:sz w:val="22"/>
          <w:vertAlign w:val="superscript"/>
          <w:lang w:val="es-ES_tradnl"/>
        </w:rPr>
        <w:footnoteReference w:id="5"/>
      </w:r>
      <w:r w:rsidRPr="007478C6">
        <w:rPr>
          <w:rFonts w:ascii="Arial" w:hAnsi="Arial" w:cs="Arial"/>
          <w:sz w:val="22"/>
          <w:lang w:val="es-ES_tradnl"/>
        </w:rPr>
        <w:t xml:space="preserve"> </w:t>
      </w:r>
      <w:r w:rsidR="009A0294" w:rsidRPr="007478C6">
        <w:rPr>
          <w:rFonts w:ascii="Arial" w:hAnsi="Arial" w:cs="Arial"/>
          <w:sz w:val="22"/>
          <w:lang w:val="es-ES_tradnl"/>
        </w:rPr>
        <w:t xml:space="preserve">la </w:t>
      </w:r>
      <w:proofErr w:type="spellStart"/>
      <w:r w:rsidR="009A0294" w:rsidRPr="007478C6">
        <w:rPr>
          <w:rFonts w:ascii="Arial" w:hAnsi="Arial" w:cs="Arial"/>
          <w:sz w:val="22"/>
          <w:lang w:val="es-ES_tradnl"/>
        </w:rPr>
        <w:t>MyPE</w:t>
      </w:r>
      <w:proofErr w:type="spellEnd"/>
      <w:r w:rsidR="009A0294" w:rsidRPr="007478C6">
        <w:rPr>
          <w:rFonts w:ascii="Arial" w:hAnsi="Arial" w:cs="Arial"/>
          <w:sz w:val="22"/>
          <w:lang w:val="es-ES_tradnl"/>
        </w:rPr>
        <w:t xml:space="preserve"> </w:t>
      </w:r>
      <w:r w:rsidRPr="007478C6">
        <w:rPr>
          <w:rFonts w:ascii="Arial" w:hAnsi="Arial" w:cs="Arial"/>
          <w:sz w:val="22"/>
          <w:lang w:val="es-ES_tradnl"/>
        </w:rPr>
        <w:t>representan el 35% del PIB, el 99,3% del parque empresarial y son responsables de la generación del 67,6% del empleo. En El</w:t>
      </w:r>
      <w:r w:rsidR="009A0294" w:rsidRPr="007478C6">
        <w:rPr>
          <w:rFonts w:ascii="Arial" w:hAnsi="Arial" w:cs="Arial"/>
          <w:sz w:val="22"/>
          <w:lang w:val="es-ES_tradnl"/>
        </w:rPr>
        <w:t> </w:t>
      </w:r>
      <w:r w:rsidRPr="007478C6">
        <w:rPr>
          <w:rFonts w:ascii="Arial" w:hAnsi="Arial" w:cs="Arial"/>
          <w:sz w:val="22"/>
          <w:lang w:val="es-ES_tradnl"/>
        </w:rPr>
        <w:t xml:space="preserve">Salvador, se estima que existen alrededor de 317.795 </w:t>
      </w:r>
      <w:proofErr w:type="spellStart"/>
      <w:r w:rsidRPr="007478C6">
        <w:rPr>
          <w:rFonts w:ascii="Arial" w:hAnsi="Arial" w:cs="Arial"/>
          <w:sz w:val="22"/>
          <w:lang w:val="es-ES_tradnl"/>
        </w:rPr>
        <w:t>MyPE</w:t>
      </w:r>
      <w:proofErr w:type="spellEnd"/>
      <w:r w:rsidRPr="007478C6">
        <w:rPr>
          <w:rFonts w:ascii="Arial" w:hAnsi="Arial" w:cs="Arial"/>
          <w:sz w:val="22"/>
          <w:lang w:val="es-ES_tradnl"/>
        </w:rPr>
        <w:t xml:space="preserve">, de las cuales el 60,8% son microempresas, el 33,9% son emprendimientos y el 2,32% son </w:t>
      </w:r>
      <w:r w:rsidRPr="007478C6">
        <w:rPr>
          <w:rFonts w:ascii="Arial" w:hAnsi="Arial" w:cs="Arial"/>
          <w:sz w:val="22"/>
          <w:lang w:val="es-ES_tradnl"/>
        </w:rPr>
        <w:lastRenderedPageBreak/>
        <w:t>pequeñas empresas</w:t>
      </w:r>
      <w:r w:rsidRPr="007478C6">
        <w:rPr>
          <w:rFonts w:ascii="Arial" w:hAnsi="Arial" w:cs="Arial"/>
          <w:sz w:val="22"/>
          <w:vertAlign w:val="superscript"/>
          <w:lang w:val="es-ES_tradnl"/>
        </w:rPr>
        <w:footnoteReference w:id="6"/>
      </w:r>
      <w:r w:rsidRPr="007478C6">
        <w:rPr>
          <w:rFonts w:ascii="Arial" w:hAnsi="Arial" w:cs="Arial"/>
          <w:sz w:val="22"/>
          <w:lang w:val="es-ES_tradnl"/>
        </w:rPr>
        <w:t xml:space="preserve">. Las </w:t>
      </w:r>
      <w:proofErr w:type="spellStart"/>
      <w:r w:rsidRPr="007478C6">
        <w:rPr>
          <w:rFonts w:ascii="Arial" w:hAnsi="Arial" w:cs="Arial"/>
          <w:sz w:val="22"/>
          <w:lang w:val="es-ES_tradnl"/>
        </w:rPr>
        <w:t>MyPE</w:t>
      </w:r>
      <w:proofErr w:type="spellEnd"/>
      <w:r w:rsidRPr="007478C6">
        <w:rPr>
          <w:rFonts w:ascii="Arial" w:hAnsi="Arial" w:cs="Arial"/>
          <w:sz w:val="22"/>
          <w:lang w:val="es-ES_tradnl"/>
        </w:rPr>
        <w:t xml:space="preserve"> salvadoreñas se dedican principalmente a los sectores económicos de comercio (51,8%), servicios (32,26%) e industria y manufactura (15,4%). El 59,39% de las </w:t>
      </w:r>
      <w:proofErr w:type="spellStart"/>
      <w:r w:rsidRPr="007478C6">
        <w:rPr>
          <w:rFonts w:ascii="Arial" w:hAnsi="Arial" w:cs="Arial"/>
          <w:sz w:val="22"/>
          <w:lang w:val="es-ES_tradnl"/>
        </w:rPr>
        <w:t>MyPE</w:t>
      </w:r>
      <w:proofErr w:type="spellEnd"/>
      <w:r w:rsidRPr="007478C6">
        <w:rPr>
          <w:rFonts w:ascii="Arial" w:hAnsi="Arial" w:cs="Arial"/>
          <w:sz w:val="22"/>
          <w:lang w:val="es-ES_tradnl"/>
        </w:rPr>
        <w:t xml:space="preserve"> son propiedad de mujeres, quienes también representan el mayor porcentaje de personas ocupadas con el 54,2%.</w:t>
      </w:r>
    </w:p>
    <w:p w14:paraId="7355C158" w14:textId="0CC2BD6E" w:rsidR="00216123" w:rsidRPr="007478C6" w:rsidRDefault="00216123" w:rsidP="00F970DF">
      <w:pPr>
        <w:pStyle w:val="Paragraph"/>
        <w:tabs>
          <w:tab w:val="clear" w:pos="2448"/>
          <w:tab w:val="num" w:pos="720"/>
        </w:tabs>
        <w:ind w:left="720" w:hanging="720"/>
        <w:rPr>
          <w:rFonts w:ascii="Arial" w:hAnsi="Arial" w:cs="Arial"/>
          <w:sz w:val="22"/>
          <w:lang w:val="es-ES_tradnl"/>
        </w:rPr>
      </w:pPr>
      <w:r w:rsidRPr="007478C6">
        <w:rPr>
          <w:rFonts w:ascii="Arial" w:hAnsi="Arial" w:cs="Arial"/>
          <w:b/>
          <w:bCs/>
          <w:sz w:val="22"/>
          <w:lang w:val="es-ES_tradnl"/>
        </w:rPr>
        <w:t xml:space="preserve">Financiamiento de las </w:t>
      </w:r>
      <w:proofErr w:type="spellStart"/>
      <w:r w:rsidRPr="007478C6">
        <w:rPr>
          <w:rFonts w:ascii="Arial" w:hAnsi="Arial" w:cs="Arial"/>
          <w:b/>
          <w:bCs/>
          <w:sz w:val="22"/>
          <w:lang w:val="es-ES_tradnl"/>
        </w:rPr>
        <w:t>MyPE</w:t>
      </w:r>
      <w:proofErr w:type="spellEnd"/>
      <w:r w:rsidRPr="007478C6">
        <w:rPr>
          <w:rFonts w:ascii="Arial" w:hAnsi="Arial" w:cs="Arial"/>
          <w:b/>
          <w:bCs/>
          <w:sz w:val="22"/>
          <w:lang w:val="es-ES_tradnl"/>
        </w:rPr>
        <w:t xml:space="preserve"> en </w:t>
      </w:r>
      <w:r w:rsidR="00083600">
        <w:rPr>
          <w:rFonts w:ascii="Arial" w:hAnsi="Arial" w:cs="Arial"/>
          <w:b/>
          <w:bCs/>
          <w:sz w:val="22"/>
          <w:lang w:val="es-ES_tradnl"/>
        </w:rPr>
        <w:t>E</w:t>
      </w:r>
      <w:r w:rsidRPr="007478C6">
        <w:rPr>
          <w:rFonts w:ascii="Arial" w:hAnsi="Arial" w:cs="Arial"/>
          <w:b/>
          <w:bCs/>
          <w:sz w:val="22"/>
          <w:lang w:val="es-ES_tradnl"/>
        </w:rPr>
        <w:t>l Salvador: Perspectiva de la demanda.</w:t>
      </w:r>
      <w:r w:rsidRPr="007478C6">
        <w:rPr>
          <w:rFonts w:ascii="Arial" w:hAnsi="Arial" w:cs="Arial"/>
          <w:sz w:val="22"/>
          <w:lang w:val="es-ES_tradnl"/>
        </w:rPr>
        <w:t xml:space="preserve"> El insuficiente acceso a financiamiento por parte de las </w:t>
      </w:r>
      <w:proofErr w:type="spellStart"/>
      <w:r w:rsidRPr="007478C6">
        <w:rPr>
          <w:rFonts w:ascii="Arial" w:hAnsi="Arial" w:cs="Arial"/>
          <w:sz w:val="22"/>
          <w:lang w:val="es-ES_tradnl"/>
        </w:rPr>
        <w:t>MyPE</w:t>
      </w:r>
      <w:proofErr w:type="spellEnd"/>
      <w:r w:rsidRPr="007478C6">
        <w:rPr>
          <w:rFonts w:ascii="Arial" w:hAnsi="Arial" w:cs="Arial"/>
          <w:sz w:val="22"/>
          <w:lang w:val="es-ES_tradnl"/>
        </w:rPr>
        <w:t xml:space="preserve"> constituye un obstáculo crítico para mejorar las condiciones de los factores de crecimiento y de oportunidades económicas, especialmente en territorios más alejados. El acceso a financiamiento para fines productivos facilita la disponibilidad de capital de trabajo para la compra de materias primas y el incremento de su escala, y permite realizar inversiones en equipamiento e infraestructuras, reconversión de actividades productivas, y adopción de nuevas tecnologías y capacidades técnico</w:t>
      </w:r>
      <w:r w:rsidRPr="007478C6">
        <w:rPr>
          <w:rFonts w:ascii="Arial" w:hAnsi="Arial" w:cs="Arial"/>
          <w:sz w:val="22"/>
          <w:lang w:val="es-ES_tradnl"/>
        </w:rPr>
        <w:noBreakHyphen/>
        <w:t xml:space="preserve">productivas sostenibles. Estas se traducen en una mayor rentabilidad, capacidad de participar en los mercados y sostenibilidad de emprendimientos. La eliminación de restricciones de acceso al crédito incrementaría el número de las </w:t>
      </w:r>
      <w:proofErr w:type="spellStart"/>
      <w:r w:rsidRPr="007478C6">
        <w:rPr>
          <w:rFonts w:ascii="Arial" w:hAnsi="Arial" w:cs="Arial"/>
          <w:sz w:val="22"/>
          <w:lang w:val="es-ES_tradnl"/>
        </w:rPr>
        <w:t>MyPE</w:t>
      </w:r>
      <w:proofErr w:type="spellEnd"/>
      <w:r w:rsidRPr="007478C6">
        <w:rPr>
          <w:rFonts w:ascii="Arial" w:hAnsi="Arial" w:cs="Arial"/>
          <w:sz w:val="22"/>
          <w:lang w:val="es-ES_tradnl"/>
        </w:rPr>
        <w:t xml:space="preserve"> que invierten, la magnitud de estas inversiones, la escala de las actividades y la generación de empleo e ingresos para la población, contribuyendo a romper el ciclo de baja inversión, bajo nivel de escala y bajo nivel de actividad.</w:t>
      </w:r>
    </w:p>
    <w:p w14:paraId="5BAA9A13" w14:textId="77777777" w:rsidR="00216123" w:rsidRPr="007478C6" w:rsidRDefault="00216123" w:rsidP="00F970DF">
      <w:pPr>
        <w:pStyle w:val="Paragraph"/>
        <w:tabs>
          <w:tab w:val="clear" w:pos="2448"/>
          <w:tab w:val="num" w:pos="720"/>
        </w:tabs>
        <w:ind w:left="720" w:hanging="720"/>
        <w:rPr>
          <w:rFonts w:ascii="Arial" w:hAnsi="Arial" w:cs="Arial"/>
          <w:sz w:val="22"/>
          <w:lang w:val="es-ES_tradnl"/>
        </w:rPr>
      </w:pPr>
      <w:r w:rsidRPr="007478C6">
        <w:rPr>
          <w:rFonts w:ascii="Arial" w:hAnsi="Arial" w:cs="Arial"/>
          <w:sz w:val="22"/>
          <w:lang w:val="es-ES_tradnl"/>
        </w:rPr>
        <w:t xml:space="preserve">Por sectores económicos de destino, las empresas que tuvieron acceso al crédito pertenecían mayoritariamente al sector comercio (53,4%), seguido por servicios (31,9%), e industria y manufactura (14,2%). En general, el destino de los créditos solicitados se dirige mayoritariamente a satisfacer la demanda por capital de trabajo (82,5%), seguido por la compra de materia prima e insumos (7,2%), la compra de nueva maquinaria o equipo (6,1%), como principales destinos. </w:t>
      </w:r>
      <w:bookmarkStart w:id="1" w:name="_Ref21986605"/>
    </w:p>
    <w:p w14:paraId="22D9611C" w14:textId="77777777" w:rsidR="00216123" w:rsidRPr="007478C6" w:rsidRDefault="00216123" w:rsidP="00F970DF">
      <w:pPr>
        <w:pStyle w:val="Paragraph"/>
        <w:tabs>
          <w:tab w:val="clear" w:pos="2448"/>
          <w:tab w:val="num" w:pos="720"/>
        </w:tabs>
        <w:ind w:left="720" w:hanging="720"/>
        <w:rPr>
          <w:rFonts w:ascii="Arial" w:hAnsi="Arial" w:cs="Arial"/>
          <w:sz w:val="22"/>
          <w:lang w:val="es-ES_tradnl"/>
        </w:rPr>
      </w:pPr>
      <w:r w:rsidRPr="007478C6">
        <w:rPr>
          <w:rFonts w:ascii="Arial" w:hAnsi="Arial" w:cs="Arial"/>
          <w:sz w:val="22"/>
          <w:lang w:val="es-ES_tradnl"/>
        </w:rPr>
        <w:t xml:space="preserve">El financiamiento de la </w:t>
      </w:r>
      <w:proofErr w:type="spellStart"/>
      <w:r w:rsidRPr="007478C6">
        <w:rPr>
          <w:rFonts w:ascii="Arial" w:hAnsi="Arial" w:cs="Arial"/>
          <w:sz w:val="22"/>
          <w:lang w:val="es-ES_tradnl"/>
        </w:rPr>
        <w:t>MyPE</w:t>
      </w:r>
      <w:proofErr w:type="spellEnd"/>
      <w:r w:rsidRPr="007478C6">
        <w:rPr>
          <w:rFonts w:ascii="Arial" w:hAnsi="Arial" w:cs="Arial"/>
          <w:sz w:val="22"/>
          <w:lang w:val="es-ES_tradnl"/>
        </w:rPr>
        <w:t xml:space="preserve">, desde el inicio de sus operaciones, se hace mayoritariamente con recursos propios o préstamos de familiares y amistades (76,8%), seguido por la banca comercial o privada y el sistema cooperativo (14,2%), prestamistas informales (3,2%), y las entidades financieras públicas (1,5%). </w:t>
      </w:r>
      <w:r w:rsidRPr="007478C6">
        <w:rPr>
          <w:rFonts w:ascii="Arial" w:hAnsi="Arial" w:cs="Arial"/>
          <w:spacing w:val="-4"/>
          <w:sz w:val="22"/>
          <w:lang w:val="es-ES_tradnl"/>
        </w:rPr>
        <w:t>Ahora bien, en el acceso al sistema financiero formal</w:t>
      </w:r>
      <w:r w:rsidRPr="007478C6">
        <w:rPr>
          <w:rStyle w:val="FootnoteReference"/>
          <w:rFonts w:ascii="Arial" w:hAnsi="Arial" w:cs="Arial"/>
          <w:spacing w:val="-4"/>
          <w:sz w:val="22"/>
          <w:lang w:val="es-ES_tradnl"/>
        </w:rPr>
        <w:footnoteReference w:id="7"/>
      </w:r>
      <w:r w:rsidRPr="007478C6">
        <w:rPr>
          <w:rFonts w:ascii="Arial" w:hAnsi="Arial" w:cs="Arial"/>
          <w:spacing w:val="-4"/>
          <w:sz w:val="22"/>
          <w:lang w:val="es-ES_tradnl"/>
        </w:rPr>
        <w:t xml:space="preserve"> se encuentran diferencias por tamaño de empresa: la microempresa tiene un menor acceso con un 12% de financiamientos, mientras que la pequeña alcanza a un 20%. </w:t>
      </w:r>
      <w:r w:rsidRPr="007478C6">
        <w:rPr>
          <w:rFonts w:ascii="Arial" w:hAnsi="Arial" w:cs="Arial"/>
          <w:sz w:val="22"/>
          <w:lang w:val="es-ES_tradnl"/>
        </w:rPr>
        <w:t xml:space="preserve">Este hecho tiene una correlación implícita con los niveles de formalidad de las empresas: más formalidad implica mayor facilidad para financiarse a través del sector financiero. </w:t>
      </w:r>
      <w:bookmarkStart w:id="2" w:name="OLE_LINK7"/>
      <w:bookmarkStart w:id="3" w:name="OLE_LINK8"/>
      <w:r w:rsidRPr="007478C6">
        <w:rPr>
          <w:rFonts w:ascii="Arial" w:hAnsi="Arial" w:cs="Arial"/>
          <w:sz w:val="22"/>
          <w:lang w:val="es-ES_tradnl"/>
        </w:rPr>
        <w:t xml:space="preserve">Desde una perspectiva de género, el 76% de los emprendimientos de mujeres son financiados con recursos propios y préstamos de familiares y amigos, frente a 46% en el caso de los hombres, constituyéndose en una importante brecha. Por otra parte, destaca que el 16,32% de mujeres acuden al sector financiero formal. A pesar de que esta cifra es mayor que la del promedio de las </w:t>
      </w:r>
      <w:proofErr w:type="spellStart"/>
      <w:r w:rsidRPr="007478C6">
        <w:rPr>
          <w:rFonts w:ascii="Arial" w:hAnsi="Arial" w:cs="Arial"/>
          <w:sz w:val="22"/>
          <w:lang w:val="es-ES_tradnl"/>
        </w:rPr>
        <w:t>MyPE</w:t>
      </w:r>
      <w:proofErr w:type="spellEnd"/>
      <w:r w:rsidRPr="007478C6">
        <w:rPr>
          <w:rFonts w:ascii="Arial" w:hAnsi="Arial" w:cs="Arial"/>
          <w:sz w:val="22"/>
          <w:lang w:val="es-ES_tradnl"/>
        </w:rPr>
        <w:t>, resulta importante resaltar que una importante barrera de acceso resulta ser la falta de activos a nombre de la mujer. Esta última cifra implica un reto para reducir la brecha de financiamiento a este colectivo en particular</w:t>
      </w:r>
      <w:bookmarkEnd w:id="2"/>
      <w:bookmarkEnd w:id="3"/>
      <w:r w:rsidRPr="007478C6">
        <w:rPr>
          <w:rFonts w:ascii="Arial" w:hAnsi="Arial" w:cs="Arial"/>
          <w:sz w:val="22"/>
          <w:lang w:val="es-ES_tradnl"/>
        </w:rPr>
        <w:t>.</w:t>
      </w:r>
      <w:bookmarkEnd w:id="1"/>
      <w:r w:rsidRPr="007478C6">
        <w:rPr>
          <w:rFonts w:ascii="Arial" w:hAnsi="Arial" w:cs="Arial"/>
          <w:sz w:val="22"/>
          <w:lang w:val="es-ES_tradnl"/>
        </w:rPr>
        <w:t xml:space="preserve"> </w:t>
      </w:r>
    </w:p>
    <w:p w14:paraId="5FD92281" w14:textId="5305DC18" w:rsidR="00216123" w:rsidRPr="007478C6" w:rsidRDefault="00216123" w:rsidP="00B32C85">
      <w:pPr>
        <w:pStyle w:val="Paragraph"/>
        <w:tabs>
          <w:tab w:val="clear" w:pos="2448"/>
          <w:tab w:val="num" w:pos="720"/>
        </w:tabs>
        <w:ind w:left="720" w:hanging="720"/>
        <w:rPr>
          <w:rFonts w:ascii="Arial" w:hAnsi="Arial" w:cs="Arial"/>
          <w:sz w:val="22"/>
          <w:lang w:val="es-ES_tradnl"/>
        </w:rPr>
      </w:pPr>
      <w:r w:rsidRPr="007478C6">
        <w:rPr>
          <w:rFonts w:ascii="Arial" w:hAnsi="Arial" w:cs="Arial"/>
          <w:sz w:val="22"/>
          <w:lang w:val="es-ES_tradnl"/>
        </w:rPr>
        <w:t xml:space="preserve">Otras fallas de mercado que debería atender la banca pública para financiar el desarrollo productivo están relacionadas con: (i) las condiciones de los </w:t>
      </w:r>
      <w:r w:rsidRPr="007478C6">
        <w:rPr>
          <w:rFonts w:ascii="Arial" w:hAnsi="Arial" w:cs="Arial"/>
          <w:sz w:val="22"/>
          <w:lang w:val="es-ES_tradnl"/>
        </w:rPr>
        <w:lastRenderedPageBreak/>
        <w:t xml:space="preserve">préstamos, dado que los plazos otorgados a </w:t>
      </w:r>
      <w:proofErr w:type="spellStart"/>
      <w:r w:rsidRPr="007478C6">
        <w:rPr>
          <w:rFonts w:ascii="Arial" w:hAnsi="Arial" w:cs="Arial"/>
          <w:sz w:val="22"/>
          <w:lang w:val="es-ES_tradnl"/>
        </w:rPr>
        <w:t>MyPE</w:t>
      </w:r>
      <w:proofErr w:type="spellEnd"/>
      <w:r w:rsidRPr="007478C6">
        <w:rPr>
          <w:rFonts w:ascii="Arial" w:hAnsi="Arial" w:cs="Arial"/>
          <w:sz w:val="22"/>
          <w:lang w:val="es-ES_tradnl"/>
        </w:rPr>
        <w:t xml:space="preserve"> en El Salvador se concentran en el corto plazo (hasta 6 meses un 43% y de 6 a 12 meses un 32%, de los créditos individuales)</w:t>
      </w:r>
      <w:r w:rsidRPr="007478C6">
        <w:rPr>
          <w:rFonts w:ascii="Arial" w:hAnsi="Arial" w:cs="Arial"/>
          <w:sz w:val="22"/>
          <w:szCs w:val="18"/>
          <w:vertAlign w:val="superscript"/>
          <w:lang w:val="es-ES_tradnl"/>
        </w:rPr>
        <w:footnoteReference w:id="8"/>
      </w:r>
      <w:r w:rsidRPr="007478C6">
        <w:rPr>
          <w:rFonts w:ascii="Arial" w:hAnsi="Arial" w:cs="Arial"/>
          <w:sz w:val="22"/>
          <w:lang w:val="es-ES_tradnl"/>
        </w:rPr>
        <w:t>; y (</w:t>
      </w:r>
      <w:proofErr w:type="spellStart"/>
      <w:r w:rsidRPr="007478C6">
        <w:rPr>
          <w:rFonts w:ascii="Arial" w:hAnsi="Arial" w:cs="Arial"/>
          <w:sz w:val="22"/>
          <w:lang w:val="es-ES_tradnl"/>
        </w:rPr>
        <w:t>ii</w:t>
      </w:r>
      <w:proofErr w:type="spellEnd"/>
      <w:r w:rsidRPr="007478C6">
        <w:rPr>
          <w:rFonts w:ascii="Arial" w:hAnsi="Arial" w:cs="Arial"/>
          <w:sz w:val="22"/>
          <w:lang w:val="es-ES_tradnl"/>
        </w:rPr>
        <w:t>) la inclusión financiera en todos los territorios, en donde existe una alta concentración de crédito en la zona central y una baja penetración en municipios con mayor grado de marginación.</w:t>
      </w:r>
    </w:p>
    <w:p w14:paraId="38DBCB8B" w14:textId="228F93B9" w:rsidR="00216123" w:rsidRPr="007478C6" w:rsidRDefault="00216123" w:rsidP="00216123">
      <w:pPr>
        <w:pStyle w:val="Paragraph"/>
        <w:tabs>
          <w:tab w:val="clear" w:pos="2448"/>
          <w:tab w:val="num" w:pos="720"/>
        </w:tabs>
        <w:ind w:left="720" w:hanging="720"/>
        <w:rPr>
          <w:rFonts w:ascii="Arial" w:hAnsi="Arial" w:cs="Arial"/>
          <w:sz w:val="22"/>
          <w:lang w:val="es-ES_tradnl"/>
        </w:rPr>
      </w:pPr>
      <w:r w:rsidRPr="007478C6">
        <w:rPr>
          <w:rFonts w:ascii="Arial" w:hAnsi="Arial" w:cs="Arial"/>
          <w:sz w:val="22"/>
          <w:lang w:val="es-ES_tradnl"/>
        </w:rPr>
        <w:t xml:space="preserve">Ahora bien, de acuerdo con un estudio de la Superintendencia de Competencia de El Salvador (2017), a partir de la vigencia de la Ley de Usura, las tasas de interés cobradas a las </w:t>
      </w:r>
      <w:proofErr w:type="spellStart"/>
      <w:r w:rsidRPr="007478C6">
        <w:rPr>
          <w:rFonts w:ascii="Arial" w:hAnsi="Arial" w:cs="Arial"/>
          <w:sz w:val="22"/>
          <w:lang w:val="es-ES_tradnl"/>
        </w:rPr>
        <w:t>MyPE</w:t>
      </w:r>
      <w:proofErr w:type="spellEnd"/>
      <w:r w:rsidRPr="007478C6">
        <w:rPr>
          <w:rFonts w:ascii="Arial" w:hAnsi="Arial" w:cs="Arial"/>
          <w:sz w:val="22"/>
          <w:lang w:val="es-ES_tradnl"/>
        </w:rPr>
        <w:t xml:space="preserve"> se han venido reduciendo de manera significativa.</w:t>
      </w:r>
      <w:r w:rsidR="000B331C" w:rsidRPr="007478C6">
        <w:rPr>
          <w:rFonts w:ascii="Arial" w:hAnsi="Arial" w:cs="Arial"/>
          <w:sz w:val="22"/>
          <w:lang w:val="es-ES_tradnl"/>
        </w:rPr>
        <w:t xml:space="preserve"> Sin embargo, las tasas no dejan de ser altas, como se señaló en los demás documentos del presente Programa. Finalmente, el detalle que presenta el estudio ratifica </w:t>
      </w:r>
      <w:r w:rsidR="009A0294" w:rsidRPr="007478C6">
        <w:rPr>
          <w:rFonts w:ascii="Arial" w:hAnsi="Arial" w:cs="Arial"/>
          <w:sz w:val="22"/>
          <w:lang w:val="es-ES_tradnl"/>
        </w:rPr>
        <w:t>que,</w:t>
      </w:r>
      <w:r w:rsidR="000B331C" w:rsidRPr="007478C6">
        <w:rPr>
          <w:rFonts w:ascii="Arial" w:hAnsi="Arial" w:cs="Arial"/>
          <w:sz w:val="22"/>
          <w:lang w:val="es-ES_tradnl"/>
        </w:rPr>
        <w:t xml:space="preserve"> a menor tamaño de empresa, mayor es la tasa de interés cobrada.</w:t>
      </w:r>
      <w:r w:rsidRPr="007478C6">
        <w:rPr>
          <w:rFonts w:ascii="Arial" w:hAnsi="Arial" w:cs="Arial"/>
          <w:sz w:val="22"/>
          <w:lang w:val="es-ES_tradnl"/>
        </w:rPr>
        <w:t xml:space="preserve"> La evolución se aprecia en el Gráfico 1 a continuación:</w:t>
      </w:r>
    </w:p>
    <w:p w14:paraId="2C392635" w14:textId="386F44F0" w:rsidR="00216123" w:rsidRPr="007478C6" w:rsidRDefault="00F970DF" w:rsidP="00F970DF">
      <w:pPr>
        <w:pStyle w:val="Paragraph"/>
        <w:numPr>
          <w:ilvl w:val="0"/>
          <w:numId w:val="0"/>
        </w:numPr>
        <w:ind w:left="720"/>
        <w:jc w:val="center"/>
        <w:rPr>
          <w:rFonts w:ascii="Arial" w:hAnsi="Arial" w:cs="Arial"/>
          <w:b/>
          <w:bCs/>
          <w:sz w:val="22"/>
          <w:lang w:val="es-ES_tradnl"/>
        </w:rPr>
      </w:pPr>
      <w:r w:rsidRPr="007478C6">
        <w:rPr>
          <w:rFonts w:ascii="Arial" w:hAnsi="Arial" w:cs="Arial"/>
          <w:b/>
          <w:bCs/>
          <w:sz w:val="22"/>
          <w:lang w:val="es-ES_tradnl"/>
        </w:rPr>
        <w:t xml:space="preserve">Gráfico 1: </w:t>
      </w:r>
      <w:r w:rsidR="000B331C" w:rsidRPr="007478C6">
        <w:rPr>
          <w:rFonts w:ascii="Arial" w:hAnsi="Arial" w:cs="Arial"/>
          <w:b/>
          <w:bCs/>
          <w:sz w:val="22"/>
          <w:lang w:val="es-ES_tradnl"/>
        </w:rPr>
        <w:t xml:space="preserve">Tasas de Interés cobradas a </w:t>
      </w:r>
      <w:proofErr w:type="spellStart"/>
      <w:r w:rsidR="000B331C" w:rsidRPr="007478C6">
        <w:rPr>
          <w:rFonts w:ascii="Arial" w:hAnsi="Arial" w:cs="Arial"/>
          <w:b/>
          <w:bCs/>
          <w:sz w:val="22"/>
          <w:lang w:val="es-ES_tradnl"/>
        </w:rPr>
        <w:t>MyPE</w:t>
      </w:r>
      <w:proofErr w:type="spellEnd"/>
      <w:r w:rsidR="000B331C" w:rsidRPr="007478C6">
        <w:rPr>
          <w:rFonts w:ascii="Arial" w:hAnsi="Arial" w:cs="Arial"/>
          <w:b/>
          <w:bCs/>
          <w:sz w:val="22"/>
          <w:lang w:val="es-ES_tradnl"/>
        </w:rPr>
        <w:t xml:space="preserve"> en El Salvador por tipos de empresa, 2013-2017 (%)</w:t>
      </w:r>
    </w:p>
    <w:p w14:paraId="637DF122" w14:textId="71987E4A" w:rsidR="000B331C" w:rsidRPr="007478C6" w:rsidRDefault="000B331C" w:rsidP="00F970DF">
      <w:pPr>
        <w:pStyle w:val="Paragraph"/>
        <w:numPr>
          <w:ilvl w:val="0"/>
          <w:numId w:val="0"/>
        </w:numPr>
        <w:ind w:left="720"/>
        <w:jc w:val="center"/>
        <w:rPr>
          <w:rFonts w:ascii="Arial" w:hAnsi="Arial" w:cs="Arial"/>
          <w:b/>
          <w:bCs/>
          <w:sz w:val="22"/>
          <w:lang w:val="es-ES_tradnl"/>
        </w:rPr>
      </w:pPr>
    </w:p>
    <w:p w14:paraId="0231CE07" w14:textId="575EA542" w:rsidR="000B331C" w:rsidRPr="007478C6" w:rsidRDefault="000B331C" w:rsidP="00F970DF">
      <w:pPr>
        <w:pStyle w:val="Paragraph"/>
        <w:numPr>
          <w:ilvl w:val="0"/>
          <w:numId w:val="0"/>
        </w:numPr>
        <w:ind w:left="720"/>
        <w:jc w:val="center"/>
        <w:rPr>
          <w:rFonts w:ascii="Arial" w:hAnsi="Arial" w:cs="Arial"/>
          <w:b/>
          <w:bCs/>
          <w:sz w:val="22"/>
          <w:lang w:val="es-ES_tradnl"/>
        </w:rPr>
      </w:pPr>
      <w:r w:rsidRPr="007478C6">
        <w:rPr>
          <w:noProof/>
          <w:lang w:val="es-ES_tradnl"/>
        </w:rPr>
        <w:drawing>
          <wp:inline distT="0" distB="0" distL="0" distR="0" wp14:anchorId="353707F3" wp14:editId="0B589CB4">
            <wp:extent cx="5322520" cy="26721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8053" cy="2674931"/>
                    </a:xfrm>
                    <a:prstGeom prst="rect">
                      <a:avLst/>
                    </a:prstGeom>
                    <a:noFill/>
                    <a:ln>
                      <a:noFill/>
                    </a:ln>
                  </pic:spPr>
                </pic:pic>
              </a:graphicData>
            </a:graphic>
          </wp:inline>
        </w:drawing>
      </w:r>
    </w:p>
    <w:p w14:paraId="64F6B748" w14:textId="535DF44A" w:rsidR="000B331C" w:rsidRPr="007478C6" w:rsidRDefault="000B331C" w:rsidP="00B32C85">
      <w:pPr>
        <w:pStyle w:val="Paragraph"/>
        <w:numPr>
          <w:ilvl w:val="0"/>
          <w:numId w:val="0"/>
        </w:numPr>
        <w:ind w:left="720"/>
        <w:jc w:val="center"/>
        <w:rPr>
          <w:rFonts w:ascii="Arial" w:hAnsi="Arial" w:cs="Arial"/>
          <w:sz w:val="18"/>
          <w:szCs w:val="18"/>
          <w:lang w:val="es-ES_tradnl"/>
        </w:rPr>
      </w:pPr>
      <w:r w:rsidRPr="007478C6">
        <w:rPr>
          <w:rFonts w:ascii="Arial" w:hAnsi="Arial" w:cs="Arial"/>
          <w:sz w:val="18"/>
          <w:szCs w:val="18"/>
          <w:lang w:val="es-ES_tradnl"/>
        </w:rPr>
        <w:t>Fuente: Superintendencia de Competencia de El Salvador, 2017</w:t>
      </w:r>
    </w:p>
    <w:p w14:paraId="50D215EE" w14:textId="467F5790" w:rsidR="000B331C" w:rsidRPr="007478C6" w:rsidRDefault="000B331C" w:rsidP="00B32C85">
      <w:pPr>
        <w:pStyle w:val="Paragraph"/>
        <w:tabs>
          <w:tab w:val="clear" w:pos="2448"/>
          <w:tab w:val="num" w:pos="720"/>
        </w:tabs>
        <w:spacing w:before="360"/>
        <w:ind w:left="720" w:hanging="720"/>
        <w:rPr>
          <w:rFonts w:ascii="Arial" w:hAnsi="Arial" w:cs="Arial"/>
          <w:sz w:val="22"/>
          <w:lang w:val="es-ES_tradnl"/>
        </w:rPr>
      </w:pPr>
      <w:r w:rsidRPr="007478C6">
        <w:rPr>
          <w:rFonts w:ascii="Arial" w:hAnsi="Arial" w:cs="Arial"/>
          <w:sz w:val="22"/>
          <w:lang w:val="es-ES_tradnl"/>
        </w:rPr>
        <w:t>Por otra parte, al analizar la participación del crédito por tamaño de empresa, se observa que las grandes empresas</w:t>
      </w:r>
      <w:r w:rsidR="00F970DF" w:rsidRPr="007478C6">
        <w:rPr>
          <w:rFonts w:ascii="Arial" w:hAnsi="Arial" w:cs="Arial"/>
          <w:sz w:val="22"/>
          <w:lang w:val="es-ES_tradnl"/>
        </w:rPr>
        <w:t xml:space="preserve"> (50%)</w:t>
      </w:r>
      <w:r w:rsidRPr="007478C6">
        <w:rPr>
          <w:rFonts w:ascii="Arial" w:hAnsi="Arial" w:cs="Arial"/>
          <w:sz w:val="22"/>
          <w:lang w:val="es-ES_tradnl"/>
        </w:rPr>
        <w:t xml:space="preserve"> son el segmento más favorecido con créditos, </w:t>
      </w:r>
      <w:r w:rsidR="00F970DF" w:rsidRPr="007478C6">
        <w:rPr>
          <w:rFonts w:ascii="Arial" w:hAnsi="Arial" w:cs="Arial"/>
          <w:sz w:val="22"/>
          <w:lang w:val="es-ES_tradnl"/>
        </w:rPr>
        <w:t xml:space="preserve">mientras que las </w:t>
      </w:r>
      <w:proofErr w:type="spellStart"/>
      <w:r w:rsidR="00F970DF" w:rsidRPr="007478C6">
        <w:rPr>
          <w:rFonts w:ascii="Arial" w:hAnsi="Arial" w:cs="Arial"/>
          <w:sz w:val="22"/>
          <w:lang w:val="es-ES_tradnl"/>
        </w:rPr>
        <w:t>MyPE</w:t>
      </w:r>
      <w:proofErr w:type="spellEnd"/>
      <w:r w:rsidR="00F970DF" w:rsidRPr="007478C6">
        <w:rPr>
          <w:rFonts w:ascii="Arial" w:hAnsi="Arial" w:cs="Arial"/>
          <w:sz w:val="22"/>
          <w:lang w:val="es-ES_tradnl"/>
        </w:rPr>
        <w:t xml:space="preserve"> solo llegan al 24.5% del total, de acuerdo con cifras del Banco Central de la Reserva de El Salvador</w:t>
      </w:r>
      <w:r w:rsidRPr="007478C6">
        <w:rPr>
          <w:rFonts w:ascii="Arial" w:hAnsi="Arial" w:cs="Arial"/>
          <w:sz w:val="22"/>
          <w:lang w:val="es-ES_tradnl"/>
        </w:rPr>
        <w:t>.</w:t>
      </w:r>
      <w:r w:rsidR="00F970DF" w:rsidRPr="007478C6">
        <w:rPr>
          <w:rFonts w:ascii="Arial" w:hAnsi="Arial" w:cs="Arial"/>
          <w:sz w:val="22"/>
          <w:lang w:val="es-ES_tradnl"/>
        </w:rPr>
        <w:t xml:space="preserve">  </w:t>
      </w:r>
    </w:p>
    <w:p w14:paraId="4253A79B" w14:textId="77777777" w:rsidR="00F970DF" w:rsidRPr="007478C6" w:rsidRDefault="00F970DF" w:rsidP="00F970DF">
      <w:pPr>
        <w:pStyle w:val="Paragraph"/>
        <w:numPr>
          <w:ilvl w:val="0"/>
          <w:numId w:val="0"/>
        </w:numPr>
        <w:ind w:left="720"/>
        <w:jc w:val="center"/>
        <w:rPr>
          <w:rFonts w:ascii="Arial" w:hAnsi="Arial" w:cs="Arial"/>
          <w:b/>
          <w:bCs/>
          <w:sz w:val="22"/>
          <w:lang w:val="es-ES_tradnl"/>
        </w:rPr>
      </w:pPr>
    </w:p>
    <w:p w14:paraId="41D11E75" w14:textId="77777777" w:rsidR="00F970DF" w:rsidRPr="007478C6" w:rsidRDefault="00F970DF" w:rsidP="00F970DF">
      <w:pPr>
        <w:pStyle w:val="Paragraph"/>
        <w:numPr>
          <w:ilvl w:val="0"/>
          <w:numId w:val="0"/>
        </w:numPr>
        <w:ind w:left="720"/>
        <w:jc w:val="center"/>
        <w:rPr>
          <w:rFonts w:ascii="Arial" w:hAnsi="Arial" w:cs="Arial"/>
          <w:b/>
          <w:bCs/>
          <w:sz w:val="22"/>
          <w:lang w:val="es-ES_tradnl"/>
        </w:rPr>
      </w:pPr>
    </w:p>
    <w:p w14:paraId="6BE913E9" w14:textId="77777777" w:rsidR="00F970DF" w:rsidRPr="007478C6" w:rsidRDefault="00F970DF" w:rsidP="00F970DF">
      <w:pPr>
        <w:pStyle w:val="Paragraph"/>
        <w:numPr>
          <w:ilvl w:val="0"/>
          <w:numId w:val="0"/>
        </w:numPr>
        <w:ind w:left="720"/>
        <w:jc w:val="center"/>
        <w:rPr>
          <w:rFonts w:ascii="Arial" w:hAnsi="Arial" w:cs="Arial"/>
          <w:b/>
          <w:bCs/>
          <w:sz w:val="22"/>
          <w:lang w:val="es-ES_tradnl"/>
        </w:rPr>
      </w:pPr>
    </w:p>
    <w:p w14:paraId="12020776" w14:textId="77777777" w:rsidR="00F970DF" w:rsidRPr="007478C6" w:rsidRDefault="00F970DF" w:rsidP="00F970DF">
      <w:pPr>
        <w:pStyle w:val="Paragraph"/>
        <w:numPr>
          <w:ilvl w:val="0"/>
          <w:numId w:val="0"/>
        </w:numPr>
        <w:ind w:left="720"/>
        <w:jc w:val="center"/>
        <w:rPr>
          <w:rFonts w:ascii="Arial" w:hAnsi="Arial" w:cs="Arial"/>
          <w:b/>
          <w:bCs/>
          <w:sz w:val="22"/>
          <w:lang w:val="es-ES_tradnl"/>
        </w:rPr>
      </w:pPr>
    </w:p>
    <w:p w14:paraId="55B3E0A5" w14:textId="77777777" w:rsidR="00F970DF" w:rsidRPr="007478C6" w:rsidRDefault="00F970DF" w:rsidP="00F970DF">
      <w:pPr>
        <w:pStyle w:val="Paragraph"/>
        <w:numPr>
          <w:ilvl w:val="0"/>
          <w:numId w:val="0"/>
        </w:numPr>
        <w:ind w:left="720"/>
        <w:jc w:val="center"/>
        <w:rPr>
          <w:rFonts w:ascii="Arial" w:hAnsi="Arial" w:cs="Arial"/>
          <w:b/>
          <w:bCs/>
          <w:sz w:val="22"/>
          <w:lang w:val="es-ES_tradnl"/>
        </w:rPr>
      </w:pPr>
    </w:p>
    <w:p w14:paraId="448876F2" w14:textId="77777777" w:rsidR="00F970DF" w:rsidRPr="007478C6" w:rsidRDefault="00F970DF" w:rsidP="00F970DF">
      <w:pPr>
        <w:pStyle w:val="Paragraph"/>
        <w:numPr>
          <w:ilvl w:val="0"/>
          <w:numId w:val="0"/>
        </w:numPr>
        <w:ind w:left="720"/>
        <w:jc w:val="center"/>
        <w:rPr>
          <w:rFonts w:ascii="Arial" w:hAnsi="Arial" w:cs="Arial"/>
          <w:b/>
          <w:bCs/>
          <w:sz w:val="22"/>
          <w:lang w:val="es-ES_tradnl"/>
        </w:rPr>
      </w:pPr>
    </w:p>
    <w:p w14:paraId="5F04E79C" w14:textId="77777777" w:rsidR="00F970DF" w:rsidRPr="007478C6" w:rsidRDefault="00F970DF" w:rsidP="00F970DF">
      <w:pPr>
        <w:pStyle w:val="Paragraph"/>
        <w:numPr>
          <w:ilvl w:val="0"/>
          <w:numId w:val="0"/>
        </w:numPr>
        <w:ind w:left="720"/>
        <w:jc w:val="center"/>
        <w:rPr>
          <w:rFonts w:ascii="Arial" w:hAnsi="Arial" w:cs="Arial"/>
          <w:b/>
          <w:bCs/>
          <w:sz w:val="22"/>
          <w:lang w:val="es-ES_tradnl"/>
        </w:rPr>
      </w:pPr>
    </w:p>
    <w:p w14:paraId="779B1019" w14:textId="4247FEC0" w:rsidR="00F970DF" w:rsidRPr="007478C6" w:rsidRDefault="00F970DF" w:rsidP="00F970DF">
      <w:pPr>
        <w:pStyle w:val="Paragraph"/>
        <w:numPr>
          <w:ilvl w:val="0"/>
          <w:numId w:val="0"/>
        </w:numPr>
        <w:ind w:left="720"/>
        <w:jc w:val="center"/>
        <w:rPr>
          <w:rFonts w:ascii="Arial" w:hAnsi="Arial" w:cs="Arial"/>
          <w:b/>
          <w:bCs/>
          <w:sz w:val="22"/>
          <w:lang w:val="es-ES_tradnl"/>
        </w:rPr>
      </w:pPr>
      <w:r w:rsidRPr="007478C6">
        <w:rPr>
          <w:rFonts w:ascii="Arial" w:hAnsi="Arial" w:cs="Arial"/>
          <w:b/>
          <w:bCs/>
          <w:sz w:val="22"/>
          <w:lang w:val="es-ES_tradnl"/>
        </w:rPr>
        <w:lastRenderedPageBreak/>
        <w:t xml:space="preserve">Gráfico 2: Cartera de Bancos, Bancos Cooperativos, Sociedades de Ahorro y Crédito por tipo de empresa, </w:t>
      </w:r>
      <w:proofErr w:type="gramStart"/>
      <w:r w:rsidRPr="007478C6">
        <w:rPr>
          <w:rFonts w:ascii="Arial" w:hAnsi="Arial" w:cs="Arial"/>
          <w:b/>
          <w:bCs/>
          <w:sz w:val="22"/>
          <w:lang w:val="es-ES_tradnl"/>
        </w:rPr>
        <w:t>Diciembre</w:t>
      </w:r>
      <w:proofErr w:type="gramEnd"/>
      <w:r w:rsidRPr="007478C6">
        <w:rPr>
          <w:rFonts w:ascii="Arial" w:hAnsi="Arial" w:cs="Arial"/>
          <w:b/>
          <w:bCs/>
          <w:sz w:val="22"/>
          <w:lang w:val="es-ES_tradnl"/>
        </w:rPr>
        <w:t xml:space="preserve"> de 2018, %</w:t>
      </w:r>
    </w:p>
    <w:p w14:paraId="6F4D95B5" w14:textId="0420542C" w:rsidR="00F970DF" w:rsidRPr="007478C6" w:rsidRDefault="00F970DF" w:rsidP="00F970DF">
      <w:pPr>
        <w:pStyle w:val="Paragraph"/>
        <w:numPr>
          <w:ilvl w:val="0"/>
          <w:numId w:val="0"/>
        </w:numPr>
        <w:ind w:left="720"/>
        <w:jc w:val="center"/>
        <w:rPr>
          <w:rFonts w:ascii="Arial" w:hAnsi="Arial" w:cs="Arial"/>
          <w:b/>
          <w:bCs/>
          <w:sz w:val="22"/>
          <w:lang w:val="es-ES_tradnl"/>
        </w:rPr>
      </w:pPr>
      <w:r w:rsidRPr="007478C6">
        <w:rPr>
          <w:noProof/>
          <w:lang w:val="es-ES_tradnl"/>
        </w:rPr>
        <w:drawing>
          <wp:inline distT="0" distB="0" distL="0" distR="0" wp14:anchorId="0FB09DF7" wp14:editId="7B8DA5D8">
            <wp:extent cx="5842014" cy="295547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5465" cy="2957217"/>
                    </a:xfrm>
                    <a:prstGeom prst="rect">
                      <a:avLst/>
                    </a:prstGeom>
                    <a:noFill/>
                    <a:ln>
                      <a:noFill/>
                    </a:ln>
                  </pic:spPr>
                </pic:pic>
              </a:graphicData>
            </a:graphic>
          </wp:inline>
        </w:drawing>
      </w:r>
    </w:p>
    <w:p w14:paraId="6749C378" w14:textId="3B488CFF" w:rsidR="00F970DF" w:rsidRPr="007478C6" w:rsidRDefault="00F970DF" w:rsidP="00F970DF">
      <w:pPr>
        <w:pStyle w:val="Paragraph"/>
        <w:numPr>
          <w:ilvl w:val="0"/>
          <w:numId w:val="0"/>
        </w:numPr>
        <w:ind w:left="720"/>
        <w:jc w:val="center"/>
        <w:rPr>
          <w:rFonts w:ascii="Arial" w:hAnsi="Arial" w:cs="Arial"/>
          <w:b/>
          <w:bCs/>
          <w:sz w:val="22"/>
          <w:lang w:val="es-ES_tradnl"/>
        </w:rPr>
      </w:pPr>
    </w:p>
    <w:p w14:paraId="6955DC4A" w14:textId="001D8C35" w:rsidR="00F970DF" w:rsidRPr="007478C6" w:rsidRDefault="00F970DF" w:rsidP="00F970DF">
      <w:pPr>
        <w:pStyle w:val="Paragraph"/>
        <w:numPr>
          <w:ilvl w:val="0"/>
          <w:numId w:val="0"/>
        </w:numPr>
        <w:ind w:left="720"/>
        <w:jc w:val="center"/>
        <w:rPr>
          <w:rFonts w:ascii="Arial" w:hAnsi="Arial" w:cs="Arial"/>
          <w:b/>
          <w:bCs/>
          <w:sz w:val="18"/>
          <w:szCs w:val="18"/>
          <w:lang w:val="es-ES_tradnl"/>
        </w:rPr>
      </w:pPr>
      <w:r w:rsidRPr="007478C6">
        <w:rPr>
          <w:rFonts w:ascii="Arial" w:hAnsi="Arial" w:cs="Arial"/>
          <w:b/>
          <w:bCs/>
          <w:sz w:val="18"/>
          <w:szCs w:val="18"/>
          <w:lang w:val="es-ES_tradnl"/>
        </w:rPr>
        <w:t>Fuente: Banco Central de la Reserva, 2019</w:t>
      </w:r>
    </w:p>
    <w:p w14:paraId="3F7DF248" w14:textId="77777777" w:rsidR="00F970DF" w:rsidRPr="00083600" w:rsidRDefault="00F970DF" w:rsidP="00083600">
      <w:pPr>
        <w:pStyle w:val="Paragraph"/>
        <w:numPr>
          <w:ilvl w:val="0"/>
          <w:numId w:val="0"/>
        </w:numPr>
        <w:ind w:left="720"/>
        <w:jc w:val="center"/>
        <w:rPr>
          <w:rFonts w:ascii="Arial" w:hAnsi="Arial"/>
          <w:b/>
          <w:sz w:val="22"/>
          <w:lang w:val="es-ES_tradnl"/>
        </w:rPr>
      </w:pPr>
    </w:p>
    <w:p w14:paraId="3395E004" w14:textId="1E4EF7D8" w:rsidR="000D492C" w:rsidRPr="007478C6" w:rsidRDefault="000D492C" w:rsidP="00045935">
      <w:pPr>
        <w:pStyle w:val="Paragraph"/>
        <w:tabs>
          <w:tab w:val="clear" w:pos="2448"/>
          <w:tab w:val="num" w:pos="720"/>
        </w:tabs>
        <w:ind w:left="720" w:hanging="720"/>
        <w:rPr>
          <w:rFonts w:ascii="Arial" w:hAnsi="Arial" w:cs="Arial"/>
          <w:sz w:val="22"/>
          <w:lang w:val="es-ES_tradnl"/>
        </w:rPr>
      </w:pPr>
      <w:r w:rsidRPr="007478C6">
        <w:rPr>
          <w:rFonts w:ascii="Arial" w:hAnsi="Arial" w:cs="Arial"/>
          <w:b/>
          <w:bCs/>
          <w:sz w:val="22"/>
          <w:lang w:val="es-ES_tradnl"/>
        </w:rPr>
        <w:t>Estimación de demanda</w:t>
      </w:r>
      <w:r w:rsidR="00427876" w:rsidRPr="007478C6">
        <w:rPr>
          <w:rFonts w:ascii="Arial" w:hAnsi="Arial" w:cs="Arial"/>
          <w:sz w:val="22"/>
          <w:lang w:val="es-ES_tradnl"/>
        </w:rPr>
        <w:t xml:space="preserve">. </w:t>
      </w:r>
      <w:r w:rsidR="00BE15BF" w:rsidRPr="007478C6">
        <w:rPr>
          <w:rFonts w:ascii="Arial" w:hAnsi="Arial" w:cs="Arial"/>
          <w:sz w:val="22"/>
          <w:lang w:val="es-ES_tradnl"/>
        </w:rPr>
        <w:t xml:space="preserve">Los datos empleados para la estimación de demanda provienen de </w:t>
      </w:r>
      <w:r w:rsidR="00BE15BF" w:rsidRPr="00083600">
        <w:rPr>
          <w:rFonts w:ascii="Arial" w:hAnsi="Arial"/>
          <w:sz w:val="22"/>
          <w:lang w:val="es-ES_tradnl"/>
        </w:rPr>
        <w:t>la Encuesta Nacional de la Micro y Pequeña Empresa 2017</w:t>
      </w:r>
      <w:r w:rsidR="00BE15BF" w:rsidRPr="00083600">
        <w:rPr>
          <w:rStyle w:val="FootnoteReference"/>
          <w:rFonts w:ascii="Arial" w:hAnsi="Arial"/>
          <w:sz w:val="22"/>
          <w:lang w:val="es-ES_tradnl"/>
        </w:rPr>
        <w:footnoteReference w:id="9"/>
      </w:r>
      <w:r w:rsidR="00BE15BF" w:rsidRPr="00083600">
        <w:rPr>
          <w:rFonts w:ascii="Arial" w:hAnsi="Arial"/>
          <w:sz w:val="22"/>
          <w:lang w:val="es-ES_tradnl"/>
        </w:rPr>
        <w:t xml:space="preserve"> realizada por la Comisión Nacional de la Micro y Pequeña Empresa (CONAMYPE). Esta encuesta se realizó sobre una muestra representativa de emprendimientos, micro y pequeñas empresas (precisamente la población objetivo del programa), a nivel nacional. Se realizó 9.569 encuestas efectivas a partir de las cuales se estima un total de 317.795 M</w:t>
      </w:r>
      <w:r w:rsidR="00912DFA" w:rsidRPr="00083600">
        <w:rPr>
          <w:rFonts w:ascii="Arial" w:hAnsi="Arial"/>
          <w:sz w:val="22"/>
          <w:lang w:val="es-ES_tradnl"/>
        </w:rPr>
        <w:t>y</w:t>
      </w:r>
      <w:r w:rsidR="00BE15BF" w:rsidRPr="00083600">
        <w:rPr>
          <w:rFonts w:ascii="Arial" w:hAnsi="Arial"/>
          <w:sz w:val="22"/>
          <w:lang w:val="es-ES_tradnl"/>
        </w:rPr>
        <w:t>PE en El Salvador. Al igual que se ha definido en la Propuesta para Desarrollo de la Operación (POD), el término M</w:t>
      </w:r>
      <w:r w:rsidR="00912DFA" w:rsidRPr="00083600">
        <w:rPr>
          <w:rFonts w:ascii="Arial" w:hAnsi="Arial"/>
          <w:sz w:val="22"/>
          <w:lang w:val="es-ES_tradnl"/>
        </w:rPr>
        <w:t>y</w:t>
      </w:r>
      <w:r w:rsidR="00BE15BF" w:rsidRPr="00083600">
        <w:rPr>
          <w:rFonts w:ascii="Arial" w:hAnsi="Arial"/>
          <w:sz w:val="22"/>
          <w:lang w:val="es-ES_tradnl"/>
        </w:rPr>
        <w:t xml:space="preserve">PE abarca emprendimientos, microempresas y pequeñas empresas. El </w:t>
      </w:r>
      <w:r w:rsidR="00BE15BF" w:rsidRPr="007478C6">
        <w:rPr>
          <w:rFonts w:ascii="Arial" w:hAnsi="Arial" w:cs="Arial"/>
          <w:sz w:val="22"/>
          <w:lang w:val="es-ES_tradnl"/>
        </w:rPr>
        <w:fldChar w:fldCharType="begin"/>
      </w:r>
      <w:r w:rsidR="00BE15BF" w:rsidRPr="007478C6">
        <w:rPr>
          <w:rFonts w:ascii="Arial" w:hAnsi="Arial" w:cs="Arial"/>
          <w:sz w:val="22"/>
          <w:lang w:val="es-ES_tradnl"/>
        </w:rPr>
        <w:instrText xml:space="preserve"> REF _Ref17902207 \h  \* MERGEFORMAT </w:instrText>
      </w:r>
      <w:r w:rsidR="00BE15BF" w:rsidRPr="007478C6">
        <w:rPr>
          <w:rFonts w:ascii="Arial" w:hAnsi="Arial" w:cs="Arial"/>
          <w:sz w:val="22"/>
          <w:lang w:val="es-ES_tradnl"/>
        </w:rPr>
      </w:r>
      <w:r w:rsidR="00BE15BF" w:rsidRPr="007478C6">
        <w:rPr>
          <w:rFonts w:ascii="Arial" w:hAnsi="Arial" w:cs="Arial"/>
          <w:sz w:val="22"/>
          <w:lang w:val="es-ES_tradnl"/>
        </w:rPr>
        <w:fldChar w:fldCharType="separate"/>
      </w:r>
      <w:r w:rsidR="00D62B42" w:rsidRPr="007478C6">
        <w:rPr>
          <w:rFonts w:ascii="Arial" w:hAnsi="Arial" w:cs="Arial"/>
          <w:sz w:val="22"/>
          <w:lang w:val="es-ES_tradnl"/>
        </w:rPr>
        <w:tab/>
        <w:t xml:space="preserve">Cuadro </w:t>
      </w:r>
      <w:r w:rsidR="00D62B42" w:rsidRPr="00083600">
        <w:rPr>
          <w:rFonts w:ascii="Arial" w:hAnsi="Arial"/>
          <w:color w:val="000000" w:themeColor="text1"/>
          <w:sz w:val="20"/>
          <w:lang w:val="es-ES_tradnl"/>
        </w:rPr>
        <w:t>1</w:t>
      </w:r>
      <w:r w:rsidR="00BE15BF" w:rsidRPr="007478C6">
        <w:rPr>
          <w:rFonts w:ascii="Arial" w:hAnsi="Arial" w:cs="Arial"/>
          <w:sz w:val="22"/>
          <w:lang w:val="es-ES_tradnl"/>
        </w:rPr>
        <w:fldChar w:fldCharType="end"/>
      </w:r>
      <w:r w:rsidR="00BE15BF" w:rsidRPr="007478C6">
        <w:rPr>
          <w:rFonts w:ascii="Arial" w:hAnsi="Arial" w:cs="Arial"/>
          <w:sz w:val="22"/>
          <w:lang w:val="es-ES_tradnl"/>
        </w:rPr>
        <w:t xml:space="preserve"> desglosa el número de estas a nivel nacional. Así, se estima que en El Salvador existen 107.796 emprendimientos, 193.092 microempresas y 16.907 pequeñas empresas</w:t>
      </w:r>
      <w:r w:rsidR="00BE15BF" w:rsidRPr="007478C6">
        <w:rPr>
          <w:rStyle w:val="FootnoteReference"/>
          <w:rFonts w:ascii="Arial" w:hAnsi="Arial" w:cs="Arial"/>
          <w:sz w:val="22"/>
          <w:lang w:val="es-ES_tradnl"/>
        </w:rPr>
        <w:footnoteReference w:id="10"/>
      </w:r>
      <w:r w:rsidR="00BE15BF" w:rsidRPr="007478C6">
        <w:rPr>
          <w:rFonts w:ascii="Arial" w:hAnsi="Arial" w:cs="Arial"/>
          <w:sz w:val="22"/>
          <w:lang w:val="es-ES_tradnl"/>
        </w:rPr>
        <w:t>.</w:t>
      </w:r>
      <w:r w:rsidR="00BE15BF" w:rsidRPr="00083600">
        <w:rPr>
          <w:rFonts w:ascii="Arial" w:hAnsi="Arial"/>
          <w:sz w:val="22"/>
          <w:lang w:val="es-ES_tradnl"/>
        </w:rPr>
        <w:t xml:space="preserve"> Por otro lado, se estima que 289.607 </w:t>
      </w:r>
      <w:r w:rsidR="00C94C78" w:rsidRPr="00083600">
        <w:rPr>
          <w:rFonts w:ascii="Arial" w:hAnsi="Arial"/>
          <w:sz w:val="22"/>
          <w:lang w:val="es-ES_tradnl"/>
        </w:rPr>
        <w:t xml:space="preserve">(91,1%) </w:t>
      </w:r>
      <w:r w:rsidR="00BE15BF" w:rsidRPr="00083600">
        <w:rPr>
          <w:rFonts w:ascii="Arial" w:hAnsi="Arial"/>
          <w:sz w:val="22"/>
          <w:lang w:val="es-ES_tradnl"/>
        </w:rPr>
        <w:t>M</w:t>
      </w:r>
      <w:r w:rsidR="00464A29" w:rsidRPr="00083600">
        <w:rPr>
          <w:rFonts w:ascii="Arial" w:hAnsi="Arial"/>
          <w:sz w:val="22"/>
          <w:lang w:val="es-ES_tradnl"/>
        </w:rPr>
        <w:t>y</w:t>
      </w:r>
      <w:r w:rsidR="00BE15BF" w:rsidRPr="00083600">
        <w:rPr>
          <w:rFonts w:ascii="Arial" w:hAnsi="Arial"/>
          <w:sz w:val="22"/>
          <w:lang w:val="es-ES_tradnl"/>
        </w:rPr>
        <w:t>PE operan en el ámbito urbano y 28.188 en el ámbito rural (8,9%).</w:t>
      </w:r>
    </w:p>
    <w:p w14:paraId="5686ECB7" w14:textId="5199ED5E" w:rsidR="00F970DF" w:rsidRPr="007478C6" w:rsidRDefault="00F970DF" w:rsidP="00B32C85">
      <w:pPr>
        <w:pStyle w:val="Chapter"/>
        <w:numPr>
          <w:ilvl w:val="0"/>
          <w:numId w:val="0"/>
        </w:numPr>
        <w:ind w:left="288"/>
        <w:jc w:val="left"/>
        <w:rPr>
          <w:lang w:val="es-ES_tradnl"/>
        </w:rPr>
      </w:pPr>
    </w:p>
    <w:p w14:paraId="193412A8" w14:textId="7DBC72E5" w:rsidR="00F970DF" w:rsidRPr="007478C6" w:rsidRDefault="00F970DF" w:rsidP="00F970DF">
      <w:pPr>
        <w:rPr>
          <w:lang w:val="es-ES_tradnl"/>
        </w:rPr>
      </w:pPr>
    </w:p>
    <w:p w14:paraId="4190C06A" w14:textId="1A2C9DF1" w:rsidR="00F970DF" w:rsidRPr="007478C6" w:rsidRDefault="00F970DF" w:rsidP="00F970DF">
      <w:pPr>
        <w:rPr>
          <w:lang w:val="es-ES_tradnl"/>
        </w:rPr>
      </w:pPr>
    </w:p>
    <w:p w14:paraId="3CB3ED49" w14:textId="5F6779D9" w:rsidR="00F970DF" w:rsidRPr="007478C6" w:rsidRDefault="00F970DF" w:rsidP="00F970DF">
      <w:pPr>
        <w:rPr>
          <w:lang w:val="es-ES_tradnl"/>
        </w:rPr>
      </w:pPr>
    </w:p>
    <w:p w14:paraId="1FBA553F" w14:textId="77777777" w:rsidR="00F970DF" w:rsidRPr="007478C6" w:rsidRDefault="00F970DF" w:rsidP="00B32C85">
      <w:pPr>
        <w:rPr>
          <w:lang w:val="es-ES_tradnl"/>
        </w:rPr>
      </w:pPr>
    </w:p>
    <w:p w14:paraId="1BF0CA60" w14:textId="375B95AA" w:rsidR="001E62FC" w:rsidRPr="007478C6" w:rsidRDefault="00733269" w:rsidP="001E62FC">
      <w:pPr>
        <w:pStyle w:val="Caption"/>
        <w:jc w:val="center"/>
        <w:rPr>
          <w:rFonts w:ascii="Arial" w:hAnsi="Arial" w:cs="Arial"/>
          <w:b/>
          <w:bCs/>
          <w:i w:val="0"/>
          <w:iCs w:val="0"/>
          <w:color w:val="000000" w:themeColor="text1"/>
          <w:sz w:val="24"/>
          <w:szCs w:val="20"/>
          <w:lang w:val="es-ES_tradnl"/>
        </w:rPr>
      </w:pPr>
      <w:bookmarkStart w:id="4" w:name="_Ref17902207"/>
      <w:r w:rsidRPr="00083600">
        <w:rPr>
          <w:rFonts w:ascii="Arial" w:hAnsi="Arial"/>
          <w:b/>
          <w:i w:val="0"/>
          <w:color w:val="000000" w:themeColor="text1"/>
          <w:sz w:val="20"/>
          <w:lang w:val="es-ES_tradnl"/>
        </w:rPr>
        <w:tab/>
      </w:r>
      <w:r w:rsidR="001E62FC" w:rsidRPr="00083600">
        <w:rPr>
          <w:rFonts w:ascii="Arial" w:hAnsi="Arial"/>
          <w:b/>
          <w:i w:val="0"/>
          <w:color w:val="000000" w:themeColor="text1"/>
          <w:sz w:val="20"/>
          <w:lang w:val="es-ES_tradnl"/>
        </w:rPr>
        <w:t xml:space="preserve">Cuadro </w:t>
      </w:r>
      <w:r w:rsidR="001E62FC" w:rsidRPr="00083600">
        <w:rPr>
          <w:rFonts w:ascii="Arial" w:hAnsi="Arial"/>
          <w:b/>
          <w:i w:val="0"/>
          <w:color w:val="000000" w:themeColor="text1"/>
          <w:sz w:val="20"/>
          <w:lang w:val="es-ES_tradnl"/>
        </w:rPr>
        <w:fldChar w:fldCharType="begin"/>
      </w:r>
      <w:r w:rsidR="001E62FC" w:rsidRPr="00083600">
        <w:rPr>
          <w:rFonts w:ascii="Arial" w:hAnsi="Arial"/>
          <w:b/>
          <w:i w:val="0"/>
          <w:color w:val="000000" w:themeColor="text1"/>
          <w:sz w:val="20"/>
          <w:lang w:val="es-ES_tradnl"/>
        </w:rPr>
        <w:instrText xml:space="preserve"> SEQ Cuadro \* ARABIC </w:instrText>
      </w:r>
      <w:r w:rsidR="001E62FC" w:rsidRPr="00083600">
        <w:rPr>
          <w:rFonts w:ascii="Arial" w:hAnsi="Arial"/>
          <w:b/>
          <w:i w:val="0"/>
          <w:color w:val="000000" w:themeColor="text1"/>
          <w:sz w:val="20"/>
          <w:lang w:val="es-ES_tradnl"/>
        </w:rPr>
        <w:fldChar w:fldCharType="separate"/>
      </w:r>
      <w:r w:rsidR="00D62B42" w:rsidRPr="00083600">
        <w:rPr>
          <w:rFonts w:ascii="Arial" w:hAnsi="Arial"/>
          <w:b/>
          <w:i w:val="0"/>
          <w:color w:val="000000" w:themeColor="text1"/>
          <w:sz w:val="20"/>
          <w:lang w:val="es-ES_tradnl"/>
        </w:rPr>
        <w:t>1</w:t>
      </w:r>
      <w:r w:rsidR="001E62FC" w:rsidRPr="00083600">
        <w:rPr>
          <w:rFonts w:ascii="Arial" w:hAnsi="Arial"/>
          <w:b/>
          <w:i w:val="0"/>
          <w:color w:val="000000" w:themeColor="text1"/>
          <w:sz w:val="20"/>
          <w:lang w:val="es-ES_tradnl"/>
        </w:rPr>
        <w:fldChar w:fldCharType="end"/>
      </w:r>
      <w:bookmarkEnd w:id="4"/>
      <w:r w:rsidR="001E62FC" w:rsidRPr="00083600">
        <w:rPr>
          <w:rFonts w:ascii="Arial" w:hAnsi="Arial"/>
          <w:b/>
          <w:i w:val="0"/>
          <w:color w:val="000000" w:themeColor="text1"/>
          <w:sz w:val="20"/>
          <w:lang w:val="es-ES_tradnl"/>
        </w:rPr>
        <w:t xml:space="preserve">. Número total de </w:t>
      </w:r>
      <w:r w:rsidR="000E359F" w:rsidRPr="00083600">
        <w:rPr>
          <w:rFonts w:ascii="Arial" w:hAnsi="Arial"/>
          <w:b/>
          <w:i w:val="0"/>
          <w:color w:val="000000" w:themeColor="text1"/>
          <w:sz w:val="20"/>
          <w:lang w:val="es-ES_tradnl"/>
        </w:rPr>
        <w:t>MYPE</w:t>
      </w:r>
      <w:r w:rsidR="001E62FC" w:rsidRPr="00083600">
        <w:rPr>
          <w:rFonts w:ascii="Arial" w:hAnsi="Arial"/>
          <w:b/>
          <w:i w:val="0"/>
          <w:color w:val="000000" w:themeColor="text1"/>
          <w:sz w:val="20"/>
          <w:lang w:val="es-ES_tradnl"/>
        </w:rPr>
        <w:t xml:space="preserve"> en </w:t>
      </w:r>
      <w:r w:rsidR="000E359F" w:rsidRPr="00083600">
        <w:rPr>
          <w:rFonts w:ascii="Arial" w:hAnsi="Arial"/>
          <w:b/>
          <w:i w:val="0"/>
          <w:color w:val="000000" w:themeColor="text1"/>
          <w:sz w:val="20"/>
          <w:lang w:val="es-ES_tradnl"/>
        </w:rPr>
        <w:t>El Salvador</w:t>
      </w:r>
    </w:p>
    <w:p w14:paraId="06FE5BAB" w14:textId="007C011F" w:rsidR="001E62FC" w:rsidRPr="007478C6" w:rsidRDefault="000E359F" w:rsidP="001E62FC">
      <w:pPr>
        <w:pStyle w:val="Paragraph"/>
        <w:numPr>
          <w:ilvl w:val="0"/>
          <w:numId w:val="0"/>
        </w:numPr>
        <w:ind w:left="720"/>
        <w:jc w:val="center"/>
        <w:rPr>
          <w:rFonts w:ascii="Arial" w:hAnsi="Arial" w:cs="Arial"/>
          <w:sz w:val="22"/>
          <w:lang w:val="es-ES_tradnl"/>
        </w:rPr>
      </w:pPr>
      <w:r w:rsidRPr="00083600">
        <w:rPr>
          <w:noProof/>
          <w:lang w:val="es-ES_tradnl"/>
        </w:rPr>
        <w:drawing>
          <wp:inline distT="0" distB="0" distL="0" distR="0" wp14:anchorId="08EAF0A2" wp14:editId="1C753E3D">
            <wp:extent cx="3945467" cy="20190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4012" cy="2023463"/>
                    </a:xfrm>
                    <a:prstGeom prst="rect">
                      <a:avLst/>
                    </a:prstGeom>
                    <a:noFill/>
                    <a:ln>
                      <a:noFill/>
                    </a:ln>
                  </pic:spPr>
                </pic:pic>
              </a:graphicData>
            </a:graphic>
          </wp:inline>
        </w:drawing>
      </w:r>
    </w:p>
    <w:p w14:paraId="518850E1" w14:textId="5419BA68" w:rsidR="00742126" w:rsidRPr="007478C6" w:rsidRDefault="00742126" w:rsidP="00045935">
      <w:pPr>
        <w:pStyle w:val="Paragraph"/>
        <w:tabs>
          <w:tab w:val="clear" w:pos="2448"/>
          <w:tab w:val="num" w:pos="720"/>
        </w:tabs>
        <w:ind w:left="720" w:hanging="720"/>
        <w:rPr>
          <w:rFonts w:ascii="Arial" w:hAnsi="Arial" w:cs="Arial"/>
          <w:sz w:val="22"/>
          <w:lang w:val="es-ES_tradnl"/>
        </w:rPr>
      </w:pPr>
      <w:r w:rsidRPr="007478C6">
        <w:rPr>
          <w:rFonts w:ascii="Arial" w:hAnsi="Arial" w:cs="Arial"/>
          <w:sz w:val="22"/>
          <w:lang w:val="es-ES_tradnl"/>
        </w:rPr>
        <w:t>Para estimar qu</w:t>
      </w:r>
      <w:r w:rsidR="00125AC9" w:rsidRPr="007478C6">
        <w:rPr>
          <w:rFonts w:ascii="Arial" w:hAnsi="Arial" w:cs="Arial"/>
          <w:sz w:val="22"/>
          <w:lang w:val="es-ES_tradnl"/>
        </w:rPr>
        <w:t>é</w:t>
      </w:r>
      <w:r w:rsidRPr="007478C6">
        <w:rPr>
          <w:rFonts w:ascii="Arial" w:hAnsi="Arial" w:cs="Arial"/>
          <w:sz w:val="22"/>
          <w:lang w:val="es-ES_tradnl"/>
        </w:rPr>
        <w:t xml:space="preserve"> proporción de la mencionada población es potencialmente beneficiaria del programa se </w:t>
      </w:r>
      <w:r w:rsidR="00C94C78" w:rsidRPr="007478C6">
        <w:rPr>
          <w:rFonts w:ascii="Arial" w:hAnsi="Arial" w:cs="Arial"/>
          <w:sz w:val="22"/>
          <w:lang w:val="es-ES_tradnl"/>
        </w:rPr>
        <w:t>empleará la información correspondiente al módulo financiero de la encuesta de CONAMYPE. En este, se identifica las principales fuentes de financiamiento de las M</w:t>
      </w:r>
      <w:r w:rsidR="00907D0A" w:rsidRPr="007478C6">
        <w:rPr>
          <w:rFonts w:ascii="Arial" w:hAnsi="Arial" w:cs="Arial"/>
          <w:sz w:val="22"/>
          <w:lang w:val="es-ES_tradnl"/>
        </w:rPr>
        <w:t>y</w:t>
      </w:r>
      <w:r w:rsidR="00C94C78" w:rsidRPr="007478C6">
        <w:rPr>
          <w:rFonts w:ascii="Arial" w:hAnsi="Arial" w:cs="Arial"/>
          <w:sz w:val="22"/>
          <w:lang w:val="es-ES_tradnl"/>
        </w:rPr>
        <w:t>PE, así como el porcentaje de estas que no solicitaron crédito.</w:t>
      </w:r>
      <w:r w:rsidR="00125AC9" w:rsidRPr="007478C6">
        <w:rPr>
          <w:rFonts w:ascii="Arial" w:hAnsi="Arial" w:cs="Arial"/>
          <w:sz w:val="22"/>
          <w:lang w:val="es-ES_tradnl"/>
        </w:rPr>
        <w:t xml:space="preserve"> </w:t>
      </w:r>
      <w:r w:rsidR="00D51119" w:rsidRPr="007478C6">
        <w:rPr>
          <w:rFonts w:ascii="Arial" w:hAnsi="Arial" w:cs="Arial"/>
          <w:sz w:val="22"/>
          <w:lang w:val="es-ES_tradnl"/>
        </w:rPr>
        <w:t>El</w:t>
      </w:r>
      <w:r w:rsidR="00705BF8" w:rsidRPr="007478C6">
        <w:rPr>
          <w:rFonts w:ascii="Arial" w:hAnsi="Arial" w:cs="Arial"/>
          <w:sz w:val="22"/>
          <w:lang w:val="es-ES_tradnl"/>
        </w:rPr>
        <w:t xml:space="preserve"> </w:t>
      </w:r>
      <w:r w:rsidR="00D51119" w:rsidRPr="007478C6">
        <w:rPr>
          <w:rFonts w:ascii="Arial" w:hAnsi="Arial" w:cs="Arial"/>
          <w:sz w:val="22"/>
          <w:lang w:val="es-ES_tradnl"/>
        </w:rPr>
        <w:fldChar w:fldCharType="begin"/>
      </w:r>
      <w:r w:rsidR="00D51119" w:rsidRPr="007478C6">
        <w:rPr>
          <w:rFonts w:ascii="Arial" w:hAnsi="Arial" w:cs="Arial"/>
          <w:sz w:val="22"/>
          <w:lang w:val="es-ES_tradnl"/>
        </w:rPr>
        <w:instrText xml:space="preserve"> REF _Ref17904361 \h  \* MERGEFORMAT </w:instrText>
      </w:r>
      <w:r w:rsidR="00D51119" w:rsidRPr="007478C6">
        <w:rPr>
          <w:rFonts w:ascii="Arial" w:hAnsi="Arial" w:cs="Arial"/>
          <w:sz w:val="22"/>
          <w:lang w:val="es-ES_tradnl"/>
        </w:rPr>
      </w:r>
      <w:r w:rsidR="00D51119" w:rsidRPr="007478C6">
        <w:rPr>
          <w:rFonts w:ascii="Arial" w:hAnsi="Arial" w:cs="Arial"/>
          <w:sz w:val="22"/>
          <w:lang w:val="es-ES_tradnl"/>
        </w:rPr>
        <w:fldChar w:fldCharType="separate"/>
      </w:r>
      <w:r w:rsidR="00D62B42" w:rsidRPr="007478C6">
        <w:rPr>
          <w:rFonts w:ascii="Arial" w:hAnsi="Arial" w:cs="Arial"/>
          <w:sz w:val="22"/>
          <w:lang w:val="es-ES_tradnl"/>
        </w:rPr>
        <w:t>Cuadro 2</w:t>
      </w:r>
      <w:r w:rsidR="00D51119" w:rsidRPr="007478C6">
        <w:rPr>
          <w:rFonts w:ascii="Arial" w:hAnsi="Arial" w:cs="Arial"/>
          <w:sz w:val="22"/>
          <w:lang w:val="es-ES_tradnl"/>
        </w:rPr>
        <w:fldChar w:fldCharType="end"/>
      </w:r>
      <w:r w:rsidR="00D51119" w:rsidRPr="007478C6">
        <w:rPr>
          <w:rFonts w:ascii="Arial" w:hAnsi="Arial" w:cs="Arial"/>
          <w:sz w:val="22"/>
          <w:lang w:val="es-ES_tradnl"/>
        </w:rPr>
        <w:t xml:space="preserve"> </w:t>
      </w:r>
      <w:r w:rsidR="00705BF8" w:rsidRPr="007478C6">
        <w:rPr>
          <w:rFonts w:ascii="Arial" w:hAnsi="Arial" w:cs="Arial"/>
          <w:sz w:val="22"/>
          <w:lang w:val="es-ES_tradnl"/>
        </w:rPr>
        <w:t>resume los resultados relevantes de est</w:t>
      </w:r>
      <w:r w:rsidR="00C94C78" w:rsidRPr="007478C6">
        <w:rPr>
          <w:rFonts w:ascii="Arial" w:hAnsi="Arial" w:cs="Arial"/>
          <w:sz w:val="22"/>
          <w:lang w:val="es-ES_tradnl"/>
        </w:rPr>
        <w:t>e</w:t>
      </w:r>
      <w:r w:rsidR="00705BF8" w:rsidRPr="007478C6">
        <w:rPr>
          <w:rFonts w:ascii="Arial" w:hAnsi="Arial" w:cs="Arial"/>
          <w:sz w:val="22"/>
          <w:lang w:val="es-ES_tradnl"/>
        </w:rPr>
        <w:t xml:space="preserve"> </w:t>
      </w:r>
      <w:r w:rsidR="00C94C78" w:rsidRPr="007478C6">
        <w:rPr>
          <w:rFonts w:ascii="Arial" w:hAnsi="Arial" w:cs="Arial"/>
          <w:sz w:val="22"/>
          <w:lang w:val="es-ES_tradnl"/>
        </w:rPr>
        <w:t>módulo</w:t>
      </w:r>
      <w:r w:rsidR="00705BF8" w:rsidRPr="007478C6">
        <w:rPr>
          <w:rFonts w:ascii="Arial" w:hAnsi="Arial" w:cs="Arial"/>
          <w:sz w:val="22"/>
          <w:lang w:val="es-ES_tradnl"/>
        </w:rPr>
        <w:t xml:space="preserve"> para nuestro análisis.</w:t>
      </w:r>
    </w:p>
    <w:p w14:paraId="72FAE5DF" w14:textId="07797687" w:rsidR="0021059C" w:rsidRPr="007478C6" w:rsidRDefault="00733269" w:rsidP="0021059C">
      <w:pPr>
        <w:pStyle w:val="Caption"/>
        <w:jc w:val="center"/>
        <w:rPr>
          <w:rFonts w:ascii="Arial" w:hAnsi="Arial" w:cs="Arial"/>
          <w:b/>
          <w:bCs/>
          <w:i w:val="0"/>
          <w:iCs w:val="0"/>
          <w:color w:val="000000" w:themeColor="text1"/>
          <w:sz w:val="24"/>
          <w:szCs w:val="20"/>
          <w:lang w:val="es-ES_tradnl"/>
        </w:rPr>
      </w:pPr>
      <w:bookmarkStart w:id="5" w:name="_Ref17904361"/>
      <w:r w:rsidRPr="00083600">
        <w:rPr>
          <w:rFonts w:ascii="Arial" w:hAnsi="Arial"/>
          <w:b/>
          <w:i w:val="0"/>
          <w:color w:val="000000" w:themeColor="text1"/>
          <w:sz w:val="20"/>
          <w:lang w:val="es-ES_tradnl"/>
        </w:rPr>
        <w:tab/>
      </w:r>
      <w:r w:rsidR="0021059C" w:rsidRPr="00083600">
        <w:rPr>
          <w:rFonts w:ascii="Arial" w:hAnsi="Arial"/>
          <w:b/>
          <w:i w:val="0"/>
          <w:color w:val="000000" w:themeColor="text1"/>
          <w:sz w:val="20"/>
          <w:lang w:val="es-ES_tradnl"/>
        </w:rPr>
        <w:t xml:space="preserve">Cuadro </w:t>
      </w:r>
      <w:r w:rsidR="0021059C" w:rsidRPr="00083600">
        <w:rPr>
          <w:rFonts w:ascii="Arial" w:hAnsi="Arial"/>
          <w:b/>
          <w:i w:val="0"/>
          <w:color w:val="000000" w:themeColor="text1"/>
          <w:sz w:val="20"/>
          <w:lang w:val="es-ES_tradnl"/>
        </w:rPr>
        <w:fldChar w:fldCharType="begin"/>
      </w:r>
      <w:r w:rsidR="0021059C" w:rsidRPr="00083600">
        <w:rPr>
          <w:rFonts w:ascii="Arial" w:hAnsi="Arial"/>
          <w:b/>
          <w:i w:val="0"/>
          <w:color w:val="000000" w:themeColor="text1"/>
          <w:sz w:val="20"/>
          <w:lang w:val="es-ES_tradnl"/>
        </w:rPr>
        <w:instrText xml:space="preserve"> SEQ Cuadro \* ARABIC </w:instrText>
      </w:r>
      <w:r w:rsidR="0021059C" w:rsidRPr="00083600">
        <w:rPr>
          <w:rFonts w:ascii="Arial" w:hAnsi="Arial"/>
          <w:b/>
          <w:i w:val="0"/>
          <w:color w:val="000000" w:themeColor="text1"/>
          <w:sz w:val="20"/>
          <w:lang w:val="es-ES_tradnl"/>
        </w:rPr>
        <w:fldChar w:fldCharType="separate"/>
      </w:r>
      <w:r w:rsidR="00D62B42" w:rsidRPr="00083600">
        <w:rPr>
          <w:rFonts w:ascii="Arial" w:hAnsi="Arial"/>
          <w:b/>
          <w:i w:val="0"/>
          <w:color w:val="000000" w:themeColor="text1"/>
          <w:sz w:val="20"/>
          <w:lang w:val="es-ES_tradnl"/>
        </w:rPr>
        <w:t>2</w:t>
      </w:r>
      <w:r w:rsidR="0021059C" w:rsidRPr="00083600">
        <w:rPr>
          <w:rFonts w:ascii="Arial" w:hAnsi="Arial"/>
          <w:b/>
          <w:i w:val="0"/>
          <w:color w:val="000000" w:themeColor="text1"/>
          <w:sz w:val="20"/>
          <w:lang w:val="es-ES_tradnl"/>
        </w:rPr>
        <w:fldChar w:fldCharType="end"/>
      </w:r>
      <w:bookmarkEnd w:id="5"/>
      <w:r w:rsidR="0021059C" w:rsidRPr="00083600">
        <w:rPr>
          <w:rFonts w:ascii="Arial" w:hAnsi="Arial"/>
          <w:b/>
          <w:i w:val="0"/>
          <w:color w:val="000000" w:themeColor="text1"/>
          <w:sz w:val="20"/>
          <w:lang w:val="es-ES_tradnl"/>
        </w:rPr>
        <w:t>. Fuente</w:t>
      </w:r>
      <w:r w:rsidR="000E359F" w:rsidRPr="00083600">
        <w:rPr>
          <w:rFonts w:ascii="Arial" w:hAnsi="Arial"/>
          <w:b/>
          <w:i w:val="0"/>
          <w:color w:val="000000" w:themeColor="text1"/>
          <w:sz w:val="20"/>
          <w:lang w:val="es-ES_tradnl"/>
        </w:rPr>
        <w:t>s</w:t>
      </w:r>
      <w:r w:rsidR="0021059C" w:rsidRPr="00083600">
        <w:rPr>
          <w:rFonts w:ascii="Arial" w:hAnsi="Arial"/>
          <w:b/>
          <w:i w:val="0"/>
          <w:color w:val="000000" w:themeColor="text1"/>
          <w:sz w:val="20"/>
          <w:lang w:val="es-ES_tradnl"/>
        </w:rPr>
        <w:t xml:space="preserve"> de </w:t>
      </w:r>
      <w:r w:rsidR="000E359F" w:rsidRPr="00083600">
        <w:rPr>
          <w:rFonts w:ascii="Arial" w:hAnsi="Arial"/>
          <w:b/>
          <w:i w:val="0"/>
          <w:color w:val="000000" w:themeColor="text1"/>
          <w:sz w:val="20"/>
          <w:lang w:val="es-ES_tradnl"/>
        </w:rPr>
        <w:t>financiamiento y tenencia de crédito</w:t>
      </w:r>
      <w:r w:rsidR="0021059C" w:rsidRPr="00083600">
        <w:rPr>
          <w:rFonts w:ascii="Arial" w:hAnsi="Arial"/>
          <w:b/>
          <w:i w:val="0"/>
          <w:color w:val="000000" w:themeColor="text1"/>
          <w:sz w:val="20"/>
          <w:lang w:val="es-ES_tradnl"/>
        </w:rPr>
        <w:t xml:space="preserve"> de </w:t>
      </w:r>
      <w:r w:rsidR="000E359F" w:rsidRPr="00083600">
        <w:rPr>
          <w:rFonts w:ascii="Arial" w:hAnsi="Arial"/>
          <w:b/>
          <w:i w:val="0"/>
          <w:color w:val="000000" w:themeColor="text1"/>
          <w:sz w:val="20"/>
          <w:lang w:val="es-ES_tradnl"/>
        </w:rPr>
        <w:t>MYPE en El Salvador</w:t>
      </w:r>
    </w:p>
    <w:tbl>
      <w:tblPr>
        <w:tblW w:w="58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900"/>
        <w:gridCol w:w="1945"/>
      </w:tblGrid>
      <w:tr w:rsidR="000E359F" w:rsidRPr="007478C6" w14:paraId="15907956" w14:textId="77777777" w:rsidTr="00907D0A">
        <w:trPr>
          <w:trHeight w:val="600"/>
          <w:jc w:val="center"/>
        </w:trPr>
        <w:tc>
          <w:tcPr>
            <w:tcW w:w="3900" w:type="dxa"/>
            <w:shd w:val="clear" w:color="auto" w:fill="D9D9D9" w:themeFill="background1" w:themeFillShade="D9"/>
            <w:vAlign w:val="center"/>
            <w:hideMark/>
          </w:tcPr>
          <w:p w14:paraId="4FCC9D81" w14:textId="77777777" w:rsidR="000E359F" w:rsidRPr="007478C6" w:rsidRDefault="000E359F" w:rsidP="00907D0A">
            <w:pPr>
              <w:spacing w:after="0" w:line="240" w:lineRule="auto"/>
              <w:jc w:val="center"/>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Principal fuente de financiamiento al inicio de las operaciones</w:t>
            </w:r>
          </w:p>
        </w:tc>
        <w:tc>
          <w:tcPr>
            <w:tcW w:w="1945" w:type="dxa"/>
            <w:shd w:val="clear" w:color="auto" w:fill="D9D9D9" w:themeFill="background1" w:themeFillShade="D9"/>
            <w:noWrap/>
            <w:vAlign w:val="bottom"/>
            <w:hideMark/>
          </w:tcPr>
          <w:p w14:paraId="77C32C89" w14:textId="77777777" w:rsidR="000E359F" w:rsidRPr="007478C6" w:rsidRDefault="000E359F" w:rsidP="000E359F">
            <w:pPr>
              <w:spacing w:after="0" w:line="240" w:lineRule="auto"/>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 </w:t>
            </w:r>
          </w:p>
        </w:tc>
      </w:tr>
      <w:tr w:rsidR="000E359F" w:rsidRPr="007478C6" w14:paraId="35474490" w14:textId="77777777" w:rsidTr="00907D0A">
        <w:trPr>
          <w:trHeight w:val="300"/>
          <w:jc w:val="center"/>
        </w:trPr>
        <w:tc>
          <w:tcPr>
            <w:tcW w:w="3900" w:type="dxa"/>
            <w:shd w:val="clear" w:color="000000" w:fill="FFFFFF"/>
            <w:vAlign w:val="center"/>
            <w:hideMark/>
          </w:tcPr>
          <w:p w14:paraId="628B8B91" w14:textId="77777777" w:rsidR="000E359F" w:rsidRPr="007478C6" w:rsidRDefault="000E359F" w:rsidP="00907D0A">
            <w:pPr>
              <w:spacing w:after="0" w:line="240" w:lineRule="auto"/>
              <w:ind w:firstLineChars="200" w:firstLine="360"/>
              <w:jc w:val="both"/>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Recursos propios, ahorros familiares</w:t>
            </w:r>
          </w:p>
        </w:tc>
        <w:tc>
          <w:tcPr>
            <w:tcW w:w="1945" w:type="dxa"/>
            <w:shd w:val="clear" w:color="000000" w:fill="FFFFFF"/>
            <w:noWrap/>
            <w:vAlign w:val="center"/>
            <w:hideMark/>
          </w:tcPr>
          <w:p w14:paraId="1E7623C7" w14:textId="77777777" w:rsidR="000E359F" w:rsidRPr="007478C6" w:rsidRDefault="000E359F" w:rsidP="00907D0A">
            <w:pPr>
              <w:spacing w:after="0" w:line="240" w:lineRule="auto"/>
              <w:jc w:val="center"/>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68%</w:t>
            </w:r>
          </w:p>
        </w:tc>
      </w:tr>
      <w:tr w:rsidR="000E359F" w:rsidRPr="007478C6" w14:paraId="316AE889" w14:textId="77777777" w:rsidTr="00907D0A">
        <w:trPr>
          <w:trHeight w:val="300"/>
          <w:jc w:val="center"/>
        </w:trPr>
        <w:tc>
          <w:tcPr>
            <w:tcW w:w="3900" w:type="dxa"/>
            <w:shd w:val="clear" w:color="000000" w:fill="FFFFFF"/>
            <w:vAlign w:val="center"/>
            <w:hideMark/>
          </w:tcPr>
          <w:p w14:paraId="0A1E15CB" w14:textId="6BA5F2BD" w:rsidR="000E359F" w:rsidRPr="007478C6" w:rsidRDefault="000E359F" w:rsidP="00907D0A">
            <w:pPr>
              <w:spacing w:after="0" w:line="240" w:lineRule="auto"/>
              <w:ind w:firstLineChars="200" w:firstLine="360"/>
              <w:jc w:val="both"/>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Préstamo de familiar o amistades</w:t>
            </w:r>
          </w:p>
        </w:tc>
        <w:tc>
          <w:tcPr>
            <w:tcW w:w="1945" w:type="dxa"/>
            <w:shd w:val="clear" w:color="000000" w:fill="FFFFFF"/>
            <w:noWrap/>
            <w:vAlign w:val="center"/>
            <w:hideMark/>
          </w:tcPr>
          <w:p w14:paraId="3F36B92E" w14:textId="77777777" w:rsidR="000E359F" w:rsidRPr="007478C6" w:rsidRDefault="000E359F" w:rsidP="00907D0A">
            <w:pPr>
              <w:spacing w:after="0" w:line="240" w:lineRule="auto"/>
              <w:jc w:val="center"/>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9%</w:t>
            </w:r>
          </w:p>
        </w:tc>
      </w:tr>
      <w:tr w:rsidR="000E359F" w:rsidRPr="007478C6" w14:paraId="4FEF17B2" w14:textId="77777777" w:rsidTr="00907D0A">
        <w:trPr>
          <w:trHeight w:val="300"/>
          <w:jc w:val="center"/>
        </w:trPr>
        <w:tc>
          <w:tcPr>
            <w:tcW w:w="3900" w:type="dxa"/>
            <w:shd w:val="clear" w:color="000000" w:fill="FFFFFF"/>
            <w:vAlign w:val="center"/>
            <w:hideMark/>
          </w:tcPr>
          <w:p w14:paraId="6D67ACE7" w14:textId="77777777" w:rsidR="000E359F" w:rsidRPr="007478C6" w:rsidRDefault="000E359F" w:rsidP="00907D0A">
            <w:pPr>
              <w:spacing w:after="0" w:line="240" w:lineRule="auto"/>
              <w:ind w:firstLineChars="200" w:firstLine="360"/>
              <w:jc w:val="both"/>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Prestamistas</w:t>
            </w:r>
          </w:p>
        </w:tc>
        <w:tc>
          <w:tcPr>
            <w:tcW w:w="1945" w:type="dxa"/>
            <w:shd w:val="clear" w:color="000000" w:fill="FFFFFF"/>
            <w:noWrap/>
            <w:vAlign w:val="center"/>
            <w:hideMark/>
          </w:tcPr>
          <w:p w14:paraId="3D6111A7" w14:textId="77777777" w:rsidR="000E359F" w:rsidRPr="007478C6" w:rsidRDefault="000E359F" w:rsidP="00907D0A">
            <w:pPr>
              <w:spacing w:after="0" w:line="240" w:lineRule="auto"/>
              <w:jc w:val="center"/>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3%</w:t>
            </w:r>
          </w:p>
        </w:tc>
      </w:tr>
      <w:tr w:rsidR="000E359F" w:rsidRPr="007478C6" w14:paraId="2316AAB8" w14:textId="77777777" w:rsidTr="00907D0A">
        <w:trPr>
          <w:trHeight w:val="300"/>
          <w:jc w:val="center"/>
        </w:trPr>
        <w:tc>
          <w:tcPr>
            <w:tcW w:w="3900" w:type="dxa"/>
            <w:shd w:val="clear" w:color="000000" w:fill="FFFFFF"/>
            <w:vAlign w:val="center"/>
            <w:hideMark/>
          </w:tcPr>
          <w:p w14:paraId="226CF450" w14:textId="77777777" w:rsidR="000E359F" w:rsidRPr="007478C6" w:rsidRDefault="000E359F" w:rsidP="00907D0A">
            <w:pPr>
              <w:spacing w:after="0" w:line="240" w:lineRule="auto"/>
              <w:ind w:firstLineChars="200" w:firstLine="360"/>
              <w:jc w:val="both"/>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Banca comercial o privada</w:t>
            </w:r>
          </w:p>
        </w:tc>
        <w:tc>
          <w:tcPr>
            <w:tcW w:w="1945" w:type="dxa"/>
            <w:shd w:val="clear" w:color="000000" w:fill="FFFFFF"/>
            <w:noWrap/>
            <w:vAlign w:val="center"/>
            <w:hideMark/>
          </w:tcPr>
          <w:p w14:paraId="48E56313" w14:textId="77777777" w:rsidR="000E359F" w:rsidRPr="007478C6" w:rsidRDefault="000E359F" w:rsidP="00907D0A">
            <w:pPr>
              <w:spacing w:after="0" w:line="240" w:lineRule="auto"/>
              <w:jc w:val="center"/>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11%</w:t>
            </w:r>
          </w:p>
        </w:tc>
      </w:tr>
      <w:tr w:rsidR="000E359F" w:rsidRPr="007478C6" w14:paraId="34B50EF3" w14:textId="77777777" w:rsidTr="00907D0A">
        <w:trPr>
          <w:trHeight w:val="375"/>
          <w:jc w:val="center"/>
        </w:trPr>
        <w:tc>
          <w:tcPr>
            <w:tcW w:w="3900" w:type="dxa"/>
            <w:shd w:val="clear" w:color="000000" w:fill="FFFFFF"/>
            <w:vAlign w:val="center"/>
            <w:hideMark/>
          </w:tcPr>
          <w:p w14:paraId="37A00E04" w14:textId="1AB48FE5" w:rsidR="000E359F" w:rsidRPr="007478C6" w:rsidRDefault="000E359F" w:rsidP="00907D0A">
            <w:pPr>
              <w:spacing w:after="0" w:line="240" w:lineRule="auto"/>
              <w:ind w:firstLineChars="200" w:firstLine="360"/>
              <w:jc w:val="both"/>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Bancos o entidades financieras públicas</w:t>
            </w:r>
          </w:p>
        </w:tc>
        <w:tc>
          <w:tcPr>
            <w:tcW w:w="1945" w:type="dxa"/>
            <w:shd w:val="clear" w:color="000000" w:fill="FFFFFF"/>
            <w:noWrap/>
            <w:vAlign w:val="center"/>
            <w:hideMark/>
          </w:tcPr>
          <w:p w14:paraId="124679A3" w14:textId="77777777" w:rsidR="000E359F" w:rsidRPr="007478C6" w:rsidRDefault="000E359F" w:rsidP="00907D0A">
            <w:pPr>
              <w:spacing w:after="0" w:line="240" w:lineRule="auto"/>
              <w:jc w:val="center"/>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2%</w:t>
            </w:r>
          </w:p>
        </w:tc>
      </w:tr>
      <w:tr w:rsidR="000E359F" w:rsidRPr="007478C6" w14:paraId="7ECB68A0" w14:textId="77777777" w:rsidTr="009C2572">
        <w:trPr>
          <w:trHeight w:val="600"/>
          <w:jc w:val="center"/>
        </w:trPr>
        <w:tc>
          <w:tcPr>
            <w:tcW w:w="3900" w:type="dxa"/>
            <w:shd w:val="clear" w:color="000000" w:fill="FFFFFF"/>
            <w:vAlign w:val="center"/>
            <w:hideMark/>
          </w:tcPr>
          <w:p w14:paraId="55F983FE" w14:textId="26723D16" w:rsidR="000E359F" w:rsidRPr="007478C6" w:rsidRDefault="000E359F" w:rsidP="009C2572">
            <w:pPr>
              <w:spacing w:after="0" w:line="240" w:lineRule="auto"/>
              <w:jc w:val="both"/>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Solicitó crédito (durante 2016) para realizar la actividad productiva</w:t>
            </w:r>
          </w:p>
        </w:tc>
        <w:tc>
          <w:tcPr>
            <w:tcW w:w="1945" w:type="dxa"/>
            <w:shd w:val="clear" w:color="000000" w:fill="FFFFFF"/>
            <w:noWrap/>
            <w:vAlign w:val="bottom"/>
            <w:hideMark/>
          </w:tcPr>
          <w:p w14:paraId="60498049" w14:textId="77777777" w:rsidR="000E359F" w:rsidRPr="007478C6" w:rsidRDefault="000E359F" w:rsidP="000E359F">
            <w:pPr>
              <w:spacing w:after="0" w:line="240" w:lineRule="auto"/>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 </w:t>
            </w:r>
          </w:p>
        </w:tc>
      </w:tr>
      <w:tr w:rsidR="000E359F" w:rsidRPr="007478C6" w14:paraId="7085E10E" w14:textId="77777777" w:rsidTr="00907D0A">
        <w:trPr>
          <w:trHeight w:val="300"/>
          <w:jc w:val="center"/>
        </w:trPr>
        <w:tc>
          <w:tcPr>
            <w:tcW w:w="3900" w:type="dxa"/>
            <w:shd w:val="clear" w:color="000000" w:fill="FFFFFF"/>
            <w:vAlign w:val="bottom"/>
            <w:hideMark/>
          </w:tcPr>
          <w:p w14:paraId="5C79C8D8" w14:textId="77777777" w:rsidR="000E359F" w:rsidRPr="007478C6" w:rsidRDefault="000E359F" w:rsidP="000E359F">
            <w:pPr>
              <w:spacing w:after="0" w:line="240" w:lineRule="auto"/>
              <w:ind w:firstLineChars="200" w:firstLine="360"/>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Si</w:t>
            </w:r>
          </w:p>
        </w:tc>
        <w:tc>
          <w:tcPr>
            <w:tcW w:w="1945" w:type="dxa"/>
            <w:shd w:val="clear" w:color="000000" w:fill="FFFFFF"/>
            <w:noWrap/>
            <w:vAlign w:val="bottom"/>
            <w:hideMark/>
          </w:tcPr>
          <w:p w14:paraId="471AF716" w14:textId="77777777" w:rsidR="000E359F" w:rsidRPr="007478C6" w:rsidRDefault="000E359F" w:rsidP="00AB5443">
            <w:pPr>
              <w:spacing w:after="0" w:line="240" w:lineRule="auto"/>
              <w:jc w:val="center"/>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22%</w:t>
            </w:r>
          </w:p>
        </w:tc>
      </w:tr>
      <w:tr w:rsidR="000E359F" w:rsidRPr="007478C6" w14:paraId="75E7D83C" w14:textId="77777777" w:rsidTr="00907D0A">
        <w:trPr>
          <w:trHeight w:val="300"/>
          <w:jc w:val="center"/>
        </w:trPr>
        <w:tc>
          <w:tcPr>
            <w:tcW w:w="3900" w:type="dxa"/>
            <w:shd w:val="clear" w:color="000000" w:fill="FFFFFF"/>
            <w:vAlign w:val="bottom"/>
            <w:hideMark/>
          </w:tcPr>
          <w:p w14:paraId="5B17BCA9" w14:textId="77777777" w:rsidR="000E359F" w:rsidRPr="007478C6" w:rsidRDefault="000E359F" w:rsidP="000E359F">
            <w:pPr>
              <w:spacing w:after="0" w:line="240" w:lineRule="auto"/>
              <w:ind w:firstLineChars="200" w:firstLine="360"/>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No</w:t>
            </w:r>
          </w:p>
        </w:tc>
        <w:tc>
          <w:tcPr>
            <w:tcW w:w="1945" w:type="dxa"/>
            <w:shd w:val="clear" w:color="000000" w:fill="FFFFFF"/>
            <w:noWrap/>
            <w:vAlign w:val="bottom"/>
            <w:hideMark/>
          </w:tcPr>
          <w:p w14:paraId="38AD92DC" w14:textId="77777777" w:rsidR="000E359F" w:rsidRPr="007478C6" w:rsidRDefault="000E359F" w:rsidP="00AB5443">
            <w:pPr>
              <w:spacing w:after="0" w:line="240" w:lineRule="auto"/>
              <w:jc w:val="center"/>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77%</w:t>
            </w:r>
          </w:p>
        </w:tc>
      </w:tr>
      <w:tr w:rsidR="000E359F" w:rsidRPr="007478C6" w14:paraId="721E04BF" w14:textId="77777777" w:rsidTr="00907D0A">
        <w:trPr>
          <w:trHeight w:val="300"/>
          <w:jc w:val="center"/>
        </w:trPr>
        <w:tc>
          <w:tcPr>
            <w:tcW w:w="3900" w:type="dxa"/>
            <w:shd w:val="clear" w:color="000000" w:fill="FFFFFF"/>
            <w:vAlign w:val="bottom"/>
            <w:hideMark/>
          </w:tcPr>
          <w:p w14:paraId="5A5F7F97" w14:textId="77777777" w:rsidR="000E359F" w:rsidRPr="007478C6" w:rsidRDefault="000E359F" w:rsidP="000E359F">
            <w:pPr>
              <w:spacing w:after="0" w:line="240" w:lineRule="auto"/>
              <w:ind w:firstLineChars="200" w:firstLine="360"/>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NS/NR</w:t>
            </w:r>
          </w:p>
        </w:tc>
        <w:tc>
          <w:tcPr>
            <w:tcW w:w="1945" w:type="dxa"/>
            <w:shd w:val="clear" w:color="000000" w:fill="FFFFFF"/>
            <w:noWrap/>
            <w:vAlign w:val="bottom"/>
            <w:hideMark/>
          </w:tcPr>
          <w:p w14:paraId="1CAE9F32" w14:textId="77777777" w:rsidR="000E359F" w:rsidRPr="007478C6" w:rsidRDefault="000E359F" w:rsidP="00AB5443">
            <w:pPr>
              <w:spacing w:after="0" w:line="240" w:lineRule="auto"/>
              <w:jc w:val="center"/>
              <w:rPr>
                <w:rFonts w:ascii="Arial" w:eastAsia="Times New Roman" w:hAnsi="Arial" w:cs="Arial"/>
                <w:color w:val="000000"/>
                <w:sz w:val="18"/>
                <w:szCs w:val="18"/>
                <w:lang w:val="es-ES_tradnl" w:eastAsia="es-ES_tradnl"/>
              </w:rPr>
            </w:pPr>
            <w:r w:rsidRPr="007478C6">
              <w:rPr>
                <w:rFonts w:ascii="Arial" w:eastAsia="Times New Roman" w:hAnsi="Arial" w:cs="Arial"/>
                <w:color w:val="000000"/>
                <w:sz w:val="18"/>
                <w:szCs w:val="18"/>
                <w:lang w:val="es-ES_tradnl" w:eastAsia="es-ES_tradnl"/>
              </w:rPr>
              <w:t>1%</w:t>
            </w:r>
          </w:p>
        </w:tc>
      </w:tr>
    </w:tbl>
    <w:p w14:paraId="1925E1E8" w14:textId="7F55A188" w:rsidR="0021059C" w:rsidRPr="007478C6" w:rsidRDefault="00AB5443" w:rsidP="00AB5443">
      <w:pPr>
        <w:pStyle w:val="Paragraph"/>
        <w:numPr>
          <w:ilvl w:val="0"/>
          <w:numId w:val="0"/>
        </w:numPr>
        <w:tabs>
          <w:tab w:val="left" w:pos="1260"/>
        </w:tabs>
        <w:ind w:left="720"/>
        <w:jc w:val="left"/>
        <w:rPr>
          <w:rFonts w:ascii="Arial" w:hAnsi="Arial" w:cs="Arial"/>
          <w:sz w:val="22"/>
          <w:highlight w:val="yellow"/>
          <w:lang w:val="es-ES_tradnl"/>
        </w:rPr>
      </w:pPr>
      <w:r w:rsidRPr="007478C6">
        <w:rPr>
          <w:rFonts w:ascii="Arial" w:eastAsia="Times New Roman" w:hAnsi="Arial" w:cs="Arial"/>
          <w:color w:val="000000"/>
          <w:sz w:val="18"/>
          <w:szCs w:val="18"/>
          <w:lang w:val="es-ES_tradnl" w:eastAsia="es-ES_tradnl"/>
        </w:rPr>
        <w:tab/>
        <w:t>Fuente: Conamype (2018)</w:t>
      </w:r>
    </w:p>
    <w:p w14:paraId="2E573009" w14:textId="2CF11CF8" w:rsidR="0021059C" w:rsidRPr="007478C6" w:rsidRDefault="0021059C" w:rsidP="0021059C">
      <w:pPr>
        <w:pStyle w:val="Paragraph"/>
        <w:numPr>
          <w:ilvl w:val="0"/>
          <w:numId w:val="0"/>
        </w:numPr>
        <w:ind w:left="720"/>
        <w:jc w:val="center"/>
        <w:rPr>
          <w:rFonts w:ascii="Arial" w:hAnsi="Arial" w:cs="Arial"/>
          <w:sz w:val="22"/>
          <w:highlight w:val="yellow"/>
          <w:lang w:val="es-ES_tradnl"/>
        </w:rPr>
      </w:pPr>
    </w:p>
    <w:p w14:paraId="7D940E4B" w14:textId="34AF754B" w:rsidR="00705BF8" w:rsidRPr="007478C6" w:rsidRDefault="00705BF8" w:rsidP="00045935">
      <w:pPr>
        <w:pStyle w:val="Paragraph"/>
        <w:tabs>
          <w:tab w:val="clear" w:pos="2448"/>
          <w:tab w:val="num" w:pos="720"/>
        </w:tabs>
        <w:ind w:left="720" w:hanging="720"/>
        <w:rPr>
          <w:rFonts w:ascii="Arial" w:hAnsi="Arial" w:cs="Arial"/>
          <w:sz w:val="22"/>
          <w:lang w:val="es-ES_tradnl"/>
        </w:rPr>
      </w:pPr>
      <w:r w:rsidRPr="007478C6">
        <w:rPr>
          <w:rFonts w:ascii="Arial" w:hAnsi="Arial" w:cs="Arial"/>
          <w:sz w:val="22"/>
          <w:lang w:val="es-ES_tradnl"/>
        </w:rPr>
        <w:t>Para estimar la demanda potencial de este programa se harán dos cálculos:</w:t>
      </w:r>
      <w:r w:rsidR="00733269" w:rsidRPr="007478C6">
        <w:rPr>
          <w:rFonts w:ascii="Arial" w:hAnsi="Arial" w:cs="Arial"/>
          <w:sz w:val="22"/>
          <w:lang w:val="es-ES_tradnl"/>
        </w:rPr>
        <w:t> </w:t>
      </w:r>
      <w:r w:rsidRPr="007478C6">
        <w:rPr>
          <w:rFonts w:ascii="Arial" w:hAnsi="Arial" w:cs="Arial"/>
          <w:sz w:val="22"/>
          <w:lang w:val="es-ES_tradnl"/>
        </w:rPr>
        <w:t>(i)</w:t>
      </w:r>
      <w:r w:rsidR="00733269" w:rsidRPr="007478C6">
        <w:rPr>
          <w:rFonts w:ascii="Arial" w:hAnsi="Arial" w:cs="Arial"/>
          <w:sz w:val="22"/>
          <w:lang w:val="es-ES_tradnl"/>
        </w:rPr>
        <w:t> </w:t>
      </w:r>
      <w:r w:rsidRPr="007478C6">
        <w:rPr>
          <w:rFonts w:ascii="Arial" w:hAnsi="Arial" w:cs="Arial"/>
          <w:sz w:val="22"/>
          <w:lang w:val="es-ES_tradnl"/>
        </w:rPr>
        <w:t>en primer lugar se estimar</w:t>
      </w:r>
      <w:r w:rsidR="00CB4DB9" w:rsidRPr="007478C6">
        <w:rPr>
          <w:rFonts w:ascii="Arial" w:hAnsi="Arial" w:cs="Arial"/>
          <w:sz w:val="22"/>
          <w:lang w:val="es-ES_tradnl"/>
        </w:rPr>
        <w:t>á</w:t>
      </w:r>
      <w:r w:rsidRPr="007478C6">
        <w:rPr>
          <w:rFonts w:ascii="Arial" w:hAnsi="Arial" w:cs="Arial"/>
          <w:sz w:val="22"/>
          <w:lang w:val="es-ES_tradnl"/>
        </w:rPr>
        <w:t xml:space="preserve"> </w:t>
      </w:r>
      <w:r w:rsidR="00CB4DB9" w:rsidRPr="007478C6">
        <w:rPr>
          <w:rFonts w:ascii="Arial" w:hAnsi="Arial" w:cs="Arial"/>
          <w:sz w:val="22"/>
          <w:lang w:val="es-ES_tradnl"/>
        </w:rPr>
        <w:t>el número de M</w:t>
      </w:r>
      <w:r w:rsidR="00255E34" w:rsidRPr="007478C6">
        <w:rPr>
          <w:rFonts w:ascii="Arial" w:hAnsi="Arial" w:cs="Arial"/>
          <w:sz w:val="22"/>
          <w:lang w:val="es-ES_tradnl"/>
        </w:rPr>
        <w:t>y</w:t>
      </w:r>
      <w:r w:rsidR="00CB4DB9" w:rsidRPr="007478C6">
        <w:rPr>
          <w:rFonts w:ascii="Arial" w:hAnsi="Arial" w:cs="Arial"/>
          <w:sz w:val="22"/>
          <w:lang w:val="es-ES_tradnl"/>
        </w:rPr>
        <w:t>PE</w:t>
      </w:r>
      <w:r w:rsidR="00C94C78" w:rsidRPr="007478C6">
        <w:rPr>
          <w:rFonts w:ascii="Arial" w:hAnsi="Arial" w:cs="Arial"/>
          <w:sz w:val="22"/>
          <w:lang w:val="es-ES_tradnl"/>
        </w:rPr>
        <w:t xml:space="preserve"> </w:t>
      </w:r>
      <w:r w:rsidR="00CB4DB9" w:rsidRPr="007478C6">
        <w:rPr>
          <w:rFonts w:ascii="Arial" w:hAnsi="Arial" w:cs="Arial"/>
          <w:sz w:val="22"/>
          <w:lang w:val="es-ES_tradnl"/>
        </w:rPr>
        <w:t xml:space="preserve">que </w:t>
      </w:r>
      <w:r w:rsidRPr="007478C6">
        <w:rPr>
          <w:rFonts w:ascii="Arial" w:hAnsi="Arial" w:cs="Arial"/>
          <w:sz w:val="22"/>
          <w:lang w:val="es-ES_tradnl"/>
        </w:rPr>
        <w:t>declaran haber</w:t>
      </w:r>
      <w:r w:rsidR="00C94C78" w:rsidRPr="007478C6">
        <w:rPr>
          <w:rFonts w:ascii="Arial" w:hAnsi="Arial" w:cs="Arial"/>
          <w:sz w:val="22"/>
          <w:lang w:val="es-ES_tradnl"/>
        </w:rPr>
        <w:t xml:space="preserve">se financiado por fuentes </w:t>
      </w:r>
      <w:r w:rsidR="00CB4DB9" w:rsidRPr="007478C6">
        <w:rPr>
          <w:rFonts w:ascii="Arial" w:hAnsi="Arial" w:cs="Arial"/>
          <w:sz w:val="22"/>
          <w:lang w:val="es-ES_tradnl"/>
        </w:rPr>
        <w:t>informales o recursos propios</w:t>
      </w:r>
      <w:r w:rsidR="00733269" w:rsidRPr="007478C6">
        <w:rPr>
          <w:rFonts w:ascii="Arial" w:hAnsi="Arial" w:cs="Arial"/>
          <w:sz w:val="22"/>
          <w:lang w:val="es-ES_tradnl"/>
        </w:rPr>
        <w:t>;</w:t>
      </w:r>
      <w:r w:rsidRPr="007478C6">
        <w:rPr>
          <w:rFonts w:ascii="Arial" w:hAnsi="Arial" w:cs="Arial"/>
          <w:sz w:val="22"/>
          <w:lang w:val="es-ES_tradnl"/>
        </w:rPr>
        <w:t xml:space="preserve"> y (ii) </w:t>
      </w:r>
      <w:r w:rsidR="00CB4DB9" w:rsidRPr="007478C6">
        <w:rPr>
          <w:rFonts w:ascii="Arial" w:hAnsi="Arial" w:cs="Arial"/>
          <w:sz w:val="22"/>
          <w:lang w:val="es-ES_tradnl"/>
        </w:rPr>
        <w:t>se calculará el número de M</w:t>
      </w:r>
      <w:r w:rsidR="00255E34" w:rsidRPr="007478C6">
        <w:rPr>
          <w:rFonts w:ascii="Arial" w:hAnsi="Arial" w:cs="Arial"/>
          <w:sz w:val="22"/>
          <w:lang w:val="es-ES_tradnl"/>
        </w:rPr>
        <w:t>y</w:t>
      </w:r>
      <w:r w:rsidR="00CB4DB9" w:rsidRPr="007478C6">
        <w:rPr>
          <w:rFonts w:ascii="Arial" w:hAnsi="Arial" w:cs="Arial"/>
          <w:sz w:val="22"/>
          <w:lang w:val="es-ES_tradnl"/>
        </w:rPr>
        <w:t>PE que no recibieron crédito y que, por tanto, potencialmente representan una población objetivo del programa</w:t>
      </w:r>
      <w:r w:rsidRPr="007478C6">
        <w:rPr>
          <w:rFonts w:ascii="Arial" w:hAnsi="Arial" w:cs="Arial"/>
          <w:sz w:val="22"/>
          <w:lang w:val="es-ES_tradnl"/>
        </w:rPr>
        <w:t xml:space="preserve">. </w:t>
      </w:r>
      <w:r w:rsidR="00CB4DB9" w:rsidRPr="007478C6">
        <w:rPr>
          <w:rFonts w:ascii="Arial" w:hAnsi="Arial" w:cs="Arial"/>
          <w:sz w:val="22"/>
          <w:lang w:val="es-ES_tradnl"/>
        </w:rPr>
        <w:t>Luego se comparará ambos estimados y se determinará cual se aproxima mejor a la demanda potencial</w:t>
      </w:r>
      <w:r w:rsidR="005B3F41" w:rsidRPr="007478C6">
        <w:rPr>
          <w:rFonts w:ascii="Arial" w:hAnsi="Arial" w:cs="Arial"/>
          <w:sz w:val="22"/>
          <w:lang w:val="es-ES_tradnl"/>
        </w:rPr>
        <w:t>.</w:t>
      </w:r>
      <w:r w:rsidRPr="007478C6">
        <w:rPr>
          <w:rFonts w:ascii="Arial" w:hAnsi="Arial" w:cs="Arial"/>
          <w:sz w:val="22"/>
          <w:lang w:val="es-ES_tradnl"/>
        </w:rPr>
        <w:t xml:space="preserve"> El </w:t>
      </w:r>
      <w:r w:rsidR="0021059C" w:rsidRPr="007478C6">
        <w:rPr>
          <w:rFonts w:ascii="Arial" w:hAnsi="Arial" w:cs="Arial"/>
          <w:sz w:val="22"/>
          <w:lang w:val="es-ES_tradnl"/>
        </w:rPr>
        <w:fldChar w:fldCharType="begin"/>
      </w:r>
      <w:r w:rsidR="0021059C" w:rsidRPr="007478C6">
        <w:rPr>
          <w:rFonts w:ascii="Arial" w:hAnsi="Arial" w:cs="Arial"/>
          <w:sz w:val="22"/>
          <w:lang w:val="es-ES_tradnl"/>
        </w:rPr>
        <w:instrText xml:space="preserve"> REF _Ref17903659 \h  \* MERGEFORMAT </w:instrText>
      </w:r>
      <w:r w:rsidR="0021059C" w:rsidRPr="007478C6">
        <w:rPr>
          <w:rFonts w:ascii="Arial" w:hAnsi="Arial" w:cs="Arial"/>
          <w:sz w:val="22"/>
          <w:lang w:val="es-ES_tradnl"/>
        </w:rPr>
      </w:r>
      <w:r w:rsidR="0021059C" w:rsidRPr="007478C6">
        <w:rPr>
          <w:rFonts w:ascii="Arial" w:hAnsi="Arial" w:cs="Arial"/>
          <w:sz w:val="22"/>
          <w:lang w:val="es-ES_tradnl"/>
        </w:rPr>
        <w:fldChar w:fldCharType="separate"/>
      </w:r>
      <w:r w:rsidR="00D62B42" w:rsidRPr="007478C6">
        <w:rPr>
          <w:rFonts w:ascii="Arial" w:hAnsi="Arial" w:cs="Arial"/>
          <w:sz w:val="22"/>
          <w:lang w:val="es-ES_tradnl"/>
        </w:rPr>
        <w:t>Cuadro 3</w:t>
      </w:r>
      <w:r w:rsidR="0021059C" w:rsidRPr="007478C6">
        <w:rPr>
          <w:rFonts w:ascii="Arial" w:hAnsi="Arial" w:cs="Arial"/>
          <w:sz w:val="22"/>
          <w:lang w:val="es-ES_tradnl"/>
        </w:rPr>
        <w:fldChar w:fldCharType="end"/>
      </w:r>
      <w:r w:rsidR="0021059C" w:rsidRPr="007478C6">
        <w:rPr>
          <w:rFonts w:ascii="Arial" w:hAnsi="Arial" w:cs="Arial"/>
          <w:sz w:val="22"/>
          <w:lang w:val="es-ES_tradnl"/>
        </w:rPr>
        <w:t xml:space="preserve"> </w:t>
      </w:r>
      <w:r w:rsidRPr="007478C6">
        <w:rPr>
          <w:rFonts w:ascii="Arial" w:hAnsi="Arial" w:cs="Arial"/>
          <w:sz w:val="22"/>
          <w:lang w:val="es-ES_tradnl"/>
        </w:rPr>
        <w:t xml:space="preserve">resume los cálculos realizados en este ejercicio. </w:t>
      </w:r>
    </w:p>
    <w:p w14:paraId="1FE5631F" w14:textId="422DD86A" w:rsidR="00705BF8" w:rsidRPr="007478C6" w:rsidRDefault="00CB4DB9" w:rsidP="00045935">
      <w:pPr>
        <w:pStyle w:val="Paragraph"/>
        <w:tabs>
          <w:tab w:val="clear" w:pos="2448"/>
          <w:tab w:val="num" w:pos="720"/>
        </w:tabs>
        <w:ind w:left="720" w:hanging="720"/>
        <w:rPr>
          <w:rFonts w:ascii="Arial" w:hAnsi="Arial" w:cs="Arial"/>
          <w:sz w:val="22"/>
          <w:lang w:val="es-ES_tradnl"/>
        </w:rPr>
      </w:pPr>
      <w:r w:rsidRPr="007478C6">
        <w:rPr>
          <w:rFonts w:ascii="Arial" w:hAnsi="Arial" w:cs="Arial"/>
          <w:sz w:val="22"/>
          <w:lang w:val="es-ES_tradnl"/>
        </w:rPr>
        <w:t xml:space="preserve">En primer </w:t>
      </w:r>
      <w:r w:rsidR="00B30ABE" w:rsidRPr="007478C6">
        <w:rPr>
          <w:rFonts w:ascii="Arial" w:hAnsi="Arial" w:cs="Arial"/>
          <w:sz w:val="22"/>
          <w:lang w:val="es-ES_tradnl"/>
        </w:rPr>
        <w:t>lugar,</w:t>
      </w:r>
      <w:r w:rsidRPr="007478C6">
        <w:rPr>
          <w:rFonts w:ascii="Arial" w:hAnsi="Arial" w:cs="Arial"/>
          <w:sz w:val="22"/>
          <w:lang w:val="es-ES_tradnl"/>
        </w:rPr>
        <w:t xml:space="preserve"> se es</w:t>
      </w:r>
      <w:r w:rsidR="00B30ABE" w:rsidRPr="007478C6">
        <w:rPr>
          <w:rFonts w:ascii="Arial" w:hAnsi="Arial" w:cs="Arial"/>
          <w:sz w:val="22"/>
          <w:lang w:val="es-ES_tradnl"/>
        </w:rPr>
        <w:t>tima que 259.416 M</w:t>
      </w:r>
      <w:r w:rsidR="008839F7" w:rsidRPr="007478C6">
        <w:rPr>
          <w:rFonts w:ascii="Arial" w:hAnsi="Arial" w:cs="Arial"/>
          <w:sz w:val="22"/>
          <w:lang w:val="es-ES_tradnl"/>
        </w:rPr>
        <w:t>y</w:t>
      </w:r>
      <w:r w:rsidR="00B30ABE" w:rsidRPr="007478C6">
        <w:rPr>
          <w:rFonts w:ascii="Arial" w:hAnsi="Arial" w:cs="Arial"/>
          <w:sz w:val="22"/>
          <w:lang w:val="es-ES_tradnl"/>
        </w:rPr>
        <w:t>PE no solicitaron crédito. Esto se obtiene de aplicar el porcentaje de 77</w:t>
      </w:r>
      <w:r w:rsidR="008839F7" w:rsidRPr="007478C6">
        <w:rPr>
          <w:rFonts w:ascii="Arial" w:hAnsi="Arial" w:cs="Arial"/>
          <w:sz w:val="22"/>
          <w:lang w:val="es-ES_tradnl"/>
        </w:rPr>
        <w:t>,</w:t>
      </w:r>
      <w:r w:rsidR="00B30ABE" w:rsidRPr="007478C6">
        <w:rPr>
          <w:rFonts w:ascii="Arial" w:hAnsi="Arial" w:cs="Arial"/>
          <w:sz w:val="22"/>
          <w:lang w:val="es-ES_tradnl"/>
        </w:rPr>
        <w:t>2% al total de M</w:t>
      </w:r>
      <w:r w:rsidR="008839F7" w:rsidRPr="007478C6">
        <w:rPr>
          <w:rFonts w:ascii="Arial" w:hAnsi="Arial" w:cs="Arial"/>
          <w:sz w:val="22"/>
          <w:lang w:val="es-ES_tradnl"/>
        </w:rPr>
        <w:t>y</w:t>
      </w:r>
      <w:r w:rsidR="00B30ABE" w:rsidRPr="007478C6">
        <w:rPr>
          <w:rFonts w:ascii="Arial" w:hAnsi="Arial" w:cs="Arial"/>
          <w:sz w:val="22"/>
          <w:lang w:val="es-ES_tradnl"/>
        </w:rPr>
        <w:t>PE (317.795). Este grupo puede representar la demanda potencial de M</w:t>
      </w:r>
      <w:r w:rsidR="008839F7" w:rsidRPr="007478C6">
        <w:rPr>
          <w:rFonts w:ascii="Arial" w:hAnsi="Arial" w:cs="Arial"/>
          <w:sz w:val="22"/>
          <w:lang w:val="es-ES_tradnl"/>
        </w:rPr>
        <w:t>y</w:t>
      </w:r>
      <w:r w:rsidR="00B30ABE" w:rsidRPr="007478C6">
        <w:rPr>
          <w:rFonts w:ascii="Arial" w:hAnsi="Arial" w:cs="Arial"/>
          <w:sz w:val="22"/>
          <w:lang w:val="es-ES_tradnl"/>
        </w:rPr>
        <w:t xml:space="preserve">PE en El Salvador ya </w:t>
      </w:r>
      <w:r w:rsidR="00B30ABE" w:rsidRPr="007478C6">
        <w:rPr>
          <w:rFonts w:ascii="Arial" w:hAnsi="Arial" w:cs="Arial"/>
          <w:sz w:val="22"/>
          <w:lang w:val="es-ES_tradnl"/>
        </w:rPr>
        <w:lastRenderedPageBreak/>
        <w:t>que, como se argumentará a continuación, este grupo, lejos de no necesitar financiamiento, busca solventar sus necesidades de financiamiento a través de otras fuentes.</w:t>
      </w:r>
    </w:p>
    <w:p w14:paraId="6876201C" w14:textId="73C180DB" w:rsidR="00F970DF" w:rsidRPr="007478C6" w:rsidRDefault="001D77CE" w:rsidP="001267F5">
      <w:pPr>
        <w:pStyle w:val="Paragraph"/>
        <w:tabs>
          <w:tab w:val="clear" w:pos="2448"/>
          <w:tab w:val="num" w:pos="720"/>
        </w:tabs>
        <w:ind w:left="720" w:hanging="720"/>
        <w:rPr>
          <w:rFonts w:ascii="Arial" w:hAnsi="Arial" w:cs="Arial"/>
          <w:sz w:val="22"/>
          <w:lang w:val="es-ES_tradnl"/>
        </w:rPr>
      </w:pPr>
      <w:r w:rsidRPr="007478C6">
        <w:rPr>
          <w:rFonts w:ascii="Arial" w:hAnsi="Arial" w:cs="Arial"/>
          <w:sz w:val="22"/>
          <w:lang w:val="es-ES_tradnl"/>
        </w:rPr>
        <w:t xml:space="preserve">En segundo lugar, </w:t>
      </w:r>
      <w:r w:rsidR="00B30ABE" w:rsidRPr="007478C6">
        <w:rPr>
          <w:rFonts w:ascii="Arial" w:hAnsi="Arial" w:cs="Arial"/>
          <w:sz w:val="22"/>
          <w:lang w:val="es-ES_tradnl"/>
        </w:rPr>
        <w:t>se estima que 263.198 M</w:t>
      </w:r>
      <w:r w:rsidR="0024670D" w:rsidRPr="007478C6">
        <w:rPr>
          <w:rFonts w:ascii="Arial" w:hAnsi="Arial" w:cs="Arial"/>
          <w:sz w:val="22"/>
          <w:lang w:val="es-ES_tradnl"/>
        </w:rPr>
        <w:t>y</w:t>
      </w:r>
      <w:r w:rsidR="00B30ABE" w:rsidRPr="007478C6">
        <w:rPr>
          <w:rFonts w:ascii="Arial" w:hAnsi="Arial" w:cs="Arial"/>
          <w:sz w:val="22"/>
          <w:lang w:val="es-ES_tradnl"/>
        </w:rPr>
        <w:t>PE se financian por fuentes distintas a crédito formal de la banca pública o privada (en particular, recursos propios, pr</w:t>
      </w:r>
      <w:r w:rsidR="0090467B" w:rsidRPr="007478C6">
        <w:rPr>
          <w:rFonts w:ascii="Arial" w:hAnsi="Arial" w:cs="Arial"/>
          <w:sz w:val="22"/>
          <w:lang w:val="es-ES_tradnl"/>
        </w:rPr>
        <w:t>é</w:t>
      </w:r>
      <w:r w:rsidR="00B30ABE" w:rsidRPr="007478C6">
        <w:rPr>
          <w:rFonts w:ascii="Arial" w:hAnsi="Arial" w:cs="Arial"/>
          <w:sz w:val="22"/>
          <w:lang w:val="es-ES_tradnl"/>
        </w:rPr>
        <w:t>stamos de amigos o familiares y prestamistas)</w:t>
      </w:r>
      <w:r w:rsidR="0090467B" w:rsidRPr="007478C6">
        <w:rPr>
          <w:rFonts w:ascii="Arial" w:hAnsi="Arial" w:cs="Arial"/>
          <w:sz w:val="22"/>
          <w:lang w:val="es-ES_tradnl"/>
        </w:rPr>
        <w:t>. Como puede observarse, este número es muy cercano al estimado desde el punto de vista de solicitud de crédito formal (ver párrafo anterior). La pequeña diferencia puede deberse en parte a errores o confusiones en las respuestas de los encuestados entre ambas preguntas, o al hecho de que la última pregunta implicaba un horizonte de análisis más antiguo, y, por tanto, algunas de las M</w:t>
      </w:r>
      <w:r w:rsidR="0024670D" w:rsidRPr="007478C6">
        <w:rPr>
          <w:rFonts w:ascii="Arial" w:hAnsi="Arial" w:cs="Arial"/>
          <w:sz w:val="22"/>
          <w:lang w:val="es-ES_tradnl"/>
        </w:rPr>
        <w:t>y</w:t>
      </w:r>
      <w:r w:rsidR="0090467B" w:rsidRPr="007478C6">
        <w:rPr>
          <w:rFonts w:ascii="Arial" w:hAnsi="Arial" w:cs="Arial"/>
          <w:sz w:val="22"/>
          <w:lang w:val="es-ES_tradnl"/>
        </w:rPr>
        <w:t>PE calculadas bajo esta pregunta pudieron lograr acceder a crédito formal posteriormente. Con el fin de mantener los cálculos en el lado conservador, se opta por emplear el estimado con el menor número de M</w:t>
      </w:r>
      <w:r w:rsidR="0024670D" w:rsidRPr="007478C6">
        <w:rPr>
          <w:rFonts w:ascii="Arial" w:hAnsi="Arial" w:cs="Arial"/>
          <w:sz w:val="22"/>
          <w:lang w:val="es-ES_tradnl"/>
        </w:rPr>
        <w:t>y</w:t>
      </w:r>
      <w:r w:rsidR="0090467B" w:rsidRPr="007478C6">
        <w:rPr>
          <w:rFonts w:ascii="Arial" w:hAnsi="Arial" w:cs="Arial"/>
          <w:sz w:val="22"/>
          <w:lang w:val="es-ES_tradnl"/>
        </w:rPr>
        <w:t>PE.</w:t>
      </w:r>
    </w:p>
    <w:p w14:paraId="1645E554" w14:textId="65CB2C0B" w:rsidR="000E359F" w:rsidRPr="00083600" w:rsidRDefault="00B87E3B" w:rsidP="00083600">
      <w:pPr>
        <w:pStyle w:val="Paragraph"/>
        <w:numPr>
          <w:ilvl w:val="0"/>
          <w:numId w:val="0"/>
        </w:numPr>
        <w:ind w:left="1152"/>
        <w:rPr>
          <w:rFonts w:ascii="Arial" w:hAnsi="Arial"/>
          <w:lang w:val="es-ES_tradnl"/>
        </w:rPr>
      </w:pPr>
      <w:r w:rsidRPr="007478C6">
        <w:rPr>
          <w:rFonts w:ascii="Arial" w:hAnsi="Arial" w:cs="Arial"/>
          <w:sz w:val="22"/>
          <w:lang w:val="es-ES_tradnl"/>
        </w:rPr>
        <w:t xml:space="preserve">De esta manera, </w:t>
      </w:r>
      <w:r w:rsidR="0090467B" w:rsidRPr="007478C6">
        <w:rPr>
          <w:rFonts w:ascii="Arial" w:hAnsi="Arial" w:cs="Arial"/>
          <w:sz w:val="22"/>
          <w:lang w:val="es-ES_tradnl"/>
        </w:rPr>
        <w:t>se estima que la demanda potencial de M</w:t>
      </w:r>
      <w:r w:rsidR="0024670D" w:rsidRPr="00083600">
        <w:rPr>
          <w:rFonts w:ascii="Arial" w:hAnsi="Arial"/>
          <w:lang w:val="es-ES_tradnl"/>
        </w:rPr>
        <w:t>y</w:t>
      </w:r>
      <w:r w:rsidR="0090467B" w:rsidRPr="00083600">
        <w:rPr>
          <w:rFonts w:ascii="Arial" w:hAnsi="Arial"/>
          <w:lang w:val="es-ES_tradnl"/>
        </w:rPr>
        <w:t>PE para el presente programa es de 259.416 empresas o emprendimientos</w:t>
      </w:r>
      <w:r w:rsidR="00C64513" w:rsidRPr="00083600">
        <w:rPr>
          <w:rFonts w:ascii="Arial" w:hAnsi="Arial"/>
          <w:lang w:val="es-ES_tradnl"/>
        </w:rPr>
        <w:t>.</w:t>
      </w:r>
      <w:r w:rsidR="0090467B" w:rsidRPr="00083600">
        <w:rPr>
          <w:rFonts w:ascii="Arial" w:hAnsi="Arial"/>
          <w:lang w:val="es-ES_tradnl"/>
        </w:rPr>
        <w:t xml:space="preserve"> </w:t>
      </w:r>
      <w:r w:rsidR="00C64513" w:rsidRPr="00083600">
        <w:rPr>
          <w:rFonts w:ascii="Arial" w:hAnsi="Arial"/>
          <w:lang w:val="es-ES_tradnl"/>
        </w:rPr>
        <w:t>Asumiendo que el monto promedio de crédito promedio que dará el programa es de aproximadamente US$</w:t>
      </w:r>
      <w:r w:rsidR="0090467B" w:rsidRPr="00083600">
        <w:rPr>
          <w:rFonts w:ascii="Arial" w:hAnsi="Arial"/>
          <w:lang w:val="es-ES_tradnl"/>
        </w:rPr>
        <w:t>10.000</w:t>
      </w:r>
      <w:r w:rsidR="00F83B16" w:rsidRPr="007478C6">
        <w:rPr>
          <w:rStyle w:val="FootnoteReference"/>
          <w:rFonts w:ascii="Arial" w:hAnsi="Arial" w:cs="Arial"/>
          <w:sz w:val="22"/>
          <w:lang w:val="es-ES_tradnl"/>
        </w:rPr>
        <w:footnoteReference w:id="11"/>
      </w:r>
      <w:r w:rsidR="00C64513" w:rsidRPr="007478C6">
        <w:rPr>
          <w:rFonts w:ascii="Arial" w:hAnsi="Arial" w:cs="Arial"/>
          <w:sz w:val="22"/>
          <w:lang w:val="es-ES_tradnl"/>
        </w:rPr>
        <w:t>, el valor de la demanda potencial asciende a US$</w:t>
      </w:r>
      <w:r w:rsidR="0090467B" w:rsidRPr="007478C6">
        <w:rPr>
          <w:rFonts w:ascii="Arial" w:hAnsi="Arial" w:cs="Arial"/>
          <w:sz w:val="22"/>
          <w:lang w:val="es-ES_tradnl"/>
        </w:rPr>
        <w:t>2.6 mil</w:t>
      </w:r>
      <w:r w:rsidR="00C64513" w:rsidRPr="00083600">
        <w:rPr>
          <w:rFonts w:ascii="Arial" w:hAnsi="Arial"/>
          <w:lang w:val="es-ES_tradnl"/>
        </w:rPr>
        <w:t xml:space="preserve"> millones. El valor del presente programa (US$20</w:t>
      </w:r>
      <w:r w:rsidR="00733269" w:rsidRPr="00083600">
        <w:rPr>
          <w:rFonts w:ascii="Arial" w:hAnsi="Arial"/>
          <w:lang w:val="es-ES_tradnl"/>
        </w:rPr>
        <w:t> </w:t>
      </w:r>
      <w:r w:rsidR="00C64513" w:rsidRPr="00083600">
        <w:rPr>
          <w:rFonts w:ascii="Arial" w:hAnsi="Arial"/>
          <w:lang w:val="es-ES_tradnl"/>
        </w:rPr>
        <w:t xml:space="preserve">millones) </w:t>
      </w:r>
      <w:r w:rsidR="0090467B" w:rsidRPr="00083600">
        <w:rPr>
          <w:rFonts w:ascii="Arial" w:hAnsi="Arial"/>
          <w:lang w:val="es-ES_tradnl"/>
        </w:rPr>
        <w:t>y el número de beneficiarios esperados (2.000 M</w:t>
      </w:r>
      <w:r w:rsidR="0024670D" w:rsidRPr="00083600">
        <w:rPr>
          <w:rFonts w:ascii="Arial" w:hAnsi="Arial"/>
          <w:lang w:val="es-ES_tradnl"/>
        </w:rPr>
        <w:t>y</w:t>
      </w:r>
      <w:r w:rsidR="0090467B" w:rsidRPr="00083600">
        <w:rPr>
          <w:rFonts w:ascii="Arial" w:hAnsi="Arial"/>
          <w:lang w:val="es-ES_tradnl"/>
        </w:rPr>
        <w:t xml:space="preserve">PE) </w:t>
      </w:r>
      <w:r w:rsidR="00C64513" w:rsidRPr="00083600">
        <w:rPr>
          <w:rFonts w:ascii="Arial" w:hAnsi="Arial"/>
          <w:lang w:val="es-ES_tradnl"/>
        </w:rPr>
        <w:t>equivale</w:t>
      </w:r>
      <w:r w:rsidR="0090467B" w:rsidRPr="00083600">
        <w:rPr>
          <w:rFonts w:ascii="Arial" w:hAnsi="Arial"/>
          <w:lang w:val="es-ES_tradnl"/>
        </w:rPr>
        <w:t>n a un 0</w:t>
      </w:r>
      <w:r w:rsidR="0024670D" w:rsidRPr="00083600">
        <w:rPr>
          <w:rFonts w:ascii="Arial" w:hAnsi="Arial"/>
          <w:lang w:val="es-ES_tradnl"/>
        </w:rPr>
        <w:t>,</w:t>
      </w:r>
      <w:r w:rsidR="0090467B" w:rsidRPr="00083600">
        <w:rPr>
          <w:rFonts w:ascii="Arial" w:hAnsi="Arial"/>
          <w:lang w:val="es-ES_tradnl"/>
        </w:rPr>
        <w:t>8%</w:t>
      </w:r>
      <w:r w:rsidR="00A0179F" w:rsidRPr="00083600">
        <w:rPr>
          <w:rFonts w:ascii="Arial" w:hAnsi="Arial"/>
          <w:lang w:val="es-ES_tradnl"/>
        </w:rPr>
        <w:t xml:space="preserve"> de esta demanda</w:t>
      </w:r>
      <w:r w:rsidR="0090467B" w:rsidRPr="00083600">
        <w:rPr>
          <w:rFonts w:ascii="Arial" w:hAnsi="Arial"/>
          <w:lang w:val="es-ES_tradnl"/>
        </w:rPr>
        <w:t xml:space="preserve"> potencial</w:t>
      </w:r>
      <w:r w:rsidR="00A0179F" w:rsidRPr="00083600">
        <w:rPr>
          <w:rFonts w:ascii="Arial" w:hAnsi="Arial"/>
          <w:lang w:val="es-ES_tradnl"/>
        </w:rPr>
        <w:t xml:space="preserve">, lo cual deja amplio margen para la implementación de la intervención con un riesgo muy bajo de que se desplace al sector privado. </w:t>
      </w:r>
    </w:p>
    <w:p w14:paraId="5E3AEE18" w14:textId="77777777" w:rsidR="00F671C9" w:rsidRPr="00083600" w:rsidRDefault="00F671C9" w:rsidP="0021059C">
      <w:pPr>
        <w:pStyle w:val="Paragraph"/>
        <w:numPr>
          <w:ilvl w:val="0"/>
          <w:numId w:val="0"/>
        </w:numPr>
        <w:ind w:left="720"/>
        <w:rPr>
          <w:rFonts w:ascii="Arial" w:hAnsi="Arial"/>
          <w:highlight w:val="yellow"/>
          <w:lang w:val="es-ES_tradnl"/>
        </w:rPr>
      </w:pPr>
    </w:p>
    <w:p w14:paraId="0CC4B3A2" w14:textId="57FBDF10" w:rsidR="0021059C" w:rsidRPr="00F76925" w:rsidRDefault="0021059C" w:rsidP="0021059C">
      <w:pPr>
        <w:pStyle w:val="Caption"/>
        <w:jc w:val="center"/>
        <w:rPr>
          <w:rFonts w:ascii="Arial" w:hAnsi="Arial"/>
          <w:b/>
          <w:i w:val="0"/>
          <w:color w:val="000000" w:themeColor="text1"/>
          <w:sz w:val="20"/>
          <w:lang w:val="pt-BR"/>
        </w:rPr>
      </w:pPr>
      <w:bookmarkStart w:id="6" w:name="_Ref17903659"/>
      <w:proofErr w:type="spellStart"/>
      <w:r w:rsidRPr="00F76925">
        <w:rPr>
          <w:rFonts w:ascii="Arial" w:hAnsi="Arial"/>
          <w:b/>
          <w:i w:val="0"/>
          <w:color w:val="000000" w:themeColor="text1"/>
          <w:sz w:val="20"/>
          <w:lang w:val="pt-BR"/>
        </w:rPr>
        <w:t>Cuadro</w:t>
      </w:r>
      <w:proofErr w:type="spellEnd"/>
      <w:r w:rsidRPr="00F76925">
        <w:rPr>
          <w:rFonts w:ascii="Arial" w:hAnsi="Arial"/>
          <w:b/>
          <w:i w:val="0"/>
          <w:color w:val="000000" w:themeColor="text1"/>
          <w:sz w:val="20"/>
          <w:lang w:val="pt-BR"/>
        </w:rPr>
        <w:t xml:space="preserve"> </w:t>
      </w:r>
      <w:r w:rsidRPr="00083600">
        <w:rPr>
          <w:rFonts w:ascii="Arial" w:hAnsi="Arial"/>
          <w:b/>
          <w:i w:val="0"/>
          <w:color w:val="000000" w:themeColor="text1"/>
          <w:sz w:val="20"/>
          <w:lang w:val="es-ES_tradnl"/>
        </w:rPr>
        <w:fldChar w:fldCharType="begin"/>
      </w:r>
      <w:r w:rsidRPr="00F76925">
        <w:rPr>
          <w:rFonts w:ascii="Arial" w:hAnsi="Arial"/>
          <w:b/>
          <w:i w:val="0"/>
          <w:color w:val="000000" w:themeColor="text1"/>
          <w:sz w:val="20"/>
          <w:lang w:val="pt-BR"/>
        </w:rPr>
        <w:instrText xml:space="preserve"> SEQ Cuadro \* ARABIC </w:instrText>
      </w:r>
      <w:r w:rsidRPr="00083600">
        <w:rPr>
          <w:rFonts w:ascii="Arial" w:hAnsi="Arial"/>
          <w:b/>
          <w:i w:val="0"/>
          <w:color w:val="000000" w:themeColor="text1"/>
          <w:sz w:val="20"/>
          <w:lang w:val="es-ES_tradnl"/>
        </w:rPr>
        <w:fldChar w:fldCharType="separate"/>
      </w:r>
      <w:r w:rsidR="00D62B42" w:rsidRPr="00F76925">
        <w:rPr>
          <w:rFonts w:ascii="Arial" w:hAnsi="Arial"/>
          <w:b/>
          <w:i w:val="0"/>
          <w:color w:val="000000" w:themeColor="text1"/>
          <w:sz w:val="20"/>
          <w:lang w:val="pt-BR"/>
        </w:rPr>
        <w:t>3</w:t>
      </w:r>
      <w:r w:rsidRPr="00083600">
        <w:rPr>
          <w:rFonts w:ascii="Arial" w:hAnsi="Arial"/>
          <w:b/>
          <w:i w:val="0"/>
          <w:color w:val="000000" w:themeColor="text1"/>
          <w:sz w:val="20"/>
          <w:lang w:val="es-ES_tradnl"/>
        </w:rPr>
        <w:fldChar w:fldCharType="end"/>
      </w:r>
      <w:bookmarkEnd w:id="6"/>
      <w:r w:rsidRPr="00F76925">
        <w:rPr>
          <w:rFonts w:ascii="Arial" w:hAnsi="Arial"/>
          <w:b/>
          <w:i w:val="0"/>
          <w:color w:val="000000" w:themeColor="text1"/>
          <w:sz w:val="20"/>
          <w:lang w:val="pt-BR"/>
        </w:rPr>
        <w:t>. Cálculo de demanda potencial</w:t>
      </w:r>
    </w:p>
    <w:p w14:paraId="42C28817" w14:textId="35BDF204" w:rsidR="0021059C" w:rsidRPr="00083600" w:rsidRDefault="008E7E67" w:rsidP="0021059C">
      <w:pPr>
        <w:pStyle w:val="Paragraph"/>
        <w:numPr>
          <w:ilvl w:val="0"/>
          <w:numId w:val="0"/>
        </w:numPr>
        <w:ind w:left="720"/>
        <w:jc w:val="center"/>
        <w:rPr>
          <w:rFonts w:ascii="Arial" w:hAnsi="Arial"/>
          <w:lang w:val="es-ES_tradnl"/>
        </w:rPr>
      </w:pPr>
      <w:r w:rsidRPr="00083600">
        <w:rPr>
          <w:noProof/>
          <w:lang w:val="es-ES_tradnl"/>
        </w:rPr>
        <w:drawing>
          <wp:inline distT="0" distB="0" distL="0" distR="0" wp14:anchorId="4158CEFB" wp14:editId="19DFB20A">
            <wp:extent cx="4076700" cy="3418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6700" cy="3418205"/>
                    </a:xfrm>
                    <a:prstGeom prst="rect">
                      <a:avLst/>
                    </a:prstGeom>
                    <a:noFill/>
                    <a:ln>
                      <a:noFill/>
                    </a:ln>
                  </pic:spPr>
                </pic:pic>
              </a:graphicData>
            </a:graphic>
          </wp:inline>
        </w:drawing>
      </w:r>
    </w:p>
    <w:sectPr w:rsidR="0021059C" w:rsidRPr="00083600" w:rsidSect="00EB219D">
      <w:head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D0FB" w14:textId="77777777" w:rsidR="00611293" w:rsidRDefault="00611293" w:rsidP="00045935">
      <w:pPr>
        <w:spacing w:after="0" w:line="240" w:lineRule="auto"/>
      </w:pPr>
      <w:r>
        <w:separator/>
      </w:r>
    </w:p>
  </w:endnote>
  <w:endnote w:type="continuationSeparator" w:id="0">
    <w:p w14:paraId="6AB85FD1" w14:textId="77777777" w:rsidR="00611293" w:rsidRDefault="00611293" w:rsidP="00045935">
      <w:pPr>
        <w:spacing w:after="0" w:line="240" w:lineRule="auto"/>
      </w:pPr>
      <w:r>
        <w:continuationSeparator/>
      </w:r>
    </w:p>
  </w:endnote>
  <w:endnote w:type="continuationNotice" w:id="1">
    <w:p w14:paraId="588DA10A" w14:textId="77777777" w:rsidR="00611293" w:rsidRDefault="00611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2580" w14:textId="77777777" w:rsidR="007562EF" w:rsidRDefault="0075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6B7F3" w14:textId="77777777" w:rsidR="00611293" w:rsidRDefault="00611293" w:rsidP="00045935">
      <w:pPr>
        <w:spacing w:after="0" w:line="240" w:lineRule="auto"/>
      </w:pPr>
      <w:r>
        <w:separator/>
      </w:r>
    </w:p>
  </w:footnote>
  <w:footnote w:type="continuationSeparator" w:id="0">
    <w:p w14:paraId="205D7571" w14:textId="77777777" w:rsidR="00611293" w:rsidRDefault="00611293" w:rsidP="00045935">
      <w:pPr>
        <w:spacing w:after="0" w:line="240" w:lineRule="auto"/>
      </w:pPr>
      <w:r>
        <w:continuationSeparator/>
      </w:r>
    </w:p>
  </w:footnote>
  <w:footnote w:type="continuationNotice" w:id="1">
    <w:p w14:paraId="0E76666F" w14:textId="77777777" w:rsidR="00611293" w:rsidRDefault="00611293">
      <w:pPr>
        <w:spacing w:after="0" w:line="240" w:lineRule="auto"/>
      </w:pPr>
    </w:p>
  </w:footnote>
  <w:footnote w:id="2">
    <w:p w14:paraId="4BEFF10C" w14:textId="0D1D87DD" w:rsidR="00045935" w:rsidRPr="008D7F58" w:rsidRDefault="00045935" w:rsidP="008D7F58">
      <w:pPr>
        <w:pStyle w:val="FootnoteText"/>
        <w:spacing w:after="0"/>
        <w:ind w:left="274" w:hanging="274"/>
        <w:rPr>
          <w:rFonts w:ascii="Arial" w:hAnsi="Arial" w:cs="Arial"/>
          <w:sz w:val="18"/>
          <w:szCs w:val="18"/>
        </w:rPr>
      </w:pPr>
      <w:r w:rsidRPr="008D7F58">
        <w:rPr>
          <w:rStyle w:val="FootnoteReference"/>
          <w:rFonts w:ascii="Arial" w:hAnsi="Arial" w:cs="Arial"/>
          <w:sz w:val="18"/>
          <w:szCs w:val="18"/>
        </w:rPr>
        <w:footnoteRef/>
      </w:r>
      <w:r w:rsidRPr="008D7F58">
        <w:rPr>
          <w:rFonts w:ascii="Arial" w:hAnsi="Arial" w:cs="Arial"/>
          <w:sz w:val="18"/>
          <w:szCs w:val="18"/>
        </w:rPr>
        <w:t xml:space="preserve"> </w:t>
      </w:r>
      <w:r w:rsidRPr="008D7F58">
        <w:rPr>
          <w:rFonts w:ascii="Arial" w:hAnsi="Arial" w:cs="Arial"/>
          <w:sz w:val="18"/>
          <w:szCs w:val="18"/>
        </w:rPr>
        <w:tab/>
        <w:t>En general la literatura entiende por “racionamiento crediticio” situaciones en las cuales los intermediarios financieros restringen la distribución de crédito en cantidades dejando de lado el uso de las tasas de interés como instrumento de racionamiento debido a los problemas de selección emergentes de la inherente asimetría informativa en estos mercados. Esta, sin embargo, no es la única situación en la cual se justifica la intervención pública, y otras fallas de mercado (situaciones oligopólicas o monopólicas, altos costos de transacción, etc) pueden llevar a provisiones subóptimas de intermediación financiera.</w:t>
      </w:r>
    </w:p>
  </w:footnote>
  <w:footnote w:id="3">
    <w:p w14:paraId="4EFF30E0" w14:textId="261B16DE" w:rsidR="00045935" w:rsidRPr="008D7F58" w:rsidRDefault="00045935" w:rsidP="008D7F58">
      <w:pPr>
        <w:pStyle w:val="FootnoteText"/>
        <w:spacing w:after="0"/>
        <w:ind w:left="274" w:hanging="274"/>
        <w:rPr>
          <w:rFonts w:ascii="Arial" w:hAnsi="Arial" w:cs="Arial"/>
          <w:sz w:val="18"/>
          <w:szCs w:val="18"/>
        </w:rPr>
      </w:pPr>
      <w:r w:rsidRPr="008D7F58">
        <w:rPr>
          <w:rStyle w:val="FootnoteReference"/>
          <w:rFonts w:ascii="Arial" w:hAnsi="Arial" w:cs="Arial"/>
          <w:sz w:val="18"/>
          <w:szCs w:val="18"/>
        </w:rPr>
        <w:footnoteRef/>
      </w:r>
      <w:r w:rsidRPr="008D7F58">
        <w:rPr>
          <w:rFonts w:ascii="Arial" w:hAnsi="Arial" w:cs="Arial"/>
          <w:sz w:val="18"/>
          <w:szCs w:val="18"/>
        </w:rPr>
        <w:t xml:space="preserve"> </w:t>
      </w:r>
      <w:r w:rsidRPr="008D7F58">
        <w:rPr>
          <w:rFonts w:ascii="Arial" w:hAnsi="Arial" w:cs="Arial"/>
          <w:sz w:val="18"/>
          <w:szCs w:val="18"/>
        </w:rPr>
        <w:tab/>
        <w:t>V</w:t>
      </w:r>
      <w:r w:rsidR="009A0294">
        <w:rPr>
          <w:rFonts w:ascii="Arial" w:hAnsi="Arial" w:cs="Arial"/>
          <w:sz w:val="18"/>
          <w:szCs w:val="18"/>
        </w:rPr>
        <w:t>er</w:t>
      </w:r>
      <w:r w:rsidRPr="008D7F58">
        <w:rPr>
          <w:rFonts w:ascii="Arial" w:hAnsi="Arial" w:cs="Arial"/>
          <w:sz w:val="18"/>
          <w:szCs w:val="18"/>
        </w:rPr>
        <w:t xml:space="preserve"> Marco Sectorial de Respaldo para P</w:t>
      </w:r>
      <w:r w:rsidR="00B51B6D" w:rsidRPr="008D7F58">
        <w:rPr>
          <w:rFonts w:ascii="Arial" w:hAnsi="Arial" w:cs="Arial"/>
          <w:sz w:val="18"/>
          <w:szCs w:val="18"/>
        </w:rPr>
        <w:t>y</w:t>
      </w:r>
      <w:r w:rsidRPr="008D7F58">
        <w:rPr>
          <w:rFonts w:ascii="Arial" w:hAnsi="Arial" w:cs="Arial"/>
          <w:sz w:val="18"/>
          <w:szCs w:val="18"/>
        </w:rPr>
        <w:t>ME y Acceso y Supervisión Financieros (GN-2768</w:t>
      </w:r>
      <w:r w:rsidR="00D845BD">
        <w:rPr>
          <w:rFonts w:ascii="Arial" w:hAnsi="Arial" w:cs="Arial"/>
          <w:sz w:val="18"/>
          <w:szCs w:val="18"/>
        </w:rPr>
        <w:t>-8</w:t>
      </w:r>
      <w:r w:rsidRPr="008D7F58">
        <w:rPr>
          <w:rFonts w:ascii="Arial" w:hAnsi="Arial" w:cs="Arial"/>
          <w:sz w:val="18"/>
          <w:szCs w:val="18"/>
        </w:rPr>
        <w:t>)</w:t>
      </w:r>
      <w:r w:rsidRPr="008D7F58">
        <w:rPr>
          <w:rFonts w:ascii="Arial" w:hAnsi="Arial" w:cs="Arial"/>
          <w:sz w:val="18"/>
          <w:szCs w:val="18"/>
          <w:lang w:val="es-ES_tradnl"/>
        </w:rPr>
        <w:t>.</w:t>
      </w:r>
    </w:p>
  </w:footnote>
  <w:footnote w:id="4">
    <w:p w14:paraId="6CA18277" w14:textId="77777777" w:rsidR="00216123" w:rsidRPr="00132C94" w:rsidRDefault="00216123" w:rsidP="00216123">
      <w:pPr>
        <w:pStyle w:val="FootnoteText"/>
        <w:spacing w:after="0"/>
        <w:ind w:left="274" w:hanging="274"/>
        <w:rPr>
          <w:rFonts w:ascii="Arial" w:hAnsi="Arial" w:cs="Arial"/>
          <w:sz w:val="18"/>
          <w:szCs w:val="18"/>
        </w:rPr>
      </w:pPr>
      <w:r w:rsidRPr="00132C94">
        <w:rPr>
          <w:rStyle w:val="FootnoteReference"/>
          <w:rFonts w:ascii="Arial" w:hAnsi="Arial" w:cs="Arial"/>
          <w:sz w:val="18"/>
          <w:szCs w:val="18"/>
        </w:rPr>
        <w:footnoteRef/>
      </w:r>
      <w:r w:rsidRPr="00132C94">
        <w:rPr>
          <w:rFonts w:ascii="Arial" w:hAnsi="Arial" w:cs="Arial"/>
          <w:sz w:val="18"/>
          <w:szCs w:val="18"/>
        </w:rPr>
        <w:t xml:space="preserve"> </w:t>
      </w:r>
      <w:r>
        <w:rPr>
          <w:rFonts w:ascii="Arial" w:hAnsi="Arial" w:cs="Arial"/>
          <w:sz w:val="18"/>
          <w:szCs w:val="18"/>
        </w:rPr>
        <w:tab/>
      </w:r>
      <w:r w:rsidRPr="00132C94">
        <w:rPr>
          <w:rFonts w:ascii="Arial" w:hAnsi="Arial" w:cs="Arial"/>
          <w:sz w:val="18"/>
          <w:szCs w:val="18"/>
        </w:rPr>
        <w:t xml:space="preserve">La definición de Micro y Pequeña empresa en El Salvador es de 2014 con la entrada en vigor de la Ley de Fomento, Protección y Desarrollo para la </w:t>
      </w:r>
      <w:proofErr w:type="spellStart"/>
      <w:r>
        <w:rPr>
          <w:rFonts w:ascii="Arial" w:hAnsi="Arial" w:cs="Arial"/>
          <w:sz w:val="18"/>
          <w:szCs w:val="18"/>
        </w:rPr>
        <w:t>MyPE</w:t>
      </w:r>
      <w:proofErr w:type="spellEnd"/>
      <w:r w:rsidRPr="00132C94">
        <w:rPr>
          <w:rFonts w:ascii="Arial" w:hAnsi="Arial" w:cs="Arial"/>
          <w:sz w:val="18"/>
          <w:szCs w:val="18"/>
        </w:rPr>
        <w:t>. Se conceptualiza como microempresa toda persona natural o jurídica que opera con un nivel de ventas brutas anuales hasta 482 salarios mínimos mensuales y hasta 10</w:t>
      </w:r>
      <w:r>
        <w:rPr>
          <w:rFonts w:ascii="Arial" w:hAnsi="Arial" w:cs="Arial"/>
          <w:sz w:val="18"/>
          <w:szCs w:val="18"/>
        </w:rPr>
        <w:t> </w:t>
      </w:r>
      <w:r w:rsidRPr="00132C94">
        <w:rPr>
          <w:rFonts w:ascii="Arial" w:hAnsi="Arial" w:cs="Arial"/>
          <w:sz w:val="18"/>
          <w:szCs w:val="18"/>
        </w:rPr>
        <w:t>trabajadores. La pequeña empresa es la unidad económica con ventas anuales entre 482 y hasta 4.817</w:t>
      </w:r>
      <w:r>
        <w:rPr>
          <w:rFonts w:ascii="Arial" w:hAnsi="Arial" w:cs="Arial"/>
          <w:sz w:val="18"/>
          <w:szCs w:val="18"/>
        </w:rPr>
        <w:t> </w:t>
      </w:r>
      <w:r w:rsidRPr="00132C94">
        <w:rPr>
          <w:rFonts w:ascii="Arial" w:hAnsi="Arial" w:cs="Arial"/>
          <w:sz w:val="18"/>
          <w:szCs w:val="18"/>
        </w:rPr>
        <w:t xml:space="preserve">salarios mínimos mensuales y un máximo de 50 trabajadores. Los emprendimientos, por su parte, son empresas no remuneradas, con ventas brutas anuales por debajo del monto estimado para la microempresa. </w:t>
      </w:r>
    </w:p>
  </w:footnote>
  <w:footnote w:id="5">
    <w:p w14:paraId="0B16F1B1" w14:textId="77777777" w:rsidR="00216123" w:rsidRPr="00132C94" w:rsidRDefault="00216123" w:rsidP="00216123">
      <w:pPr>
        <w:pStyle w:val="FootnoteText"/>
        <w:spacing w:after="0"/>
        <w:ind w:left="274" w:hanging="274"/>
        <w:rPr>
          <w:rFonts w:ascii="Arial" w:hAnsi="Arial" w:cs="Arial"/>
          <w:sz w:val="18"/>
          <w:szCs w:val="18"/>
        </w:rPr>
      </w:pPr>
      <w:r w:rsidRPr="00132C94">
        <w:rPr>
          <w:rStyle w:val="FootnoteReference"/>
          <w:rFonts w:ascii="Arial" w:hAnsi="Arial" w:cs="Arial"/>
          <w:sz w:val="18"/>
          <w:szCs w:val="18"/>
        </w:rPr>
        <w:footnoteRef/>
      </w:r>
      <w:r w:rsidRPr="00132C94">
        <w:rPr>
          <w:rFonts w:ascii="Arial" w:hAnsi="Arial" w:cs="Arial"/>
          <w:sz w:val="18"/>
          <w:szCs w:val="18"/>
        </w:rPr>
        <w:t xml:space="preserve"> </w:t>
      </w:r>
      <w:r>
        <w:rPr>
          <w:rFonts w:ascii="Arial" w:hAnsi="Arial" w:cs="Arial"/>
          <w:sz w:val="18"/>
          <w:szCs w:val="18"/>
        </w:rPr>
        <w:tab/>
      </w:r>
      <w:r w:rsidRPr="00132C94">
        <w:rPr>
          <w:rFonts w:ascii="Arial" w:hAnsi="Arial" w:cs="Arial"/>
          <w:sz w:val="18"/>
          <w:szCs w:val="18"/>
        </w:rPr>
        <w:t xml:space="preserve">Superintendencia de Competencia (2017): “Estudio sobre la </w:t>
      </w:r>
      <w:r>
        <w:rPr>
          <w:rFonts w:ascii="Arial" w:hAnsi="Arial" w:cs="Arial"/>
          <w:sz w:val="18"/>
          <w:szCs w:val="18"/>
        </w:rPr>
        <w:t>C</w:t>
      </w:r>
      <w:r w:rsidRPr="00132C94">
        <w:rPr>
          <w:rFonts w:ascii="Arial" w:hAnsi="Arial" w:cs="Arial"/>
          <w:sz w:val="18"/>
          <w:szCs w:val="18"/>
        </w:rPr>
        <w:t xml:space="preserve">aracterización del </w:t>
      </w:r>
      <w:r>
        <w:rPr>
          <w:rFonts w:ascii="Arial" w:hAnsi="Arial" w:cs="Arial"/>
          <w:sz w:val="18"/>
          <w:szCs w:val="18"/>
        </w:rPr>
        <w:t>M</w:t>
      </w:r>
      <w:r w:rsidRPr="00132C94">
        <w:rPr>
          <w:rFonts w:ascii="Arial" w:hAnsi="Arial" w:cs="Arial"/>
          <w:sz w:val="18"/>
          <w:szCs w:val="18"/>
        </w:rPr>
        <w:t xml:space="preserve">ercado de </w:t>
      </w:r>
      <w:r>
        <w:rPr>
          <w:rFonts w:ascii="Arial" w:hAnsi="Arial" w:cs="Arial"/>
          <w:sz w:val="18"/>
          <w:szCs w:val="18"/>
        </w:rPr>
        <w:t>P</w:t>
      </w:r>
      <w:r w:rsidRPr="00132C94">
        <w:rPr>
          <w:rFonts w:ascii="Arial" w:hAnsi="Arial" w:cs="Arial"/>
          <w:sz w:val="18"/>
          <w:szCs w:val="18"/>
        </w:rPr>
        <w:t xml:space="preserve">restación de </w:t>
      </w:r>
      <w:r>
        <w:rPr>
          <w:rFonts w:ascii="Arial" w:hAnsi="Arial" w:cs="Arial"/>
          <w:sz w:val="18"/>
          <w:szCs w:val="18"/>
        </w:rPr>
        <w:t>S</w:t>
      </w:r>
      <w:r w:rsidRPr="00132C94">
        <w:rPr>
          <w:rFonts w:ascii="Arial" w:hAnsi="Arial" w:cs="Arial"/>
          <w:sz w:val="18"/>
          <w:szCs w:val="18"/>
        </w:rPr>
        <w:t xml:space="preserve">ervicios </w:t>
      </w:r>
      <w:r>
        <w:rPr>
          <w:rFonts w:ascii="Arial" w:hAnsi="Arial" w:cs="Arial"/>
          <w:sz w:val="18"/>
          <w:szCs w:val="18"/>
        </w:rPr>
        <w:t>F</w:t>
      </w:r>
      <w:r w:rsidRPr="00132C94">
        <w:rPr>
          <w:rFonts w:ascii="Arial" w:hAnsi="Arial" w:cs="Arial"/>
          <w:sz w:val="18"/>
          <w:szCs w:val="18"/>
        </w:rPr>
        <w:t xml:space="preserve">inancieros a las </w:t>
      </w:r>
      <w:proofErr w:type="spellStart"/>
      <w:r w:rsidRPr="00132C94">
        <w:rPr>
          <w:rFonts w:ascii="Arial" w:hAnsi="Arial" w:cs="Arial"/>
          <w:sz w:val="18"/>
          <w:szCs w:val="18"/>
        </w:rPr>
        <w:t>M</w:t>
      </w:r>
      <w:r>
        <w:rPr>
          <w:rFonts w:ascii="Arial" w:hAnsi="Arial" w:cs="Arial"/>
          <w:sz w:val="18"/>
          <w:szCs w:val="18"/>
        </w:rPr>
        <w:t>y</w:t>
      </w:r>
      <w:r w:rsidRPr="00132C94">
        <w:rPr>
          <w:rFonts w:ascii="Arial" w:hAnsi="Arial" w:cs="Arial"/>
          <w:sz w:val="18"/>
          <w:szCs w:val="18"/>
        </w:rPr>
        <w:t>PE</w:t>
      </w:r>
      <w:proofErr w:type="spellEnd"/>
      <w:r w:rsidRPr="00132C94">
        <w:rPr>
          <w:rFonts w:ascii="Arial" w:hAnsi="Arial" w:cs="Arial"/>
          <w:sz w:val="18"/>
          <w:szCs w:val="18"/>
        </w:rPr>
        <w:t xml:space="preserve"> en El Salvador”, San Salvador, El Salvador.  </w:t>
      </w:r>
    </w:p>
  </w:footnote>
  <w:footnote w:id="6">
    <w:p w14:paraId="0A42BA7E" w14:textId="77777777" w:rsidR="00216123" w:rsidRPr="00B4241C" w:rsidRDefault="00216123" w:rsidP="00216123">
      <w:pPr>
        <w:pStyle w:val="FootnoteText"/>
        <w:spacing w:after="0"/>
        <w:ind w:left="274" w:hanging="274"/>
        <w:rPr>
          <w:rFonts w:ascii="Arial" w:hAnsi="Arial" w:cs="Arial"/>
          <w:sz w:val="18"/>
          <w:szCs w:val="18"/>
        </w:rPr>
      </w:pPr>
      <w:r w:rsidRPr="00132C94">
        <w:rPr>
          <w:rFonts w:ascii="Arial" w:hAnsi="Arial" w:cs="Arial"/>
          <w:sz w:val="18"/>
          <w:szCs w:val="18"/>
          <w:vertAlign w:val="superscript"/>
        </w:rPr>
        <w:footnoteRef/>
      </w:r>
      <w:r w:rsidRPr="00132C94">
        <w:rPr>
          <w:rFonts w:ascii="Arial" w:hAnsi="Arial" w:cs="Arial"/>
          <w:sz w:val="18"/>
          <w:szCs w:val="18"/>
          <w:vertAlign w:val="superscript"/>
        </w:rPr>
        <w:t xml:space="preserve"> </w:t>
      </w:r>
      <w:r w:rsidRPr="00132C94">
        <w:rPr>
          <w:rFonts w:ascii="Arial" w:hAnsi="Arial" w:cs="Arial"/>
          <w:sz w:val="18"/>
          <w:szCs w:val="18"/>
        </w:rPr>
        <w:tab/>
      </w:r>
      <w:r>
        <w:rPr>
          <w:rFonts w:ascii="Arial" w:hAnsi="Arial" w:cs="Arial"/>
          <w:sz w:val="18"/>
          <w:szCs w:val="18"/>
        </w:rPr>
        <w:t xml:space="preserve">Comisión </w:t>
      </w:r>
      <w:r w:rsidRPr="00132C94">
        <w:rPr>
          <w:rFonts w:ascii="Arial" w:hAnsi="Arial" w:cs="Arial"/>
          <w:sz w:val="18"/>
          <w:szCs w:val="18"/>
        </w:rPr>
        <w:t xml:space="preserve">Nacional para la Pequeña y Mediana Empresa </w:t>
      </w:r>
      <w:r>
        <w:rPr>
          <w:rFonts w:ascii="Arial" w:hAnsi="Arial" w:cs="Arial"/>
          <w:sz w:val="18"/>
          <w:szCs w:val="18"/>
        </w:rPr>
        <w:t>(</w:t>
      </w:r>
      <w:proofErr w:type="spellStart"/>
      <w:r w:rsidRPr="00132C94">
        <w:rPr>
          <w:rFonts w:ascii="Arial" w:hAnsi="Arial" w:cs="Arial"/>
          <w:sz w:val="18"/>
          <w:szCs w:val="18"/>
        </w:rPr>
        <w:t>CONAM</w:t>
      </w:r>
      <w:r>
        <w:rPr>
          <w:rFonts w:ascii="Arial" w:hAnsi="Arial" w:cs="Arial"/>
          <w:sz w:val="18"/>
          <w:szCs w:val="18"/>
        </w:rPr>
        <w:t>y</w:t>
      </w:r>
      <w:r w:rsidRPr="00132C94">
        <w:rPr>
          <w:rFonts w:ascii="Arial" w:hAnsi="Arial" w:cs="Arial"/>
          <w:sz w:val="18"/>
          <w:szCs w:val="18"/>
        </w:rPr>
        <w:t>PE</w:t>
      </w:r>
      <w:proofErr w:type="spellEnd"/>
      <w:r>
        <w:rPr>
          <w:rFonts w:ascii="Arial" w:hAnsi="Arial" w:cs="Arial"/>
          <w:sz w:val="18"/>
          <w:szCs w:val="18"/>
        </w:rPr>
        <w:t>)</w:t>
      </w:r>
      <w:r w:rsidRPr="00132C94">
        <w:rPr>
          <w:rFonts w:ascii="Arial" w:hAnsi="Arial" w:cs="Arial"/>
          <w:sz w:val="18"/>
          <w:szCs w:val="18"/>
        </w:rPr>
        <w:t xml:space="preserve"> (2014): “Política Nacional para el Desarrollo de la </w:t>
      </w:r>
      <w:proofErr w:type="spellStart"/>
      <w:r>
        <w:rPr>
          <w:rFonts w:ascii="Arial" w:hAnsi="Arial" w:cs="Arial"/>
          <w:sz w:val="18"/>
          <w:szCs w:val="18"/>
        </w:rPr>
        <w:t>MyPE</w:t>
      </w:r>
      <w:proofErr w:type="spellEnd"/>
      <w:r w:rsidRPr="00132C94">
        <w:rPr>
          <w:rFonts w:ascii="Arial" w:hAnsi="Arial" w:cs="Arial"/>
          <w:sz w:val="18"/>
          <w:szCs w:val="18"/>
        </w:rPr>
        <w:t>”.</w:t>
      </w:r>
      <w:r w:rsidRPr="00B4241C">
        <w:rPr>
          <w:rFonts w:ascii="Arial" w:hAnsi="Arial" w:cs="Arial"/>
          <w:sz w:val="18"/>
          <w:szCs w:val="18"/>
        </w:rPr>
        <w:t xml:space="preserve"> </w:t>
      </w:r>
    </w:p>
  </w:footnote>
  <w:footnote w:id="7">
    <w:p w14:paraId="46797ED8" w14:textId="77777777" w:rsidR="00216123" w:rsidRPr="003A0EEB" w:rsidRDefault="00216123" w:rsidP="00216123">
      <w:pPr>
        <w:pStyle w:val="FootnoteText"/>
        <w:spacing w:after="0"/>
        <w:ind w:left="274" w:hanging="274"/>
      </w:pPr>
      <w:r w:rsidRPr="00042B41">
        <w:rPr>
          <w:rStyle w:val="FootnoteReference"/>
          <w:rFonts w:ascii="Arial" w:hAnsi="Arial" w:cs="Arial"/>
          <w:sz w:val="18"/>
          <w:szCs w:val="18"/>
        </w:rPr>
        <w:footnoteRef/>
      </w:r>
      <w:r w:rsidRPr="00042B41">
        <w:rPr>
          <w:rFonts w:ascii="Arial" w:hAnsi="Arial" w:cs="Arial"/>
          <w:sz w:val="18"/>
          <w:szCs w:val="18"/>
        </w:rPr>
        <w:t xml:space="preserve"> </w:t>
      </w:r>
      <w:r>
        <w:rPr>
          <w:rFonts w:ascii="Arial" w:hAnsi="Arial" w:cs="Arial"/>
          <w:sz w:val="18"/>
          <w:szCs w:val="18"/>
        </w:rPr>
        <w:tab/>
        <w:t xml:space="preserve">Se entiende por sistema financiero formal </w:t>
      </w:r>
      <w:r w:rsidRPr="00042B41">
        <w:rPr>
          <w:rFonts w:ascii="Arial" w:hAnsi="Arial" w:cs="Arial"/>
          <w:sz w:val="18"/>
          <w:szCs w:val="18"/>
        </w:rPr>
        <w:t>como la suma entre banca comercial y privada, el sistema cooperativo y la banca pública</w:t>
      </w:r>
      <w:r>
        <w:rPr>
          <w:rFonts w:ascii="Arial" w:hAnsi="Arial" w:cs="Arial"/>
          <w:sz w:val="18"/>
          <w:szCs w:val="18"/>
        </w:rPr>
        <w:t>.</w:t>
      </w:r>
    </w:p>
  </w:footnote>
  <w:footnote w:id="8">
    <w:p w14:paraId="280D9119" w14:textId="77777777" w:rsidR="00216123" w:rsidRPr="00C4686D" w:rsidRDefault="00216123" w:rsidP="00216123">
      <w:pPr>
        <w:pStyle w:val="FootnoteText"/>
        <w:spacing w:after="0"/>
        <w:ind w:left="274" w:hanging="274"/>
      </w:pPr>
      <w:r w:rsidRPr="00E61DC9">
        <w:rPr>
          <w:rStyle w:val="FootnoteReference"/>
          <w:rFonts w:ascii="Arial" w:hAnsi="Arial" w:cs="Arial"/>
          <w:sz w:val="18"/>
          <w:szCs w:val="18"/>
        </w:rPr>
        <w:footnoteRef/>
      </w:r>
      <w:r w:rsidRPr="00E61DC9">
        <w:rPr>
          <w:rFonts w:ascii="Arial" w:hAnsi="Arial" w:cs="Arial"/>
          <w:sz w:val="18"/>
          <w:szCs w:val="18"/>
        </w:rPr>
        <w:t xml:space="preserve"> </w:t>
      </w:r>
      <w:r>
        <w:rPr>
          <w:rFonts w:ascii="Arial" w:hAnsi="Arial" w:cs="Arial"/>
          <w:sz w:val="18"/>
          <w:szCs w:val="18"/>
        </w:rPr>
        <w:tab/>
      </w:r>
      <w:r w:rsidRPr="00E61DC9">
        <w:rPr>
          <w:rFonts w:ascii="Arial" w:hAnsi="Arial" w:cs="Arial"/>
          <w:sz w:val="18"/>
          <w:szCs w:val="18"/>
        </w:rPr>
        <w:t>Si bien para créditos grupales, son relativamente mayores de 24 a 36 meses (47%) para responder al financiamiento de compra de activos y remodelación de locales.</w:t>
      </w:r>
    </w:p>
  </w:footnote>
  <w:footnote w:id="9">
    <w:p w14:paraId="26269B4B" w14:textId="7777B570" w:rsidR="00BE15BF" w:rsidRPr="00762681" w:rsidRDefault="00BE15BF" w:rsidP="008D7F58">
      <w:pPr>
        <w:pStyle w:val="FootnoteText"/>
        <w:spacing w:after="0"/>
        <w:ind w:hanging="274"/>
        <w:contextualSpacing/>
        <w:rPr>
          <w:lang w:val="es-CO"/>
        </w:rPr>
      </w:pPr>
      <w:r w:rsidRPr="008D7F58">
        <w:rPr>
          <w:rStyle w:val="FootnoteReference"/>
          <w:rFonts w:ascii="Arial" w:hAnsi="Arial" w:cs="Arial"/>
          <w:sz w:val="18"/>
          <w:szCs w:val="18"/>
        </w:rPr>
        <w:footnoteRef/>
      </w:r>
      <w:r w:rsidRPr="008D7F58">
        <w:rPr>
          <w:rFonts w:ascii="Arial" w:hAnsi="Arial" w:cs="Arial"/>
          <w:sz w:val="18"/>
          <w:szCs w:val="18"/>
        </w:rPr>
        <w:t xml:space="preserve"> </w:t>
      </w:r>
      <w:r w:rsidR="00D92671">
        <w:rPr>
          <w:rFonts w:ascii="Arial" w:hAnsi="Arial" w:cs="Arial"/>
          <w:sz w:val="18"/>
          <w:szCs w:val="18"/>
        </w:rPr>
        <w:tab/>
      </w:r>
      <w:r w:rsidRPr="008D7F58">
        <w:rPr>
          <w:rFonts w:ascii="Arial" w:hAnsi="Arial" w:cs="Arial"/>
          <w:sz w:val="18"/>
          <w:szCs w:val="18"/>
          <w:lang w:val="es-CO"/>
        </w:rPr>
        <w:t xml:space="preserve">CONAMYPE (2017). </w:t>
      </w:r>
      <w:hyperlink r:id="rId1" w:history="1">
        <w:r w:rsidRPr="008D7F58">
          <w:rPr>
            <w:rStyle w:val="Hyperlink"/>
            <w:rFonts w:ascii="Arial" w:hAnsi="Arial" w:cs="Arial"/>
            <w:sz w:val="18"/>
            <w:szCs w:val="18"/>
            <w:lang w:val="es-CO"/>
          </w:rPr>
          <w:t>Enlance.</w:t>
        </w:r>
      </w:hyperlink>
    </w:p>
  </w:footnote>
  <w:footnote w:id="10">
    <w:p w14:paraId="2AC17DA2" w14:textId="4A337ED6" w:rsidR="00BE15BF" w:rsidRPr="00762681" w:rsidRDefault="00BE15BF" w:rsidP="00255E34">
      <w:pPr>
        <w:pStyle w:val="FootnoteText"/>
        <w:ind w:left="274" w:hanging="274"/>
        <w:contextualSpacing/>
        <w:rPr>
          <w:lang w:val="es-CO"/>
        </w:rPr>
      </w:pPr>
      <w:r w:rsidRPr="00255E34">
        <w:rPr>
          <w:rStyle w:val="FootnoteReference"/>
          <w:rFonts w:ascii="Arial" w:hAnsi="Arial" w:cs="Arial"/>
          <w:sz w:val="18"/>
          <w:szCs w:val="18"/>
        </w:rPr>
        <w:footnoteRef/>
      </w:r>
      <w:r>
        <w:t xml:space="preserve"> </w:t>
      </w:r>
      <w:r w:rsidR="00255E34">
        <w:tab/>
      </w:r>
      <w:r w:rsidRPr="00255E34">
        <w:rPr>
          <w:rFonts w:ascii="Arial" w:hAnsi="Arial" w:cs="Arial"/>
          <w:sz w:val="18"/>
          <w:szCs w:val="18"/>
        </w:rPr>
        <w:t>El criterio de clasificación de estas empresas sigue la Clasificación de Actividades Económicas de El Salvador Rev. 4.0 (CLAEES). Los emprendimientos consisten en unidades productivas sin personal remunerado, las microempresas consisten en empresas con un máximo de 10 trabajadores, y las pequeñas empresas constituyen aquellas con número de empleados que se encuentran en el rango de 11 a 50.</w:t>
      </w:r>
    </w:p>
  </w:footnote>
  <w:footnote w:id="11">
    <w:p w14:paraId="4518B075" w14:textId="2D33481F" w:rsidR="00F83B16" w:rsidRPr="00733269" w:rsidRDefault="00F83B16" w:rsidP="00B51B6D">
      <w:pPr>
        <w:pStyle w:val="FootnoteText"/>
        <w:spacing w:after="0"/>
        <w:ind w:left="274" w:hanging="274"/>
        <w:rPr>
          <w:lang w:val="es-CO"/>
        </w:rPr>
      </w:pPr>
      <w:r w:rsidRPr="00733269">
        <w:rPr>
          <w:rStyle w:val="FootnoteReference"/>
          <w:rFonts w:ascii="Arial" w:hAnsi="Arial" w:cs="Arial"/>
          <w:sz w:val="18"/>
          <w:szCs w:val="18"/>
        </w:rPr>
        <w:footnoteRef/>
      </w:r>
      <w:r w:rsidRPr="00733269">
        <w:rPr>
          <w:rFonts w:ascii="Arial" w:hAnsi="Arial" w:cs="Arial"/>
          <w:sz w:val="18"/>
          <w:szCs w:val="18"/>
        </w:rPr>
        <w:t xml:space="preserve"> </w:t>
      </w:r>
      <w:r w:rsidR="00733269">
        <w:rPr>
          <w:rFonts w:ascii="Arial" w:hAnsi="Arial" w:cs="Arial"/>
          <w:sz w:val="18"/>
          <w:szCs w:val="18"/>
        </w:rPr>
        <w:tab/>
      </w:r>
      <w:r w:rsidR="0090467B">
        <w:rPr>
          <w:rFonts w:ascii="Arial" w:hAnsi="Arial" w:cs="Arial"/>
          <w:sz w:val="18"/>
          <w:szCs w:val="18"/>
          <w:lang w:val="es-CO"/>
        </w:rPr>
        <w:t xml:space="preserve">Ver </w:t>
      </w:r>
      <w:hyperlink r:id="rId2" w:history="1">
        <w:r w:rsidR="0090467B" w:rsidRPr="003C7269">
          <w:rPr>
            <w:rStyle w:val="Hyperlink"/>
            <w:rFonts w:ascii="Arial" w:hAnsi="Arial" w:cs="Arial"/>
            <w:sz w:val="18"/>
            <w:szCs w:val="18"/>
            <w:lang w:val="es-CO"/>
          </w:rPr>
          <w:t>Análisis Económico</w:t>
        </w:r>
      </w:hyperlink>
      <w:r w:rsidR="0090467B">
        <w:rPr>
          <w:rFonts w:ascii="Arial" w:hAnsi="Arial" w:cs="Arial"/>
          <w:sz w:val="18"/>
          <w:szCs w:val="18"/>
          <w:lang w:val="es-CO"/>
        </w:rPr>
        <w:t xml:space="preserve"> de la presente operación.</w:t>
      </w:r>
      <w:r w:rsidRPr="00733269">
        <w:rPr>
          <w:sz w:val="18"/>
          <w:szCs w:val="18"/>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FC12" w14:textId="77777777" w:rsidR="00045935" w:rsidRDefault="00045935">
    <w:pPr>
      <w:pStyle w:val="Header"/>
      <w:ind w:right="360"/>
      <w:jc w:val="both"/>
    </w:pPr>
    <w:r>
      <w:rPr>
        <w:noProof/>
        <w:sz w:val="20"/>
      </w:rPr>
      <mc:AlternateContent>
        <mc:Choice Requires="wps">
          <w:drawing>
            <wp:anchor distT="0" distB="0" distL="114300" distR="114300" simplePos="0" relativeHeight="251659264" behindDoc="0" locked="0" layoutInCell="1" allowOverlap="1" wp14:anchorId="5F0FEDD0" wp14:editId="01233A5B">
              <wp:simplePos x="0" y="0"/>
              <wp:positionH relativeFrom="column">
                <wp:posOffset>280035</wp:posOffset>
              </wp:positionH>
              <wp:positionV relativeFrom="paragraph">
                <wp:posOffset>3440430</wp:posOffset>
              </wp:positionV>
              <wp:extent cx="5448935" cy="1560830"/>
              <wp:effectExtent l="0" t="1525905" r="0" b="1532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68829">
                        <a:off x="0" y="0"/>
                        <a:ext cx="5448935" cy="1560830"/>
                      </a:xfrm>
                      <a:prstGeom prst="rect">
                        <a:avLst/>
                      </a:prstGeom>
                      <a:extLst>
                        <a:ext uri="{AF507438-7753-43E0-B8FC-AC1667EBCBE1}">
                          <a14:hiddenEffects xmlns:a14="http://schemas.microsoft.com/office/drawing/2010/main">
                            <a:effectLst/>
                          </a14:hiddenEffects>
                        </a:ext>
                      </a:extLst>
                    </wps:spPr>
                    <wps:txbx>
                      <w:txbxContent>
                        <w:p w14:paraId="43462CF9" w14:textId="77777777" w:rsidR="00045935" w:rsidRDefault="00045935" w:rsidP="00045935">
                          <w:pPr>
                            <w:jc w:val="center"/>
                            <w:rPr>
                              <w:sz w:val="24"/>
                              <w:szCs w:val="24"/>
                            </w:rPr>
                          </w:pPr>
                          <w:r>
                            <w:rPr>
                              <w:rFonts w:ascii="Arial" w:hAnsi="Arial" w:cs="Arial"/>
                              <w:color w:val="ECECEC"/>
                              <w:sz w:val="48"/>
                              <w:szCs w:val="48"/>
                              <w14:textOutline w14:w="1587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0FEDD0" id="_x0000_t202" coordsize="21600,21600" o:spt="202" path="m,l,21600r21600,l21600,xe">
              <v:stroke joinstyle="miter"/>
              <v:path gradientshapeok="t" o:connecttype="rect"/>
            </v:shapetype>
            <v:shape id="Text Box 2" o:spid="_x0000_s1026" type="#_x0000_t202" style="position:absolute;left:0;text-align:left;margin-left:22.05pt;margin-top:270.9pt;width:429.05pt;height:122.9pt;rotation:-247816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IACQIAAOoDAAAOAAAAZHJzL2Uyb0RvYy54bWysU0Fu2zAQvBfoHwjeY8lKbDiC5cBNml7S&#10;JkBc5LwmKUutyGVJ2pJ/3yWtOEF7K6oDIS3J2ZnZ0fJm0B07KOdbNBWfTnLOlBEoW7Or+PfN/cWC&#10;Mx/ASOjQqIoflec3q48flr0tVYENdlI5RiDGl72teBOCLbPMi0Zp8BO0ytBmjU5DoE+3y6SDntB1&#10;lxV5Ps96dNI6FMp7qt6dNvkq4de1EuGxrr0KrKs4cQtpdWndxjVbLaHcObBNK0Ya8A8sNLSGmp6h&#10;7iAA27v2LyjdCoce6zARqDOs61aopIHUTPM/1Dw3YFXSQuZ4e7bJ/z9Y8e3w5FgrK15wZkDTiDZq&#10;COwTDqyI7vTWl3To2dKxMFCZppyUevuA4qdnBm8bMDu1dg77RoEkdlPCGstJw+ZoCThVI/pn2dIg&#10;phE+e4d/auZjp23/FSVdgX3A1G2onWYO6dpFUcwXi+I6lclARoxossfzNCN9QcXZ1dXi+nLGmaC9&#10;6WyeLy7TvDMoI1qclnU+fFGoWXypuKO4JFg4PPgQ2b0dGalGdieeYdgOoz9blEci3VOMKu5/7cEp&#10;MmCvb5FSR6prh/qFcrp2SfZr583wAs6OvQPRfupeY5QIpDzJcSogfxCQ7iidB+jYLKcnGQjleHgk&#10;e0KNd71dk333bVISfT7xHJVQoJLAMfwxse+/06m3X3T1GwAA//8DAFBLAwQUAAYACAAAACEAx4AW&#10;090AAAAKAQAADwAAAGRycy9kb3ducmV2LnhtbEyPy07DMBBF90j8gzVI7KidKH2FOBVCQqhiRdsP&#10;cOIhiYjHVuy24e+ZrmA5mqNz7612sxvFBac4eNKQLRQIpNbbgToNp+Pb0wZETIasGT2hhh+MsKvv&#10;7ypTWn+lT7wcUidYQrE0GvqUQillbHt0Ji58QOLfl5+cSXxOnbSTubLcjTJXaiWdGYgTehPwtcf2&#10;+3B2N8sxvKt8v7dFcjIuT00bsg+tHx/ml2cQCef0B8OtPleHmjs1/kw2ilFDUWRMalgWGU9gYKvy&#10;HESjYb1Zr0DWlfw/of4FAAD//wMAUEsBAi0AFAAGAAgAAAAhALaDOJL+AAAA4QEAABMAAAAAAAAA&#10;AAAAAAAAAAAAAFtDb250ZW50X1R5cGVzXS54bWxQSwECLQAUAAYACAAAACEAOP0h/9YAAACUAQAA&#10;CwAAAAAAAAAAAAAAAAAvAQAAX3JlbHMvLnJlbHNQSwECLQAUAAYACAAAACEAwRByAAkCAADqAwAA&#10;DgAAAAAAAAAAAAAAAAAuAgAAZHJzL2Uyb0RvYy54bWxQSwECLQAUAAYACAAAACEAx4AW090AAAAK&#10;AQAADwAAAAAAAAAAAAAAAABjBAAAZHJzL2Rvd25yZXYueG1sUEsFBgAAAAAEAAQA8wAAAG0FAAAA&#10;AA==&#10;" filled="f" stroked="f">
              <o:lock v:ext="edit" shapetype="t"/>
              <v:textbox style="mso-fit-shape-to-text:t">
                <w:txbxContent>
                  <w:p w14:paraId="43462CF9" w14:textId="77777777" w:rsidR="00045935" w:rsidRDefault="00045935" w:rsidP="00045935">
                    <w:pPr>
                      <w:jc w:val="center"/>
                      <w:rPr>
                        <w:sz w:val="24"/>
                        <w:szCs w:val="24"/>
                      </w:rPr>
                    </w:pPr>
                    <w:r>
                      <w:rPr>
                        <w:rFonts w:ascii="Arial" w:hAnsi="Arial" w:cs="Arial"/>
                        <w:color w:val="ECECEC"/>
                        <w:sz w:val="48"/>
                        <w:szCs w:val="48"/>
                        <w14:textOutline w14:w="15875" w14:cap="flat" w14:cmpd="sng" w14:algn="ctr">
                          <w14:solidFill>
                            <w14:srgbClr w14:val="DDDDDD"/>
                          </w14:solidFill>
                          <w14:prstDash w14:val="solid"/>
                          <w14:round/>
                        </w14:textOutline>
                      </w:rPr>
                      <w:t>DRAFT</w:t>
                    </w:r>
                  </w:p>
                </w:txbxContent>
              </v:textbox>
            </v:shape>
          </w:pict>
        </mc:Fallback>
      </mc:AlternateContent>
    </w:r>
    <w:r>
      <w:rPr>
        <w:snapToGrid w:val="0"/>
      </w:rPr>
      <w:tab/>
    </w:r>
    <w:r>
      <w:rPr>
        <w:snapToGrid w:val="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0621" w14:textId="77777777" w:rsidR="007562EF" w:rsidRDefault="00756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27A8" w14:textId="77777777" w:rsidR="0012674A" w:rsidRPr="00EB219D" w:rsidRDefault="001C14F0" w:rsidP="00D76FBD">
    <w:pPr>
      <w:pStyle w:val="Header"/>
      <w:tabs>
        <w:tab w:val="center" w:pos="4153"/>
        <w:tab w:val="left" w:pos="5257"/>
      </w:tabs>
      <w:rPr>
        <w:rFonts w:ascii="Arial" w:hAnsi="Arial" w:cs="Arial"/>
      </w:rPr>
    </w:pPr>
    <w:r>
      <w:rPr>
        <w:rFonts w:ascii="Times New Roman" w:hAnsi="Times New Roman"/>
      </w:rPr>
      <w:tab/>
    </w:r>
    <w:r w:rsidRPr="00EB219D">
      <w:rPr>
        <w:rFonts w:ascii="Arial" w:hAnsi="Arial" w:cs="Arial"/>
        <w:sz w:val="18"/>
      </w:rPr>
      <w:t>-</w:t>
    </w:r>
    <w:r w:rsidRPr="00EB219D">
      <w:rPr>
        <w:rFonts w:ascii="Arial" w:hAnsi="Arial" w:cs="Arial"/>
        <w:sz w:val="18"/>
      </w:rPr>
      <w:fldChar w:fldCharType="begin"/>
    </w:r>
    <w:r w:rsidRPr="00EB219D">
      <w:rPr>
        <w:rFonts w:ascii="Arial" w:hAnsi="Arial" w:cs="Arial"/>
        <w:sz w:val="18"/>
      </w:rPr>
      <w:instrText xml:space="preserve"> PAGE   \* MERGEFORMAT </w:instrText>
    </w:r>
    <w:r w:rsidRPr="00EB219D">
      <w:rPr>
        <w:rFonts w:ascii="Arial" w:hAnsi="Arial" w:cs="Arial"/>
        <w:sz w:val="18"/>
      </w:rPr>
      <w:fldChar w:fldCharType="separate"/>
    </w:r>
    <w:r>
      <w:rPr>
        <w:rFonts w:ascii="Arial" w:hAnsi="Arial" w:cs="Arial"/>
        <w:noProof/>
        <w:sz w:val="18"/>
      </w:rPr>
      <w:t>3</w:t>
    </w:r>
    <w:r w:rsidRPr="00EB219D">
      <w:rPr>
        <w:rFonts w:ascii="Arial" w:hAnsi="Arial" w:cs="Arial"/>
        <w:noProof/>
        <w:sz w:val="18"/>
      </w:rPr>
      <w:fldChar w:fldCharType="end"/>
    </w:r>
    <w:r w:rsidRPr="00EB219D">
      <w:rPr>
        <w:rFonts w:ascii="Arial" w:hAnsi="Arial" w:cs="Arial"/>
        <w:noProof/>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B4991"/>
    <w:multiLevelType w:val="multilevel"/>
    <w:tmpl w:val="CF8CEC38"/>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b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 w15:restartNumberingAfterBreak="0">
    <w:nsid w:val="722B1DCD"/>
    <w:multiLevelType w:val="multilevel"/>
    <w:tmpl w:val="CF64DD06"/>
    <w:lvl w:ilvl="0">
      <w:start w:val="1"/>
      <w:numFmt w:val="upperRoman"/>
      <w:lvlRestart w:val="0"/>
      <w:pStyle w:val="Chapter"/>
      <w:lvlText w:val="%1."/>
      <w:lvlJc w:val="center"/>
      <w:pPr>
        <w:tabs>
          <w:tab w:val="num" w:pos="4680"/>
        </w:tabs>
        <w:ind w:left="4032" w:firstLine="288"/>
      </w:pPr>
      <w:rPr>
        <w:b/>
        <w:i w:val="0"/>
      </w:rPr>
    </w:lvl>
    <w:lvl w:ilvl="1">
      <w:start w:val="1"/>
      <w:numFmt w:val="decimal"/>
      <w:pStyle w:val="Paragraph"/>
      <w:isLgl/>
      <w:lvlText w:val="%1.%2"/>
      <w:lvlJc w:val="left"/>
      <w:pPr>
        <w:tabs>
          <w:tab w:val="num" w:pos="2448"/>
        </w:tabs>
        <w:ind w:left="2448" w:hanging="1296"/>
      </w:pPr>
      <w:rPr>
        <w:b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ytjSwNDM3MjQ0NDNT0lEKTi0uzszPAykwrAUA8dB6wSwAAAA="/>
  </w:docVars>
  <w:rsids>
    <w:rsidRoot w:val="00045935"/>
    <w:rsid w:val="000148B9"/>
    <w:rsid w:val="0001562C"/>
    <w:rsid w:val="00045935"/>
    <w:rsid w:val="00064C07"/>
    <w:rsid w:val="00083600"/>
    <w:rsid w:val="000B331C"/>
    <w:rsid w:val="000D3FE2"/>
    <w:rsid w:val="000D492C"/>
    <w:rsid w:val="000E359F"/>
    <w:rsid w:val="00125AC9"/>
    <w:rsid w:val="001267F5"/>
    <w:rsid w:val="001C14F0"/>
    <w:rsid w:val="001D5DB7"/>
    <w:rsid w:val="001D77CE"/>
    <w:rsid w:val="001E62FC"/>
    <w:rsid w:val="0021059C"/>
    <w:rsid w:val="00216123"/>
    <w:rsid w:val="002355DC"/>
    <w:rsid w:val="0024670D"/>
    <w:rsid w:val="00252F7C"/>
    <w:rsid w:val="00255E34"/>
    <w:rsid w:val="0035077A"/>
    <w:rsid w:val="00371766"/>
    <w:rsid w:val="003A411C"/>
    <w:rsid w:val="003A5111"/>
    <w:rsid w:val="003C7269"/>
    <w:rsid w:val="003D6CE2"/>
    <w:rsid w:val="003F7882"/>
    <w:rsid w:val="00427876"/>
    <w:rsid w:val="00447358"/>
    <w:rsid w:val="00464A29"/>
    <w:rsid w:val="00497B88"/>
    <w:rsid w:val="00563853"/>
    <w:rsid w:val="005B3F41"/>
    <w:rsid w:val="005B4BB3"/>
    <w:rsid w:val="00611293"/>
    <w:rsid w:val="006979D2"/>
    <w:rsid w:val="006C634D"/>
    <w:rsid w:val="006E5D2F"/>
    <w:rsid w:val="00705BF8"/>
    <w:rsid w:val="0070725D"/>
    <w:rsid w:val="00733269"/>
    <w:rsid w:val="00742126"/>
    <w:rsid w:val="007478C6"/>
    <w:rsid w:val="007562EF"/>
    <w:rsid w:val="00762681"/>
    <w:rsid w:val="00782756"/>
    <w:rsid w:val="007A06E1"/>
    <w:rsid w:val="007B401F"/>
    <w:rsid w:val="00801C90"/>
    <w:rsid w:val="00806B9A"/>
    <w:rsid w:val="00847512"/>
    <w:rsid w:val="008651EB"/>
    <w:rsid w:val="008839F7"/>
    <w:rsid w:val="008B5644"/>
    <w:rsid w:val="008D7F58"/>
    <w:rsid w:val="008E5E64"/>
    <w:rsid w:val="008E7E67"/>
    <w:rsid w:val="00904199"/>
    <w:rsid w:val="0090467B"/>
    <w:rsid w:val="00907D0A"/>
    <w:rsid w:val="00912DFA"/>
    <w:rsid w:val="00952C26"/>
    <w:rsid w:val="009A0294"/>
    <w:rsid w:val="009A14DD"/>
    <w:rsid w:val="009C2572"/>
    <w:rsid w:val="009F2C5F"/>
    <w:rsid w:val="00A0179F"/>
    <w:rsid w:val="00A07083"/>
    <w:rsid w:val="00A219FE"/>
    <w:rsid w:val="00A37AD3"/>
    <w:rsid w:val="00A84B91"/>
    <w:rsid w:val="00AB15B2"/>
    <w:rsid w:val="00AB5443"/>
    <w:rsid w:val="00B065B4"/>
    <w:rsid w:val="00B30ABE"/>
    <w:rsid w:val="00B32C85"/>
    <w:rsid w:val="00B51B6D"/>
    <w:rsid w:val="00B70762"/>
    <w:rsid w:val="00B87E3B"/>
    <w:rsid w:val="00BE15BF"/>
    <w:rsid w:val="00C2056A"/>
    <w:rsid w:val="00C64513"/>
    <w:rsid w:val="00C9431D"/>
    <w:rsid w:val="00C94C78"/>
    <w:rsid w:val="00CB4DB9"/>
    <w:rsid w:val="00D30CF4"/>
    <w:rsid w:val="00D51119"/>
    <w:rsid w:val="00D62B42"/>
    <w:rsid w:val="00D845BD"/>
    <w:rsid w:val="00D92671"/>
    <w:rsid w:val="00DB3A8E"/>
    <w:rsid w:val="00E63D93"/>
    <w:rsid w:val="00F10CE5"/>
    <w:rsid w:val="00F262D9"/>
    <w:rsid w:val="00F32E4B"/>
    <w:rsid w:val="00F33515"/>
    <w:rsid w:val="00F5416A"/>
    <w:rsid w:val="00F671C9"/>
    <w:rsid w:val="00F76925"/>
    <w:rsid w:val="00F83B16"/>
    <w:rsid w:val="00F970DF"/>
    <w:rsid w:val="00FC138A"/>
  </w:rsids>
  <m:mathPr>
    <m:mathFont m:val="Cambria Math"/>
    <m:brkBin m:val="before"/>
    <m:brkBinSub m:val="--"/>
    <m:smallFrac m:val="0"/>
    <m:dispDef/>
    <m:lMargin m:val="0"/>
    <m:rMargin m:val="0"/>
    <m:defJc m:val="centerGroup"/>
    <m:wrapIndent m:val="1440"/>
    <m:intLim m:val="subSup"/>
    <m:naryLim m:val="undOvr"/>
  </m:mathPr>
  <w:themeFontLang w:val="en-US" w:eastAsia="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3C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5935"/>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Car,ft,footnote,Texto,nota,pie,Ref.,al,F1,texto de nota al pie,NOTA AL PIE TESIS PUCP,foottextfra,F,footnote text,Geneva 9,Font: Geneva 9,Boston 10,f,Fußnotentextr,Texto nota pie Car Car,single space,Fußn"/>
    <w:basedOn w:val="Normal"/>
    <w:link w:val="FootnoteTextChar"/>
    <w:uiPriority w:val="99"/>
    <w:unhideWhenUsed/>
    <w:qFormat/>
    <w:rsid w:val="00045935"/>
    <w:pPr>
      <w:keepNext/>
      <w:keepLines/>
      <w:spacing w:after="120" w:line="240" w:lineRule="auto"/>
      <w:ind w:left="288" w:hanging="288"/>
      <w:jc w:val="both"/>
    </w:pPr>
    <w:rPr>
      <w:rFonts w:ascii="Times New Roman" w:hAnsi="Times New Roman"/>
      <w:spacing w:val="-3"/>
      <w:sz w:val="20"/>
      <w:szCs w:val="20"/>
    </w:rPr>
  </w:style>
  <w:style w:type="character" w:customStyle="1" w:styleId="FootnoteTextChar">
    <w:name w:val="Footnote Text Char"/>
    <w:aliases w:val="fn Char,Texto nota pie IIRSA Char,Car Char,ft Char,footnote Char,Texto Char,nota Char,pie Char,Ref. Char,al Char,F1 Char,texto de nota al pie Char,NOTA AL PIE TESIS PUCP Char,foottextfra Char,F Char,footnote text Char,Geneva 9 Char"/>
    <w:basedOn w:val="DefaultParagraphFont"/>
    <w:link w:val="FootnoteText"/>
    <w:uiPriority w:val="99"/>
    <w:rsid w:val="00045935"/>
    <w:rPr>
      <w:rFonts w:ascii="Times New Roman" w:eastAsia="Calibri" w:hAnsi="Times New Roman" w:cs="Times New Roman"/>
      <w:spacing w:val="-3"/>
      <w:sz w:val="20"/>
      <w:szCs w:val="20"/>
      <w:lang w:val="es-ES"/>
    </w:rPr>
  </w:style>
  <w:style w:type="character" w:styleId="FootnoteReference">
    <w:name w:val="footnote reference"/>
    <w:aliases w:val="titulo 2,16 Point,Superscript 6 Point,ftref,Fußnotenzeichen DISS,BVI fnr, BVI fnr,Знак сноски 1,referencia nota al pie,FC,Footnote Referencefra,Ref. de nota al pie.,Stinking Styles11,Texto de nota al pie,Footnote symbol,Footnote,fr"/>
    <w:uiPriority w:val="99"/>
    <w:unhideWhenUsed/>
    <w:qFormat/>
    <w:rsid w:val="00045935"/>
    <w:rPr>
      <w:vertAlign w:val="superscript"/>
    </w:rPr>
  </w:style>
  <w:style w:type="paragraph" w:customStyle="1" w:styleId="Chapter">
    <w:name w:val="Chapter"/>
    <w:basedOn w:val="Normal"/>
    <w:next w:val="Normal"/>
    <w:qFormat/>
    <w:rsid w:val="00045935"/>
    <w:pPr>
      <w:keepNext/>
      <w:numPr>
        <w:numId w:val="1"/>
      </w:numPr>
      <w:tabs>
        <w:tab w:val="num" w:pos="648"/>
        <w:tab w:val="left" w:pos="1440"/>
      </w:tabs>
      <w:spacing w:before="240" w:after="240" w:line="240" w:lineRule="auto"/>
      <w:ind w:left="0"/>
      <w:jc w:val="center"/>
    </w:pPr>
    <w:rPr>
      <w:rFonts w:ascii="Times New Roman" w:hAnsi="Times New Roman"/>
      <w:b/>
      <w:smallCaps/>
      <w:sz w:val="24"/>
    </w:rPr>
  </w:style>
  <w:style w:type="paragraph" w:customStyle="1" w:styleId="Paragraph">
    <w:name w:val="Paragraph"/>
    <w:aliases w:val="paragraph,p,PARAGRAPH,PG,pa,at,at Char"/>
    <w:basedOn w:val="BodyTextIndent"/>
    <w:link w:val="ParagraphChar"/>
    <w:qFormat/>
    <w:rsid w:val="00045935"/>
    <w:pPr>
      <w:numPr>
        <w:ilvl w:val="1"/>
        <w:numId w:val="1"/>
      </w:numPr>
      <w:spacing w:before="120" w:line="240" w:lineRule="auto"/>
      <w:jc w:val="both"/>
      <w:outlineLvl w:val="1"/>
    </w:pPr>
    <w:rPr>
      <w:rFonts w:ascii="Times New Roman" w:hAnsi="Times New Roman"/>
      <w:sz w:val="24"/>
    </w:rPr>
  </w:style>
  <w:style w:type="character" w:customStyle="1" w:styleId="ParagraphChar">
    <w:name w:val="Paragraph Char"/>
    <w:link w:val="Paragraph"/>
    <w:rsid w:val="00045935"/>
    <w:rPr>
      <w:rFonts w:ascii="Times New Roman" w:eastAsia="Calibri" w:hAnsi="Times New Roman" w:cs="Times New Roman"/>
      <w:sz w:val="24"/>
      <w:lang w:val="es-ES"/>
    </w:rPr>
  </w:style>
  <w:style w:type="paragraph" w:customStyle="1" w:styleId="subpar">
    <w:name w:val="subpar"/>
    <w:basedOn w:val="BodyTextIndent3"/>
    <w:link w:val="subparChar"/>
    <w:rsid w:val="00045935"/>
    <w:pPr>
      <w:numPr>
        <w:ilvl w:val="2"/>
        <w:numId w:val="1"/>
      </w:numPr>
      <w:spacing w:before="120" w:line="240" w:lineRule="auto"/>
      <w:jc w:val="both"/>
      <w:outlineLvl w:val="2"/>
    </w:pPr>
    <w:rPr>
      <w:rFonts w:ascii="Times New Roman" w:hAnsi="Times New Roman"/>
      <w:sz w:val="24"/>
    </w:rPr>
  </w:style>
  <w:style w:type="character" w:customStyle="1" w:styleId="subparChar">
    <w:name w:val="subpar Char"/>
    <w:link w:val="subpar"/>
    <w:rsid w:val="00045935"/>
    <w:rPr>
      <w:rFonts w:ascii="Times New Roman" w:eastAsia="Calibri" w:hAnsi="Times New Roman" w:cs="Times New Roman"/>
      <w:sz w:val="24"/>
      <w:szCs w:val="16"/>
      <w:lang w:val="es-ES"/>
    </w:rPr>
  </w:style>
  <w:style w:type="paragraph" w:customStyle="1" w:styleId="SubSubPar">
    <w:name w:val="SubSubPar"/>
    <w:basedOn w:val="subpar"/>
    <w:rsid w:val="00045935"/>
    <w:pPr>
      <w:numPr>
        <w:ilvl w:val="3"/>
      </w:numPr>
      <w:tabs>
        <w:tab w:val="clear" w:pos="2736"/>
        <w:tab w:val="left" w:pos="0"/>
        <w:tab w:val="num" w:pos="360"/>
        <w:tab w:val="num" w:pos="1296"/>
      </w:tabs>
      <w:ind w:left="1296"/>
    </w:pPr>
  </w:style>
  <w:style w:type="paragraph" w:styleId="Header">
    <w:name w:val="header"/>
    <w:basedOn w:val="Normal"/>
    <w:link w:val="HeaderChar"/>
    <w:uiPriority w:val="99"/>
    <w:unhideWhenUsed/>
    <w:rsid w:val="00045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935"/>
    <w:rPr>
      <w:rFonts w:ascii="Calibri" w:eastAsia="Calibri" w:hAnsi="Calibri" w:cs="Times New Roman"/>
      <w:lang w:val="es-ES"/>
    </w:rPr>
  </w:style>
  <w:style w:type="paragraph" w:styleId="BodyText">
    <w:name w:val="Body Text"/>
    <w:basedOn w:val="Normal"/>
    <w:link w:val="BodyTextChar"/>
    <w:rsid w:val="00045935"/>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045935"/>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045935"/>
    <w:pPr>
      <w:spacing w:after="120"/>
      <w:ind w:left="360"/>
    </w:pPr>
  </w:style>
  <w:style w:type="character" w:customStyle="1" w:styleId="BodyTextIndentChar">
    <w:name w:val="Body Text Indent Char"/>
    <w:basedOn w:val="DefaultParagraphFont"/>
    <w:link w:val="BodyTextIndent"/>
    <w:uiPriority w:val="99"/>
    <w:semiHidden/>
    <w:rsid w:val="00045935"/>
    <w:rPr>
      <w:rFonts w:ascii="Calibri" w:eastAsia="Calibri" w:hAnsi="Calibri" w:cs="Times New Roman"/>
      <w:lang w:val="es-ES"/>
    </w:rPr>
  </w:style>
  <w:style w:type="paragraph" w:styleId="BodyTextIndent3">
    <w:name w:val="Body Text Indent 3"/>
    <w:basedOn w:val="Normal"/>
    <w:link w:val="BodyTextIndent3Char"/>
    <w:uiPriority w:val="99"/>
    <w:semiHidden/>
    <w:unhideWhenUsed/>
    <w:rsid w:val="000459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5935"/>
    <w:rPr>
      <w:rFonts w:ascii="Calibri" w:eastAsia="Calibri" w:hAnsi="Calibri" w:cs="Times New Roman"/>
      <w:sz w:val="16"/>
      <w:szCs w:val="16"/>
      <w:lang w:val="es-ES"/>
    </w:rPr>
  </w:style>
  <w:style w:type="paragraph" w:customStyle="1" w:styleId="Newpage">
    <w:name w:val="Newpage"/>
    <w:basedOn w:val="Chapter"/>
    <w:link w:val="NewpageChar"/>
    <w:rsid w:val="000D492C"/>
    <w:pPr>
      <w:numPr>
        <w:numId w:val="0"/>
      </w:numPr>
      <w:tabs>
        <w:tab w:val="clear" w:pos="1440"/>
        <w:tab w:val="left" w:pos="3060"/>
        <w:tab w:val="num" w:pos="4680"/>
      </w:tabs>
      <w:spacing w:after="0"/>
    </w:pPr>
    <w:rPr>
      <w:rFonts w:eastAsia="Times New Roman"/>
      <w:szCs w:val="20"/>
    </w:rPr>
  </w:style>
  <w:style w:type="character" w:styleId="Hyperlink">
    <w:name w:val="Hyperlink"/>
    <w:basedOn w:val="DefaultParagraphFont"/>
    <w:uiPriority w:val="99"/>
    <w:unhideWhenUsed/>
    <w:rsid w:val="00742126"/>
    <w:rPr>
      <w:color w:val="0563C1" w:themeColor="hyperlink"/>
      <w:u w:val="single"/>
    </w:rPr>
  </w:style>
  <w:style w:type="character" w:styleId="UnresolvedMention">
    <w:name w:val="Unresolved Mention"/>
    <w:basedOn w:val="DefaultParagraphFont"/>
    <w:uiPriority w:val="99"/>
    <w:semiHidden/>
    <w:unhideWhenUsed/>
    <w:rsid w:val="00742126"/>
    <w:rPr>
      <w:color w:val="605E5C"/>
      <w:shd w:val="clear" w:color="auto" w:fill="E1DFDD"/>
    </w:rPr>
  </w:style>
  <w:style w:type="paragraph" w:styleId="BalloonText">
    <w:name w:val="Balloon Text"/>
    <w:basedOn w:val="Normal"/>
    <w:link w:val="BalloonTextChar"/>
    <w:uiPriority w:val="99"/>
    <w:semiHidden/>
    <w:unhideWhenUsed/>
    <w:rsid w:val="005B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F41"/>
    <w:rPr>
      <w:rFonts w:ascii="Segoe UI" w:eastAsia="Calibri" w:hAnsi="Segoe UI" w:cs="Segoe UI"/>
      <w:sz w:val="18"/>
      <w:szCs w:val="18"/>
      <w:lang w:val="es-ES"/>
    </w:rPr>
  </w:style>
  <w:style w:type="paragraph" w:styleId="Caption">
    <w:name w:val="caption"/>
    <w:basedOn w:val="Normal"/>
    <w:next w:val="Normal"/>
    <w:uiPriority w:val="35"/>
    <w:unhideWhenUsed/>
    <w:qFormat/>
    <w:rsid w:val="001E62FC"/>
    <w:pPr>
      <w:spacing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733269"/>
    <w:rPr>
      <w:color w:val="954F72" w:themeColor="followedHyperlink"/>
      <w:u w:val="single"/>
    </w:rPr>
  </w:style>
  <w:style w:type="character" w:customStyle="1" w:styleId="NewpageChar">
    <w:name w:val="Newpage Char"/>
    <w:basedOn w:val="DefaultParagraphFont"/>
    <w:link w:val="Newpage"/>
    <w:rsid w:val="00847512"/>
    <w:rPr>
      <w:rFonts w:ascii="Times New Roman" w:eastAsia="Times New Roman" w:hAnsi="Times New Roman" w:cs="Times New Roman"/>
      <w:b/>
      <w:smallCaps/>
      <w:sz w:val="24"/>
      <w:szCs w:val="20"/>
      <w:lang w:val="es-ES"/>
    </w:rPr>
  </w:style>
  <w:style w:type="paragraph" w:styleId="Footer">
    <w:name w:val="footer"/>
    <w:basedOn w:val="Normal"/>
    <w:link w:val="FooterChar"/>
    <w:uiPriority w:val="99"/>
    <w:unhideWhenUsed/>
    <w:rsid w:val="003A5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111"/>
    <w:rPr>
      <w:rFonts w:ascii="Calibri" w:eastAsia="Calibri" w:hAnsi="Calibri" w:cs="Times New Roman"/>
      <w:lang w:val="es-ES"/>
    </w:rPr>
  </w:style>
  <w:style w:type="character" w:styleId="CommentReference">
    <w:name w:val="annotation reference"/>
    <w:basedOn w:val="DefaultParagraphFont"/>
    <w:uiPriority w:val="99"/>
    <w:semiHidden/>
    <w:unhideWhenUsed/>
    <w:rsid w:val="00FC138A"/>
    <w:rPr>
      <w:sz w:val="16"/>
      <w:szCs w:val="16"/>
    </w:rPr>
  </w:style>
  <w:style w:type="paragraph" w:styleId="CommentText">
    <w:name w:val="annotation text"/>
    <w:basedOn w:val="Normal"/>
    <w:link w:val="CommentTextChar"/>
    <w:uiPriority w:val="99"/>
    <w:semiHidden/>
    <w:unhideWhenUsed/>
    <w:rsid w:val="00FC138A"/>
    <w:pPr>
      <w:spacing w:line="240" w:lineRule="auto"/>
    </w:pPr>
    <w:rPr>
      <w:sz w:val="20"/>
      <w:szCs w:val="20"/>
    </w:rPr>
  </w:style>
  <w:style w:type="character" w:customStyle="1" w:styleId="CommentTextChar">
    <w:name w:val="Comment Text Char"/>
    <w:basedOn w:val="DefaultParagraphFont"/>
    <w:link w:val="CommentText"/>
    <w:uiPriority w:val="99"/>
    <w:semiHidden/>
    <w:rsid w:val="00FC138A"/>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FC138A"/>
    <w:rPr>
      <w:b/>
      <w:bCs/>
    </w:rPr>
  </w:style>
  <w:style w:type="character" w:customStyle="1" w:styleId="CommentSubjectChar">
    <w:name w:val="Comment Subject Char"/>
    <w:basedOn w:val="CommentTextChar"/>
    <w:link w:val="CommentSubject"/>
    <w:uiPriority w:val="99"/>
    <w:semiHidden/>
    <w:rsid w:val="00FC138A"/>
    <w:rPr>
      <w:rFonts w:ascii="Calibri" w:eastAsia="Calibri"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73010">
      <w:bodyDiv w:val="1"/>
      <w:marLeft w:val="0"/>
      <w:marRight w:val="0"/>
      <w:marTop w:val="0"/>
      <w:marBottom w:val="0"/>
      <w:divBdr>
        <w:top w:val="none" w:sz="0" w:space="0" w:color="auto"/>
        <w:left w:val="none" w:sz="0" w:space="0" w:color="auto"/>
        <w:bottom w:val="none" w:sz="0" w:space="0" w:color="auto"/>
        <w:right w:val="none" w:sz="0" w:space="0" w:color="auto"/>
      </w:divBdr>
    </w:div>
    <w:div w:id="704406408">
      <w:bodyDiv w:val="1"/>
      <w:marLeft w:val="0"/>
      <w:marRight w:val="0"/>
      <w:marTop w:val="0"/>
      <w:marBottom w:val="0"/>
      <w:divBdr>
        <w:top w:val="none" w:sz="0" w:space="0" w:color="auto"/>
        <w:left w:val="none" w:sz="0" w:space="0" w:color="auto"/>
        <w:bottom w:val="none" w:sz="0" w:space="0" w:color="auto"/>
        <w:right w:val="none" w:sz="0" w:space="0" w:color="auto"/>
      </w:divBdr>
    </w:div>
    <w:div w:id="741870374">
      <w:bodyDiv w:val="1"/>
      <w:marLeft w:val="0"/>
      <w:marRight w:val="0"/>
      <w:marTop w:val="0"/>
      <w:marBottom w:val="0"/>
      <w:divBdr>
        <w:top w:val="none" w:sz="0" w:space="0" w:color="auto"/>
        <w:left w:val="none" w:sz="0" w:space="0" w:color="auto"/>
        <w:bottom w:val="none" w:sz="0" w:space="0" w:color="auto"/>
        <w:right w:val="none" w:sz="0" w:space="0" w:color="auto"/>
      </w:divBdr>
    </w:div>
    <w:div w:id="1035547040">
      <w:bodyDiv w:val="1"/>
      <w:marLeft w:val="0"/>
      <w:marRight w:val="0"/>
      <w:marTop w:val="0"/>
      <w:marBottom w:val="0"/>
      <w:divBdr>
        <w:top w:val="none" w:sz="0" w:space="0" w:color="auto"/>
        <w:left w:val="none" w:sz="0" w:space="0" w:color="auto"/>
        <w:bottom w:val="none" w:sz="0" w:space="0" w:color="auto"/>
        <w:right w:val="none" w:sz="0" w:space="0" w:color="auto"/>
      </w:divBdr>
    </w:div>
    <w:div w:id="1334647182">
      <w:bodyDiv w:val="1"/>
      <w:marLeft w:val="0"/>
      <w:marRight w:val="0"/>
      <w:marTop w:val="0"/>
      <w:marBottom w:val="0"/>
      <w:divBdr>
        <w:top w:val="none" w:sz="0" w:space="0" w:color="auto"/>
        <w:left w:val="none" w:sz="0" w:space="0" w:color="auto"/>
        <w:bottom w:val="none" w:sz="0" w:space="0" w:color="auto"/>
        <w:right w:val="none" w:sz="0" w:space="0" w:color="auto"/>
      </w:divBdr>
    </w:div>
    <w:div w:id="1353190866">
      <w:bodyDiv w:val="1"/>
      <w:marLeft w:val="0"/>
      <w:marRight w:val="0"/>
      <w:marTop w:val="0"/>
      <w:marBottom w:val="0"/>
      <w:divBdr>
        <w:top w:val="none" w:sz="0" w:space="0" w:color="auto"/>
        <w:left w:val="none" w:sz="0" w:space="0" w:color="auto"/>
        <w:bottom w:val="none" w:sz="0" w:space="0" w:color="auto"/>
        <w:right w:val="none" w:sz="0" w:space="0" w:color="auto"/>
      </w:divBdr>
    </w:div>
    <w:div w:id="1421413979">
      <w:bodyDiv w:val="1"/>
      <w:marLeft w:val="0"/>
      <w:marRight w:val="0"/>
      <w:marTop w:val="0"/>
      <w:marBottom w:val="0"/>
      <w:divBdr>
        <w:top w:val="none" w:sz="0" w:space="0" w:color="auto"/>
        <w:left w:val="none" w:sz="0" w:space="0" w:color="auto"/>
        <w:bottom w:val="none" w:sz="0" w:space="0" w:color="auto"/>
        <w:right w:val="none" w:sz="0" w:space="0" w:color="auto"/>
      </w:divBdr>
    </w:div>
    <w:div w:id="1658722820">
      <w:bodyDiv w:val="1"/>
      <w:marLeft w:val="0"/>
      <w:marRight w:val="0"/>
      <w:marTop w:val="0"/>
      <w:marBottom w:val="0"/>
      <w:divBdr>
        <w:top w:val="none" w:sz="0" w:space="0" w:color="auto"/>
        <w:left w:val="none" w:sz="0" w:space="0" w:color="auto"/>
        <w:bottom w:val="none" w:sz="0" w:space="0" w:color="auto"/>
        <w:right w:val="none" w:sz="0" w:space="0" w:color="auto"/>
      </w:divBdr>
    </w:div>
    <w:div w:id="1699046602">
      <w:bodyDiv w:val="1"/>
      <w:marLeft w:val="0"/>
      <w:marRight w:val="0"/>
      <w:marTop w:val="0"/>
      <w:marBottom w:val="0"/>
      <w:divBdr>
        <w:top w:val="none" w:sz="0" w:space="0" w:color="auto"/>
        <w:left w:val="none" w:sz="0" w:space="0" w:color="auto"/>
        <w:bottom w:val="none" w:sz="0" w:space="0" w:color="auto"/>
        <w:right w:val="none" w:sz="0" w:space="0" w:color="auto"/>
      </w:divBdr>
    </w:div>
    <w:div w:id="1800419313">
      <w:bodyDiv w:val="1"/>
      <w:marLeft w:val="0"/>
      <w:marRight w:val="0"/>
      <w:marTop w:val="0"/>
      <w:marBottom w:val="0"/>
      <w:divBdr>
        <w:top w:val="none" w:sz="0" w:space="0" w:color="auto"/>
        <w:left w:val="none" w:sz="0" w:space="0" w:color="auto"/>
        <w:bottom w:val="none" w:sz="0" w:space="0" w:color="auto"/>
        <w:right w:val="none" w:sz="0" w:space="0" w:color="auto"/>
      </w:divBdr>
    </w:div>
    <w:div w:id="2096709672">
      <w:bodyDiv w:val="1"/>
      <w:marLeft w:val="0"/>
      <w:marRight w:val="0"/>
      <w:marTop w:val="0"/>
      <w:marBottom w:val="0"/>
      <w:divBdr>
        <w:top w:val="none" w:sz="0" w:space="0" w:color="auto"/>
        <w:left w:val="none" w:sz="0" w:space="0" w:color="auto"/>
        <w:bottom w:val="none" w:sz="0" w:space="0" w:color="auto"/>
        <w:right w:val="none" w:sz="0" w:space="0" w:color="auto"/>
      </w:divBdr>
    </w:div>
    <w:div w:id="2131434545">
      <w:bodyDiv w:val="1"/>
      <w:marLeft w:val="0"/>
      <w:marRight w:val="0"/>
      <w:marTop w:val="0"/>
      <w:marBottom w:val="0"/>
      <w:divBdr>
        <w:top w:val="none" w:sz="0" w:space="0" w:color="auto"/>
        <w:left w:val="none" w:sz="0" w:space="0" w:color="auto"/>
        <w:bottom w:val="none" w:sz="0" w:space="0" w:color="auto"/>
        <w:right w:val="none" w:sz="0" w:space="0" w:color="auto"/>
      </w:divBdr>
    </w:div>
    <w:div w:id="21431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bg.sharepoint.com/teams/EZ-ES-LON/ES-L1136/15%20LifeCycle%20Milestones/ES-L1136_%20Anexo%20II_%20Matriz%20de%20Resultados.docx?d=w26a8aa746d444be2a05052c6a516c84a" TargetMode="External"/><Relationship Id="rId24" Type="http://schemas.openxmlformats.org/officeDocument/2006/relationships/customXml" Target="../customXml/item7.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ustomXml" Target="../customXml/item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s://idbg.sharepoint.com/teams/EZ-ES-LON/ES-L1136/15%20LifeCycle%20Milestones/ES-L1136_EEO%231_Analisis_Economico.docx?d=w185c2d73c03f419da4742e2d7d8fd2bd" TargetMode="External"/><Relationship Id="rId1" Type="http://schemas.openxmlformats.org/officeDocument/2006/relationships/hyperlink" Target="https://www.conamype.gob.sv/download/encuesta-nacional-de-la-mype-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833FBB07C9C9F347B3A7B22BAF56DB66" ma:contentTypeVersion="222" ma:contentTypeDescription="The base project type from which other project content types inherit their information." ma:contentTypeScope="" ma:versionID="2e64513238b6e3b3ddf7a82719fa8be5">
  <xsd:schema xmlns:xsd="http://www.w3.org/2001/XMLSchema" xmlns:xs="http://www.w3.org/2001/XMLSchema" xmlns:p="http://schemas.microsoft.com/office/2006/metadata/properties" xmlns:ns2="cdc7663a-08f0-4737-9e8c-148ce897a09c" targetNamespace="http://schemas.microsoft.com/office/2006/metadata/properties" ma:root="true" ma:fieldsID="58f651783cfe384d70c92a095132f2c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352426EED829DA4E972558D69981CCE8" ma:contentTypeVersion="222" ma:contentTypeDescription="A content type to manage public (operations) IDB documents" ma:contentTypeScope="" ma:versionID="d97cc1a24f0b57863b935aa7a12cd1da">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IFD/CMF</Division_x0020_or_x0020_Unit>
    <_dlc_DocId xmlns="cdc7663a-08f0-4737-9e8c-148ce897a09c">EZSHARE-1651183599-9</_dlc_DocId>
    <Document_x0020_Author xmlns="cdc7663a-08f0-4737-9e8c-148ce897a09c">Porras Herrera,Fanny Eliana</Document_x0020_Author>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057b77a9-2761-48a1-b9dc-78a115c002df</TermId>
        </TermInfo>
      </Terms>
    </ic46d7e087fd4a108fb86518ca413cc6>
    <TaxCatchAll xmlns="cdc7663a-08f0-4737-9e8c-148ce897a09c">
      <Value>27</Value>
      <Value>50</Value>
      <Value>24</Value>
      <Value>1</Value>
      <Value>169</Value>
    </TaxCatchAll>
    <Fiscal_x0020_Year_x0020_IDB xmlns="cdc7663a-08f0-4737-9e8c-148ce897a09c">2020</Fiscal_x0020_Year_x0020_IDB>
    <Operation_x0020_Type xmlns="cdc7663a-08f0-4737-9e8c-148ce897a09c">LON</Operation_x0020_Type>
    <b26cdb1da78c4bb4b1c1bac2f6ac5911 xmlns="cdc7663a-08f0-4737-9e8c-148ce897a09c">
      <Terms xmlns="http://schemas.microsoft.com/office/infopath/2007/PartnerControls"/>
    </b26cdb1da78c4bb4b1c1bac2f6ac5911>
    <Project_x0020_Number xmlns="cdc7663a-08f0-4737-9e8c-148ce897a09c">ES-L1136</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SISCOR_x0020_Number xmlns="cdc7663a-08f0-4737-9e8c-148ce897a09c" xsi:nil="true"/>
    <Access_x0020_to_x0020_Information_x00a0_Policy xmlns="cdc7663a-08f0-4737-9e8c-148ce897a09c">Public</Access_x0020_to_x0020_Information_x00a0_Policy>
    <Identifier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FM-INC</TermName>
          <TermId xmlns="http://schemas.microsoft.com/office/infopath/2007/PartnerControls">c2f14676-e4fa-4804-b3fb-fa0bd62b66c7</TermId>
        </TermInfo>
      </Terms>
    </b2ec7cfb18674cb8803df6b262e8b107>
    <Document_x0020_Language_x0020_IDB xmlns="cdc7663a-08f0-4737-9e8c-148ce897a09c">Spanish</Document_x0020_Language_x0020_IDB>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FM</TermName>
          <TermId xmlns="http://schemas.microsoft.com/office/infopath/2007/PartnerControls">75500f29-2419-473a-bcd8-84901ddc2aa7</TermId>
        </TermInfo>
      </Terms>
    </nddeef1749674d76abdbe4b239a70bc6>
    <_dlc_DocIdUrl xmlns="cdc7663a-08f0-4737-9e8c-148ce897a09c">
      <Url>https://idbg.sharepoint.com/teams/EZ-ES-LON/ES-L1136/_layouts/15/DocIdRedir.aspx?ID=EZSHARE-1651183599-9</Url>
      <Description>EZSHARE-1651183599-9</Description>
    </_dlc_DocIdUrl>
    <Phase xmlns="cdc7663a-08f0-4737-9e8c-148ce897a09c" xsi:nil="true"/>
    <Other_x0020_Author xmlns="cdc7663a-08f0-4737-9e8c-148ce897a09c">Diego Herrera</Other_x0020_Author>
    <IDBDocs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Banking and Financial Services;Finance;Financial and Capital Markets;Financial Regulation and Oversight;Financial Risk Management;Financial Sector Development;</Webtopic>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A51820F1-E7AA-4847-956D-0FEA53D25F76}">
  <ds:schemaRefs>
    <ds:schemaRef ds:uri="http://schemas.openxmlformats.org/officeDocument/2006/bibliography"/>
  </ds:schemaRefs>
</ds:datastoreItem>
</file>

<file path=customXml/itemProps2.xml><?xml version="1.0" encoding="utf-8"?>
<ds:datastoreItem xmlns:ds="http://schemas.openxmlformats.org/officeDocument/2006/customXml" ds:itemID="{2C603A70-5C55-4A49-AF0E-6F18F24BA56A}"/>
</file>

<file path=customXml/itemProps3.xml><?xml version="1.0" encoding="utf-8"?>
<ds:datastoreItem xmlns:ds="http://schemas.openxmlformats.org/officeDocument/2006/customXml" ds:itemID="{ADD7C187-D15F-492F-BC40-E5363F558244}"/>
</file>

<file path=customXml/itemProps4.xml><?xml version="1.0" encoding="utf-8"?>
<ds:datastoreItem xmlns:ds="http://schemas.openxmlformats.org/officeDocument/2006/customXml" ds:itemID="{63488F25-21B9-4E33-8E1D-17F3F4ED5020}"/>
</file>

<file path=customXml/itemProps5.xml><?xml version="1.0" encoding="utf-8"?>
<ds:datastoreItem xmlns:ds="http://schemas.openxmlformats.org/officeDocument/2006/customXml" ds:itemID="{520C1A7E-F726-4215-A695-1D199B4CC41E}"/>
</file>

<file path=customXml/itemProps6.xml><?xml version="1.0" encoding="utf-8"?>
<ds:datastoreItem xmlns:ds="http://schemas.openxmlformats.org/officeDocument/2006/customXml" ds:itemID="{97C09BA5-F987-489B-90BD-5A8D218FE717}"/>
</file>

<file path=customXml/itemProps7.xml><?xml version="1.0" encoding="utf-8"?>
<ds:datastoreItem xmlns:ds="http://schemas.openxmlformats.org/officeDocument/2006/customXml" ds:itemID="{1387637D-4E4F-4403-B1E6-252561CD88C0}"/>
</file>

<file path=docProps/app.xml><?xml version="1.0" encoding="utf-8"?>
<Properties xmlns="http://schemas.openxmlformats.org/officeDocument/2006/extended-properties" xmlns:vt="http://schemas.openxmlformats.org/officeDocument/2006/docPropsVTypes">
  <Template>Normal.dotm</Template>
  <TotalTime>0</TotalTime>
  <Pages>7</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2019-10-28T22:49:00Z</dcterms:created>
  <dcterms:modified xsi:type="dcterms:W3CDTF">2019-10-30T16:20:00Z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169;#FM-INC|c2f14676-e4fa-4804-b3fb-fa0bd62b66c7</vt:lpwstr>
  </property>
  <property fmtid="{D5CDD505-2E9C-101B-9397-08002B2CF9AE}" pid="7" name="Country">
    <vt:lpwstr>24;#ES|057b77a9-2761-48a1-b9dc-78a115c002df</vt:lpwstr>
  </property>
  <property fmtid="{D5CDD505-2E9C-101B-9397-08002B2CF9AE}" pid="8" name="_dlc_DocIdItemGuid">
    <vt:lpwstr>caf9b6ed-bc87-4727-a2b5-0cc6f9aef477</vt:lpwstr>
  </property>
  <property fmtid="{D5CDD505-2E9C-101B-9397-08002B2CF9AE}" pid="9" name="Fund IDB">
    <vt:lpwstr>27;#ORC|c028a4b2-ad8b-4cf4-9cac-a2ae6a778e23</vt:lpwstr>
  </property>
  <property fmtid="{D5CDD505-2E9C-101B-9397-08002B2CF9AE}" pid="10" name="Disclosed">
    <vt:bool>false</vt:bool>
  </property>
  <property fmtid="{D5CDD505-2E9C-101B-9397-08002B2CF9AE}" pid="11" name="Sector IDB">
    <vt:lpwstr>50;#FM|75500f29-2419-473a-bcd8-84901ddc2aa7</vt:lpwstr>
  </property>
  <property fmtid="{D5CDD505-2E9C-101B-9397-08002B2CF9AE}" pid="12" name="Function Operations IDB">
    <vt:lpwstr>1;#Project Preparation, Planning and Design|29ca0c72-1fc4-435f-a09c-28585cb5eac9</vt:lpwstr>
  </property>
  <property fmtid="{D5CDD505-2E9C-101B-9397-08002B2CF9AE}" pid="13" name="ContentTypeId">
    <vt:lpwstr>0x0101001A458A224826124E8B45B1D613300CFC00352426EED829DA4E972558D69981CCE8</vt:lpwstr>
  </property>
</Properties>
</file>