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09" w:rsidRPr="00A52065" w:rsidRDefault="00AD1509" w:rsidP="00AD1509">
      <w:pPr>
        <w:pStyle w:val="Heading1"/>
        <w:pBdr>
          <w:bottom w:val="single" w:sz="4" w:space="1" w:color="auto"/>
        </w:pBdr>
        <w:rPr>
          <w:color w:val="auto"/>
          <w:sz w:val="40"/>
          <w:szCs w:val="40"/>
          <w:lang w:val="es-ES_tradnl"/>
        </w:rPr>
      </w:pPr>
      <w:r w:rsidRPr="00A52065">
        <w:rPr>
          <w:color w:val="auto"/>
          <w:sz w:val="40"/>
          <w:szCs w:val="40"/>
          <w:lang w:val="es-ES_tradnl"/>
        </w:rPr>
        <w:t>Proveedor de estudios técnicos para el diálogo y gestión de contrapartes- Nicaragua y Centroamérica</w:t>
      </w:r>
    </w:p>
    <w:p w:rsidR="00AD1509" w:rsidRPr="00A52065" w:rsidRDefault="00AD1509" w:rsidP="005E7A64">
      <w:pPr>
        <w:jc w:val="center"/>
        <w:rPr>
          <w:rFonts w:ascii="Arial" w:eastAsia="Times New Roman" w:hAnsi="Arial" w:cs="Arial"/>
          <w:sz w:val="22"/>
          <w:szCs w:val="22"/>
          <w:lang w:val="es-ES_tradnl"/>
        </w:rPr>
      </w:pPr>
    </w:p>
    <w:p w:rsidR="00AD1509" w:rsidRPr="00A52065" w:rsidRDefault="00AD1509" w:rsidP="005E7A64">
      <w:pPr>
        <w:jc w:val="center"/>
        <w:rPr>
          <w:rFonts w:ascii="Arial" w:eastAsia="Times New Roman" w:hAnsi="Arial" w:cs="Arial"/>
          <w:sz w:val="22"/>
          <w:szCs w:val="22"/>
          <w:lang w:val="es-ES_tradnl"/>
        </w:rPr>
      </w:pPr>
    </w:p>
    <w:p w:rsidR="00C67FDD" w:rsidRPr="00A52065" w:rsidRDefault="00F11065" w:rsidP="005E7A64">
      <w:pPr>
        <w:jc w:val="center"/>
        <w:rPr>
          <w:rFonts w:ascii="Arial" w:eastAsia="Times New Roman" w:hAnsi="Arial" w:cs="Arial"/>
          <w:b/>
          <w:lang w:val="es-ES_tradnl"/>
        </w:rPr>
      </w:pPr>
      <w:r w:rsidRPr="00A52065">
        <w:rPr>
          <w:rFonts w:ascii="Arial" w:eastAsia="Times New Roman" w:hAnsi="Arial" w:cs="Arial"/>
          <w:b/>
          <w:lang w:val="es-ES_tradnl"/>
        </w:rPr>
        <w:t>Términos de referencia</w:t>
      </w:r>
    </w:p>
    <w:p w:rsidR="00C67FDD" w:rsidRPr="00A52065" w:rsidRDefault="00C67FDD" w:rsidP="005E7A64">
      <w:pPr>
        <w:jc w:val="both"/>
        <w:rPr>
          <w:rFonts w:ascii="Arial" w:hAnsi="Arial" w:cs="Arial"/>
          <w:b/>
          <w:sz w:val="22"/>
          <w:szCs w:val="22"/>
          <w:lang w:val="es-ES_tradnl"/>
        </w:rPr>
      </w:pPr>
    </w:p>
    <w:p w:rsidR="00A804C9" w:rsidRPr="00A52065" w:rsidRDefault="00A804C9" w:rsidP="005E7A64">
      <w:pPr>
        <w:jc w:val="both"/>
        <w:rPr>
          <w:rFonts w:ascii="Arial" w:hAnsi="Arial" w:cs="Arial"/>
          <w:b/>
          <w:bCs/>
          <w:caps/>
          <w:sz w:val="22"/>
          <w:szCs w:val="22"/>
          <w:lang w:val="es-ES_tradnl" w:eastAsia="es-ES"/>
        </w:rPr>
      </w:pPr>
    </w:p>
    <w:p w:rsidR="00C67FDD" w:rsidRPr="00A52065" w:rsidRDefault="00C67FDD" w:rsidP="005E7A64">
      <w:pPr>
        <w:ind w:left="360"/>
        <w:jc w:val="both"/>
        <w:rPr>
          <w:rFonts w:ascii="Arial" w:hAnsi="Arial" w:cs="Arial"/>
          <w:b/>
          <w:sz w:val="22"/>
          <w:szCs w:val="22"/>
          <w:lang w:val="es-ES_tradnl"/>
        </w:rPr>
      </w:pPr>
      <w:r w:rsidRPr="00A52065">
        <w:rPr>
          <w:rFonts w:ascii="Arial" w:hAnsi="Arial" w:cs="Arial"/>
          <w:b/>
          <w:sz w:val="22"/>
          <w:szCs w:val="22"/>
          <w:lang w:val="es-ES_tradnl"/>
        </w:rPr>
        <w:t xml:space="preserve">Antecedentes </w:t>
      </w:r>
    </w:p>
    <w:p w:rsidR="00C67FDD" w:rsidRPr="00A52065" w:rsidRDefault="00C67FDD" w:rsidP="005E7A64">
      <w:pPr>
        <w:ind w:left="360"/>
        <w:jc w:val="both"/>
        <w:rPr>
          <w:rFonts w:ascii="Arial" w:hAnsi="Arial" w:cs="Arial"/>
          <w:sz w:val="22"/>
          <w:szCs w:val="22"/>
          <w:lang w:val="es-ES_tradnl"/>
        </w:rPr>
      </w:pPr>
    </w:p>
    <w:p w:rsidR="003F654C" w:rsidRDefault="003F654C" w:rsidP="00264B78">
      <w:pPr>
        <w:spacing w:after="240"/>
        <w:ind w:left="360"/>
        <w:jc w:val="both"/>
        <w:rPr>
          <w:rFonts w:ascii="Arial" w:hAnsi="Arial" w:cs="Arial"/>
          <w:sz w:val="22"/>
          <w:szCs w:val="22"/>
          <w:lang w:val="es-ES_tradnl"/>
        </w:rPr>
      </w:pPr>
      <w:r w:rsidRPr="00A52065">
        <w:rPr>
          <w:rFonts w:ascii="Arial" w:hAnsi="Arial" w:cs="Arial"/>
          <w:b/>
          <w:sz w:val="22"/>
          <w:szCs w:val="22"/>
          <w:lang w:val="es-ES_tradnl"/>
        </w:rPr>
        <w:t>El Banco Interamericano de Desarrollo (BID)</w:t>
      </w:r>
      <w:r w:rsidRPr="00A52065">
        <w:rPr>
          <w:rFonts w:ascii="Arial" w:hAnsi="Arial" w:cs="Arial"/>
          <w:sz w:val="22"/>
          <w:szCs w:val="22"/>
          <w:lang w:val="es-ES_tradnl"/>
        </w:rPr>
        <w:t xml:space="preserve"> es la más importante fuente de financiamiento para el desarrollo regional en América Latina y el Caribe. El BID con Oficinas de País en cada uno de los 26 países prestatarios, tiene entre sus responsabilidades: (a) Desarrollar una estrecha relación de diálogo con las instituciones del sector público y privado para identificar las necesidades de desarrollo del país de acuerdo a la demanda y su contexto; (b) Desarrollar, implementar y monitorear las estrategias regionales del Banco en el país; (c) Formular y coordinar el diseño como la ejecución de proyectos; y (d) Supervisar los plazos de ejecución de los programas operacionales en el país y la región y medir el rendimiento de los sectores y los servicios de soporte.</w:t>
      </w:r>
    </w:p>
    <w:p w:rsidR="006E5F91" w:rsidRPr="006E5F91" w:rsidRDefault="006E5F91" w:rsidP="006E5F91">
      <w:pPr>
        <w:pStyle w:val="ListParagraph"/>
        <w:spacing w:before="120" w:after="120"/>
        <w:ind w:left="360"/>
        <w:jc w:val="both"/>
        <w:rPr>
          <w:rFonts w:ascii="Arial" w:hAnsi="Arial" w:cs="Arial"/>
          <w:sz w:val="22"/>
          <w:szCs w:val="22"/>
          <w:lang w:val="es-ES"/>
        </w:rPr>
      </w:pPr>
      <w:r w:rsidRPr="006E5F91">
        <w:rPr>
          <w:rFonts w:ascii="Arial" w:hAnsi="Arial" w:cs="Arial"/>
          <w:sz w:val="22"/>
          <w:szCs w:val="22"/>
          <w:lang w:val="es-ES"/>
        </w:rPr>
        <w:t>En la última década, Nicaragua ha tenido un crecimiento promedio de 4,2%, por encima del promedio de América Latina y el Caribe (ALC), que fue de 2,5%. A pesar de este buen desempeño, permanece como el tercer país más pobre de la región, lo que indica que se requiere un mayor crecimiento para cerrar las brechas que lo separan del resto de ALC. El crecimiento reciente ha sido resultado de la acumulación de factores, trabajo y capital, impulsado por la transición demográfica que está viviendo el país</w:t>
      </w:r>
      <w:r w:rsidRPr="006E5F91">
        <w:rPr>
          <w:rStyle w:val="FootnoteReference"/>
          <w:rFonts w:ascii="Arial" w:hAnsi="Arial" w:cs="Arial"/>
          <w:sz w:val="22"/>
          <w:szCs w:val="22"/>
          <w:lang w:val="es-ES"/>
        </w:rPr>
        <w:footnoteReference w:id="1"/>
      </w:r>
      <w:r w:rsidRPr="006E5F91">
        <w:rPr>
          <w:rFonts w:ascii="Arial" w:hAnsi="Arial" w:cs="Arial"/>
          <w:sz w:val="22"/>
          <w:szCs w:val="22"/>
          <w:lang w:val="es-ES"/>
        </w:rPr>
        <w:t xml:space="preserve"> y el incremento en la atracción de Inversión Extranjera Directa (IED)</w:t>
      </w:r>
      <w:r w:rsidRPr="006E5F91">
        <w:rPr>
          <w:rStyle w:val="FootnoteReference"/>
          <w:rFonts w:ascii="Arial" w:hAnsi="Arial" w:cs="Arial"/>
          <w:sz w:val="22"/>
          <w:szCs w:val="22"/>
          <w:lang w:val="es-ES"/>
        </w:rPr>
        <w:footnoteReference w:id="2"/>
      </w:r>
      <w:r w:rsidRPr="006E5F91">
        <w:rPr>
          <w:rFonts w:ascii="Arial" w:hAnsi="Arial" w:cs="Arial"/>
          <w:sz w:val="22"/>
          <w:szCs w:val="22"/>
          <w:lang w:val="es-ES"/>
        </w:rPr>
        <w:t>. Sin embargo, la productividad ha contribuido limitadamente al crecimiento</w:t>
      </w:r>
      <w:r w:rsidRPr="006E5F91">
        <w:rPr>
          <w:rStyle w:val="FootnoteReference"/>
          <w:rFonts w:ascii="Arial" w:hAnsi="Arial" w:cs="Arial"/>
          <w:sz w:val="22"/>
          <w:szCs w:val="22"/>
          <w:lang w:val="es-ES"/>
        </w:rPr>
        <w:footnoteReference w:id="3"/>
      </w:r>
      <w:r w:rsidRPr="006E5F91">
        <w:rPr>
          <w:rFonts w:ascii="Arial" w:hAnsi="Arial" w:cs="Arial"/>
          <w:sz w:val="22"/>
          <w:szCs w:val="22"/>
          <w:lang w:val="es-ES"/>
        </w:rPr>
        <w:t>, reflejando desafíos en la dimensión social, productiva e institucional del país, los cuales se traducen, a su vez, en una menor competitividad</w:t>
      </w:r>
      <w:r w:rsidRPr="006E5F91">
        <w:rPr>
          <w:rStyle w:val="FootnoteReference"/>
          <w:rFonts w:ascii="Arial" w:hAnsi="Arial" w:cs="Arial"/>
          <w:sz w:val="22"/>
          <w:szCs w:val="22"/>
          <w:lang w:val="es-ES"/>
        </w:rPr>
        <w:footnoteReference w:id="4"/>
      </w:r>
      <w:r w:rsidRPr="006E5F91">
        <w:rPr>
          <w:rFonts w:ascii="Arial" w:hAnsi="Arial" w:cs="Arial"/>
          <w:sz w:val="22"/>
          <w:szCs w:val="22"/>
          <w:lang w:val="es-ES"/>
        </w:rPr>
        <w:t xml:space="preserve">. </w:t>
      </w:r>
    </w:p>
    <w:p w:rsidR="006E5F91" w:rsidRPr="006E5F91" w:rsidRDefault="006E5F91" w:rsidP="006E5F91">
      <w:pPr>
        <w:pStyle w:val="ListParagraph"/>
        <w:spacing w:before="120" w:after="120"/>
        <w:ind w:left="360"/>
        <w:jc w:val="both"/>
        <w:rPr>
          <w:rFonts w:ascii="Arial" w:hAnsi="Arial" w:cs="Arial"/>
          <w:sz w:val="22"/>
          <w:szCs w:val="22"/>
          <w:lang w:val="es-ES"/>
        </w:rPr>
      </w:pPr>
    </w:p>
    <w:p w:rsidR="006E5F91" w:rsidRPr="006E5F91" w:rsidRDefault="006E5F91" w:rsidP="006E5F91">
      <w:pPr>
        <w:pStyle w:val="ListParagraph"/>
        <w:spacing w:before="120" w:after="120"/>
        <w:ind w:left="360"/>
        <w:jc w:val="both"/>
        <w:rPr>
          <w:rFonts w:ascii="Arial" w:hAnsi="Arial" w:cs="Arial"/>
          <w:sz w:val="22"/>
          <w:szCs w:val="22"/>
          <w:lang w:val="es-ES"/>
        </w:rPr>
      </w:pPr>
      <w:r w:rsidRPr="006E5F91">
        <w:rPr>
          <w:rFonts w:ascii="Arial" w:hAnsi="Arial" w:cs="Arial"/>
          <w:sz w:val="22"/>
          <w:szCs w:val="22"/>
          <w:lang w:val="es-ES"/>
        </w:rPr>
        <w:t>Según el Índice de Competitividad Global (ICG) 2017 - 2018, el país se ubica en el puesto 93 entre 137 países, superando la posición de El Salvador y Honduras entre los países centroamericanos</w:t>
      </w:r>
      <w:r w:rsidRPr="006E5F91">
        <w:rPr>
          <w:rStyle w:val="FootnoteReference"/>
          <w:rFonts w:ascii="Arial" w:hAnsi="Arial" w:cs="Arial"/>
          <w:sz w:val="22"/>
          <w:szCs w:val="22"/>
          <w:lang w:val="es-ES"/>
        </w:rPr>
        <w:footnoteReference w:id="5"/>
      </w:r>
      <w:r w:rsidRPr="006E5F91">
        <w:rPr>
          <w:rFonts w:ascii="Arial" w:hAnsi="Arial" w:cs="Arial"/>
          <w:sz w:val="22"/>
          <w:szCs w:val="22"/>
          <w:lang w:val="es-ES"/>
        </w:rPr>
        <w:t>. Entre los pilares con los mayores rezagos son aquellos relacionados a la infraestructura y logística, innovación, y el capital humano, en particular educación</w:t>
      </w:r>
      <w:r w:rsidRPr="006E5F91">
        <w:rPr>
          <w:rStyle w:val="FootnoteReference"/>
          <w:rFonts w:ascii="Arial" w:hAnsi="Arial" w:cs="Arial"/>
          <w:sz w:val="22"/>
          <w:szCs w:val="22"/>
          <w:lang w:val="es-ES"/>
        </w:rPr>
        <w:footnoteReference w:id="6"/>
      </w:r>
      <w:r w:rsidRPr="006E5F91">
        <w:rPr>
          <w:rFonts w:ascii="Arial" w:hAnsi="Arial" w:cs="Arial"/>
          <w:sz w:val="22"/>
          <w:szCs w:val="22"/>
          <w:lang w:val="es-ES"/>
        </w:rPr>
        <w:t>. Por otra parte, el índice de Doing Business del Banco Mundial coloca a Nicaragua en la posición más baja entre los países de Centroamérica, ocupando el lugar 127 entre 190 países. Este Índice destaca retos en el clima de negocios, particularmente relacionados al manejo de permisos de construcción, el registro de propiedades y la protección a inversionistas minoritarios.</w:t>
      </w:r>
    </w:p>
    <w:p w:rsidR="006E5F91" w:rsidRPr="006E5F91" w:rsidRDefault="006E5F91" w:rsidP="006E5F91">
      <w:pPr>
        <w:pStyle w:val="ListParagraph"/>
        <w:rPr>
          <w:rFonts w:ascii="Arial" w:hAnsi="Arial" w:cs="Arial"/>
          <w:sz w:val="22"/>
          <w:szCs w:val="22"/>
          <w:lang w:val="es-ES"/>
        </w:rPr>
      </w:pPr>
    </w:p>
    <w:p w:rsidR="006E5F91" w:rsidRPr="006E5F91" w:rsidRDefault="006E5F91" w:rsidP="006E5F91">
      <w:pPr>
        <w:pStyle w:val="ListParagraph"/>
        <w:spacing w:before="120" w:after="120"/>
        <w:ind w:left="360"/>
        <w:jc w:val="both"/>
        <w:rPr>
          <w:rFonts w:ascii="Arial" w:hAnsi="Arial" w:cs="Arial"/>
          <w:sz w:val="22"/>
          <w:szCs w:val="22"/>
          <w:lang w:val="es-ES"/>
        </w:rPr>
      </w:pPr>
      <w:r w:rsidRPr="006E5F91">
        <w:rPr>
          <w:rFonts w:ascii="Arial" w:hAnsi="Arial" w:cs="Arial"/>
          <w:sz w:val="22"/>
          <w:szCs w:val="22"/>
          <w:lang w:val="es-ES"/>
        </w:rPr>
        <w:t>La infraestructura multimodal, clave para el desempeño logístico del país presenta atrasos. En materia de infraestructura vial, el país tiene una densidad vial de 184,2 km/1.00 km</w:t>
      </w:r>
      <w:r w:rsidRPr="006E5F91">
        <w:rPr>
          <w:rFonts w:ascii="Arial" w:hAnsi="Arial" w:cs="Arial"/>
          <w:sz w:val="22"/>
          <w:szCs w:val="22"/>
          <w:vertAlign w:val="superscript"/>
          <w:lang w:val="es-ES"/>
        </w:rPr>
        <w:t>2</w:t>
      </w:r>
      <w:r w:rsidRPr="006E5F91">
        <w:rPr>
          <w:rFonts w:ascii="Arial" w:hAnsi="Arial" w:cs="Arial"/>
          <w:sz w:val="22"/>
          <w:szCs w:val="22"/>
          <w:lang w:val="es-ES"/>
        </w:rPr>
        <w:t>, mientras que el promedio en Centroamérica es 397,6 km/1.00 km</w:t>
      </w:r>
      <w:r w:rsidRPr="006E5F91">
        <w:rPr>
          <w:rFonts w:ascii="Arial" w:hAnsi="Arial" w:cs="Arial"/>
          <w:sz w:val="22"/>
          <w:szCs w:val="22"/>
          <w:vertAlign w:val="superscript"/>
          <w:lang w:val="es-ES"/>
        </w:rPr>
        <w:t>2</w:t>
      </w:r>
      <w:r w:rsidRPr="006E5F91">
        <w:rPr>
          <w:rFonts w:ascii="Arial" w:hAnsi="Arial" w:cs="Arial"/>
          <w:sz w:val="22"/>
          <w:szCs w:val="22"/>
          <w:lang w:val="es-ES"/>
        </w:rPr>
        <w:t xml:space="preserve">. Esto se debe a que la Costa Caribe, que </w:t>
      </w:r>
      <w:r w:rsidRPr="006E5F91">
        <w:rPr>
          <w:rFonts w:ascii="Arial" w:hAnsi="Arial" w:cs="Arial"/>
          <w:sz w:val="22"/>
          <w:szCs w:val="22"/>
          <w:lang w:val="es-ES"/>
        </w:rPr>
        <w:lastRenderedPageBreak/>
        <w:t>representa más de la mitad de la superficie del país, apenas tiene un 7,9% de sus caminos pavimentados. Esto se explica por los bajos niveles de inversión</w:t>
      </w:r>
      <w:r w:rsidRPr="006E5F91">
        <w:rPr>
          <w:rStyle w:val="FootnoteReference"/>
          <w:rFonts w:ascii="Arial" w:hAnsi="Arial" w:cs="Arial"/>
          <w:sz w:val="22"/>
          <w:szCs w:val="22"/>
          <w:lang w:val="es-ES"/>
        </w:rPr>
        <w:footnoteReference w:id="7"/>
      </w:r>
      <w:r w:rsidRPr="006E5F91">
        <w:rPr>
          <w:rFonts w:ascii="Arial" w:hAnsi="Arial" w:cs="Arial"/>
          <w:sz w:val="22"/>
          <w:szCs w:val="22"/>
          <w:lang w:val="es-ES"/>
        </w:rPr>
        <w:t>, a su vez restringidos por las necesidades de financiamiento del mantenimiento de la infraestructura existente. Por otra parte, Nicaragua carece de infraestructura portuaria en el Caribe, mientras que la existente en el pacífico es inadecuada, y tiene una limitada capacidad para el manejo de mercancías</w:t>
      </w:r>
      <w:r w:rsidRPr="006E5F91">
        <w:rPr>
          <w:rStyle w:val="FootnoteReference"/>
          <w:rFonts w:ascii="Arial" w:hAnsi="Arial" w:cs="Arial"/>
          <w:sz w:val="22"/>
          <w:szCs w:val="22"/>
          <w:lang w:val="es-ES"/>
        </w:rPr>
        <w:footnoteReference w:id="8"/>
      </w:r>
      <w:r w:rsidRPr="006E5F91">
        <w:rPr>
          <w:rFonts w:ascii="Arial" w:hAnsi="Arial" w:cs="Arial"/>
          <w:sz w:val="22"/>
          <w:szCs w:val="22"/>
          <w:lang w:val="es-ES"/>
        </w:rPr>
        <w:t>. La región Caribe cuenta únicamente con los puertos de El Rama, Bluefields/El Bluff, Bilwi y Corn Island, todos de bajo calado, no aptos para el manejo de cargas de exportación, lo que obliga a los exportadores a utilizar los puertos de Honduras o Costa Rica, elevando los costos y tiempos de exportación.</w:t>
      </w:r>
    </w:p>
    <w:p w:rsidR="006E5F91" w:rsidRPr="006E5F91" w:rsidRDefault="006E5F91" w:rsidP="006E5F91">
      <w:pPr>
        <w:pStyle w:val="ListParagraph"/>
        <w:rPr>
          <w:rFonts w:ascii="Arial" w:hAnsi="Arial" w:cs="Arial"/>
          <w:sz w:val="22"/>
          <w:szCs w:val="22"/>
          <w:lang w:val="es-ES"/>
        </w:rPr>
      </w:pPr>
    </w:p>
    <w:p w:rsidR="006E5F91" w:rsidRPr="006E5F91" w:rsidRDefault="006E5F91" w:rsidP="006E5F91">
      <w:pPr>
        <w:pStyle w:val="ListParagraph"/>
        <w:spacing w:before="120" w:after="120"/>
        <w:ind w:left="317"/>
        <w:jc w:val="both"/>
        <w:rPr>
          <w:rFonts w:ascii="Arial" w:hAnsi="Arial" w:cs="Arial"/>
          <w:sz w:val="22"/>
          <w:szCs w:val="22"/>
          <w:lang w:val="es-ES"/>
        </w:rPr>
      </w:pPr>
      <w:r w:rsidRPr="006E5F91">
        <w:rPr>
          <w:rFonts w:ascii="Arial" w:hAnsi="Arial" w:cs="Arial"/>
          <w:sz w:val="22"/>
          <w:szCs w:val="22"/>
          <w:lang w:val="es-ES"/>
        </w:rPr>
        <w:t>La baja inversión en innovación se refleja en la baja productividad, en particular en el sector agropecuario. En Nicaragua, la inversión en innovación asciende apenas a 0,05% del PIB, por debajo del promedio de América Latina (0,68%) y de los países de la OCDE (2,28%)</w:t>
      </w:r>
      <w:r w:rsidRPr="006E5F91">
        <w:rPr>
          <w:rFonts w:ascii="Arial" w:hAnsi="Arial" w:cs="Arial"/>
          <w:sz w:val="22"/>
          <w:szCs w:val="22"/>
          <w:vertAlign w:val="superscript"/>
        </w:rPr>
        <w:footnoteReference w:id="9"/>
      </w:r>
      <w:r w:rsidRPr="006E5F91">
        <w:rPr>
          <w:rFonts w:ascii="Arial" w:hAnsi="Arial" w:cs="Arial"/>
          <w:sz w:val="22"/>
          <w:szCs w:val="22"/>
          <w:lang w:val="es-ES"/>
        </w:rPr>
        <w:t>. La investigación y desarrollo (I&amp;D) en el sector agropecuario sufre importantes rezagos, repercutiendo en la productividad. Solamente el 14,8% de las unidades de producción son de gran escala, mientras el resto son de pequeña escala con baja productividad. El rendimiento de varios cultivos está por debajo el promedio de Centroamérica.</w:t>
      </w:r>
    </w:p>
    <w:p w:rsidR="006E5F91" w:rsidRPr="006E5F91" w:rsidRDefault="006E5F91" w:rsidP="006E5F91">
      <w:pPr>
        <w:pStyle w:val="ListParagraph"/>
        <w:rPr>
          <w:rFonts w:ascii="Arial" w:hAnsi="Arial" w:cs="Arial"/>
          <w:sz w:val="22"/>
          <w:szCs w:val="22"/>
          <w:lang w:val="es-ES"/>
        </w:rPr>
      </w:pPr>
    </w:p>
    <w:p w:rsidR="006E5F91" w:rsidRDefault="006E5F91" w:rsidP="006E5F91">
      <w:pPr>
        <w:pStyle w:val="ListParagraph"/>
        <w:spacing w:before="120" w:after="120"/>
        <w:ind w:left="360"/>
        <w:jc w:val="both"/>
        <w:rPr>
          <w:rFonts w:ascii="Arial" w:hAnsi="Arial" w:cs="Arial"/>
          <w:sz w:val="22"/>
          <w:szCs w:val="22"/>
          <w:lang w:val="es-ES"/>
        </w:rPr>
      </w:pPr>
      <w:r w:rsidRPr="006E5F91">
        <w:rPr>
          <w:rFonts w:ascii="Arial" w:hAnsi="Arial" w:cs="Arial"/>
          <w:sz w:val="22"/>
          <w:szCs w:val="22"/>
          <w:lang w:val="es-ES"/>
        </w:rPr>
        <w:t>El capital humano también enfrenta desafíos en materia de salud, educación y acceso a servicios básicos.  A pesar de que se han registrado importantes avances en salud, aún existen disparidades importantes a nivel de territorial. Mientras la tasa de mortalidad materna a nivel nacional en 2015 fue de 37,9 mujeres por 100.000 nacidos vivos, en la Costa Caribe este índice alcanza 160,8. Por otra parte, tanto la cobertura como la calidad de la educación exhiben retos. La tasa bruta de matrícula en el segundo ciclo de secundaria es 55%, 20 puntos por debajo de la región y en términos de calidad, el país registró uno de los peores rendimientos en las pruebas TERCE</w:t>
      </w:r>
      <w:r w:rsidRPr="006E5F91">
        <w:rPr>
          <w:rStyle w:val="FootnoteReference"/>
          <w:rFonts w:ascii="Arial" w:hAnsi="Arial" w:cs="Arial"/>
          <w:sz w:val="22"/>
          <w:szCs w:val="22"/>
          <w:lang w:val="es-ES"/>
        </w:rPr>
        <w:footnoteReference w:id="10"/>
      </w:r>
      <w:r w:rsidRPr="006E5F91">
        <w:rPr>
          <w:rFonts w:ascii="Arial" w:hAnsi="Arial" w:cs="Arial"/>
          <w:sz w:val="22"/>
          <w:szCs w:val="22"/>
          <w:lang w:val="es-ES"/>
        </w:rPr>
        <w:t xml:space="preserve"> en la región.  También existen rezagos territoriales en cuanto al acceso a servicios básicos. En 2012, el porcentaje de viviendas con agua potable a nivel nacional fue de 66%, con una cobertura del 91% en el área urbana mientras que sólo el 30% en el área rural. Adicionalmente, a pesar de la cobertura existe un problema de continuidad y calidad del servicio, por ejemplo, en Managua el 37% de los usuarios recibe agua menos de seis horas por día.</w:t>
      </w:r>
    </w:p>
    <w:p w:rsidR="006E5F91" w:rsidRDefault="006E5F91" w:rsidP="006E5F91">
      <w:pPr>
        <w:pStyle w:val="ListParagraph"/>
        <w:spacing w:before="120" w:after="120"/>
        <w:ind w:left="360"/>
        <w:jc w:val="both"/>
        <w:rPr>
          <w:rFonts w:ascii="Arial" w:hAnsi="Arial" w:cs="Arial"/>
          <w:sz w:val="22"/>
          <w:szCs w:val="22"/>
          <w:lang w:val="es-ES"/>
        </w:rPr>
      </w:pPr>
    </w:p>
    <w:p w:rsidR="006E5F91" w:rsidRPr="006E5F91" w:rsidRDefault="006E5F91" w:rsidP="006E5F91">
      <w:pPr>
        <w:pStyle w:val="ListParagraph"/>
        <w:spacing w:before="120" w:after="120"/>
        <w:ind w:left="360"/>
        <w:jc w:val="both"/>
        <w:rPr>
          <w:rFonts w:ascii="Arial" w:hAnsi="Arial" w:cs="Arial"/>
          <w:sz w:val="22"/>
          <w:lang w:val="es-ES_tradnl"/>
        </w:rPr>
      </w:pPr>
      <w:r w:rsidRPr="006E5F91">
        <w:rPr>
          <w:rFonts w:ascii="Arial" w:hAnsi="Arial" w:cs="Arial"/>
          <w:sz w:val="22"/>
          <w:lang w:val="es-ES_tradnl"/>
        </w:rPr>
        <w:t>Adicional a las áreas anteriores, que son transversales para la competitividad de todos los sectores económicos, existen retos de sectores específicos, como ejemplo en el sector agropecuario y el turismo, sectores con gran incidencia social. El sector agropecuario exhibe brechas de productividad derivadas de la baja absorción tecnológica y altas pérdidas de producción. El sector ha representado cerca del 18% del PIB y 70% de los ingresos por exportaciones y ha provisto entre el 80 y el 90% de los alimentos básicos consumidos en el país en los últimos años. Ocupa más del 30% de la fuerza laboral, es la principal fuente de ingresos para 80% de la población rural, y es clave para la reducción de la pobreza.  Por otra parte, el sector turismo ha tenido un crecimiento importante en los últimos años, pero sufre de importantes limitaciones. Existe un débil desarrollo y poca diferenciación de su oferta turística, en particular la insuficiente puesta en valor de su capital natural y cultural.</w:t>
      </w:r>
    </w:p>
    <w:p w:rsidR="006E5F91" w:rsidRPr="006E5F91" w:rsidRDefault="006E5F91" w:rsidP="006E5F91">
      <w:pPr>
        <w:pStyle w:val="ListParagraph"/>
        <w:rPr>
          <w:rFonts w:ascii="Arial" w:hAnsi="Arial" w:cs="Arial"/>
          <w:sz w:val="22"/>
          <w:szCs w:val="22"/>
          <w:lang w:val="es-ES"/>
        </w:rPr>
      </w:pPr>
    </w:p>
    <w:p w:rsidR="006E5F91" w:rsidRPr="006E5F91" w:rsidRDefault="006E5F91" w:rsidP="006E5F91">
      <w:pPr>
        <w:ind w:left="360"/>
        <w:jc w:val="both"/>
        <w:rPr>
          <w:rFonts w:ascii="Arial" w:hAnsi="Arial" w:cs="Arial"/>
          <w:sz w:val="22"/>
          <w:szCs w:val="22"/>
          <w:lang w:val="es-ES_tradnl"/>
        </w:rPr>
      </w:pPr>
      <w:r w:rsidRPr="006E5F91">
        <w:rPr>
          <w:rFonts w:ascii="Arial" w:hAnsi="Arial" w:cs="Arial"/>
          <w:sz w:val="22"/>
          <w:szCs w:val="22"/>
          <w:lang w:val="es-ES"/>
        </w:rPr>
        <w:t xml:space="preserve">Un mayor conocimiento sobre las causas y determinantes de estos factores que inciden en la competitividad y por ende en la productividad, es de vital importancia para guiar las acciones del sector público y privado, particularmente en un país con carencia de datos e investigaciones. </w:t>
      </w:r>
      <w:r w:rsidRPr="006E5F91">
        <w:rPr>
          <w:rFonts w:ascii="Arial" w:hAnsi="Arial" w:cs="Arial"/>
          <w:sz w:val="22"/>
          <w:szCs w:val="22"/>
          <w:lang w:val="es-ES_tradnl"/>
        </w:rPr>
        <w:t>En la gestión con nuestros clientes surgen necesidades de profundización y prospección para</w:t>
      </w:r>
      <w:r w:rsidRPr="006E5F91">
        <w:rPr>
          <w:rFonts w:ascii="Arial" w:hAnsi="Arial" w:cs="Arial"/>
          <w:sz w:val="22"/>
          <w:szCs w:val="22"/>
          <w:lang w:val="es-GT"/>
        </w:rPr>
        <w:t xml:space="preserve"> promover inteligencia de información a diferentes niveles como el económico, social, productivo, social que </w:t>
      </w:r>
      <w:r w:rsidRPr="006E5F91">
        <w:rPr>
          <w:rFonts w:ascii="Arial" w:hAnsi="Arial" w:cs="Arial"/>
          <w:sz w:val="22"/>
          <w:szCs w:val="22"/>
          <w:lang w:val="es-GT"/>
        </w:rPr>
        <w:lastRenderedPageBreak/>
        <w:t xml:space="preserve">pueden generar </w:t>
      </w:r>
      <w:r w:rsidRPr="006E5F91">
        <w:rPr>
          <w:rFonts w:ascii="Arial" w:hAnsi="Arial" w:cs="Arial"/>
          <w:sz w:val="22"/>
          <w:szCs w:val="22"/>
          <w:lang w:val="es-ES_tradnl"/>
        </w:rPr>
        <w:t xml:space="preserve">áreas de intervención para el diálogo. </w:t>
      </w:r>
      <w:r w:rsidRPr="006E5F91">
        <w:rPr>
          <w:rFonts w:ascii="Arial" w:hAnsi="Arial" w:cs="Arial"/>
          <w:sz w:val="22"/>
          <w:szCs w:val="22"/>
          <w:lang w:val="es-ES"/>
        </w:rPr>
        <w:t>Por tanto, se requiere contar con diversos productos de conocimiento que ayuden al Banco a profundizar su entendimiento sobre los mayores retos de desarrollo y a formular recomendaciones viables desde el punto de vista técnico, operativo y financiero, que contribuyan al cierre de dichos retos.</w:t>
      </w:r>
    </w:p>
    <w:p w:rsidR="002A5285" w:rsidRPr="00A52065" w:rsidRDefault="002A5285" w:rsidP="005E7A64">
      <w:pPr>
        <w:ind w:left="360"/>
        <w:jc w:val="both"/>
        <w:rPr>
          <w:rFonts w:ascii="Arial" w:hAnsi="Arial" w:cs="Arial"/>
          <w:sz w:val="22"/>
          <w:szCs w:val="22"/>
          <w:lang w:val="es-ES_tradnl"/>
        </w:rPr>
      </w:pPr>
    </w:p>
    <w:p w:rsidR="00924850" w:rsidRPr="00A52065" w:rsidRDefault="00924850" w:rsidP="005E7A64">
      <w:pPr>
        <w:ind w:left="360"/>
        <w:jc w:val="both"/>
        <w:rPr>
          <w:rFonts w:ascii="Arial" w:hAnsi="Arial" w:cs="Arial"/>
          <w:sz w:val="22"/>
          <w:szCs w:val="22"/>
          <w:lang w:val="es-ES_tradnl"/>
        </w:rPr>
      </w:pPr>
    </w:p>
    <w:p w:rsidR="00924850" w:rsidRPr="00A52065" w:rsidRDefault="00924850" w:rsidP="005E7A64">
      <w:pPr>
        <w:ind w:left="360"/>
        <w:jc w:val="both"/>
        <w:rPr>
          <w:rFonts w:ascii="Arial" w:hAnsi="Arial" w:cs="Arial"/>
          <w:sz w:val="22"/>
          <w:szCs w:val="22"/>
          <w:lang w:val="es-ES_tradnl"/>
        </w:rPr>
      </w:pPr>
      <w:r w:rsidRPr="00A52065">
        <w:rPr>
          <w:rFonts w:ascii="Arial" w:hAnsi="Arial" w:cs="Arial"/>
          <w:b/>
          <w:sz w:val="22"/>
          <w:szCs w:val="22"/>
          <w:lang w:val="es-ES_tradnl"/>
        </w:rPr>
        <w:t>Objetivo de la Consultoría</w:t>
      </w:r>
      <w:r w:rsidRPr="00A52065">
        <w:rPr>
          <w:rFonts w:ascii="Arial" w:hAnsi="Arial" w:cs="Arial"/>
          <w:sz w:val="22"/>
          <w:szCs w:val="22"/>
          <w:lang w:val="es-ES_tradnl"/>
        </w:rPr>
        <w:t xml:space="preserve">.  </w:t>
      </w:r>
    </w:p>
    <w:p w:rsidR="00924850" w:rsidRPr="00A52065" w:rsidRDefault="00924850" w:rsidP="005E7A64">
      <w:pPr>
        <w:jc w:val="both"/>
        <w:rPr>
          <w:rFonts w:ascii="Arial" w:hAnsi="Arial" w:cs="Arial"/>
          <w:sz w:val="22"/>
          <w:szCs w:val="22"/>
          <w:lang w:val="es-ES_tradnl"/>
        </w:rPr>
      </w:pPr>
    </w:p>
    <w:p w:rsidR="00264B78" w:rsidRPr="00A52065" w:rsidRDefault="006E5F91" w:rsidP="005E7A64">
      <w:pPr>
        <w:ind w:left="360"/>
        <w:jc w:val="both"/>
        <w:rPr>
          <w:rFonts w:ascii="Arial" w:eastAsia="Times New Roman" w:hAnsi="Arial" w:cs="Arial"/>
          <w:sz w:val="22"/>
          <w:szCs w:val="22"/>
          <w:lang w:val="es-ES"/>
        </w:rPr>
      </w:pPr>
      <w:r w:rsidRPr="006E5F91">
        <w:rPr>
          <w:rFonts w:ascii="Arial" w:eastAsia="Times New Roman" w:hAnsi="Arial" w:cs="Arial"/>
          <w:sz w:val="22"/>
          <w:szCs w:val="22"/>
          <w:lang w:val="es-ES"/>
        </w:rPr>
        <w:t>Elaborar productos de conocimiento, en distintas áreas sectoriales, que sirvan de insumos técnicos para la toma de decisiones en sectores clave para la promoción de la competitividad del país</w:t>
      </w:r>
      <w:r>
        <w:rPr>
          <w:rFonts w:ascii="Arial" w:eastAsia="Times New Roman" w:hAnsi="Arial" w:cs="Arial"/>
          <w:sz w:val="22"/>
          <w:szCs w:val="22"/>
          <w:lang w:val="es-ES"/>
        </w:rPr>
        <w:t xml:space="preserve">, como </w:t>
      </w:r>
      <w:r w:rsidRPr="00A52065">
        <w:rPr>
          <w:rFonts w:ascii="Arial" w:hAnsi="Arial" w:cs="Arial"/>
          <w:sz w:val="22"/>
          <w:szCs w:val="22"/>
          <w:lang w:val="es-ES_tradnl"/>
        </w:rPr>
        <w:t>S</w:t>
      </w:r>
      <w:r w:rsidRPr="00A52065">
        <w:rPr>
          <w:rFonts w:ascii="Arial" w:hAnsi="Arial" w:cs="Arial"/>
          <w:sz w:val="22"/>
          <w:szCs w:val="22"/>
          <w:lang w:val="es-ES"/>
        </w:rPr>
        <w:t>alud, Comercio, Competitividad, Turismo, Agricultura, Manejo de Recursos Naturales</w:t>
      </w:r>
      <w:r>
        <w:rPr>
          <w:rFonts w:ascii="Arial" w:hAnsi="Arial" w:cs="Arial"/>
          <w:sz w:val="22"/>
          <w:szCs w:val="22"/>
          <w:lang w:val="es-ES"/>
        </w:rPr>
        <w:t xml:space="preserve"> y</w:t>
      </w:r>
      <w:r w:rsidRPr="00A52065">
        <w:rPr>
          <w:rFonts w:ascii="Arial" w:hAnsi="Arial" w:cs="Arial"/>
          <w:sz w:val="22"/>
          <w:szCs w:val="22"/>
          <w:lang w:val="es-ES"/>
        </w:rPr>
        <w:t xml:space="preserve"> Agua, Finanzas</w:t>
      </w:r>
      <w:r w:rsidRPr="006E5F91">
        <w:rPr>
          <w:rFonts w:ascii="Arial" w:eastAsia="Times New Roman" w:hAnsi="Arial" w:cs="Arial"/>
          <w:sz w:val="22"/>
          <w:szCs w:val="22"/>
          <w:lang w:val="es-ES"/>
        </w:rPr>
        <w:t>.</w:t>
      </w:r>
    </w:p>
    <w:p w:rsidR="00264B78" w:rsidRPr="00A52065" w:rsidRDefault="00264B78" w:rsidP="005E7A64">
      <w:pPr>
        <w:ind w:left="360"/>
        <w:jc w:val="both"/>
        <w:rPr>
          <w:rFonts w:ascii="Arial" w:eastAsia="Times New Roman" w:hAnsi="Arial" w:cs="Arial"/>
          <w:sz w:val="22"/>
          <w:szCs w:val="22"/>
          <w:lang w:val="es-ES"/>
        </w:rPr>
      </w:pPr>
    </w:p>
    <w:p w:rsidR="00264B78" w:rsidRPr="00A52065" w:rsidRDefault="00264B78" w:rsidP="005E7A64">
      <w:pPr>
        <w:ind w:left="360"/>
        <w:jc w:val="both"/>
        <w:rPr>
          <w:rFonts w:ascii="Arial" w:hAnsi="Arial" w:cs="Arial"/>
          <w:b/>
          <w:sz w:val="22"/>
          <w:szCs w:val="22"/>
          <w:lang w:val="es-ES_tradnl"/>
        </w:rPr>
      </w:pPr>
      <w:r w:rsidRPr="00A52065">
        <w:rPr>
          <w:rFonts w:ascii="Arial" w:hAnsi="Arial" w:cs="Arial"/>
          <w:b/>
          <w:sz w:val="22"/>
          <w:szCs w:val="22"/>
          <w:lang w:val="es-ES_tradnl"/>
        </w:rPr>
        <w:t>Actividades principales.</w:t>
      </w:r>
    </w:p>
    <w:p w:rsidR="00264B78" w:rsidRPr="00A52065" w:rsidRDefault="00264B78" w:rsidP="005E7A64">
      <w:pPr>
        <w:ind w:left="360"/>
        <w:jc w:val="both"/>
        <w:rPr>
          <w:rFonts w:ascii="Arial" w:hAnsi="Arial" w:cs="Arial"/>
          <w:b/>
          <w:sz w:val="22"/>
          <w:szCs w:val="22"/>
          <w:lang w:val="es-ES_tradnl"/>
        </w:rPr>
      </w:pPr>
    </w:p>
    <w:p w:rsidR="009C759C" w:rsidRPr="00A52065" w:rsidRDefault="00924850" w:rsidP="005E7A64">
      <w:pPr>
        <w:ind w:left="360"/>
        <w:jc w:val="both"/>
        <w:rPr>
          <w:rFonts w:ascii="Arial" w:hAnsi="Arial" w:cs="Arial"/>
          <w:sz w:val="22"/>
          <w:szCs w:val="22"/>
          <w:lang w:val="es-ES_tradnl"/>
        </w:rPr>
      </w:pPr>
      <w:r w:rsidRPr="00A52065">
        <w:rPr>
          <w:rFonts w:ascii="Arial" w:hAnsi="Arial" w:cs="Arial"/>
          <w:sz w:val="22"/>
          <w:szCs w:val="22"/>
          <w:lang w:val="es-ES_tradnl"/>
        </w:rPr>
        <w:t xml:space="preserve">A continuación se presentan las </w:t>
      </w:r>
      <w:r w:rsidR="004D6BC6" w:rsidRPr="00A52065">
        <w:rPr>
          <w:rFonts w:ascii="Arial" w:hAnsi="Arial" w:cs="Arial"/>
          <w:sz w:val="22"/>
          <w:szCs w:val="22"/>
          <w:lang w:val="es-ES_tradnl"/>
        </w:rPr>
        <w:t>a</w:t>
      </w:r>
      <w:r w:rsidRPr="00A52065">
        <w:rPr>
          <w:rFonts w:ascii="Arial" w:hAnsi="Arial" w:cs="Arial"/>
          <w:sz w:val="22"/>
          <w:szCs w:val="22"/>
          <w:lang w:val="es-ES_tradnl"/>
        </w:rPr>
        <w:t>ctividades previst</w:t>
      </w:r>
      <w:r w:rsidR="00950A94" w:rsidRPr="00A52065">
        <w:rPr>
          <w:rFonts w:ascii="Arial" w:hAnsi="Arial" w:cs="Arial"/>
          <w:sz w:val="22"/>
          <w:szCs w:val="22"/>
          <w:lang w:val="es-ES_tradnl"/>
        </w:rPr>
        <w:t>a</w:t>
      </w:r>
      <w:r w:rsidR="004D6BC6" w:rsidRPr="00A52065">
        <w:rPr>
          <w:rFonts w:ascii="Arial" w:hAnsi="Arial" w:cs="Arial"/>
          <w:sz w:val="22"/>
          <w:szCs w:val="22"/>
          <w:lang w:val="es-ES_tradnl"/>
        </w:rPr>
        <w:t>s</w:t>
      </w:r>
      <w:r w:rsidRPr="00A52065">
        <w:rPr>
          <w:rFonts w:ascii="Arial" w:hAnsi="Arial" w:cs="Arial"/>
          <w:sz w:val="22"/>
          <w:szCs w:val="22"/>
          <w:lang w:val="es-ES_tradnl"/>
        </w:rPr>
        <w:t xml:space="preserve">.  </w:t>
      </w:r>
    </w:p>
    <w:p w:rsidR="00376841" w:rsidRPr="00A52065" w:rsidRDefault="00376841" w:rsidP="005E7A64">
      <w:pPr>
        <w:ind w:left="360"/>
        <w:jc w:val="both"/>
        <w:rPr>
          <w:rFonts w:ascii="Arial" w:hAnsi="Arial" w:cs="Arial"/>
          <w:sz w:val="22"/>
          <w:szCs w:val="22"/>
          <w:lang w:val="es-ES_tradnl"/>
        </w:rPr>
      </w:pPr>
    </w:p>
    <w:p w:rsidR="005A0B70" w:rsidRPr="00A52065" w:rsidRDefault="00376841" w:rsidP="005E7A64">
      <w:pPr>
        <w:pStyle w:val="ListParagraph"/>
        <w:numPr>
          <w:ilvl w:val="0"/>
          <w:numId w:val="5"/>
        </w:numPr>
        <w:jc w:val="both"/>
        <w:rPr>
          <w:rFonts w:ascii="Arial" w:hAnsi="Arial" w:cs="Arial"/>
          <w:sz w:val="22"/>
          <w:szCs w:val="22"/>
          <w:lang w:val="es-ES_tradnl"/>
        </w:rPr>
      </w:pPr>
      <w:r w:rsidRPr="00A52065">
        <w:rPr>
          <w:rFonts w:ascii="Arial" w:hAnsi="Arial" w:cs="Arial"/>
          <w:sz w:val="22"/>
          <w:szCs w:val="22"/>
          <w:lang w:val="es-ES_tradnl"/>
        </w:rPr>
        <w:t xml:space="preserve">Diseño, recolección y análisis de datos para </w:t>
      </w:r>
      <w:r w:rsidR="005A0B70" w:rsidRPr="00A52065">
        <w:rPr>
          <w:rFonts w:ascii="Arial" w:hAnsi="Arial" w:cs="Arial"/>
          <w:sz w:val="22"/>
          <w:szCs w:val="22"/>
          <w:lang w:val="es-ES_tradnl"/>
        </w:rPr>
        <w:t>diversos estudios de interés de la región de CID</w:t>
      </w:r>
      <w:r w:rsidR="00097B51" w:rsidRPr="00A52065">
        <w:rPr>
          <w:rFonts w:ascii="Arial" w:hAnsi="Arial" w:cs="Arial"/>
          <w:sz w:val="22"/>
          <w:szCs w:val="22"/>
          <w:lang w:val="es-ES_tradnl"/>
        </w:rPr>
        <w:t xml:space="preserve"> basado en el plan de conocimiento de la Gerencia a nivel de país y a nivel regional</w:t>
      </w:r>
      <w:r w:rsidR="00AD1509" w:rsidRPr="00A52065">
        <w:rPr>
          <w:rFonts w:ascii="Arial" w:hAnsi="Arial" w:cs="Arial"/>
          <w:sz w:val="22"/>
          <w:szCs w:val="22"/>
          <w:lang w:val="es-ES_tradnl"/>
        </w:rPr>
        <w:t>, especialmente para Nicaragua</w:t>
      </w:r>
      <w:r w:rsidR="00097B51" w:rsidRPr="00A52065">
        <w:rPr>
          <w:rFonts w:ascii="Arial" w:hAnsi="Arial" w:cs="Arial"/>
          <w:sz w:val="22"/>
          <w:szCs w:val="22"/>
          <w:lang w:val="es-ES_tradnl"/>
        </w:rPr>
        <w:t>.</w:t>
      </w:r>
    </w:p>
    <w:p w:rsidR="00AD1509" w:rsidRPr="00A52065" w:rsidRDefault="00AD1509" w:rsidP="00AD1509">
      <w:pPr>
        <w:pStyle w:val="ListParagraph"/>
        <w:jc w:val="both"/>
        <w:rPr>
          <w:rFonts w:ascii="Arial" w:hAnsi="Arial" w:cs="Arial"/>
          <w:sz w:val="22"/>
          <w:szCs w:val="22"/>
          <w:lang w:val="es-ES_tradnl"/>
        </w:rPr>
      </w:pPr>
    </w:p>
    <w:p w:rsidR="00F87F26" w:rsidRPr="00A52065" w:rsidRDefault="00097B51" w:rsidP="005E7A64">
      <w:pPr>
        <w:pStyle w:val="ListParagraph"/>
        <w:numPr>
          <w:ilvl w:val="0"/>
          <w:numId w:val="5"/>
        </w:numPr>
        <w:jc w:val="both"/>
        <w:rPr>
          <w:rFonts w:ascii="Arial" w:hAnsi="Arial" w:cs="Arial"/>
          <w:sz w:val="22"/>
          <w:szCs w:val="22"/>
          <w:lang w:val="es-ES_tradnl"/>
        </w:rPr>
      </w:pPr>
      <w:r w:rsidRPr="00A52065">
        <w:rPr>
          <w:rFonts w:ascii="Arial" w:hAnsi="Arial" w:cs="Arial"/>
          <w:sz w:val="22"/>
          <w:szCs w:val="22"/>
          <w:lang w:val="es-ES_tradnl"/>
        </w:rPr>
        <w:t>Identifica</w:t>
      </w:r>
      <w:r w:rsidR="00264B78" w:rsidRPr="00A52065">
        <w:rPr>
          <w:rFonts w:ascii="Arial" w:hAnsi="Arial" w:cs="Arial"/>
          <w:sz w:val="22"/>
          <w:szCs w:val="22"/>
          <w:lang w:val="es-ES_tradnl"/>
        </w:rPr>
        <w:t>ción y propuesta de</w:t>
      </w:r>
      <w:r w:rsidRPr="00A52065">
        <w:rPr>
          <w:rFonts w:ascii="Arial" w:hAnsi="Arial" w:cs="Arial"/>
          <w:sz w:val="22"/>
          <w:szCs w:val="22"/>
          <w:lang w:val="es-ES_tradnl"/>
        </w:rPr>
        <w:t xml:space="preserve"> soluciones a los problemas presentados en áreas de S</w:t>
      </w:r>
      <w:r w:rsidRPr="00A52065">
        <w:rPr>
          <w:rFonts w:ascii="Arial" w:hAnsi="Arial" w:cs="Arial"/>
          <w:sz w:val="22"/>
          <w:szCs w:val="22"/>
          <w:lang w:val="es-ES"/>
        </w:rPr>
        <w:t xml:space="preserve">alud, Comercio, Competitividad, Turismo, Agricultura, Manejo de Recursos Naturales, Agua, Finanzas, y otras áreas relacionadas con la agenda de conocimiento de la Gerencia de CID. </w:t>
      </w:r>
    </w:p>
    <w:p w:rsidR="00494400" w:rsidRPr="00A52065" w:rsidRDefault="00494400" w:rsidP="00494400">
      <w:pPr>
        <w:pStyle w:val="ListParagraph"/>
        <w:rPr>
          <w:rFonts w:ascii="Arial" w:hAnsi="Arial" w:cs="Arial"/>
          <w:sz w:val="22"/>
          <w:szCs w:val="22"/>
          <w:lang w:val="es-ES_tradnl"/>
        </w:rPr>
      </w:pPr>
    </w:p>
    <w:p w:rsidR="00EA1799" w:rsidRPr="00A52065" w:rsidRDefault="00097B51" w:rsidP="005E7A64">
      <w:pPr>
        <w:pStyle w:val="ListParagraph"/>
        <w:numPr>
          <w:ilvl w:val="0"/>
          <w:numId w:val="5"/>
        </w:numPr>
        <w:jc w:val="both"/>
        <w:rPr>
          <w:rFonts w:ascii="Arial" w:hAnsi="Arial" w:cs="Arial"/>
          <w:sz w:val="22"/>
          <w:szCs w:val="22"/>
          <w:lang w:val="es-ES_tradnl"/>
        </w:rPr>
      </w:pPr>
      <w:r w:rsidRPr="00A52065">
        <w:rPr>
          <w:rFonts w:ascii="Arial" w:hAnsi="Arial" w:cs="Arial"/>
          <w:sz w:val="22"/>
          <w:szCs w:val="22"/>
          <w:lang w:val="es-ES_tradnl"/>
        </w:rPr>
        <w:t xml:space="preserve">Apoyo en la identificación de </w:t>
      </w:r>
      <w:r w:rsidR="00022DD8" w:rsidRPr="00A52065">
        <w:rPr>
          <w:rFonts w:ascii="Arial" w:hAnsi="Arial" w:cs="Arial"/>
          <w:sz w:val="22"/>
          <w:szCs w:val="22"/>
          <w:lang w:val="es-ES_tradnl"/>
        </w:rPr>
        <w:t>expertos en las diferentes áreas mencionadas que puedan contribuir en el análisis estratégico y generación de propuestas</w:t>
      </w:r>
      <w:r w:rsidR="00EA1799" w:rsidRPr="00A52065">
        <w:rPr>
          <w:rFonts w:ascii="Arial" w:hAnsi="Arial" w:cs="Arial"/>
          <w:sz w:val="22"/>
          <w:szCs w:val="22"/>
          <w:lang w:val="es-ES_tradnl"/>
        </w:rPr>
        <w:t>.</w:t>
      </w:r>
    </w:p>
    <w:p w:rsidR="00494400" w:rsidRPr="00A52065" w:rsidRDefault="00494400" w:rsidP="00494400">
      <w:pPr>
        <w:pStyle w:val="ListParagraph"/>
        <w:rPr>
          <w:rFonts w:ascii="Arial" w:hAnsi="Arial" w:cs="Arial"/>
          <w:sz w:val="22"/>
          <w:szCs w:val="22"/>
          <w:lang w:val="es-ES_tradnl"/>
        </w:rPr>
      </w:pPr>
    </w:p>
    <w:p w:rsidR="00022DD8" w:rsidRPr="00A52065" w:rsidRDefault="00022DD8" w:rsidP="005E7A64">
      <w:pPr>
        <w:pStyle w:val="ListParagraph"/>
        <w:numPr>
          <w:ilvl w:val="0"/>
          <w:numId w:val="5"/>
        </w:numPr>
        <w:jc w:val="both"/>
        <w:rPr>
          <w:rFonts w:ascii="Arial" w:hAnsi="Arial" w:cs="Arial"/>
          <w:sz w:val="22"/>
          <w:szCs w:val="22"/>
          <w:lang w:val="es-ES_tradnl"/>
        </w:rPr>
      </w:pPr>
      <w:r w:rsidRPr="00A52065">
        <w:rPr>
          <w:rFonts w:ascii="Arial" w:hAnsi="Arial" w:cs="Arial"/>
          <w:sz w:val="22"/>
          <w:szCs w:val="22"/>
          <w:lang w:val="es-ES_tradnl"/>
        </w:rPr>
        <w:t>Manten</w:t>
      </w:r>
      <w:r w:rsidR="00264B78" w:rsidRPr="00A52065">
        <w:rPr>
          <w:rFonts w:ascii="Arial" w:hAnsi="Arial" w:cs="Arial"/>
          <w:sz w:val="22"/>
          <w:szCs w:val="22"/>
          <w:lang w:val="es-ES_tradnl"/>
        </w:rPr>
        <w:t>imiento de est</w:t>
      </w:r>
      <w:r w:rsidRPr="00A52065">
        <w:rPr>
          <w:rFonts w:ascii="Arial" w:hAnsi="Arial" w:cs="Arial"/>
          <w:sz w:val="22"/>
          <w:szCs w:val="22"/>
          <w:lang w:val="es-ES_tradnl"/>
        </w:rPr>
        <w:t>recha coordinación y comunicación con el equipo Econ</w:t>
      </w:r>
      <w:r w:rsidR="005E7A64" w:rsidRPr="00A52065">
        <w:rPr>
          <w:rFonts w:ascii="Arial" w:hAnsi="Arial" w:cs="Arial"/>
          <w:sz w:val="22"/>
          <w:szCs w:val="22"/>
          <w:lang w:val="es-ES_tradnl"/>
        </w:rPr>
        <w:t>ómico de la Gerencia.</w:t>
      </w:r>
    </w:p>
    <w:p w:rsidR="005E7A64" w:rsidRPr="00A52065" w:rsidRDefault="005E7A64" w:rsidP="005E7A64">
      <w:pPr>
        <w:pStyle w:val="ListParagraph"/>
        <w:numPr>
          <w:ilvl w:val="0"/>
          <w:numId w:val="5"/>
        </w:numPr>
        <w:jc w:val="both"/>
        <w:rPr>
          <w:rFonts w:ascii="Arial" w:hAnsi="Arial" w:cs="Arial"/>
          <w:sz w:val="22"/>
          <w:szCs w:val="22"/>
          <w:lang w:val="es-ES_tradnl"/>
        </w:rPr>
      </w:pPr>
      <w:r w:rsidRPr="00A52065">
        <w:rPr>
          <w:rFonts w:ascii="Arial" w:hAnsi="Arial" w:cs="Arial"/>
          <w:sz w:val="22"/>
          <w:szCs w:val="22"/>
          <w:lang w:val="es-ES_tradnl"/>
        </w:rPr>
        <w:t>Presenta</w:t>
      </w:r>
      <w:r w:rsidR="00264B78" w:rsidRPr="00A52065">
        <w:rPr>
          <w:rFonts w:ascii="Arial" w:hAnsi="Arial" w:cs="Arial"/>
          <w:sz w:val="22"/>
          <w:szCs w:val="22"/>
          <w:lang w:val="es-ES_tradnl"/>
        </w:rPr>
        <w:t xml:space="preserve">ción de </w:t>
      </w:r>
      <w:r w:rsidRPr="00A52065">
        <w:rPr>
          <w:rFonts w:ascii="Arial" w:hAnsi="Arial" w:cs="Arial"/>
          <w:sz w:val="22"/>
          <w:szCs w:val="22"/>
          <w:lang w:val="es-ES_tradnl"/>
        </w:rPr>
        <w:t xml:space="preserve">estudios y propuestas que apoyen en el diálogo regional y estratégico con las contrapartes de Gobierno. </w:t>
      </w:r>
    </w:p>
    <w:p w:rsidR="00735CB6" w:rsidRPr="00A52065" w:rsidRDefault="00735CB6" w:rsidP="005E7A64">
      <w:pPr>
        <w:pStyle w:val="ListParagraph"/>
        <w:jc w:val="both"/>
        <w:rPr>
          <w:rFonts w:ascii="Arial" w:hAnsi="Arial" w:cs="Arial"/>
          <w:sz w:val="22"/>
          <w:szCs w:val="22"/>
          <w:lang w:val="es-ES_tradnl"/>
        </w:rPr>
      </w:pPr>
    </w:p>
    <w:p w:rsidR="00022DD8" w:rsidRPr="00A52065" w:rsidRDefault="00264B78" w:rsidP="005E7A64">
      <w:pPr>
        <w:ind w:left="360"/>
        <w:jc w:val="both"/>
        <w:rPr>
          <w:rFonts w:ascii="Arial" w:eastAsia="Times New Roman" w:hAnsi="Arial" w:cs="Arial"/>
          <w:sz w:val="22"/>
          <w:szCs w:val="22"/>
          <w:lang w:val="es-ES"/>
        </w:rPr>
      </w:pPr>
      <w:r w:rsidRPr="00A52065">
        <w:rPr>
          <w:rFonts w:ascii="Arial" w:eastAsia="Times New Roman" w:hAnsi="Arial" w:cs="Arial"/>
          <w:sz w:val="22"/>
          <w:szCs w:val="22"/>
          <w:lang w:val="es-ES"/>
        </w:rPr>
        <w:t>Un representante de la firma</w:t>
      </w:r>
      <w:r w:rsidR="00022DD8" w:rsidRPr="00A52065">
        <w:rPr>
          <w:rFonts w:ascii="Arial" w:eastAsia="Times New Roman" w:hAnsi="Arial" w:cs="Arial"/>
          <w:sz w:val="22"/>
          <w:szCs w:val="22"/>
          <w:lang w:val="es-ES"/>
        </w:rPr>
        <w:t xml:space="preserve"> viajará a Washington DC, para realizar la presentación del producto final, en caso de que </w:t>
      </w:r>
      <w:r w:rsidR="005E7A64" w:rsidRPr="00A52065">
        <w:rPr>
          <w:rFonts w:ascii="Arial" w:eastAsia="Times New Roman" w:hAnsi="Arial" w:cs="Arial"/>
          <w:sz w:val="22"/>
          <w:szCs w:val="22"/>
          <w:lang w:val="es-ES"/>
        </w:rPr>
        <w:t>así</w:t>
      </w:r>
      <w:r w:rsidR="00022DD8" w:rsidRPr="00A52065">
        <w:rPr>
          <w:rFonts w:ascii="Arial" w:eastAsia="Times New Roman" w:hAnsi="Arial" w:cs="Arial"/>
          <w:sz w:val="22"/>
          <w:szCs w:val="22"/>
          <w:lang w:val="es-ES"/>
        </w:rPr>
        <w:t xml:space="preserve"> se le requiriese.</w:t>
      </w:r>
    </w:p>
    <w:p w:rsidR="004D6BC6" w:rsidRPr="00A52065" w:rsidRDefault="004D6BC6" w:rsidP="005E7A64">
      <w:pPr>
        <w:ind w:left="360"/>
        <w:jc w:val="both"/>
        <w:rPr>
          <w:rFonts w:ascii="Arial" w:eastAsia="Times New Roman" w:hAnsi="Arial" w:cs="Arial"/>
          <w:sz w:val="22"/>
          <w:szCs w:val="22"/>
          <w:lang w:val="es-ES"/>
        </w:rPr>
      </w:pPr>
    </w:p>
    <w:p w:rsidR="00990333" w:rsidRPr="00A52065" w:rsidRDefault="00990333" w:rsidP="005E7A64">
      <w:pPr>
        <w:ind w:left="360"/>
        <w:jc w:val="both"/>
        <w:rPr>
          <w:rFonts w:ascii="Arial" w:hAnsi="Arial" w:cs="Arial"/>
          <w:b/>
          <w:sz w:val="22"/>
          <w:szCs w:val="22"/>
          <w:lang w:val="es-ES_tradnl"/>
        </w:rPr>
      </w:pPr>
    </w:p>
    <w:p w:rsidR="00735CB6" w:rsidRPr="00A52065" w:rsidRDefault="00022DD8" w:rsidP="005E7A64">
      <w:pPr>
        <w:ind w:left="360"/>
        <w:jc w:val="both"/>
        <w:rPr>
          <w:rFonts w:ascii="Arial" w:hAnsi="Arial" w:cs="Arial"/>
          <w:b/>
          <w:sz w:val="22"/>
          <w:szCs w:val="22"/>
          <w:lang w:val="es-ES_tradnl"/>
        </w:rPr>
      </w:pPr>
      <w:r w:rsidRPr="00A52065">
        <w:rPr>
          <w:rFonts w:ascii="Arial" w:hAnsi="Arial" w:cs="Arial"/>
          <w:b/>
          <w:sz w:val="22"/>
          <w:szCs w:val="22"/>
          <w:lang w:val="es-ES_tradnl"/>
        </w:rPr>
        <w:t xml:space="preserve">Productos/Entregables </w:t>
      </w:r>
    </w:p>
    <w:p w:rsidR="00735CB6" w:rsidRPr="00A52065" w:rsidRDefault="00735CB6" w:rsidP="005E7A64">
      <w:pPr>
        <w:jc w:val="both"/>
        <w:rPr>
          <w:rFonts w:ascii="Arial" w:eastAsia="Times New Roman" w:hAnsi="Arial" w:cs="Arial"/>
          <w:sz w:val="22"/>
          <w:szCs w:val="22"/>
          <w:lang w:val="es-ES_tradnl"/>
        </w:rPr>
      </w:pPr>
    </w:p>
    <w:p w:rsidR="00735CB6" w:rsidRPr="00A52065" w:rsidRDefault="00B511A1" w:rsidP="006A71F0">
      <w:pPr>
        <w:pStyle w:val="ListParagraph"/>
        <w:numPr>
          <w:ilvl w:val="0"/>
          <w:numId w:val="9"/>
        </w:numPr>
        <w:ind w:left="1170"/>
        <w:jc w:val="both"/>
        <w:rPr>
          <w:rFonts w:ascii="Arial" w:eastAsia="Times New Roman" w:hAnsi="Arial" w:cs="Arial"/>
          <w:sz w:val="22"/>
          <w:szCs w:val="22"/>
          <w:lang w:val="es-ES"/>
        </w:rPr>
      </w:pPr>
      <w:r w:rsidRPr="00A52065">
        <w:rPr>
          <w:rFonts w:ascii="Arial" w:eastAsia="Times New Roman" w:hAnsi="Arial" w:cs="Arial"/>
          <w:sz w:val="22"/>
          <w:szCs w:val="22"/>
          <w:lang w:val="es-ES"/>
        </w:rPr>
        <w:t>E</w:t>
      </w:r>
      <w:r w:rsidR="006A71F0" w:rsidRPr="00A52065">
        <w:rPr>
          <w:rFonts w:ascii="Arial" w:eastAsia="Times New Roman" w:hAnsi="Arial" w:cs="Arial"/>
          <w:sz w:val="22"/>
          <w:szCs w:val="22"/>
          <w:lang w:val="es-ES"/>
        </w:rPr>
        <w:t xml:space="preserve">ntregable 1:  </w:t>
      </w:r>
      <w:r w:rsidR="00735CB6" w:rsidRPr="00A52065">
        <w:rPr>
          <w:rFonts w:ascii="Arial" w:eastAsia="Times New Roman" w:hAnsi="Arial" w:cs="Arial"/>
          <w:sz w:val="22"/>
          <w:szCs w:val="22"/>
          <w:lang w:val="es-ES"/>
        </w:rPr>
        <w:t xml:space="preserve">Plan de trabajo </w:t>
      </w:r>
      <w:r w:rsidR="00022DD8" w:rsidRPr="00A52065">
        <w:rPr>
          <w:rFonts w:ascii="Arial" w:eastAsia="Times New Roman" w:hAnsi="Arial" w:cs="Arial"/>
          <w:sz w:val="22"/>
          <w:szCs w:val="22"/>
          <w:lang w:val="es-ES"/>
        </w:rPr>
        <w:t>con áreas acordadas para investigación</w:t>
      </w:r>
    </w:p>
    <w:p w:rsidR="00735CB6" w:rsidRPr="00A52065" w:rsidRDefault="00B511A1" w:rsidP="006A71F0">
      <w:pPr>
        <w:pStyle w:val="ListParagraph"/>
        <w:numPr>
          <w:ilvl w:val="0"/>
          <w:numId w:val="9"/>
        </w:numPr>
        <w:ind w:left="1170"/>
        <w:jc w:val="both"/>
        <w:rPr>
          <w:rFonts w:ascii="Arial" w:eastAsia="Times New Roman" w:hAnsi="Arial" w:cs="Arial"/>
          <w:sz w:val="22"/>
          <w:szCs w:val="22"/>
          <w:lang w:val="es-ES"/>
        </w:rPr>
      </w:pPr>
      <w:r w:rsidRPr="00A52065">
        <w:rPr>
          <w:rFonts w:ascii="Arial" w:eastAsia="Times New Roman" w:hAnsi="Arial" w:cs="Arial"/>
          <w:sz w:val="22"/>
          <w:szCs w:val="22"/>
          <w:lang w:val="es-ES"/>
        </w:rPr>
        <w:t>E</w:t>
      </w:r>
      <w:r w:rsidR="00735CB6" w:rsidRPr="00A52065">
        <w:rPr>
          <w:rFonts w:ascii="Arial" w:eastAsia="Times New Roman" w:hAnsi="Arial" w:cs="Arial"/>
          <w:sz w:val="22"/>
          <w:szCs w:val="22"/>
          <w:lang w:val="es-ES"/>
        </w:rPr>
        <w:t xml:space="preserve">ntregable 2: </w:t>
      </w:r>
      <w:r w:rsidR="006A71F0" w:rsidRPr="00A52065">
        <w:rPr>
          <w:rFonts w:ascii="Arial" w:eastAsia="Times New Roman" w:hAnsi="Arial" w:cs="Arial"/>
          <w:sz w:val="22"/>
          <w:szCs w:val="22"/>
          <w:lang w:val="es-ES"/>
        </w:rPr>
        <w:t xml:space="preserve"> M</w:t>
      </w:r>
      <w:r w:rsidR="00735CB6" w:rsidRPr="00A52065">
        <w:rPr>
          <w:rFonts w:ascii="Arial" w:eastAsia="Times New Roman" w:hAnsi="Arial" w:cs="Arial"/>
          <w:sz w:val="22"/>
          <w:szCs w:val="22"/>
          <w:lang w:val="es-ES"/>
        </w:rPr>
        <w:t xml:space="preserve">apeo comprensivo de actores </w:t>
      </w:r>
      <w:r w:rsidR="00022DD8" w:rsidRPr="00A52065">
        <w:rPr>
          <w:rFonts w:ascii="Arial" w:eastAsia="Times New Roman" w:hAnsi="Arial" w:cs="Arial"/>
          <w:sz w:val="22"/>
          <w:szCs w:val="22"/>
          <w:lang w:val="es-ES"/>
        </w:rPr>
        <w:t>y los expertos</w:t>
      </w:r>
    </w:p>
    <w:p w:rsidR="00735CB6" w:rsidRPr="00A52065" w:rsidRDefault="00494400" w:rsidP="006A71F0">
      <w:pPr>
        <w:pStyle w:val="ListParagraph"/>
        <w:numPr>
          <w:ilvl w:val="0"/>
          <w:numId w:val="9"/>
        </w:numPr>
        <w:ind w:left="1170"/>
        <w:jc w:val="both"/>
        <w:rPr>
          <w:rFonts w:ascii="Arial" w:eastAsia="Times New Roman" w:hAnsi="Arial" w:cs="Arial"/>
          <w:sz w:val="22"/>
          <w:szCs w:val="22"/>
          <w:lang w:val="es-ES_tradnl"/>
        </w:rPr>
      </w:pPr>
      <w:r w:rsidRPr="00A52065">
        <w:rPr>
          <w:rFonts w:ascii="Arial" w:eastAsia="Times New Roman" w:hAnsi="Arial" w:cs="Arial"/>
          <w:sz w:val="22"/>
          <w:szCs w:val="22"/>
          <w:lang w:val="es-ES_tradnl"/>
        </w:rPr>
        <w:t xml:space="preserve">Entregable 3:  </w:t>
      </w:r>
      <w:r w:rsidR="00735CB6" w:rsidRPr="00A52065">
        <w:rPr>
          <w:rFonts w:ascii="Arial" w:eastAsia="Times New Roman" w:hAnsi="Arial" w:cs="Arial"/>
          <w:sz w:val="22"/>
          <w:szCs w:val="22"/>
          <w:lang w:val="es-ES"/>
        </w:rPr>
        <w:t>Informe con resultados finales, en español</w:t>
      </w:r>
    </w:p>
    <w:p w:rsidR="00735CB6" w:rsidRPr="00A52065" w:rsidRDefault="00735CB6" w:rsidP="005E7A64">
      <w:pPr>
        <w:jc w:val="both"/>
        <w:rPr>
          <w:rFonts w:ascii="Arial" w:eastAsia="Times New Roman" w:hAnsi="Arial" w:cs="Arial"/>
          <w:sz w:val="22"/>
          <w:szCs w:val="22"/>
          <w:lang w:val="es-ES_tradnl"/>
        </w:rPr>
      </w:pPr>
    </w:p>
    <w:p w:rsidR="00990333" w:rsidRPr="00A52065" w:rsidRDefault="00990333" w:rsidP="005E7A64">
      <w:pPr>
        <w:ind w:left="360"/>
        <w:jc w:val="both"/>
        <w:rPr>
          <w:rFonts w:ascii="Arial" w:hAnsi="Arial" w:cs="Arial"/>
          <w:b/>
          <w:sz w:val="22"/>
          <w:szCs w:val="22"/>
          <w:lang w:val="es-ES_tradnl"/>
        </w:rPr>
      </w:pPr>
    </w:p>
    <w:p w:rsidR="00022DD8" w:rsidRPr="00A52065" w:rsidRDefault="00022DD8" w:rsidP="005E7A64">
      <w:pPr>
        <w:ind w:left="360"/>
        <w:jc w:val="both"/>
        <w:rPr>
          <w:rFonts w:ascii="Arial" w:hAnsi="Arial" w:cs="Arial"/>
          <w:b/>
          <w:sz w:val="22"/>
          <w:szCs w:val="22"/>
          <w:lang w:val="es-ES_tradnl"/>
        </w:rPr>
      </w:pPr>
      <w:r w:rsidRPr="00A52065">
        <w:rPr>
          <w:rFonts w:ascii="Arial" w:hAnsi="Arial" w:cs="Arial"/>
          <w:b/>
          <w:sz w:val="22"/>
          <w:szCs w:val="22"/>
          <w:lang w:val="es-ES_tradnl"/>
        </w:rPr>
        <w:t>Cronograma de Pagos</w:t>
      </w:r>
    </w:p>
    <w:p w:rsidR="00022DD8" w:rsidRPr="00A52065" w:rsidRDefault="00022DD8" w:rsidP="005E7A64">
      <w:pPr>
        <w:jc w:val="both"/>
        <w:rPr>
          <w:rFonts w:ascii="Arial" w:hAnsi="Arial" w:cs="Arial"/>
          <w:bCs/>
          <w:sz w:val="22"/>
          <w:szCs w:val="22"/>
          <w:lang w:val="es-ES"/>
        </w:rPr>
      </w:pPr>
    </w:p>
    <w:p w:rsidR="00022DD8" w:rsidRPr="00A52065" w:rsidRDefault="00022DD8" w:rsidP="005E7A64">
      <w:pPr>
        <w:ind w:left="360"/>
        <w:jc w:val="both"/>
        <w:rPr>
          <w:rFonts w:ascii="Arial" w:eastAsia="Times New Roman" w:hAnsi="Arial" w:cs="Arial"/>
          <w:sz w:val="22"/>
          <w:szCs w:val="22"/>
          <w:lang w:val="es-ES"/>
        </w:rPr>
      </w:pPr>
      <w:r w:rsidRPr="00A52065">
        <w:rPr>
          <w:rFonts w:ascii="Arial" w:eastAsia="Times New Roman" w:hAnsi="Arial" w:cs="Arial"/>
          <w:sz w:val="22"/>
          <w:szCs w:val="22"/>
          <w:lang w:val="es-ES"/>
        </w:rPr>
        <w:t>Los pagos se realizarán según el siguiente cronograma:</w:t>
      </w:r>
    </w:p>
    <w:p w:rsidR="00022DD8" w:rsidRPr="00A52065" w:rsidRDefault="00022DD8" w:rsidP="006A71F0">
      <w:pPr>
        <w:pStyle w:val="ListParagraph"/>
        <w:numPr>
          <w:ilvl w:val="0"/>
          <w:numId w:val="8"/>
        </w:numPr>
        <w:ind w:left="1170"/>
        <w:jc w:val="both"/>
        <w:rPr>
          <w:rFonts w:ascii="Arial" w:hAnsi="Arial" w:cs="Arial"/>
          <w:sz w:val="22"/>
          <w:szCs w:val="22"/>
          <w:lang w:val="es-ES_tradnl"/>
        </w:rPr>
      </w:pPr>
      <w:r w:rsidRPr="00A52065">
        <w:rPr>
          <w:rFonts w:ascii="Arial" w:hAnsi="Arial" w:cs="Arial"/>
          <w:sz w:val="22"/>
          <w:szCs w:val="22"/>
          <w:lang w:val="es-ES_tradnl"/>
        </w:rPr>
        <w:t xml:space="preserve">Primer pago: </w:t>
      </w:r>
      <w:r w:rsidRPr="00A52065">
        <w:rPr>
          <w:rFonts w:ascii="Arial" w:hAnsi="Arial" w:cs="Arial"/>
          <w:sz w:val="22"/>
          <w:szCs w:val="22"/>
          <w:lang w:val="es-ES_tradnl"/>
        </w:rPr>
        <w:tab/>
      </w:r>
      <w:r w:rsidR="00264B78" w:rsidRPr="00A52065">
        <w:rPr>
          <w:rFonts w:ascii="Arial" w:hAnsi="Arial" w:cs="Arial"/>
          <w:sz w:val="22"/>
          <w:szCs w:val="22"/>
          <w:lang w:val="es-ES_tradnl"/>
        </w:rPr>
        <w:tab/>
      </w:r>
      <w:r w:rsidRPr="00A52065">
        <w:rPr>
          <w:rFonts w:ascii="Arial" w:hAnsi="Arial" w:cs="Arial"/>
          <w:sz w:val="22"/>
          <w:szCs w:val="22"/>
          <w:lang w:val="es-ES_tradnl"/>
        </w:rPr>
        <w:t>1</w:t>
      </w:r>
      <w:r w:rsidR="00494400" w:rsidRPr="00A52065">
        <w:rPr>
          <w:rFonts w:ascii="Arial" w:hAnsi="Arial" w:cs="Arial"/>
          <w:sz w:val="22"/>
          <w:szCs w:val="22"/>
          <w:lang w:val="es-ES_tradnl"/>
        </w:rPr>
        <w:t>0</w:t>
      </w:r>
      <w:r w:rsidRPr="00A52065">
        <w:rPr>
          <w:rFonts w:ascii="Arial" w:hAnsi="Arial" w:cs="Arial"/>
          <w:sz w:val="22"/>
          <w:szCs w:val="22"/>
          <w:lang w:val="es-ES_tradnl"/>
        </w:rPr>
        <w:t>%, a la firma del contrato</w:t>
      </w:r>
    </w:p>
    <w:p w:rsidR="00022DD8" w:rsidRPr="00A52065" w:rsidRDefault="005E7A64" w:rsidP="006A71F0">
      <w:pPr>
        <w:pStyle w:val="ListParagraph"/>
        <w:numPr>
          <w:ilvl w:val="0"/>
          <w:numId w:val="8"/>
        </w:numPr>
        <w:ind w:left="1170"/>
        <w:jc w:val="both"/>
        <w:rPr>
          <w:rFonts w:ascii="Arial" w:hAnsi="Arial" w:cs="Arial"/>
          <w:sz w:val="22"/>
          <w:szCs w:val="22"/>
          <w:lang w:val="es-ES_tradnl"/>
        </w:rPr>
      </w:pPr>
      <w:r w:rsidRPr="00A52065">
        <w:rPr>
          <w:rFonts w:ascii="Arial" w:hAnsi="Arial" w:cs="Arial"/>
          <w:sz w:val="22"/>
          <w:szCs w:val="22"/>
          <w:lang w:val="es-ES_tradnl"/>
        </w:rPr>
        <w:t xml:space="preserve">Segundo pago: </w:t>
      </w:r>
      <w:r w:rsidR="00264B78" w:rsidRPr="00A52065">
        <w:rPr>
          <w:rFonts w:ascii="Arial" w:hAnsi="Arial" w:cs="Arial"/>
          <w:sz w:val="22"/>
          <w:szCs w:val="22"/>
          <w:lang w:val="es-ES_tradnl"/>
        </w:rPr>
        <w:tab/>
      </w:r>
      <w:r w:rsidR="00022DD8" w:rsidRPr="00A52065">
        <w:rPr>
          <w:rFonts w:ascii="Arial" w:hAnsi="Arial" w:cs="Arial"/>
          <w:sz w:val="22"/>
          <w:szCs w:val="22"/>
          <w:lang w:val="es-ES_tradnl"/>
        </w:rPr>
        <w:t>4</w:t>
      </w:r>
      <w:r w:rsidR="007C2051">
        <w:rPr>
          <w:rFonts w:ascii="Arial" w:hAnsi="Arial" w:cs="Arial"/>
          <w:sz w:val="22"/>
          <w:szCs w:val="22"/>
          <w:lang w:val="es-ES_tradnl"/>
        </w:rPr>
        <w:t>5</w:t>
      </w:r>
      <w:r w:rsidR="00022DD8" w:rsidRPr="00A52065">
        <w:rPr>
          <w:rFonts w:ascii="Arial" w:hAnsi="Arial" w:cs="Arial"/>
          <w:sz w:val="22"/>
          <w:szCs w:val="22"/>
          <w:lang w:val="es-ES_tradnl"/>
        </w:rPr>
        <w:t>% a la aprobación del primer borrador</w:t>
      </w:r>
      <w:r w:rsidR="00264B78" w:rsidRPr="00A52065">
        <w:rPr>
          <w:rFonts w:ascii="Arial" w:hAnsi="Arial" w:cs="Arial"/>
          <w:sz w:val="22"/>
          <w:szCs w:val="22"/>
          <w:lang w:val="es-ES_tradnl"/>
        </w:rPr>
        <w:t xml:space="preserve"> (reportes intermedios)</w:t>
      </w:r>
      <w:r w:rsidR="00022DD8" w:rsidRPr="00A52065">
        <w:rPr>
          <w:rFonts w:ascii="Arial" w:hAnsi="Arial" w:cs="Arial"/>
          <w:sz w:val="22"/>
          <w:szCs w:val="22"/>
          <w:lang w:val="es-ES_tradnl"/>
        </w:rPr>
        <w:t xml:space="preserve">, entregable </w:t>
      </w:r>
      <w:r w:rsidR="00264B78" w:rsidRPr="00A52065">
        <w:rPr>
          <w:rFonts w:ascii="Arial" w:hAnsi="Arial" w:cs="Arial"/>
          <w:sz w:val="22"/>
          <w:szCs w:val="22"/>
          <w:lang w:val="es-ES_tradnl"/>
        </w:rPr>
        <w:t>al final de la quinta semana</w:t>
      </w:r>
      <w:r w:rsidR="00990333" w:rsidRPr="00A52065">
        <w:rPr>
          <w:rFonts w:ascii="Arial" w:hAnsi="Arial" w:cs="Arial"/>
          <w:sz w:val="22"/>
          <w:szCs w:val="22"/>
          <w:lang w:val="es-ES_tradnl"/>
        </w:rPr>
        <w:t>.</w:t>
      </w:r>
    </w:p>
    <w:p w:rsidR="00022DD8" w:rsidRPr="00A52065" w:rsidRDefault="00022DD8" w:rsidP="006A71F0">
      <w:pPr>
        <w:pStyle w:val="ListParagraph"/>
        <w:numPr>
          <w:ilvl w:val="0"/>
          <w:numId w:val="8"/>
        </w:numPr>
        <w:ind w:left="1170"/>
        <w:jc w:val="both"/>
        <w:rPr>
          <w:rFonts w:ascii="Arial" w:hAnsi="Arial" w:cs="Arial"/>
          <w:sz w:val="22"/>
          <w:szCs w:val="22"/>
          <w:lang w:val="es-ES_tradnl"/>
        </w:rPr>
      </w:pPr>
      <w:r w:rsidRPr="00A52065">
        <w:rPr>
          <w:rFonts w:ascii="Arial" w:hAnsi="Arial" w:cs="Arial"/>
          <w:sz w:val="22"/>
          <w:szCs w:val="22"/>
          <w:lang w:val="es-ES_tradnl"/>
        </w:rPr>
        <w:t xml:space="preserve">Tercer pago: </w:t>
      </w:r>
      <w:r w:rsidRPr="00A52065">
        <w:rPr>
          <w:rFonts w:ascii="Arial" w:hAnsi="Arial" w:cs="Arial"/>
          <w:sz w:val="22"/>
          <w:szCs w:val="22"/>
          <w:lang w:val="es-ES_tradnl"/>
        </w:rPr>
        <w:tab/>
      </w:r>
      <w:r w:rsidR="00264B78" w:rsidRPr="00A52065">
        <w:rPr>
          <w:rFonts w:ascii="Arial" w:hAnsi="Arial" w:cs="Arial"/>
          <w:sz w:val="22"/>
          <w:szCs w:val="22"/>
          <w:lang w:val="es-ES_tradnl"/>
        </w:rPr>
        <w:tab/>
      </w:r>
      <w:r w:rsidRPr="00A52065">
        <w:rPr>
          <w:rFonts w:ascii="Arial" w:hAnsi="Arial" w:cs="Arial"/>
          <w:sz w:val="22"/>
          <w:szCs w:val="22"/>
          <w:lang w:val="es-ES_tradnl"/>
        </w:rPr>
        <w:t>45% a la aprobación del documento final</w:t>
      </w:r>
      <w:r w:rsidR="00264B78" w:rsidRPr="00A52065">
        <w:rPr>
          <w:rFonts w:ascii="Arial" w:hAnsi="Arial" w:cs="Arial"/>
          <w:sz w:val="22"/>
          <w:szCs w:val="22"/>
          <w:lang w:val="es-ES_tradnl"/>
        </w:rPr>
        <w:t xml:space="preserve"> (reporte final)</w:t>
      </w:r>
      <w:r w:rsidRPr="00A52065">
        <w:rPr>
          <w:rFonts w:ascii="Arial" w:hAnsi="Arial" w:cs="Arial"/>
          <w:sz w:val="22"/>
          <w:szCs w:val="22"/>
          <w:lang w:val="es-ES_tradnl"/>
        </w:rPr>
        <w:t xml:space="preserve">, entregable </w:t>
      </w:r>
      <w:r w:rsidR="00264B78" w:rsidRPr="00A52065">
        <w:rPr>
          <w:rFonts w:ascii="Arial" w:hAnsi="Arial" w:cs="Arial"/>
          <w:sz w:val="22"/>
          <w:szCs w:val="22"/>
          <w:lang w:val="es-ES_tradnl"/>
        </w:rPr>
        <w:t>al final de la onceava semana.</w:t>
      </w:r>
    </w:p>
    <w:p w:rsidR="00981ED2" w:rsidRPr="00A52065" w:rsidRDefault="00981ED2" w:rsidP="005E7A64">
      <w:pPr>
        <w:jc w:val="both"/>
        <w:rPr>
          <w:rFonts w:ascii="Arial" w:hAnsi="Arial" w:cs="Arial"/>
          <w:b/>
          <w:sz w:val="22"/>
          <w:szCs w:val="22"/>
          <w:lang w:val="es-ES"/>
        </w:rPr>
      </w:pPr>
    </w:p>
    <w:p w:rsidR="006662A9" w:rsidRPr="00A52065" w:rsidRDefault="006662A9" w:rsidP="005E7A64">
      <w:pPr>
        <w:jc w:val="both"/>
        <w:rPr>
          <w:rFonts w:ascii="Arial" w:hAnsi="Arial" w:cs="Arial"/>
          <w:b/>
          <w:sz w:val="22"/>
          <w:szCs w:val="22"/>
          <w:lang w:val="es-ES_tradnl"/>
        </w:rPr>
      </w:pPr>
    </w:p>
    <w:p w:rsidR="00990333" w:rsidRPr="00A52065" w:rsidRDefault="00990333" w:rsidP="00990333">
      <w:pPr>
        <w:ind w:left="360"/>
        <w:jc w:val="both"/>
        <w:rPr>
          <w:rFonts w:ascii="Arial" w:hAnsi="Arial" w:cs="Arial"/>
          <w:b/>
          <w:sz w:val="22"/>
          <w:szCs w:val="22"/>
          <w:lang w:val="es-ES_tradnl"/>
        </w:rPr>
      </w:pPr>
      <w:r w:rsidRPr="00A52065">
        <w:rPr>
          <w:rFonts w:ascii="Arial" w:hAnsi="Arial" w:cs="Arial"/>
          <w:b/>
          <w:sz w:val="22"/>
          <w:szCs w:val="22"/>
          <w:lang w:val="es-ES_tradnl"/>
        </w:rPr>
        <w:t>Monto de la consultoría</w:t>
      </w:r>
    </w:p>
    <w:p w:rsidR="00990333" w:rsidRPr="00A52065" w:rsidRDefault="00990333" w:rsidP="00990333">
      <w:pPr>
        <w:jc w:val="both"/>
        <w:rPr>
          <w:rFonts w:ascii="Arial" w:hAnsi="Arial" w:cs="Arial"/>
          <w:sz w:val="22"/>
          <w:szCs w:val="22"/>
          <w:lang w:val="es-ES_tradnl"/>
        </w:rPr>
      </w:pPr>
    </w:p>
    <w:p w:rsidR="00515E96" w:rsidRPr="00A52065" w:rsidRDefault="00990333" w:rsidP="00990333">
      <w:pPr>
        <w:ind w:left="360"/>
        <w:jc w:val="both"/>
        <w:rPr>
          <w:rFonts w:ascii="Arial" w:hAnsi="Arial" w:cs="Arial"/>
          <w:sz w:val="22"/>
          <w:szCs w:val="22"/>
          <w:lang w:val="es-ES_tradnl"/>
        </w:rPr>
      </w:pPr>
      <w:r w:rsidRPr="00A52065">
        <w:rPr>
          <w:rFonts w:ascii="Arial" w:hAnsi="Arial" w:cs="Arial"/>
          <w:sz w:val="22"/>
          <w:szCs w:val="22"/>
          <w:lang w:val="es-ES_tradnl"/>
        </w:rPr>
        <w:t xml:space="preserve">Se estima un monto </w:t>
      </w:r>
      <w:r w:rsidR="006A71F0" w:rsidRPr="00A52065">
        <w:rPr>
          <w:rFonts w:ascii="Arial" w:hAnsi="Arial" w:cs="Arial"/>
          <w:sz w:val="22"/>
          <w:szCs w:val="22"/>
          <w:lang w:val="es-ES_tradnl"/>
        </w:rPr>
        <w:t>de US</w:t>
      </w:r>
      <w:r w:rsidR="00C87DE5">
        <w:rPr>
          <w:rFonts w:ascii="Arial" w:hAnsi="Arial" w:cs="Arial"/>
          <w:sz w:val="22"/>
          <w:szCs w:val="22"/>
          <w:lang w:val="es-ES_tradnl"/>
        </w:rPr>
        <w:t>$ 1.125.520,</w:t>
      </w:r>
      <w:r w:rsidRPr="00A52065">
        <w:rPr>
          <w:rFonts w:ascii="Arial" w:hAnsi="Arial" w:cs="Arial"/>
          <w:sz w:val="22"/>
          <w:szCs w:val="22"/>
          <w:lang w:val="es-ES_tradnl"/>
        </w:rPr>
        <w:t>00 (un millón de dólares) por honorarios profesionales y logística asociada con la consecución de los objetivos del contrato.</w:t>
      </w:r>
    </w:p>
    <w:p w:rsidR="00AB0705" w:rsidRPr="00A52065" w:rsidRDefault="00AB0705" w:rsidP="00990333">
      <w:pPr>
        <w:ind w:left="360"/>
        <w:jc w:val="both"/>
        <w:rPr>
          <w:rFonts w:ascii="Arial" w:hAnsi="Arial" w:cs="Arial"/>
          <w:sz w:val="22"/>
          <w:szCs w:val="22"/>
          <w:lang w:val="es-ES_tradnl"/>
        </w:rPr>
      </w:pPr>
    </w:p>
    <w:p w:rsidR="00AB0705" w:rsidRPr="00A52065" w:rsidRDefault="00AB0705" w:rsidP="00AB0705">
      <w:pPr>
        <w:ind w:left="360"/>
        <w:jc w:val="both"/>
        <w:rPr>
          <w:rFonts w:ascii="Arial" w:hAnsi="Arial" w:cs="Arial"/>
          <w:b/>
          <w:sz w:val="22"/>
          <w:szCs w:val="22"/>
          <w:lang w:val="es-ES_tradnl"/>
        </w:rPr>
      </w:pPr>
      <w:r w:rsidRPr="00A52065">
        <w:rPr>
          <w:rFonts w:ascii="Arial" w:hAnsi="Arial" w:cs="Arial"/>
          <w:b/>
          <w:sz w:val="22"/>
          <w:szCs w:val="22"/>
          <w:lang w:val="es-ES_tradnl"/>
        </w:rPr>
        <w:t>Duración de la consultoría</w:t>
      </w:r>
    </w:p>
    <w:p w:rsidR="00AB0705" w:rsidRPr="007C2051" w:rsidRDefault="00AB0705" w:rsidP="00AB0705">
      <w:pPr>
        <w:ind w:left="360"/>
        <w:jc w:val="both"/>
        <w:rPr>
          <w:rFonts w:ascii="Arial" w:hAnsi="Arial" w:cs="Arial"/>
          <w:sz w:val="22"/>
          <w:szCs w:val="22"/>
          <w:lang w:val="es-ES_tradnl"/>
        </w:rPr>
      </w:pPr>
      <w:r w:rsidRPr="00A52065">
        <w:rPr>
          <w:rFonts w:ascii="Arial" w:hAnsi="Arial" w:cs="Arial"/>
          <w:sz w:val="22"/>
          <w:szCs w:val="22"/>
          <w:lang w:val="es-ES_tradnl"/>
        </w:rPr>
        <w:t xml:space="preserve">Esta consultoría tendrá una </w:t>
      </w:r>
      <w:r w:rsidRPr="007C2051">
        <w:rPr>
          <w:rFonts w:ascii="Arial" w:hAnsi="Arial" w:cs="Arial"/>
          <w:sz w:val="22"/>
          <w:szCs w:val="22"/>
          <w:lang w:val="es-ES_tradnl"/>
        </w:rPr>
        <w:t xml:space="preserve">duración de </w:t>
      </w:r>
      <w:r w:rsidR="00C87DE5">
        <w:rPr>
          <w:rFonts w:ascii="Arial" w:hAnsi="Arial" w:cs="Arial"/>
          <w:sz w:val="22"/>
          <w:szCs w:val="22"/>
          <w:lang w:val="es-ES_tradnl"/>
        </w:rPr>
        <w:t>24</w:t>
      </w:r>
      <w:bookmarkStart w:id="0" w:name="_GoBack"/>
      <w:bookmarkEnd w:id="0"/>
      <w:r w:rsidRPr="007C2051">
        <w:rPr>
          <w:rFonts w:ascii="Arial" w:hAnsi="Arial" w:cs="Arial"/>
          <w:sz w:val="22"/>
          <w:szCs w:val="22"/>
          <w:lang w:val="es-ES_tradnl"/>
        </w:rPr>
        <w:t xml:space="preserve"> meses</w:t>
      </w:r>
      <w:r w:rsidR="007C2051" w:rsidRPr="007C2051">
        <w:rPr>
          <w:rFonts w:ascii="Arial" w:hAnsi="Arial" w:cs="Arial"/>
          <w:sz w:val="22"/>
          <w:szCs w:val="22"/>
          <w:lang w:val="es-ES_tradnl"/>
        </w:rPr>
        <w:t xml:space="preserve"> (</w:t>
      </w:r>
      <w:r w:rsidR="005712F7" w:rsidRPr="007C2051">
        <w:rPr>
          <w:rFonts w:ascii="Arial" w:hAnsi="Arial" w:cs="Arial"/>
          <w:sz w:val="22"/>
          <w:szCs w:val="22"/>
          <w:lang w:val="es-ES_tradnl"/>
        </w:rPr>
        <w:t>a partir de</w:t>
      </w:r>
      <w:r w:rsidR="00A52065" w:rsidRPr="007C2051">
        <w:rPr>
          <w:rFonts w:ascii="Arial" w:hAnsi="Arial" w:cs="Arial"/>
          <w:sz w:val="22"/>
          <w:szCs w:val="22"/>
          <w:lang w:val="es-ES_tradnl"/>
        </w:rPr>
        <w:t xml:space="preserve"> </w:t>
      </w:r>
      <w:r w:rsidR="007C2051" w:rsidRPr="007C2051">
        <w:rPr>
          <w:rFonts w:ascii="Arial" w:hAnsi="Arial" w:cs="Arial"/>
          <w:sz w:val="22"/>
          <w:szCs w:val="22"/>
          <w:lang w:val="es-ES_tradnl"/>
        </w:rPr>
        <w:t>enero</w:t>
      </w:r>
      <w:r w:rsidR="006E5F91">
        <w:rPr>
          <w:rFonts w:ascii="Arial" w:hAnsi="Arial" w:cs="Arial"/>
          <w:sz w:val="22"/>
          <w:szCs w:val="22"/>
          <w:lang w:val="es-ES_tradnl"/>
        </w:rPr>
        <w:t xml:space="preserve"> de 2018</w:t>
      </w:r>
      <w:r w:rsidR="00A52065" w:rsidRPr="007C2051">
        <w:rPr>
          <w:rFonts w:ascii="Arial" w:hAnsi="Arial" w:cs="Arial"/>
          <w:sz w:val="22"/>
          <w:szCs w:val="22"/>
          <w:lang w:val="es-ES_tradnl"/>
        </w:rPr>
        <w:t xml:space="preserve"> y hasta </w:t>
      </w:r>
      <w:r w:rsidR="007C2051" w:rsidRPr="007C2051">
        <w:rPr>
          <w:rFonts w:ascii="Arial" w:hAnsi="Arial" w:cs="Arial"/>
          <w:sz w:val="22"/>
          <w:szCs w:val="22"/>
          <w:lang w:val="es-ES_tradnl"/>
        </w:rPr>
        <w:t>diciembre 2019</w:t>
      </w:r>
      <w:r w:rsidR="005712F7" w:rsidRPr="007C2051">
        <w:rPr>
          <w:rFonts w:ascii="Arial" w:hAnsi="Arial" w:cs="Arial"/>
          <w:sz w:val="22"/>
          <w:szCs w:val="22"/>
          <w:lang w:val="es-ES_tradnl"/>
        </w:rPr>
        <w:t>)</w:t>
      </w:r>
    </w:p>
    <w:p w:rsidR="00AB0705" w:rsidRPr="00990333" w:rsidRDefault="00AB0705" w:rsidP="00990333">
      <w:pPr>
        <w:ind w:left="360"/>
        <w:jc w:val="both"/>
        <w:rPr>
          <w:rFonts w:ascii="Arial" w:hAnsi="Arial" w:cs="Arial"/>
          <w:sz w:val="22"/>
          <w:szCs w:val="22"/>
          <w:lang w:val="es-ES_tradnl"/>
        </w:rPr>
      </w:pPr>
    </w:p>
    <w:sectPr w:rsidR="00AB0705" w:rsidRPr="00990333" w:rsidSect="00264B78">
      <w:headerReference w:type="default" r:id="rId7"/>
      <w:footerReference w:type="even" r:id="rId8"/>
      <w:footerReference w:type="default" r:id="rId9"/>
      <w:pgSz w:w="12240" w:h="15840"/>
      <w:pgMar w:top="900" w:right="1080" w:bottom="630" w:left="1080" w:header="720" w:footer="2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D4E" w:rsidRDefault="00772D4E" w:rsidP="00934A56">
      <w:r>
        <w:separator/>
      </w:r>
    </w:p>
  </w:endnote>
  <w:endnote w:type="continuationSeparator" w:id="0">
    <w:p w:rsidR="00772D4E" w:rsidRDefault="00772D4E" w:rsidP="0093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5B" w:rsidRDefault="00A2345B" w:rsidP="00D43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345B" w:rsidRDefault="00A2345B" w:rsidP="00D433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583995"/>
      <w:docPartObj>
        <w:docPartGallery w:val="Page Numbers (Bottom of Page)"/>
        <w:docPartUnique/>
      </w:docPartObj>
    </w:sdtPr>
    <w:sdtEndPr>
      <w:rPr>
        <w:noProof/>
      </w:rPr>
    </w:sdtEndPr>
    <w:sdtContent>
      <w:p w:rsidR="00A2345B" w:rsidRDefault="00A2345B">
        <w:pPr>
          <w:pStyle w:val="Footer"/>
          <w:jc w:val="center"/>
        </w:pPr>
        <w:r>
          <w:fldChar w:fldCharType="begin"/>
        </w:r>
        <w:r>
          <w:instrText xml:space="preserve"> PAGE   \* MERGEFORMAT </w:instrText>
        </w:r>
        <w:r>
          <w:fldChar w:fldCharType="separate"/>
        </w:r>
        <w:r w:rsidR="009A11EC">
          <w:rPr>
            <w:noProof/>
          </w:rPr>
          <w:t>4</w:t>
        </w:r>
        <w:r>
          <w:rPr>
            <w:noProof/>
          </w:rPr>
          <w:fldChar w:fldCharType="end"/>
        </w:r>
      </w:p>
    </w:sdtContent>
  </w:sdt>
  <w:p w:rsidR="00A2345B" w:rsidRDefault="00A2345B" w:rsidP="00B511A1">
    <w:pPr>
      <w:pStyle w:val="Footer"/>
      <w:tabs>
        <w:tab w:val="clear" w:pos="4252"/>
        <w:tab w:val="clear" w:pos="8504"/>
        <w:tab w:val="left" w:pos="652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D4E" w:rsidRDefault="00772D4E" w:rsidP="00934A56">
      <w:r>
        <w:separator/>
      </w:r>
    </w:p>
  </w:footnote>
  <w:footnote w:type="continuationSeparator" w:id="0">
    <w:p w:rsidR="00772D4E" w:rsidRDefault="00772D4E" w:rsidP="00934A56">
      <w:r>
        <w:continuationSeparator/>
      </w:r>
    </w:p>
  </w:footnote>
  <w:footnote w:id="1">
    <w:p w:rsidR="006E5F91" w:rsidRPr="006E5F91" w:rsidRDefault="006E5F91" w:rsidP="006E5F91">
      <w:pPr>
        <w:pStyle w:val="FootnoteText"/>
        <w:jc w:val="both"/>
        <w:rPr>
          <w:rFonts w:ascii="Arial" w:hAnsi="Arial" w:cs="Arial"/>
          <w:sz w:val="16"/>
          <w:szCs w:val="16"/>
          <w:lang w:val="es-ES_tradnl"/>
        </w:rPr>
      </w:pPr>
      <w:r w:rsidRPr="006E5F91">
        <w:rPr>
          <w:rStyle w:val="FootnoteReference"/>
          <w:rFonts w:ascii="Arial" w:hAnsi="Arial" w:cs="Arial"/>
          <w:sz w:val="16"/>
          <w:szCs w:val="16"/>
        </w:rPr>
        <w:footnoteRef/>
      </w:r>
      <w:r w:rsidRPr="006E5F91">
        <w:rPr>
          <w:rFonts w:ascii="Arial" w:hAnsi="Arial" w:cs="Arial"/>
          <w:sz w:val="16"/>
          <w:szCs w:val="16"/>
          <w:lang w:val="es-ES_tradnl"/>
        </w:rPr>
        <w:t xml:space="preserve"> El país cuenta con un bono demográfico, caracterizado por un mayor crecimiento de la población en edad de trabajar en comparación con el crecimiento de la población dependiente.</w:t>
      </w:r>
    </w:p>
  </w:footnote>
  <w:footnote w:id="2">
    <w:p w:rsidR="006E5F91" w:rsidRPr="006E5F91" w:rsidRDefault="006E5F91" w:rsidP="006E5F91">
      <w:pPr>
        <w:pStyle w:val="FootnoteText"/>
        <w:jc w:val="both"/>
        <w:rPr>
          <w:rFonts w:ascii="Arial" w:hAnsi="Arial" w:cs="Arial"/>
          <w:sz w:val="16"/>
          <w:szCs w:val="16"/>
          <w:lang w:val="es-ES_tradnl"/>
        </w:rPr>
      </w:pPr>
      <w:r w:rsidRPr="006E5F91">
        <w:rPr>
          <w:rStyle w:val="FootnoteReference"/>
          <w:rFonts w:ascii="Arial" w:hAnsi="Arial" w:cs="Arial"/>
          <w:sz w:val="16"/>
          <w:szCs w:val="16"/>
        </w:rPr>
        <w:footnoteRef/>
      </w:r>
      <w:r w:rsidRPr="006E5F91">
        <w:rPr>
          <w:rFonts w:ascii="Arial" w:hAnsi="Arial" w:cs="Arial"/>
          <w:sz w:val="16"/>
          <w:szCs w:val="16"/>
          <w:lang w:val="es-ES_tradnl"/>
        </w:rPr>
        <w:t xml:space="preserve"> Como proporción del PIB, Nicaragua tiene el segundo promedio más alto de IED de Centroamérica en los últimos diez años (6,9 % del PIB), solo por debajo de Panamá que promedió la IED 8,2% del PIB.</w:t>
      </w:r>
    </w:p>
  </w:footnote>
  <w:footnote w:id="3">
    <w:p w:rsidR="006E5F91" w:rsidRPr="006E5F91" w:rsidRDefault="006E5F91" w:rsidP="006E5F91">
      <w:pPr>
        <w:pStyle w:val="FootnoteText"/>
        <w:rPr>
          <w:rFonts w:ascii="Arial" w:hAnsi="Arial" w:cs="Arial"/>
          <w:sz w:val="16"/>
          <w:szCs w:val="16"/>
          <w:lang w:val="es-ES_tradnl"/>
        </w:rPr>
      </w:pPr>
      <w:r w:rsidRPr="006E5F91">
        <w:rPr>
          <w:rStyle w:val="FootnoteReference"/>
          <w:rFonts w:ascii="Arial" w:hAnsi="Arial" w:cs="Arial"/>
          <w:sz w:val="16"/>
          <w:szCs w:val="16"/>
        </w:rPr>
        <w:footnoteRef/>
      </w:r>
      <w:r w:rsidRPr="006E5F91">
        <w:rPr>
          <w:rFonts w:ascii="Arial" w:hAnsi="Arial" w:cs="Arial"/>
          <w:sz w:val="16"/>
          <w:szCs w:val="16"/>
          <w:lang w:val="es-ES_tradnl"/>
        </w:rPr>
        <w:t xml:space="preserve"> </w:t>
      </w:r>
      <w:r w:rsidRPr="006E5F91">
        <w:rPr>
          <w:rFonts w:ascii="Arial" w:hAnsi="Arial" w:cs="Arial"/>
          <w:sz w:val="16"/>
          <w:szCs w:val="16"/>
          <w:lang w:val="es-ES"/>
        </w:rPr>
        <w:t xml:space="preserve">Entre los años 1996 y 2015 la acumulación de capital aportó 2,5 puntos porcentuales al crecimiento promedio y el trabajo aportó 1,6 puntos, mientras que la productividad total de los factores tuvo aporte negativo de 0,7 puntos porcentuales. Fuente: </w:t>
      </w:r>
      <w:r w:rsidRPr="006E5F91">
        <w:rPr>
          <w:rFonts w:ascii="Arial" w:hAnsi="Arial" w:cs="Arial"/>
          <w:sz w:val="16"/>
          <w:szCs w:val="16"/>
          <w:lang w:val="es-ES_tradnl"/>
        </w:rPr>
        <w:t>Contabilidad de Crecimiento elaborado para el Documento de Retos de Desarrollo de Nicaragua (2017).</w:t>
      </w:r>
    </w:p>
  </w:footnote>
  <w:footnote w:id="4">
    <w:p w:rsidR="006E5F91" w:rsidRPr="006E5F91" w:rsidRDefault="006E5F91" w:rsidP="006E5F91">
      <w:pPr>
        <w:pStyle w:val="FootnoteText"/>
        <w:jc w:val="both"/>
        <w:rPr>
          <w:rFonts w:ascii="Arial" w:hAnsi="Arial" w:cs="Arial"/>
          <w:sz w:val="16"/>
          <w:szCs w:val="16"/>
          <w:lang w:val="es-ES_tradnl"/>
        </w:rPr>
      </w:pPr>
      <w:r w:rsidRPr="006E5F91">
        <w:rPr>
          <w:rStyle w:val="FootnoteReference"/>
          <w:rFonts w:ascii="Arial" w:hAnsi="Arial" w:cs="Arial"/>
          <w:sz w:val="16"/>
          <w:szCs w:val="16"/>
        </w:rPr>
        <w:footnoteRef/>
      </w:r>
      <w:r w:rsidRPr="006E5F91">
        <w:rPr>
          <w:rFonts w:ascii="Arial" w:hAnsi="Arial" w:cs="Arial"/>
          <w:sz w:val="16"/>
          <w:szCs w:val="16"/>
          <w:lang w:val="es-ES_tradnl"/>
        </w:rPr>
        <w:t xml:space="preserve"> </w:t>
      </w:r>
      <w:r w:rsidRPr="006E5F91">
        <w:rPr>
          <w:rFonts w:ascii="Arial" w:hAnsi="Arial" w:cs="Arial"/>
          <w:sz w:val="16"/>
          <w:szCs w:val="16"/>
          <w:lang w:val="es-ES"/>
        </w:rPr>
        <w:t>Según el Foro Económico Mundial, la competitividad es el conjunto de instituciones, políticas y factores que determinan el nivel de productividad de un país.</w:t>
      </w:r>
    </w:p>
  </w:footnote>
  <w:footnote w:id="5">
    <w:p w:rsidR="006E5F91" w:rsidRPr="006E5F91" w:rsidRDefault="006E5F91" w:rsidP="006E5F91">
      <w:pPr>
        <w:pStyle w:val="FootnoteText"/>
        <w:jc w:val="both"/>
        <w:rPr>
          <w:rFonts w:ascii="Arial" w:hAnsi="Arial" w:cs="Arial"/>
          <w:sz w:val="16"/>
          <w:szCs w:val="16"/>
          <w:lang w:val="es-ES_tradnl"/>
        </w:rPr>
      </w:pPr>
      <w:r w:rsidRPr="006E5F91">
        <w:rPr>
          <w:rStyle w:val="FootnoteReference"/>
          <w:rFonts w:ascii="Arial" w:hAnsi="Arial" w:cs="Arial"/>
          <w:sz w:val="16"/>
          <w:szCs w:val="16"/>
        </w:rPr>
        <w:footnoteRef/>
      </w:r>
      <w:r w:rsidRPr="006E5F91">
        <w:rPr>
          <w:rFonts w:ascii="Arial" w:hAnsi="Arial" w:cs="Arial"/>
          <w:sz w:val="16"/>
          <w:szCs w:val="16"/>
          <w:lang w:val="es-ES_tradnl"/>
        </w:rPr>
        <w:t xml:space="preserve"> Este hace referencia a la posición según el índice general. Fuente: Foro Económico Mundial</w:t>
      </w:r>
    </w:p>
  </w:footnote>
  <w:footnote w:id="6">
    <w:p w:rsidR="006E5F91" w:rsidRPr="006E5F91" w:rsidRDefault="006E5F91" w:rsidP="006E5F91">
      <w:pPr>
        <w:pStyle w:val="FootnoteText"/>
        <w:jc w:val="both"/>
        <w:rPr>
          <w:rFonts w:ascii="Arial" w:hAnsi="Arial" w:cs="Arial"/>
          <w:sz w:val="16"/>
          <w:szCs w:val="16"/>
          <w:lang w:val="es-ES_tradnl"/>
        </w:rPr>
      </w:pPr>
      <w:r w:rsidRPr="006E5F91">
        <w:rPr>
          <w:rStyle w:val="FootnoteReference"/>
          <w:rFonts w:ascii="Arial" w:hAnsi="Arial" w:cs="Arial"/>
          <w:sz w:val="16"/>
          <w:szCs w:val="16"/>
        </w:rPr>
        <w:footnoteRef/>
      </w:r>
      <w:r w:rsidRPr="006E5F91">
        <w:rPr>
          <w:rFonts w:ascii="Arial" w:hAnsi="Arial" w:cs="Arial"/>
          <w:sz w:val="16"/>
          <w:szCs w:val="16"/>
          <w:lang w:val="es-ES_tradnl"/>
        </w:rPr>
        <w:t xml:space="preserve"> </w:t>
      </w:r>
      <w:r w:rsidRPr="006E5F91">
        <w:rPr>
          <w:rFonts w:ascii="Arial" w:hAnsi="Arial" w:cs="Arial"/>
          <w:sz w:val="16"/>
          <w:szCs w:val="16"/>
          <w:lang w:val="es-ES"/>
        </w:rPr>
        <w:t>El único pilar donde el país posee mejor puntuación que el promedio de ALC es en estabilidad macroeconómica.</w:t>
      </w:r>
    </w:p>
  </w:footnote>
  <w:footnote w:id="7">
    <w:p w:rsidR="006E5F91" w:rsidRPr="006E5F91" w:rsidRDefault="006E5F91" w:rsidP="006E5F91">
      <w:pPr>
        <w:pStyle w:val="FootnoteText"/>
        <w:rPr>
          <w:rFonts w:ascii="Arial" w:hAnsi="Arial" w:cs="Arial"/>
          <w:sz w:val="16"/>
          <w:szCs w:val="16"/>
          <w:lang w:val="es-ES_tradnl"/>
        </w:rPr>
      </w:pPr>
      <w:r w:rsidRPr="006E5F91">
        <w:rPr>
          <w:rStyle w:val="FootnoteReference"/>
          <w:rFonts w:ascii="Arial" w:hAnsi="Arial" w:cs="Arial"/>
          <w:sz w:val="16"/>
          <w:szCs w:val="16"/>
        </w:rPr>
        <w:footnoteRef/>
      </w:r>
      <w:r w:rsidRPr="006E5F91">
        <w:rPr>
          <w:rFonts w:ascii="Arial" w:hAnsi="Arial" w:cs="Arial"/>
          <w:sz w:val="16"/>
          <w:szCs w:val="16"/>
          <w:lang w:val="es-ES_tradnl"/>
        </w:rPr>
        <w:t xml:space="preserve"> </w:t>
      </w:r>
      <w:r w:rsidRPr="006E5F91">
        <w:rPr>
          <w:rFonts w:ascii="Arial" w:hAnsi="Arial" w:cs="Arial"/>
          <w:sz w:val="16"/>
          <w:szCs w:val="16"/>
          <w:lang w:val="es-ES"/>
        </w:rPr>
        <w:t>La inversión en el sector de transporte en los últimos 10 años ha promediado el 1,3% del PIB y el 28,5% del total del Programa de Inversión Pública. El presupuesto anual de operación de mantenimiento vial proviene de tres fuentes: Impuestos al combustible, fondos de donantes y préstamos, y se divide entre alrededor del 70% para desarrollo vial y 30% para mantenimiento. El mantenimiento de las carreteras nacionales y las departamentales es responsabilidad del Fondo de Mantenimiento Vial (FOMAV), en conjunto con el Ministerio de Transporte e Infraestructura (MTI).</w:t>
      </w:r>
    </w:p>
  </w:footnote>
  <w:footnote w:id="8">
    <w:p w:rsidR="006E5F91" w:rsidRPr="006E5F91" w:rsidRDefault="006E5F91" w:rsidP="006E5F91">
      <w:pPr>
        <w:pStyle w:val="FootnoteText"/>
        <w:jc w:val="both"/>
        <w:rPr>
          <w:rFonts w:ascii="Arial" w:hAnsi="Arial" w:cs="Arial"/>
          <w:sz w:val="16"/>
          <w:szCs w:val="16"/>
          <w:lang w:val="es-ES_tradnl"/>
        </w:rPr>
      </w:pPr>
      <w:r w:rsidRPr="006E5F91">
        <w:rPr>
          <w:rStyle w:val="FootnoteReference"/>
          <w:rFonts w:ascii="Arial" w:hAnsi="Arial" w:cs="Arial"/>
          <w:sz w:val="16"/>
          <w:szCs w:val="16"/>
        </w:rPr>
        <w:footnoteRef/>
      </w:r>
      <w:r w:rsidRPr="006E5F91">
        <w:rPr>
          <w:rFonts w:ascii="Arial" w:hAnsi="Arial" w:cs="Arial"/>
          <w:sz w:val="16"/>
          <w:szCs w:val="16"/>
          <w:lang w:val="es-ES_tradnl"/>
        </w:rPr>
        <w:t xml:space="preserve"> En 2015 se manejaron 4,3 millones de toneladas métricas en total, representando solamente el 2,8% del total de la región centroamericana.</w:t>
      </w:r>
    </w:p>
  </w:footnote>
  <w:footnote w:id="9">
    <w:p w:rsidR="006E5F91" w:rsidRPr="006E5F91" w:rsidRDefault="006E5F91" w:rsidP="006E5F91">
      <w:pPr>
        <w:pStyle w:val="FootnoteText"/>
        <w:rPr>
          <w:rFonts w:ascii="Arial" w:hAnsi="Arial" w:cs="Arial"/>
          <w:sz w:val="16"/>
          <w:szCs w:val="16"/>
          <w:lang w:val="es-ES"/>
        </w:rPr>
      </w:pPr>
      <w:r w:rsidRPr="006E5F91">
        <w:rPr>
          <w:rStyle w:val="FootnoteReference"/>
          <w:rFonts w:ascii="Arial" w:hAnsi="Arial" w:cs="Arial"/>
          <w:sz w:val="16"/>
          <w:szCs w:val="16"/>
        </w:rPr>
        <w:footnoteRef/>
      </w:r>
      <w:r w:rsidRPr="006E5F91">
        <w:rPr>
          <w:rFonts w:ascii="Arial" w:hAnsi="Arial" w:cs="Arial"/>
          <w:sz w:val="16"/>
          <w:szCs w:val="16"/>
          <w:lang w:val="es-ES"/>
        </w:rPr>
        <w:t xml:space="preserve"> Solís, G. y otros (2012). “Innovación inclusiva y desarrollo tecnológico en Nicaragua”.</w:t>
      </w:r>
    </w:p>
  </w:footnote>
  <w:footnote w:id="10">
    <w:p w:rsidR="006E5F91" w:rsidRPr="006E5F91" w:rsidRDefault="006E5F91" w:rsidP="006E5F91">
      <w:pPr>
        <w:pStyle w:val="FootnoteText"/>
        <w:rPr>
          <w:rFonts w:ascii="Arial" w:hAnsi="Arial" w:cs="Arial"/>
          <w:sz w:val="16"/>
          <w:szCs w:val="16"/>
          <w:lang w:val="es-ES_tradnl"/>
        </w:rPr>
      </w:pPr>
      <w:r w:rsidRPr="006E5F91">
        <w:rPr>
          <w:rStyle w:val="FootnoteReference"/>
          <w:rFonts w:ascii="Arial" w:hAnsi="Arial" w:cs="Arial"/>
          <w:sz w:val="16"/>
          <w:szCs w:val="16"/>
        </w:rPr>
        <w:footnoteRef/>
      </w:r>
      <w:r w:rsidRPr="006E5F91">
        <w:rPr>
          <w:rFonts w:ascii="Arial" w:hAnsi="Arial" w:cs="Arial"/>
          <w:sz w:val="16"/>
          <w:szCs w:val="16"/>
          <w:lang w:val="es-ES_tradnl"/>
        </w:rPr>
        <w:t xml:space="preserve"> Tercer Estudio Regional Comparativo y Explicativo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509" w:rsidRPr="00AD1509" w:rsidRDefault="00AD1509" w:rsidP="00AD1509">
    <w:pPr>
      <w:jc w:val="center"/>
      <w:rPr>
        <w:rFonts w:ascii="Arial" w:eastAsia="Times New Roman" w:hAnsi="Arial" w:cs="Arial"/>
        <w:bCs/>
        <w:caps/>
        <w:sz w:val="18"/>
        <w:szCs w:val="18"/>
        <w:lang w:val="es-ES"/>
      </w:rPr>
    </w:pPr>
    <w:r w:rsidRPr="00AD1509">
      <w:rPr>
        <w:rFonts w:ascii="Arial" w:eastAsia="Times New Roman" w:hAnsi="Arial" w:cs="Arial"/>
        <w:bCs/>
        <w:caps/>
        <w:sz w:val="18"/>
        <w:szCs w:val="18"/>
        <w:lang w:val="es-ES"/>
      </w:rPr>
      <w:t>BANCO INTERAMERICANO DE DESARROLLO</w:t>
    </w:r>
  </w:p>
  <w:p w:rsidR="00AD1509" w:rsidRPr="00AD1509" w:rsidRDefault="00AD1509" w:rsidP="00AD1509">
    <w:pPr>
      <w:jc w:val="center"/>
      <w:rPr>
        <w:rFonts w:ascii="Arial" w:eastAsia="Times New Roman" w:hAnsi="Arial" w:cs="Arial"/>
        <w:bCs/>
        <w:caps/>
        <w:sz w:val="18"/>
        <w:szCs w:val="18"/>
        <w:lang w:val="es-ES"/>
      </w:rPr>
    </w:pPr>
    <w:r w:rsidRPr="00AD1509">
      <w:rPr>
        <w:rFonts w:ascii="Arial" w:eastAsia="Times New Roman" w:hAnsi="Arial" w:cs="Arial"/>
        <w:bCs/>
        <w:caps/>
        <w:sz w:val="18"/>
        <w:szCs w:val="18"/>
        <w:lang w:val="es-ES"/>
      </w:rPr>
      <w:t>Departamento de Países de Centroamérica, Panamá, México y República Dominicana (CID/CID)</w:t>
    </w:r>
  </w:p>
  <w:p w:rsidR="00AD1509" w:rsidRPr="00AD1509" w:rsidRDefault="00AD1509">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16E"/>
    <w:multiLevelType w:val="hybridMultilevel"/>
    <w:tmpl w:val="4D94A340"/>
    <w:lvl w:ilvl="0" w:tplc="D5D26A5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C34B69"/>
    <w:multiLevelType w:val="hybridMultilevel"/>
    <w:tmpl w:val="97C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84FD1"/>
    <w:multiLevelType w:val="hybridMultilevel"/>
    <w:tmpl w:val="FEFEE90A"/>
    <w:lvl w:ilvl="0" w:tplc="B7F01C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673A28"/>
    <w:multiLevelType w:val="hybridMultilevel"/>
    <w:tmpl w:val="9DD6BBE8"/>
    <w:lvl w:ilvl="0" w:tplc="B790C7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E81543"/>
    <w:multiLevelType w:val="hybridMultilevel"/>
    <w:tmpl w:val="914C9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C6077"/>
    <w:multiLevelType w:val="hybridMultilevel"/>
    <w:tmpl w:val="CDE8C2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0505688"/>
    <w:multiLevelType w:val="hybridMultilevel"/>
    <w:tmpl w:val="AF50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F6B55"/>
    <w:multiLevelType w:val="hybridMultilevel"/>
    <w:tmpl w:val="1DDABB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3DA472B"/>
    <w:multiLevelType w:val="multilevel"/>
    <w:tmpl w:val="72EE7700"/>
    <w:lvl w:ilvl="0">
      <w:start w:val="1"/>
      <w:numFmt w:val="upperRoman"/>
      <w:lvlText w:val="%1."/>
      <w:lvlJc w:val="right"/>
      <w:pPr>
        <w:ind w:left="36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7FFB1270"/>
    <w:multiLevelType w:val="hybridMultilevel"/>
    <w:tmpl w:val="06229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1"/>
  </w:num>
  <w:num w:numId="6">
    <w:abstractNumId w:val="5"/>
  </w:num>
  <w:num w:numId="7">
    <w:abstractNumId w:val="6"/>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56"/>
    <w:rsid w:val="00014CF3"/>
    <w:rsid w:val="00022DD8"/>
    <w:rsid w:val="00097B51"/>
    <w:rsid w:val="000A28F9"/>
    <w:rsid w:val="000F3A71"/>
    <w:rsid w:val="00104200"/>
    <w:rsid w:val="001424C8"/>
    <w:rsid w:val="00142FFA"/>
    <w:rsid w:val="00174A45"/>
    <w:rsid w:val="00175ABC"/>
    <w:rsid w:val="00217932"/>
    <w:rsid w:val="00226558"/>
    <w:rsid w:val="00232DD4"/>
    <w:rsid w:val="00241168"/>
    <w:rsid w:val="00253CCF"/>
    <w:rsid w:val="0025431D"/>
    <w:rsid w:val="00264B78"/>
    <w:rsid w:val="00275232"/>
    <w:rsid w:val="00283EEF"/>
    <w:rsid w:val="002A5285"/>
    <w:rsid w:val="002E3F6B"/>
    <w:rsid w:val="00340FBE"/>
    <w:rsid w:val="00346F62"/>
    <w:rsid w:val="003640CE"/>
    <w:rsid w:val="00376841"/>
    <w:rsid w:val="003973B9"/>
    <w:rsid w:val="003A517E"/>
    <w:rsid w:val="003F654C"/>
    <w:rsid w:val="00423822"/>
    <w:rsid w:val="00427DCB"/>
    <w:rsid w:val="00494400"/>
    <w:rsid w:val="004B401B"/>
    <w:rsid w:val="004D6BC6"/>
    <w:rsid w:val="00515E96"/>
    <w:rsid w:val="00540684"/>
    <w:rsid w:val="00546584"/>
    <w:rsid w:val="005712F7"/>
    <w:rsid w:val="005A0B70"/>
    <w:rsid w:val="005A494F"/>
    <w:rsid w:val="005D2F9A"/>
    <w:rsid w:val="005E7A64"/>
    <w:rsid w:val="005F58F0"/>
    <w:rsid w:val="0061424E"/>
    <w:rsid w:val="00621AB9"/>
    <w:rsid w:val="00627721"/>
    <w:rsid w:val="0066466C"/>
    <w:rsid w:val="006662A9"/>
    <w:rsid w:val="006A71F0"/>
    <w:rsid w:val="006D0330"/>
    <w:rsid w:val="006E5F91"/>
    <w:rsid w:val="00735CB6"/>
    <w:rsid w:val="00766815"/>
    <w:rsid w:val="00772D4E"/>
    <w:rsid w:val="007C2051"/>
    <w:rsid w:val="007C2BAE"/>
    <w:rsid w:val="007C4AFC"/>
    <w:rsid w:val="007F64D0"/>
    <w:rsid w:val="0080260B"/>
    <w:rsid w:val="00833EFE"/>
    <w:rsid w:val="00835519"/>
    <w:rsid w:val="00854E46"/>
    <w:rsid w:val="008D204E"/>
    <w:rsid w:val="009074C0"/>
    <w:rsid w:val="00910582"/>
    <w:rsid w:val="00924850"/>
    <w:rsid w:val="00934A56"/>
    <w:rsid w:val="00950A94"/>
    <w:rsid w:val="00973C1F"/>
    <w:rsid w:val="00981ED2"/>
    <w:rsid w:val="00990333"/>
    <w:rsid w:val="009A0899"/>
    <w:rsid w:val="009A11EC"/>
    <w:rsid w:val="009A71F6"/>
    <w:rsid w:val="009C759C"/>
    <w:rsid w:val="009F4A9D"/>
    <w:rsid w:val="00A2345B"/>
    <w:rsid w:val="00A31516"/>
    <w:rsid w:val="00A428B2"/>
    <w:rsid w:val="00A52065"/>
    <w:rsid w:val="00A60D84"/>
    <w:rsid w:val="00A804C9"/>
    <w:rsid w:val="00AA6D6D"/>
    <w:rsid w:val="00AB0705"/>
    <w:rsid w:val="00AC7F29"/>
    <w:rsid w:val="00AD04DF"/>
    <w:rsid w:val="00AD1509"/>
    <w:rsid w:val="00AD74EC"/>
    <w:rsid w:val="00AF0C11"/>
    <w:rsid w:val="00B50D47"/>
    <w:rsid w:val="00B511A1"/>
    <w:rsid w:val="00B65EC3"/>
    <w:rsid w:val="00B84DE8"/>
    <w:rsid w:val="00BC44E7"/>
    <w:rsid w:val="00C67FDD"/>
    <w:rsid w:val="00C87DE5"/>
    <w:rsid w:val="00CA26E3"/>
    <w:rsid w:val="00CC556D"/>
    <w:rsid w:val="00CE2E94"/>
    <w:rsid w:val="00D433FC"/>
    <w:rsid w:val="00D55DD6"/>
    <w:rsid w:val="00D755CC"/>
    <w:rsid w:val="00D80EC7"/>
    <w:rsid w:val="00DB7D80"/>
    <w:rsid w:val="00E46CD6"/>
    <w:rsid w:val="00EA1799"/>
    <w:rsid w:val="00EB5B35"/>
    <w:rsid w:val="00EB6E2B"/>
    <w:rsid w:val="00ED680F"/>
    <w:rsid w:val="00EF2022"/>
    <w:rsid w:val="00F11065"/>
    <w:rsid w:val="00F25683"/>
    <w:rsid w:val="00F85551"/>
    <w:rsid w:val="00F87F26"/>
    <w:rsid w:val="00F94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A344F"/>
  <w15:docId w15:val="{9A68E26B-88CF-4E19-8499-6F30C61F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932"/>
    <w:rPr>
      <w:sz w:val="24"/>
      <w:szCs w:val="24"/>
    </w:rPr>
  </w:style>
  <w:style w:type="paragraph" w:styleId="Heading1">
    <w:name w:val="heading 1"/>
    <w:basedOn w:val="Normal"/>
    <w:next w:val="Normal"/>
    <w:link w:val="Heading1Char"/>
    <w:uiPriority w:val="9"/>
    <w:qFormat/>
    <w:locked/>
    <w:rsid w:val="00AD15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ítulo 2.,Dot pt,F5 List Paragraph,List Paragraph Char Char Char,Indicator Text,Numbered Para 1,Bullet 1,Bullet Points,List Paragraph2,MAIN CONTENT,Normal numbered,List Paragraph1,Colorful List - Accent 11,Issue Action POC,3,Bullets"/>
    <w:basedOn w:val="Normal"/>
    <w:link w:val="ListParagraphChar"/>
    <w:uiPriority w:val="34"/>
    <w:qFormat/>
    <w:rsid w:val="00934A56"/>
    <w:pPr>
      <w:ind w:left="720"/>
      <w:contextualSpacing/>
    </w:pPr>
  </w:style>
  <w:style w:type="paragraph" w:styleId="FootnoteText">
    <w:name w:val="footnote text"/>
    <w:aliases w:val="footnote,Footnote Text Char Char Char,Footnote Text Char Char Char Char Char Char Char,Footnote Text Char Char Char Char Char,Footnote Text Char Char Char Char Char Char,Footnote Text Char Char Char Char Ch Char,foottextfra,F,fn,ADB,ft,FN"/>
    <w:basedOn w:val="Normal"/>
    <w:link w:val="FootnoteTextChar"/>
    <w:qFormat/>
    <w:rsid w:val="00934A56"/>
  </w:style>
  <w:style w:type="character" w:customStyle="1" w:styleId="FootnoteTextChar">
    <w:name w:val="Footnote Text Char"/>
    <w:aliases w:val="footnote Char,Footnote Text Char Char Char Char,Footnote Text Char Char Char Char Char Char Char Char,Footnote Text Char Char Char Char Char Char1,Footnote Text Char Char Char Char Char Char Char1,foottextfra Char,F Char,fn Char"/>
    <w:basedOn w:val="DefaultParagraphFont"/>
    <w:link w:val="FootnoteText"/>
    <w:locked/>
    <w:rsid w:val="00934A56"/>
    <w:rPr>
      <w:rFonts w:cs="Times New Roman"/>
    </w:rPr>
  </w:style>
  <w:style w:type="character" w:styleId="FootnoteReference">
    <w:name w:val="footnote reference"/>
    <w:aliases w:val="referencia nota al pie,FC,ftref,16 Point,Superscript 6 Point,Footnote Reference Number,Footnote Reference_LVL6,Footnote Reference_LVL61,Footnote Reference_LVL62,Footnote Reference_LVL63,Footnote Reference_LVL64,Знак сноски-FN,titulo 2"/>
    <w:basedOn w:val="DefaultParagraphFont"/>
    <w:uiPriority w:val="99"/>
    <w:qFormat/>
    <w:rsid w:val="00934A56"/>
    <w:rPr>
      <w:rFonts w:cs="Times New Roman"/>
      <w:vertAlign w:val="superscript"/>
    </w:rPr>
  </w:style>
  <w:style w:type="character" w:styleId="Hyperlink">
    <w:name w:val="Hyperlink"/>
    <w:basedOn w:val="DefaultParagraphFont"/>
    <w:uiPriority w:val="99"/>
    <w:rsid w:val="005F58F0"/>
    <w:rPr>
      <w:rFonts w:cs="Times New Roman"/>
      <w:color w:val="0000FF"/>
      <w:u w:val="single"/>
    </w:rPr>
  </w:style>
  <w:style w:type="paragraph" w:styleId="BalloonText">
    <w:name w:val="Balloon Text"/>
    <w:basedOn w:val="Normal"/>
    <w:link w:val="BalloonTextChar"/>
    <w:uiPriority w:val="99"/>
    <w:semiHidden/>
    <w:unhideWhenUsed/>
    <w:rsid w:val="00254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31D"/>
    <w:rPr>
      <w:rFonts w:ascii="Lucida Grande" w:hAnsi="Lucida Grande" w:cs="Lucida Grande"/>
      <w:sz w:val="18"/>
      <w:szCs w:val="18"/>
    </w:rPr>
  </w:style>
  <w:style w:type="table" w:styleId="TableGrid">
    <w:name w:val="Table Grid"/>
    <w:basedOn w:val="TableNormal"/>
    <w:uiPriority w:val="59"/>
    <w:locked/>
    <w:rsid w:val="009C759C"/>
    <w:rPr>
      <w:rFonts w:asciiTheme="minorHAnsi" w:eastAsiaTheme="minorEastAsia" w:hAnsiTheme="minorHAnsi" w:cstheme="minorBidi"/>
      <w:sz w:val="24"/>
      <w:szCs w:val="24"/>
      <w:lang w:val="es-GT"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33FC"/>
    <w:pPr>
      <w:tabs>
        <w:tab w:val="center" w:pos="4252"/>
        <w:tab w:val="right" w:pos="8504"/>
      </w:tabs>
    </w:pPr>
  </w:style>
  <w:style w:type="character" w:customStyle="1" w:styleId="FooterChar">
    <w:name w:val="Footer Char"/>
    <w:basedOn w:val="DefaultParagraphFont"/>
    <w:link w:val="Footer"/>
    <w:uiPriority w:val="99"/>
    <w:rsid w:val="00D433FC"/>
    <w:rPr>
      <w:sz w:val="24"/>
      <w:szCs w:val="24"/>
    </w:rPr>
  </w:style>
  <w:style w:type="character" w:styleId="PageNumber">
    <w:name w:val="page number"/>
    <w:basedOn w:val="DefaultParagraphFont"/>
    <w:uiPriority w:val="99"/>
    <w:semiHidden/>
    <w:unhideWhenUsed/>
    <w:rsid w:val="00D433FC"/>
  </w:style>
  <w:style w:type="paragraph" w:styleId="Header">
    <w:name w:val="header"/>
    <w:basedOn w:val="Normal"/>
    <w:link w:val="HeaderChar"/>
    <w:uiPriority w:val="99"/>
    <w:unhideWhenUsed/>
    <w:rsid w:val="00A804C9"/>
    <w:pPr>
      <w:tabs>
        <w:tab w:val="center" w:pos="4252"/>
        <w:tab w:val="right" w:pos="8504"/>
      </w:tabs>
    </w:pPr>
  </w:style>
  <w:style w:type="character" w:customStyle="1" w:styleId="HeaderChar">
    <w:name w:val="Header Char"/>
    <w:basedOn w:val="DefaultParagraphFont"/>
    <w:link w:val="Header"/>
    <w:uiPriority w:val="99"/>
    <w:rsid w:val="00A804C9"/>
    <w:rPr>
      <w:sz w:val="24"/>
      <w:szCs w:val="24"/>
    </w:rPr>
  </w:style>
  <w:style w:type="character" w:customStyle="1" w:styleId="ListParagraphChar">
    <w:name w:val="List Paragraph Char"/>
    <w:aliases w:val="Título 2.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rsid w:val="009074C0"/>
    <w:rPr>
      <w:sz w:val="24"/>
      <w:szCs w:val="24"/>
    </w:rPr>
  </w:style>
  <w:style w:type="character" w:customStyle="1" w:styleId="Heading1Char">
    <w:name w:val="Heading 1 Char"/>
    <w:basedOn w:val="DefaultParagraphFont"/>
    <w:link w:val="Heading1"/>
    <w:uiPriority w:val="9"/>
    <w:rsid w:val="00AD150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7D2A8477AA461247B710FAABFB510EC8" ma:contentTypeVersion="26" ma:contentTypeDescription="The base project type from which other project content types inherit their information." ma:contentTypeScope="" ma:versionID="07b6805b87030ebcd28cd3e2098568de">
  <xsd:schema xmlns:xsd="http://www.w3.org/2001/XMLSchema" xmlns:xs="http://www.w3.org/2001/XMLSchema" xmlns:p="http://schemas.microsoft.com/office/2006/metadata/properties" xmlns:ns2="cdc7663a-08f0-4737-9e8c-148ce897a09c" targetNamespace="http://schemas.microsoft.com/office/2006/metadata/properties" ma:root="true" ma:fieldsID="22e93f0a89109c08778ae5e5e7a2243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NI-T1251"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B26A5B0BD3BA1247BC7C8D8F4EFF797F" ma:contentTypeVersion="30" ma:contentTypeDescription="A content type to manage public (operations) IDB documents" ma:contentTypeScope="" ma:versionID="9c353f88c80a87dd130b580ffefaba81">
  <xsd:schema xmlns:xsd="http://www.w3.org/2001/XMLSchema" xmlns:xs="http://www.w3.org/2001/XMLSchema" xmlns:p="http://schemas.microsoft.com/office/2006/metadata/properties" xmlns:ns2="cdc7663a-08f0-4737-9e8c-148ce897a09c" targetNamespace="http://schemas.microsoft.com/office/2006/metadata/properties" ma:root="true" ma:fieldsID="034e4c7fa3ec68652145f3a8fd5f272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NI-T1251"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Nicaragua</TermName>
          <TermId xmlns="http://schemas.microsoft.com/office/infopath/2007/PartnerControls">69900e44-351c-4695-b42f-d4fe027272ef</TermId>
        </TermInfo>
      </Terms>
    </ic46d7e087fd4a108fb86518ca413cc6>
    <IDBDocs_x0020_Number xmlns="cdc7663a-08f0-4737-9e8c-148ce897a09c" xsi:nil="true"/>
    <Division_x0020_or_x0020_Unit xmlns="cdc7663a-08f0-4737-9e8c-148ce897a09c">CID/CNI</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Administration</TermName>
          <TermId xmlns="http://schemas.microsoft.com/office/infopath/2007/PartnerControls">751f71fd-1433-4702-a2db-ff12a4e45594</TermId>
        </TermInfo>
      </Terms>
    </e46fe2894295491da65140ffd2369f49>
    <Other_x0020_Author xmlns="cdc7663a-08f0-4737-9e8c-148ce897a09c" xsi:nil="true"/>
    <Migration_x0020_Info xmlns="cdc7663a-08f0-4737-9e8c-148ce897a09c" xsi:nil="true"/>
    <Approval_x0020_Number xmlns="cdc7663a-08f0-4737-9e8c-148ce897a09c">ATN/OC-16510-NI;</Approval_x0020_Number>
    <Phase xmlns="cdc7663a-08f0-4737-9e8c-148ce897a09c">ACTIVE</Phase>
    <Document_x0020_Author xmlns="cdc7663a-08f0-4737-9e8c-148ce897a09c">Solorzano Lopez, Jose David</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BUSINESS CLIMATE AND COMPETITIVENESS</TermName>
          <TermId xmlns="http://schemas.microsoft.com/office/infopath/2007/PartnerControls">d6b7efeb-3b05-435a-8a94-64ec38c400db</TermId>
        </TermInfo>
      </Terms>
    </b2ec7cfb18674cb8803df6b262e8b107>
    <Business_x0020_Area xmlns="cdc7663a-08f0-4737-9e8c-148ce897a09c">General Documents</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CTY</TermName>
          <TermId xmlns="http://schemas.microsoft.com/office/infopath/2007/PartnerControls">480c4b50-1d26-4981-a192-620d20903d26</TermId>
        </TermInfo>
      </Terms>
    </g511464f9e53401d84b16fa9b379a574>
    <TaxCatchAll xmlns="cdc7663a-08f0-4737-9e8c-148ce897a09c">
      <Value>13</Value>
      <Value>139</Value>
      <Value>27</Value>
      <Value>79</Value>
      <Value>28</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NI-T1251</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PRIVATE FIRMS AND SME DEVELOPMENT</TermName>
          <TermId xmlns="http://schemas.microsoft.com/office/infopath/2007/PartnerControls">c1e6207a-501c-43c6-a42a-7c1a019b2e26</TermId>
        </TermInfo>
      </Terms>
    </nddeef1749674d76abdbe4b239a70bc6>
    <Record_x0020_Number xmlns="cdc7663a-08f0-4737-9e8c-148ce897a09c">R0001351087</Record_x0020_Number>
    <_dlc_DocId xmlns="cdc7663a-08f0-4737-9e8c-148ce897a09c">EZSHARE-1651054363-5</_dlc_DocId>
    <_dlc_DocIdUrl xmlns="cdc7663a-08f0-4737-9e8c-148ce897a09c">
      <Url>https://idbg.sharepoint.com/teams/EZ-NI-TCP/NI-T1251/_layouts/15/DocIdRedir.aspx?ID=EZSHARE-1651054363-5</Url>
      <Description>EZSHARE-1651054363-5</Description>
    </_dlc_DocIdUrl>
    <Related_x0020_SisCor_x0020_Number xmlns="cdc7663a-08f0-4737-9e8c-148ce897a09c" xsi:nil="true"/>
    <Disclosure_x0020_Activity xmlns="cdc7663a-08f0-4737-9e8c-148ce897a09c">Approved 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6C42B442-A46E-420D-BD77-12B39DF1A7C7}"/>
</file>

<file path=customXml/itemProps2.xml><?xml version="1.0" encoding="utf-8"?>
<ds:datastoreItem xmlns:ds="http://schemas.openxmlformats.org/officeDocument/2006/customXml" ds:itemID="{CFC9A95B-95BF-42BD-9223-B0EC24D28312}"/>
</file>

<file path=customXml/itemProps3.xml><?xml version="1.0" encoding="utf-8"?>
<ds:datastoreItem xmlns:ds="http://schemas.openxmlformats.org/officeDocument/2006/customXml" ds:itemID="{C79ACCA6-A9B6-485B-B802-907C4C2BD51B}"/>
</file>

<file path=customXml/itemProps4.xml><?xml version="1.0" encoding="utf-8"?>
<ds:datastoreItem xmlns:ds="http://schemas.openxmlformats.org/officeDocument/2006/customXml" ds:itemID="{2F2D74A0-0EAD-4348-AA48-3792E0FE4F84}"/>
</file>

<file path=customXml/itemProps5.xml><?xml version="1.0" encoding="utf-8"?>
<ds:datastoreItem xmlns:ds="http://schemas.openxmlformats.org/officeDocument/2006/customXml" ds:itemID="{B5026783-DF3E-40B7-8306-2EC21A6AD08C}"/>
</file>

<file path=customXml/itemProps6.xml><?xml version="1.0" encoding="utf-8"?>
<ds:datastoreItem xmlns:ds="http://schemas.openxmlformats.org/officeDocument/2006/customXml" ds:itemID="{13610F4F-3967-4A20-84EC-4F47600AA7D5}"/>
</file>

<file path=customXml/itemProps7.xml><?xml version="1.0" encoding="utf-8"?>
<ds:datastoreItem xmlns:ds="http://schemas.openxmlformats.org/officeDocument/2006/customXml" ds:itemID="{71D02596-96E8-41E7-9EEB-2221DCBE8095}"/>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7951</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vt:lpstr>
      <vt:lpstr>I</vt:lpstr>
    </vt:vector>
  </TitlesOfParts>
  <Company>Inter-American Development Bank</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Alejandra Aponte</dc:creator>
  <cp:keywords/>
  <cp:lastModifiedBy>Solorzano Lopez, Jose David</cp:lastModifiedBy>
  <cp:revision>2</cp:revision>
  <dcterms:created xsi:type="dcterms:W3CDTF">2017-11-09T18:45:00Z</dcterms:created>
  <dcterms:modified xsi:type="dcterms:W3CDTF">2017-11-09T18:45:00Z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Function Operations IDB">
    <vt:lpwstr>13;#Project Administration|751f71fd-1433-4702-a2db-ff12a4e45594</vt:lpwstr>
  </property>
  <property fmtid="{D5CDD505-2E9C-101B-9397-08002B2CF9AE}" pid="4" name="TaxKeyword">
    <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139;#BUSINESS CLIMATE AND COMPETITIVENESS|d6b7efeb-3b05-435a-8a94-64ec38c400db</vt:lpwstr>
  </property>
  <property fmtid="{D5CDD505-2E9C-101B-9397-08002B2CF9AE}" pid="8" name="Fund IDB">
    <vt:lpwstr>79;#CTY|480c4b50-1d26-4981-a192-620d20903d26</vt:lpwstr>
  </property>
  <property fmtid="{D5CDD505-2E9C-101B-9397-08002B2CF9AE}" pid="9" name="Country">
    <vt:lpwstr>27;#Nicaragua|69900e44-351c-4695-b42f-d4fe027272ef</vt:lpwstr>
  </property>
  <property fmtid="{D5CDD505-2E9C-101B-9397-08002B2CF9AE}" pid="10" name="Sector IDB">
    <vt:lpwstr>28;#PRIVATE FIRMS AND SME DEVELOPMENT|c1e6207a-501c-43c6-a42a-7c1a019b2e26</vt:lpwstr>
  </property>
  <property fmtid="{D5CDD505-2E9C-101B-9397-08002B2CF9AE}" pid="11" name="_dlc_DocIdItemGuid">
    <vt:lpwstr>25bcb1d7-fbe7-4859-b51c-67ccfa1e5df4</vt:lpwstr>
  </property>
  <property fmtid="{D5CDD505-2E9C-101B-9397-08002B2CF9AE}" pid="12" name="Disclosure Activity">
    <vt:lpwstr>Approved TC document</vt:lpwstr>
  </property>
  <property fmtid="{D5CDD505-2E9C-101B-9397-08002B2CF9AE}" pid="13" name="ContentTypeId">
    <vt:lpwstr>0x0101001A458A224826124E8B45B1D613300CFC00B26A5B0BD3BA1247BC7C8D8F4EFF797F</vt:lpwstr>
  </property>
</Properties>
</file>