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ind w:left="2124" w:firstLine="709"/>
        <w:jc w:val="center"/>
        <w:rPr>
          <w:rFonts w:ascii="Arial Narrow" w:hAnsi="Arial Narrow"/>
          <w:sz w:val="32"/>
        </w:rPr>
      </w:pPr>
      <w:r>
        <w:rPr>
          <w:rFonts w:ascii="Arial Narrow" w:hAnsi="Arial Narrow"/>
          <w:noProof/>
          <w:lang w:eastAsia="es-HN"/>
        </w:rPr>
        <mc:AlternateContent>
          <mc:Choice Requires="wps">
            <w:drawing>
              <wp:anchor distT="0" distB="0" distL="114300" distR="114300" simplePos="0" relativeHeight="251672576" behindDoc="1" locked="0" layoutInCell="1" allowOverlap="1">
                <wp:simplePos x="0" y="0"/>
                <wp:positionH relativeFrom="column">
                  <wp:posOffset>2582227</wp:posOffset>
                </wp:positionH>
                <wp:positionV relativeFrom="paragraph">
                  <wp:posOffset>-5028247</wp:posOffset>
                </wp:positionV>
                <wp:extent cx="989965" cy="11318240"/>
                <wp:effectExtent l="0" t="1587" r="18097" b="18098"/>
                <wp:wrapNone/>
                <wp:docPr id="1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9965" cy="11318240"/>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2" o:spid="_x0000_s1026" type="#_x0000_t109" style="position:absolute;margin-left:203.3pt;margin-top:-395.9pt;width:77.95pt;height:891.2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" fillcolor="white [3201]" strokecolor="#4f81bd [3204]" strokeweight="2pt"/>
            </w:pict>
          </mc:Fallback>
        </mc:AlternateContent>
      </w:r>
    </w:p>
    <w:p>
      <w:pPr>
        <w:spacing w:after="0" w:line="240" w:lineRule="auto"/>
        <w:ind w:left="2124" w:firstLine="709"/>
        <w:jc w:val="center"/>
        <w:rPr>
          <w:rFonts w:ascii="Arial Narrow" w:hAnsi="Arial Narrow"/>
          <w:sz w:val="32"/>
        </w:rPr>
      </w:pPr>
      <w:r>
        <w:rPr>
          <w:noProof/>
          <w:sz w:val="22"/>
          <w:lang w:eastAsia="es-HN"/>
        </w:rPr>
        <w:drawing>
          <wp:anchor distT="0" distB="0" distL="114300" distR="114300" simplePos="0" relativeHeight="251677696" behindDoc="0" locked="0" layoutInCell="1" allowOverlap="1">
            <wp:simplePos x="0" y="0"/>
            <wp:positionH relativeFrom="column">
              <wp:posOffset>123825</wp:posOffset>
            </wp:positionH>
            <wp:positionV relativeFrom="paragraph">
              <wp:posOffset>24130</wp:posOffset>
            </wp:positionV>
            <wp:extent cx="1623060" cy="66992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EE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3060" cy="6699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32"/>
        </w:rPr>
        <w:t>EMPRESA DE GENERACION, ENEE</w:t>
      </w:r>
    </w:p>
    <w:p>
      <w:pPr>
        <w:spacing w:after="0" w:line="240" w:lineRule="auto"/>
        <w:ind w:left="2123" w:firstLine="709"/>
        <w:jc w:val="center"/>
        <w:rPr>
          <w:rFonts w:ascii="Calibri" w:eastAsia="Times New Roman" w:hAnsi="Calibri" w:cs="Times New Roman"/>
          <w:b/>
          <w:sz w:val="28"/>
          <w:lang w:val="es-ES"/>
        </w:rPr>
      </w:pPr>
      <w:r>
        <w:rPr>
          <w:rFonts w:ascii="Calibri" w:eastAsia="Times New Roman" w:hAnsi="Calibri" w:cs="Times New Roman"/>
          <w:b/>
          <w:sz w:val="28"/>
          <w:lang w:val="es-ES"/>
        </w:rPr>
        <w:t>SUBGERENCIA DE GESTION COMERCIAL</w:t>
      </w:r>
    </w:p>
    <w:p>
      <w:pPr>
        <w:spacing w:after="0" w:line="240" w:lineRule="auto"/>
        <w:ind w:left="2123" w:firstLine="709"/>
        <w:jc w:val="center"/>
        <w:rPr>
          <w:rFonts w:ascii="Calibri" w:eastAsia="Times New Roman" w:hAnsi="Calibri" w:cs="Times New Roman"/>
          <w:b/>
          <w:i/>
          <w:iCs/>
          <w:lang w:val="es-ES"/>
        </w:rPr>
      </w:pPr>
      <w:r>
        <w:rPr>
          <w:rFonts w:ascii="Calibri" w:eastAsia="Times New Roman" w:hAnsi="Calibri" w:cs="Times New Roman"/>
          <w:b/>
          <w:lang w:val="es-ES"/>
        </w:rPr>
        <w:t>DIRECCION DE PLANIFICACION COMERCIAL</w:t>
      </w:r>
    </w:p>
    <w:p>
      <w:pPr>
        <w:spacing w:after="0" w:line="240" w:lineRule="auto"/>
        <w:ind w:left="2124" w:firstLine="708"/>
        <w:jc w:val="center"/>
        <w:rPr>
          <w:rFonts w:ascii="Calibri" w:eastAsia="Times New Roman" w:hAnsi="Calibri" w:cs="Times New Roman"/>
          <w:b/>
          <w:i/>
          <w:iCs/>
          <w:sz w:val="16"/>
          <w:lang w:val="es-ES"/>
        </w:rPr>
      </w:pPr>
      <w:r>
        <w:rPr>
          <w:rFonts w:ascii="Calibri" w:eastAsia="Times New Roman" w:hAnsi="Calibri" w:cs="Times New Roman"/>
          <w:b/>
          <w:color w:val="808080" w:themeColor="background1" w:themeShade="80"/>
          <w:sz w:val="20"/>
          <w:lang w:val="es-ES"/>
        </w:rPr>
        <w:t>DEPARTAMENTO DE ESTUDIOS DE COSTOS Y PRECIOS</w:t>
      </w:r>
    </w:p>
    <w:p>
      <w:pPr>
        <w:spacing w:after="120" w:line="360" w:lineRule="auto"/>
        <w:rPr>
          <w:rFonts w:ascii="Arial Narrow" w:hAnsi="Arial Narrow"/>
        </w:rPr>
      </w:pPr>
    </w:p>
    <w:p>
      <w:pPr>
        <w:spacing w:after="120" w:line="360" w:lineRule="auto"/>
        <w:jc w:val="center"/>
        <w:rPr>
          <w:rFonts w:ascii="Arial Narrow" w:hAnsi="Arial Narrow"/>
          <w:sz w:val="32"/>
        </w:rPr>
      </w:pPr>
      <w:r>
        <w:rPr>
          <w:rFonts w:ascii="Arial Narrow" w:hAnsi="Arial Narrow"/>
          <w:noProof/>
          <w:sz w:val="32"/>
          <w:lang w:eastAsia="es-HN"/>
        </w:rPr>
        <mc:AlternateContent>
          <mc:Choice Requires="wps">
            <w:drawing>
              <wp:anchor distT="0" distB="0" distL="114300" distR="114300" simplePos="0" relativeHeight="251674624" behindDoc="1" locked="0" layoutInCell="1" allowOverlap="1">
                <wp:simplePos x="0" y="0"/>
                <wp:positionH relativeFrom="column">
                  <wp:posOffset>2914015</wp:posOffset>
                </wp:positionH>
                <wp:positionV relativeFrom="paragraph">
                  <wp:posOffset>253260</wp:posOffset>
                </wp:positionV>
                <wp:extent cx="416560" cy="11318240"/>
                <wp:effectExtent l="0" t="2540" r="19050" b="19050"/>
                <wp:wrapNone/>
                <wp:docPr id="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16560" cy="11318240"/>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2" o:spid="_x0000_s1026" type="#_x0000_t109" style="position:absolute;margin-left:229.45pt;margin-top:19.95pt;width:32.8pt;height:891.2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" fillcolor="white [3201]" strokecolor="#4f81bd [3204]" strokeweight="2pt"/>
            </w:pict>
          </mc:Fallback>
        </mc:AlternateContent>
      </w:r>
    </w:p>
    <w:p>
      <w:pPr>
        <w:spacing w:after="120" w:line="360" w:lineRule="auto"/>
        <w:jc w:val="center"/>
        <w:rPr>
          <w:rFonts w:ascii="Arial Narrow" w:hAnsi="Arial Narrow"/>
          <w:sz w:val="32"/>
        </w:rPr>
      </w:pPr>
    </w:p>
    <w:p>
      <w:pPr>
        <w:spacing w:after="120" w:line="360" w:lineRule="auto"/>
        <w:jc w:val="center"/>
        <w:rPr>
          <w:rFonts w:ascii="Arial Narrow" w:hAnsi="Arial Narrow"/>
          <w:sz w:val="32"/>
        </w:rPr>
      </w:pPr>
      <w:r>
        <w:rPr>
          <w:rFonts w:ascii="Arial Narrow" w:hAnsi="Arial Narrow"/>
          <w:sz w:val="32"/>
        </w:rPr>
        <w:t>INFORME TÉCNICO-FINANCIERO</w:t>
      </w:r>
    </w:p>
    <w:p>
      <w:pPr>
        <w:spacing w:after="120" w:line="360" w:lineRule="auto"/>
        <w:jc w:val="center"/>
        <w:rPr>
          <w:rFonts w:ascii="Arial Narrow" w:hAnsi="Arial Narrow"/>
          <w:sz w:val="32"/>
        </w:rPr>
      </w:pPr>
    </w:p>
    <w:p>
      <w:pPr>
        <w:spacing w:after="120" w:line="360" w:lineRule="auto"/>
        <w:jc w:val="center"/>
        <w:rPr>
          <w:rFonts w:ascii="Arial Narrow" w:hAnsi="Arial Narrow"/>
          <w:b/>
          <w:sz w:val="32"/>
        </w:rPr>
      </w:pPr>
      <w:r>
        <w:rPr>
          <w:rFonts w:ascii="Arial Narrow" w:hAnsi="Arial Narrow"/>
          <w:b/>
          <w:sz w:val="32"/>
        </w:rPr>
        <w:t>PROYECTO</w:t>
      </w:r>
    </w:p>
    <w:p>
      <w:pPr>
        <w:spacing w:after="120" w:line="360" w:lineRule="auto"/>
        <w:jc w:val="center"/>
        <w:rPr>
          <w:rFonts w:ascii="Arial Narrow" w:hAnsi="Arial Narrow"/>
          <w:b/>
          <w:sz w:val="32"/>
        </w:rPr>
      </w:pPr>
      <w:r>
        <w:rPr>
          <w:rFonts w:ascii="Arial Narrow" w:hAnsi="Arial Narrow"/>
          <w:b/>
          <w:sz w:val="32"/>
        </w:rPr>
        <w:t>LÍNEA DE TRANSMISIÓN</w:t>
      </w:r>
    </w:p>
    <w:p>
      <w:pPr>
        <w:spacing w:after="120" w:line="360" w:lineRule="auto"/>
        <w:jc w:val="center"/>
        <w:rPr>
          <w:rFonts w:ascii="Arial Narrow" w:hAnsi="Arial Narrow"/>
          <w:b/>
          <w:sz w:val="32"/>
        </w:rPr>
      </w:pPr>
      <w:r>
        <w:rPr>
          <w:rFonts w:ascii="Arial Narrow" w:hAnsi="Arial Narrow"/>
          <w:b/>
          <w:sz w:val="32"/>
        </w:rPr>
        <w:t xml:space="preserve">“SAN PEDRO SULA SUR-SAN BUENAVENTURA” </w:t>
      </w:r>
    </w:p>
    <w:p>
      <w:pPr>
        <w:spacing w:after="120" w:line="360" w:lineRule="auto"/>
        <w:jc w:val="center"/>
        <w:rPr>
          <w:rFonts w:ascii="Arial Narrow" w:hAnsi="Arial Narrow"/>
          <w:b/>
        </w:rPr>
      </w:pPr>
      <w:r>
        <w:rPr>
          <w:rFonts w:ascii="Arial Narrow" w:hAnsi="Arial Narrow"/>
          <w:b/>
          <w:sz w:val="32"/>
        </w:rPr>
        <w:t>138-230 kV</w:t>
      </w:r>
    </w:p>
    <w:p>
      <w:pPr>
        <w:spacing w:after="120" w:line="360" w:lineRule="auto"/>
        <w:jc w:val="center"/>
        <w:rPr>
          <w:rFonts w:ascii="Arial Narrow" w:hAnsi="Arial Narrow"/>
          <w:b/>
        </w:rPr>
      </w:pPr>
    </w:p>
    <w:p>
      <w:pPr>
        <w:spacing w:after="120" w:line="360" w:lineRule="auto"/>
        <w:jc w:val="center"/>
        <w:rPr>
          <w:rFonts w:ascii="Arial Narrow" w:hAnsi="Arial Narrow"/>
          <w:b/>
        </w:rPr>
      </w:pPr>
    </w:p>
    <w:p>
      <w:pPr>
        <w:spacing w:after="120" w:line="360" w:lineRule="auto"/>
        <w:jc w:val="center"/>
        <w:rPr>
          <w:rFonts w:ascii="Arial Narrow" w:hAnsi="Arial Narrow"/>
          <w:b/>
        </w:rPr>
      </w:pPr>
    </w:p>
    <w:p>
      <w:pPr>
        <w:spacing w:after="120" w:line="360" w:lineRule="auto"/>
        <w:jc w:val="center"/>
        <w:rPr>
          <w:rFonts w:ascii="Arial Narrow" w:hAnsi="Arial Narrow"/>
          <w:b/>
        </w:rPr>
      </w:pPr>
    </w:p>
    <w:p>
      <w:pPr>
        <w:spacing w:after="120" w:line="360" w:lineRule="auto"/>
        <w:jc w:val="center"/>
        <w:rPr>
          <w:rFonts w:ascii="Arial Narrow" w:hAnsi="Arial Narrow"/>
          <w:b/>
        </w:rPr>
      </w:pPr>
    </w:p>
    <w:p>
      <w:pPr>
        <w:spacing w:after="120" w:line="360" w:lineRule="auto"/>
        <w:jc w:val="center"/>
        <w:rPr>
          <w:rFonts w:ascii="Arial Narrow" w:hAnsi="Arial Narrow"/>
          <w:b/>
        </w:rPr>
      </w:pPr>
    </w:p>
    <w:p>
      <w:pPr>
        <w:spacing w:after="120" w:line="360" w:lineRule="auto"/>
        <w:jc w:val="center"/>
        <w:rPr>
          <w:rFonts w:ascii="Arial Narrow" w:hAnsi="Arial Narrow"/>
          <w:b/>
        </w:rPr>
      </w:pPr>
    </w:p>
    <w:p>
      <w:pPr>
        <w:ind w:firstLine="708"/>
        <w:jc w:val="center"/>
        <w:rPr>
          <w:sz w:val="32"/>
        </w:rPr>
      </w:pPr>
      <w:r>
        <w:rPr>
          <w:sz w:val="32"/>
        </w:rPr>
        <w:t>11 de octubre de 2017</w:t>
      </w:r>
    </w:p>
    <w:p>
      <w:pPr>
        <w:spacing w:after="120" w:line="360" w:lineRule="auto"/>
        <w:jc w:val="center"/>
        <w:rPr>
          <w:rFonts w:ascii="Arial Narrow" w:hAnsi="Arial Narrow"/>
        </w:rPr>
      </w:pPr>
      <w:r>
        <w:rPr>
          <w:rFonts w:ascii="Arial Narrow" w:hAnsi="Arial Narrow"/>
          <w:noProof/>
          <w:lang w:eastAsia="es-HN"/>
        </w:rPr>
        <mc:AlternateContent>
          <mc:Choice Requires="wps">
            <w:drawing>
              <wp:anchor distT="0" distB="0" distL="114300" distR="114300" simplePos="0" relativeHeight="251667456" behindDoc="1" locked="0" layoutInCell="1" allowOverlap="1">
                <wp:simplePos x="0" y="0"/>
                <wp:positionH relativeFrom="column">
                  <wp:posOffset>-207645</wp:posOffset>
                </wp:positionH>
                <wp:positionV relativeFrom="paragraph">
                  <wp:posOffset>7964805</wp:posOffset>
                </wp:positionV>
                <wp:extent cx="8782050" cy="560705"/>
                <wp:effectExtent l="36195" t="40640" r="40005" b="36830"/>
                <wp:wrapNone/>
                <wp:docPr id="6" name="Proces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0" cy="560705"/>
                        </a:xfrm>
                        <a:prstGeom prst="flowChartProcess">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6" o:spid="_x0000_s1026" type="#_x0000_t109" style="position:absolute;margin-left:-16.35pt;margin-top:627.15pt;width:691.5pt;height:4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" strokecolor="#4bacc6" strokeweight="5pt">
                <v:stroke linestyle="thickThin"/>
                <v:shadow color="#868686"/>
              </v:shape>
            </w:pict>
          </mc:Fallback>
        </mc:AlternateContent>
      </w:r>
      <w:r>
        <w:rPr>
          <w:rFonts w:ascii="Arial Narrow" w:hAnsi="Arial Narrow"/>
          <w:noProof/>
          <w:lang w:eastAsia="es-HN"/>
        </w:rPr>
        <mc:AlternateContent>
          <mc:Choice Requires="wps">
            <w:drawing>
              <wp:anchor distT="0" distB="0" distL="114300" distR="114300" simplePos="0" relativeHeight="251666432" behindDoc="1" locked="0" layoutInCell="1" allowOverlap="1">
                <wp:simplePos x="0" y="0"/>
                <wp:positionH relativeFrom="column">
                  <wp:posOffset>-207645</wp:posOffset>
                </wp:positionH>
                <wp:positionV relativeFrom="paragraph">
                  <wp:posOffset>7964805</wp:posOffset>
                </wp:positionV>
                <wp:extent cx="8782050" cy="560705"/>
                <wp:effectExtent l="36195" t="40640" r="40005" b="36830"/>
                <wp:wrapNone/>
                <wp:docPr id="4" name="Proce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0" cy="560705"/>
                        </a:xfrm>
                        <a:prstGeom prst="flowChartProcess">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4" o:spid="_x0000_s1026" type="#_x0000_t109" style="position:absolute;margin-left:-16.35pt;margin-top:627.15pt;width:691.5pt;height:4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" strokecolor="#4bacc6" strokeweight="5pt">
                <v:stroke linestyle="thickThin"/>
                <v:shadow color="#868686"/>
              </v:shape>
            </w:pict>
          </mc:Fallback>
        </mc:AlternateContent>
      </w:r>
      <w:r>
        <w:rPr>
          <w:rFonts w:ascii="Arial Narrow" w:hAnsi="Arial Narrow"/>
          <w:noProof/>
          <w:lang w:eastAsia="es-HN"/>
        </w:rPr>
        <mc:AlternateContent>
          <mc:Choice Requires="wps">
            <w:drawing>
              <wp:anchor distT="0" distB="0" distL="114300" distR="114300" simplePos="0" relativeHeight="251665408" behindDoc="1" locked="0" layoutInCell="1" allowOverlap="1">
                <wp:simplePos x="0" y="0"/>
                <wp:positionH relativeFrom="column">
                  <wp:posOffset>-207645</wp:posOffset>
                </wp:positionH>
                <wp:positionV relativeFrom="paragraph">
                  <wp:posOffset>7964805</wp:posOffset>
                </wp:positionV>
                <wp:extent cx="8782050" cy="560705"/>
                <wp:effectExtent l="36195" t="40640" r="40005" b="36830"/>
                <wp:wrapNone/>
                <wp:docPr id="3" name="Proce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0" cy="560705"/>
                        </a:xfrm>
                        <a:prstGeom prst="flowChartProcess">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3" o:spid="_x0000_s1026" type="#_x0000_t109" style="position:absolute;margin-left:-16.35pt;margin-top:627.15pt;width:691.5pt;height:4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" strokecolor="#4bacc6" strokeweight="5pt">
                <v:stroke linestyle="thickThin"/>
                <v:shadow color="#868686"/>
              </v:shape>
            </w:pict>
          </mc:Fallback>
        </mc:AlternateContent>
      </w:r>
    </w:p>
    <w:p>
      <w:pPr>
        <w:rPr>
          <w:sz w:val="32"/>
        </w:rPr>
        <w:sectPr>
          <w:footerReference w:type="default" r:id="rId9"/>
          <w:pgSz w:w="12240" w:h="15840"/>
          <w:pgMar w:top="1417" w:right="1701" w:bottom="1417" w:left="1701" w:header="708" w:footer="708" w:gutter="0"/>
          <w:cols w:space="708"/>
          <w:docGrid w:linePitch="360"/>
        </w:sectPr>
      </w:pPr>
    </w:p>
    <w:sdt>
      <w:sdtPr>
        <w:rPr>
          <w:b w:val="0"/>
          <w:bCs w:val="0"/>
          <w:color w:val="auto"/>
          <w:sz w:val="24"/>
          <w:szCs w:val="22"/>
          <w:lang w:val="es-ES" w:eastAsia="en-US"/>
        </w:rPr>
        <w:id w:val="761111567"/>
        <w:docPartObj>
          <w:docPartGallery w:val="Table of Contents"/>
          <w:docPartUnique/>
        </w:docPartObj>
      </w:sdtPr>
      <w:sdtEndPr>
        <w:rPr>
          <w:rFonts w:ascii="Times New Roman" w:hAnsi="Times New Roman" w:cs="Times New Roman"/>
          <w:sz w:val="22"/>
        </w:rPr>
      </w:sdtEndPr>
      <w:sdtContent>
        <w:p>
          <w:pPr>
            <w:pStyle w:val="TtuloTDC"/>
            <w:rPr>
              <w:rFonts w:ascii="Times New Roman" w:hAnsi="Times New Roman" w:cs="Times New Roman"/>
              <w:sz w:val="22"/>
              <w:szCs w:val="22"/>
            </w:rPr>
          </w:pPr>
          <w:r>
            <w:rPr>
              <w:rFonts w:ascii="Times New Roman" w:hAnsi="Times New Roman" w:cs="Times New Roman"/>
              <w:sz w:val="22"/>
              <w:szCs w:val="22"/>
              <w:lang w:val="es-ES"/>
            </w:rPr>
            <w:t>CONTENIDO</w:t>
          </w:r>
        </w:p>
        <w:p>
          <w:pPr>
            <w:pStyle w:val="TDC1"/>
            <w:tabs>
              <w:tab w:val="right" w:leader="dot" w:pos="8828"/>
            </w:tabs>
            <w:rPr>
              <w:rFonts w:asciiTheme="minorHAnsi" w:eastAsiaTheme="minorEastAsia" w:hAnsiTheme="minorHAnsi" w:cstheme="minorBidi"/>
              <w:noProof/>
              <w:sz w:val="22"/>
              <w:lang w:eastAsia="es-HN"/>
            </w:rPr>
          </w:pPr>
          <w:r>
            <w:rPr>
              <w:rFonts w:ascii="Times New Roman" w:hAnsi="Times New Roman" w:cs="Times New Roman"/>
              <w:sz w:val="22"/>
            </w:rPr>
            <w:fldChar w:fldCharType="begin"/>
          </w:r>
          <w:r>
            <w:rPr>
              <w:rFonts w:ascii="Times New Roman" w:hAnsi="Times New Roman" w:cs="Times New Roman"/>
              <w:sz w:val="22"/>
            </w:rPr>
            <w:instrText xml:space="preserve"> TOC \o "1-3" \h \z \u </w:instrText>
          </w:r>
          <w:r>
            <w:rPr>
              <w:rFonts w:ascii="Times New Roman" w:hAnsi="Times New Roman" w:cs="Times New Roman"/>
              <w:sz w:val="22"/>
            </w:rPr>
            <w:fldChar w:fldCharType="separate"/>
          </w:r>
          <w:hyperlink w:anchor="_Toc489525752" w:history="1">
            <w:r>
              <w:rPr>
                <w:rStyle w:val="Hipervnculo"/>
                <w:b/>
                <w:noProof/>
              </w:rPr>
              <w:t>RESUMEN EJECUTIVO</w:t>
            </w:r>
            <w:r>
              <w:rPr>
                <w:noProof/>
                <w:webHidden/>
              </w:rPr>
              <w:tab/>
            </w:r>
            <w:r>
              <w:rPr>
                <w:noProof/>
                <w:webHidden/>
              </w:rPr>
              <w:fldChar w:fldCharType="begin"/>
            </w:r>
            <w:r>
              <w:rPr>
                <w:noProof/>
                <w:webHidden/>
              </w:rPr>
              <w:instrText xml:space="preserve"> PAGEREF _Toc489525752 \h </w:instrText>
            </w:r>
            <w:r>
              <w:rPr>
                <w:noProof/>
                <w:webHidden/>
              </w:rPr>
            </w:r>
            <w:r>
              <w:rPr>
                <w:noProof/>
                <w:webHidden/>
              </w:rPr>
              <w:fldChar w:fldCharType="separate"/>
            </w:r>
            <w:r>
              <w:rPr>
                <w:noProof/>
                <w:webHidden/>
              </w:rPr>
              <w:t>1</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53" w:history="1">
            <w:r>
              <w:rPr>
                <w:rStyle w:val="Hipervnculo"/>
                <w:b/>
                <w:noProof/>
              </w:rPr>
              <w:t>OBJETIVOS ESPECÍFICOS DEL PROYECTO</w:t>
            </w:r>
            <w:r>
              <w:rPr>
                <w:noProof/>
                <w:webHidden/>
              </w:rPr>
              <w:tab/>
            </w:r>
            <w:r>
              <w:rPr>
                <w:noProof/>
                <w:webHidden/>
              </w:rPr>
              <w:fldChar w:fldCharType="begin"/>
            </w:r>
            <w:r>
              <w:rPr>
                <w:noProof/>
                <w:webHidden/>
              </w:rPr>
              <w:instrText xml:space="preserve"> PAGEREF _Toc489525753 \h </w:instrText>
            </w:r>
            <w:r>
              <w:rPr>
                <w:noProof/>
                <w:webHidden/>
              </w:rPr>
            </w:r>
            <w:r>
              <w:rPr>
                <w:noProof/>
                <w:webHidden/>
              </w:rPr>
              <w:fldChar w:fldCharType="separate"/>
            </w:r>
            <w:r>
              <w:rPr>
                <w:noProof/>
                <w:webHidden/>
              </w:rPr>
              <w:t>1</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54" w:history="1">
            <w:r>
              <w:rPr>
                <w:rStyle w:val="Hipervnculo"/>
                <w:b/>
                <w:noProof/>
              </w:rPr>
              <w:t>ANALISIS TÉCNICO</w:t>
            </w:r>
            <w:r>
              <w:rPr>
                <w:noProof/>
                <w:webHidden/>
              </w:rPr>
              <w:tab/>
            </w:r>
            <w:r>
              <w:rPr>
                <w:noProof/>
                <w:webHidden/>
              </w:rPr>
              <w:fldChar w:fldCharType="begin"/>
            </w:r>
            <w:r>
              <w:rPr>
                <w:noProof/>
                <w:webHidden/>
              </w:rPr>
              <w:instrText xml:space="preserve"> PAGEREF _Toc489525754 \h </w:instrText>
            </w:r>
            <w:r>
              <w:rPr>
                <w:noProof/>
                <w:webHidden/>
              </w:rPr>
            </w:r>
            <w:r>
              <w:rPr>
                <w:noProof/>
                <w:webHidden/>
              </w:rPr>
              <w:fldChar w:fldCharType="separate"/>
            </w:r>
            <w:r>
              <w:rPr>
                <w:noProof/>
                <w:webHidden/>
              </w:rPr>
              <w:t>1</w:t>
            </w:r>
            <w:r>
              <w:rPr>
                <w:noProof/>
                <w:webHidden/>
              </w:rPr>
              <w:fldChar w:fldCharType="end"/>
            </w:r>
          </w:hyperlink>
        </w:p>
        <w:p>
          <w:pPr>
            <w:pStyle w:val="TDC2"/>
            <w:tabs>
              <w:tab w:val="right" w:leader="dot" w:pos="8828"/>
            </w:tabs>
            <w:rPr>
              <w:rFonts w:asciiTheme="minorHAnsi" w:eastAsiaTheme="minorEastAsia" w:hAnsiTheme="minorHAnsi" w:cstheme="minorBidi"/>
              <w:noProof/>
              <w:sz w:val="22"/>
              <w:lang w:eastAsia="es-HN"/>
            </w:rPr>
          </w:pPr>
          <w:hyperlink w:anchor="_Toc489525755" w:history="1">
            <w:r>
              <w:rPr>
                <w:rStyle w:val="Hipervnculo"/>
                <w:rFonts w:ascii="Times New Roman" w:hAnsi="Times New Roman" w:cs="Times New Roman"/>
                <w:noProof/>
              </w:rPr>
              <w:t>CRITERIOS TÉCNICOS</w:t>
            </w:r>
            <w:r>
              <w:rPr>
                <w:noProof/>
                <w:webHidden/>
              </w:rPr>
              <w:tab/>
            </w:r>
            <w:r>
              <w:rPr>
                <w:noProof/>
                <w:webHidden/>
              </w:rPr>
              <w:fldChar w:fldCharType="begin"/>
            </w:r>
            <w:r>
              <w:rPr>
                <w:noProof/>
                <w:webHidden/>
              </w:rPr>
              <w:instrText xml:space="preserve"> PAGEREF _Toc489525755 \h </w:instrText>
            </w:r>
            <w:r>
              <w:rPr>
                <w:noProof/>
                <w:webHidden/>
              </w:rPr>
            </w:r>
            <w:r>
              <w:rPr>
                <w:noProof/>
                <w:webHidden/>
              </w:rPr>
              <w:fldChar w:fldCharType="separate"/>
            </w:r>
            <w:r>
              <w:rPr>
                <w:noProof/>
                <w:webHidden/>
              </w:rPr>
              <w:t>1</w:t>
            </w:r>
            <w:r>
              <w:rPr>
                <w:noProof/>
                <w:webHidden/>
              </w:rPr>
              <w:fldChar w:fldCharType="end"/>
            </w:r>
          </w:hyperlink>
        </w:p>
        <w:p>
          <w:pPr>
            <w:pStyle w:val="TDC2"/>
            <w:tabs>
              <w:tab w:val="right" w:leader="dot" w:pos="8828"/>
            </w:tabs>
            <w:rPr>
              <w:rFonts w:asciiTheme="minorHAnsi" w:eastAsiaTheme="minorEastAsia" w:hAnsiTheme="minorHAnsi" w:cstheme="minorBidi"/>
              <w:noProof/>
              <w:sz w:val="22"/>
              <w:lang w:eastAsia="es-HN"/>
            </w:rPr>
          </w:pPr>
          <w:hyperlink w:anchor="_Toc489525756" w:history="1">
            <w:r>
              <w:rPr>
                <w:rStyle w:val="Hipervnculo"/>
                <w:rFonts w:ascii="Times New Roman" w:hAnsi="Times New Roman" w:cs="Times New Roman"/>
                <w:noProof/>
              </w:rPr>
              <w:t>CASOS DE ESTUDIO</w:t>
            </w:r>
            <w:r>
              <w:rPr>
                <w:noProof/>
                <w:webHidden/>
              </w:rPr>
              <w:tab/>
            </w:r>
            <w:r>
              <w:rPr>
                <w:noProof/>
                <w:webHidden/>
              </w:rPr>
              <w:fldChar w:fldCharType="begin"/>
            </w:r>
            <w:r>
              <w:rPr>
                <w:noProof/>
                <w:webHidden/>
              </w:rPr>
              <w:instrText xml:space="preserve"> PAGEREF _Toc489525756 \h </w:instrText>
            </w:r>
            <w:r>
              <w:rPr>
                <w:noProof/>
                <w:webHidden/>
              </w:rPr>
            </w:r>
            <w:r>
              <w:rPr>
                <w:noProof/>
                <w:webHidden/>
              </w:rPr>
              <w:fldChar w:fldCharType="separate"/>
            </w:r>
            <w:r>
              <w:rPr>
                <w:noProof/>
                <w:webHidden/>
              </w:rPr>
              <w:t>2</w:t>
            </w:r>
            <w:r>
              <w:rPr>
                <w:noProof/>
                <w:webHidden/>
              </w:rPr>
              <w:fldChar w:fldCharType="end"/>
            </w:r>
          </w:hyperlink>
        </w:p>
        <w:p>
          <w:pPr>
            <w:pStyle w:val="TDC2"/>
            <w:tabs>
              <w:tab w:val="right" w:leader="dot" w:pos="8828"/>
            </w:tabs>
            <w:rPr>
              <w:rFonts w:asciiTheme="minorHAnsi" w:eastAsiaTheme="minorEastAsia" w:hAnsiTheme="minorHAnsi" w:cstheme="minorBidi"/>
              <w:noProof/>
              <w:sz w:val="22"/>
              <w:lang w:eastAsia="es-HN"/>
            </w:rPr>
          </w:pPr>
          <w:hyperlink w:anchor="_Toc489525757" w:history="1">
            <w:r>
              <w:rPr>
                <w:rStyle w:val="Hipervnculo"/>
                <w:rFonts w:ascii="Times New Roman" w:hAnsi="Times New Roman" w:cs="Times New Roman"/>
                <w:noProof/>
              </w:rPr>
              <w:t>ALTERNATIVAS DE SOLUCION PROPUESTAS</w:t>
            </w:r>
            <w:r>
              <w:rPr>
                <w:noProof/>
                <w:webHidden/>
              </w:rPr>
              <w:tab/>
            </w:r>
            <w:r>
              <w:rPr>
                <w:noProof/>
                <w:webHidden/>
              </w:rPr>
              <w:fldChar w:fldCharType="begin"/>
            </w:r>
            <w:r>
              <w:rPr>
                <w:noProof/>
                <w:webHidden/>
              </w:rPr>
              <w:instrText xml:space="preserve"> PAGEREF _Toc489525757 \h </w:instrText>
            </w:r>
            <w:r>
              <w:rPr>
                <w:noProof/>
                <w:webHidden/>
              </w:rPr>
            </w:r>
            <w:r>
              <w:rPr>
                <w:noProof/>
                <w:webHidden/>
              </w:rPr>
              <w:fldChar w:fldCharType="separate"/>
            </w:r>
            <w:r>
              <w:rPr>
                <w:noProof/>
                <w:webHidden/>
              </w:rPr>
              <w:t>2</w:t>
            </w:r>
            <w:r>
              <w:rPr>
                <w:noProof/>
                <w:webHidden/>
              </w:rPr>
              <w:fldChar w:fldCharType="end"/>
            </w:r>
          </w:hyperlink>
        </w:p>
        <w:p>
          <w:pPr>
            <w:pStyle w:val="TDC2"/>
            <w:tabs>
              <w:tab w:val="right" w:leader="dot" w:pos="8828"/>
            </w:tabs>
            <w:rPr>
              <w:rFonts w:asciiTheme="minorHAnsi" w:eastAsiaTheme="minorEastAsia" w:hAnsiTheme="minorHAnsi" w:cstheme="minorBidi"/>
              <w:noProof/>
              <w:sz w:val="22"/>
              <w:lang w:eastAsia="es-HN"/>
            </w:rPr>
          </w:pPr>
          <w:hyperlink w:anchor="_Toc489525758" w:history="1">
            <w:r>
              <w:rPr>
                <w:rStyle w:val="Hipervnculo"/>
                <w:rFonts w:ascii="Times New Roman" w:hAnsi="Times New Roman" w:cs="Times New Roman"/>
                <w:noProof/>
              </w:rPr>
              <w:t>FLUJOS DE POTENCIA A TRAVES DE LAS FUTURAS LÍNEAS DE TRANSMISIÓN</w:t>
            </w:r>
            <w:r>
              <w:rPr>
                <w:noProof/>
                <w:webHidden/>
              </w:rPr>
              <w:tab/>
            </w:r>
            <w:r>
              <w:rPr>
                <w:noProof/>
                <w:webHidden/>
              </w:rPr>
              <w:fldChar w:fldCharType="begin"/>
            </w:r>
            <w:r>
              <w:rPr>
                <w:noProof/>
                <w:webHidden/>
              </w:rPr>
              <w:instrText xml:space="preserve"> PAGEREF _Toc489525758 \h </w:instrText>
            </w:r>
            <w:r>
              <w:rPr>
                <w:noProof/>
                <w:webHidden/>
              </w:rPr>
            </w:r>
            <w:r>
              <w:rPr>
                <w:noProof/>
                <w:webHidden/>
              </w:rPr>
              <w:fldChar w:fldCharType="separate"/>
            </w:r>
            <w:r>
              <w:rPr>
                <w:noProof/>
                <w:webHidden/>
              </w:rPr>
              <w:t>3</w:t>
            </w:r>
            <w:r>
              <w:rPr>
                <w:noProof/>
                <w:webHidden/>
              </w:rPr>
              <w:fldChar w:fldCharType="end"/>
            </w:r>
          </w:hyperlink>
        </w:p>
        <w:p>
          <w:pPr>
            <w:pStyle w:val="TDC2"/>
            <w:tabs>
              <w:tab w:val="right" w:leader="dot" w:pos="8828"/>
            </w:tabs>
            <w:rPr>
              <w:rFonts w:asciiTheme="minorHAnsi" w:eastAsiaTheme="minorEastAsia" w:hAnsiTheme="minorHAnsi" w:cstheme="minorBidi"/>
              <w:noProof/>
              <w:sz w:val="22"/>
              <w:lang w:eastAsia="es-HN"/>
            </w:rPr>
          </w:pPr>
          <w:hyperlink w:anchor="_Toc489525759" w:history="1">
            <w:r>
              <w:rPr>
                <w:rStyle w:val="Hipervnculo"/>
                <w:rFonts w:ascii="Times New Roman" w:hAnsi="Times New Roman" w:cs="Times New Roman"/>
                <w:noProof/>
              </w:rPr>
              <w:t>PÉRDIDAS TÉCNICAS EN EL SIN</w:t>
            </w:r>
            <w:r>
              <w:rPr>
                <w:noProof/>
                <w:webHidden/>
              </w:rPr>
              <w:tab/>
            </w:r>
            <w:r>
              <w:rPr>
                <w:noProof/>
                <w:webHidden/>
              </w:rPr>
              <w:fldChar w:fldCharType="begin"/>
            </w:r>
            <w:r>
              <w:rPr>
                <w:noProof/>
                <w:webHidden/>
              </w:rPr>
              <w:instrText xml:space="preserve"> PAGEREF _Toc489525759 \h </w:instrText>
            </w:r>
            <w:r>
              <w:rPr>
                <w:noProof/>
                <w:webHidden/>
              </w:rPr>
            </w:r>
            <w:r>
              <w:rPr>
                <w:noProof/>
                <w:webHidden/>
              </w:rPr>
              <w:fldChar w:fldCharType="separate"/>
            </w:r>
            <w:r>
              <w:rPr>
                <w:noProof/>
                <w:webHidden/>
              </w:rPr>
              <w:t>4</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60" w:history="1">
            <w:r>
              <w:rPr>
                <w:rStyle w:val="Hipervnculo"/>
                <w:b/>
                <w:noProof/>
              </w:rPr>
              <w:t>COSTOS DE INVERSIÓN</w:t>
            </w:r>
            <w:r>
              <w:rPr>
                <w:noProof/>
                <w:webHidden/>
              </w:rPr>
              <w:tab/>
            </w:r>
            <w:r>
              <w:rPr>
                <w:noProof/>
                <w:webHidden/>
              </w:rPr>
              <w:fldChar w:fldCharType="begin"/>
            </w:r>
            <w:r>
              <w:rPr>
                <w:noProof/>
                <w:webHidden/>
              </w:rPr>
              <w:instrText xml:space="preserve"> PAGEREF _Toc489525760 \h </w:instrText>
            </w:r>
            <w:r>
              <w:rPr>
                <w:noProof/>
                <w:webHidden/>
              </w:rPr>
            </w:r>
            <w:r>
              <w:rPr>
                <w:noProof/>
                <w:webHidden/>
              </w:rPr>
              <w:fldChar w:fldCharType="separate"/>
            </w:r>
            <w:r>
              <w:rPr>
                <w:noProof/>
                <w:webHidden/>
              </w:rPr>
              <w:t>7</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61" w:history="1">
            <w:r>
              <w:rPr>
                <w:rStyle w:val="Hipervnculo"/>
                <w:b/>
                <w:noProof/>
              </w:rPr>
              <w:t>EVALUACION FINANCIERA</w:t>
            </w:r>
            <w:r>
              <w:rPr>
                <w:noProof/>
                <w:webHidden/>
              </w:rPr>
              <w:tab/>
            </w:r>
            <w:r>
              <w:rPr>
                <w:noProof/>
                <w:webHidden/>
              </w:rPr>
              <w:fldChar w:fldCharType="begin"/>
            </w:r>
            <w:r>
              <w:rPr>
                <w:noProof/>
                <w:webHidden/>
              </w:rPr>
              <w:instrText xml:space="preserve"> PAGEREF _Toc489525761 \h </w:instrText>
            </w:r>
            <w:r>
              <w:rPr>
                <w:noProof/>
                <w:webHidden/>
              </w:rPr>
            </w:r>
            <w:r>
              <w:rPr>
                <w:noProof/>
                <w:webHidden/>
              </w:rPr>
              <w:fldChar w:fldCharType="separate"/>
            </w:r>
            <w:r>
              <w:rPr>
                <w:noProof/>
                <w:webHidden/>
              </w:rPr>
              <w:t>7</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62" w:history="1">
            <w:r>
              <w:rPr>
                <w:rStyle w:val="Hipervnculo"/>
                <w:b/>
                <w:noProof/>
              </w:rPr>
              <w:t>CONCLUSIONES Y RECOMENDACIONES</w:t>
            </w:r>
            <w:r>
              <w:rPr>
                <w:noProof/>
                <w:webHidden/>
              </w:rPr>
              <w:tab/>
            </w:r>
            <w:r>
              <w:rPr>
                <w:noProof/>
                <w:webHidden/>
              </w:rPr>
              <w:fldChar w:fldCharType="begin"/>
            </w:r>
            <w:r>
              <w:rPr>
                <w:noProof/>
                <w:webHidden/>
              </w:rPr>
              <w:instrText xml:space="preserve"> PAGEREF _Toc489525762 \h </w:instrText>
            </w:r>
            <w:r>
              <w:rPr>
                <w:noProof/>
                <w:webHidden/>
              </w:rPr>
            </w:r>
            <w:r>
              <w:rPr>
                <w:noProof/>
                <w:webHidden/>
              </w:rPr>
              <w:fldChar w:fldCharType="separate"/>
            </w:r>
            <w:r>
              <w:rPr>
                <w:noProof/>
                <w:webHidden/>
              </w:rPr>
              <w:t>8</w:t>
            </w:r>
            <w:r>
              <w:rPr>
                <w:noProof/>
                <w:webHidden/>
              </w:rPr>
              <w:fldChar w:fldCharType="end"/>
            </w:r>
          </w:hyperlink>
        </w:p>
        <w:p>
          <w:pPr>
            <w:pStyle w:val="TDC1"/>
            <w:tabs>
              <w:tab w:val="right" w:leader="dot" w:pos="8828"/>
            </w:tabs>
            <w:rPr>
              <w:rFonts w:asciiTheme="minorHAnsi" w:eastAsiaTheme="minorEastAsia" w:hAnsiTheme="minorHAnsi" w:cstheme="minorBidi"/>
              <w:noProof/>
              <w:sz w:val="22"/>
              <w:lang w:eastAsia="es-HN"/>
            </w:rPr>
          </w:pPr>
          <w:hyperlink w:anchor="_Toc489525763" w:history="1">
            <w:r>
              <w:rPr>
                <w:rStyle w:val="Hipervnculo"/>
                <w:rFonts w:ascii="Times New Roman" w:hAnsi="Times New Roman" w:cs="Times New Roman"/>
                <w:noProof/>
              </w:rPr>
              <w:t>ANEXO</w:t>
            </w:r>
            <w:r>
              <w:rPr>
                <w:noProof/>
                <w:webHidden/>
              </w:rPr>
              <w:tab/>
            </w:r>
            <w:r>
              <w:rPr>
                <w:noProof/>
                <w:webHidden/>
              </w:rPr>
              <w:fldChar w:fldCharType="begin"/>
            </w:r>
            <w:r>
              <w:rPr>
                <w:noProof/>
                <w:webHidden/>
              </w:rPr>
              <w:instrText xml:space="preserve"> PAGEREF _Toc489525763 \h </w:instrText>
            </w:r>
            <w:r>
              <w:rPr>
                <w:noProof/>
                <w:webHidden/>
              </w:rPr>
            </w:r>
            <w:r>
              <w:rPr>
                <w:noProof/>
                <w:webHidden/>
              </w:rPr>
              <w:fldChar w:fldCharType="separate"/>
            </w:r>
            <w:r>
              <w:rPr>
                <w:noProof/>
                <w:webHidden/>
              </w:rPr>
              <w:t>9</w:t>
            </w:r>
            <w:r>
              <w:rPr>
                <w:noProof/>
                <w:webHidden/>
              </w:rPr>
              <w:fldChar w:fldCharType="end"/>
            </w:r>
          </w:hyperlink>
        </w:p>
        <w:p>
          <w:pPr>
            <w:pStyle w:val="TDC2"/>
            <w:tabs>
              <w:tab w:val="left" w:pos="880"/>
              <w:tab w:val="right" w:leader="dot" w:pos="8828"/>
            </w:tabs>
            <w:rPr>
              <w:rFonts w:asciiTheme="minorHAnsi" w:eastAsiaTheme="minorEastAsia" w:hAnsiTheme="minorHAnsi" w:cstheme="minorBidi"/>
              <w:noProof/>
              <w:sz w:val="22"/>
              <w:lang w:eastAsia="es-HN"/>
            </w:rPr>
          </w:pPr>
          <w:hyperlink w:anchor="_Toc489525764" w:history="1">
            <w:r>
              <w:rPr>
                <w:rStyle w:val="Hipervnculo"/>
                <w:rFonts w:ascii="Times New Roman" w:hAnsi="Times New Roman" w:cs="Times New Roman"/>
                <w:noProof/>
              </w:rPr>
              <w:t>A1.</w:t>
            </w:r>
            <w:r>
              <w:rPr>
                <w:rFonts w:asciiTheme="minorHAnsi" w:eastAsiaTheme="minorEastAsia" w:hAnsiTheme="minorHAnsi" w:cstheme="minorBidi"/>
                <w:noProof/>
                <w:sz w:val="22"/>
                <w:lang w:eastAsia="es-HN"/>
              </w:rPr>
              <w:tab/>
            </w:r>
            <w:r>
              <w:rPr>
                <w:rStyle w:val="Hipervnculo"/>
                <w:rFonts w:ascii="Times New Roman" w:hAnsi="Times New Roman" w:cs="Times New Roman"/>
                <w:noProof/>
              </w:rPr>
              <w:t>Diagrama Unifilar del proyecto de la Alternativa de Solución No. 1</w:t>
            </w:r>
            <w:r>
              <w:rPr>
                <w:noProof/>
                <w:webHidden/>
              </w:rPr>
              <w:tab/>
            </w:r>
            <w:r>
              <w:rPr>
                <w:noProof/>
                <w:webHidden/>
              </w:rPr>
              <w:fldChar w:fldCharType="begin"/>
            </w:r>
            <w:r>
              <w:rPr>
                <w:noProof/>
                <w:webHidden/>
              </w:rPr>
              <w:instrText xml:space="preserve"> PAGEREF _Toc489525764 \h </w:instrText>
            </w:r>
            <w:r>
              <w:rPr>
                <w:noProof/>
                <w:webHidden/>
              </w:rPr>
            </w:r>
            <w:r>
              <w:rPr>
                <w:noProof/>
                <w:webHidden/>
              </w:rPr>
              <w:fldChar w:fldCharType="separate"/>
            </w:r>
            <w:r>
              <w:rPr>
                <w:noProof/>
                <w:webHidden/>
              </w:rPr>
              <w:t>9</w:t>
            </w:r>
            <w:r>
              <w:rPr>
                <w:noProof/>
                <w:webHidden/>
              </w:rPr>
              <w:fldChar w:fldCharType="end"/>
            </w:r>
          </w:hyperlink>
        </w:p>
        <w:p>
          <w:pPr>
            <w:pStyle w:val="TDC2"/>
            <w:tabs>
              <w:tab w:val="left" w:pos="880"/>
              <w:tab w:val="right" w:leader="dot" w:pos="8828"/>
            </w:tabs>
            <w:rPr>
              <w:rFonts w:asciiTheme="minorHAnsi" w:eastAsiaTheme="minorEastAsia" w:hAnsiTheme="minorHAnsi" w:cstheme="minorBidi"/>
              <w:noProof/>
              <w:sz w:val="22"/>
              <w:lang w:eastAsia="es-HN"/>
            </w:rPr>
          </w:pPr>
          <w:hyperlink w:anchor="_Toc489525765" w:history="1">
            <w:r>
              <w:rPr>
                <w:rStyle w:val="Hipervnculo"/>
                <w:rFonts w:ascii="Times New Roman" w:hAnsi="Times New Roman" w:cs="Times New Roman"/>
                <w:noProof/>
              </w:rPr>
              <w:t>A2.</w:t>
            </w:r>
            <w:r>
              <w:rPr>
                <w:rFonts w:asciiTheme="minorHAnsi" w:eastAsiaTheme="minorEastAsia" w:hAnsiTheme="minorHAnsi" w:cstheme="minorBidi"/>
                <w:noProof/>
                <w:sz w:val="22"/>
                <w:lang w:eastAsia="es-HN"/>
              </w:rPr>
              <w:tab/>
            </w:r>
            <w:r>
              <w:rPr>
                <w:rStyle w:val="Hipervnculo"/>
                <w:rFonts w:ascii="Times New Roman" w:hAnsi="Times New Roman" w:cs="Times New Roman"/>
                <w:noProof/>
              </w:rPr>
              <w:t>Diagrama Unifilar preliminar del proyecto de la Alternativa de Solución No. 2</w:t>
            </w:r>
            <w:r>
              <w:rPr>
                <w:noProof/>
                <w:webHidden/>
              </w:rPr>
              <w:tab/>
            </w:r>
            <w:r>
              <w:rPr>
                <w:noProof/>
                <w:webHidden/>
              </w:rPr>
              <w:fldChar w:fldCharType="begin"/>
            </w:r>
            <w:r>
              <w:rPr>
                <w:noProof/>
                <w:webHidden/>
              </w:rPr>
              <w:instrText xml:space="preserve"> PAGEREF _Toc489525765 \h </w:instrText>
            </w:r>
            <w:r>
              <w:rPr>
                <w:noProof/>
                <w:webHidden/>
              </w:rPr>
            </w:r>
            <w:r>
              <w:rPr>
                <w:noProof/>
                <w:webHidden/>
              </w:rPr>
              <w:fldChar w:fldCharType="separate"/>
            </w:r>
            <w:r>
              <w:rPr>
                <w:noProof/>
                <w:webHidden/>
              </w:rPr>
              <w:t>10</w:t>
            </w:r>
            <w:r>
              <w:rPr>
                <w:noProof/>
                <w:webHidden/>
              </w:rPr>
              <w:fldChar w:fldCharType="end"/>
            </w:r>
          </w:hyperlink>
        </w:p>
        <w:p>
          <w:pPr>
            <w:pStyle w:val="TDC2"/>
            <w:tabs>
              <w:tab w:val="left" w:pos="880"/>
              <w:tab w:val="right" w:leader="dot" w:pos="8828"/>
            </w:tabs>
            <w:rPr>
              <w:rFonts w:asciiTheme="minorHAnsi" w:eastAsiaTheme="minorEastAsia" w:hAnsiTheme="minorHAnsi" w:cstheme="minorBidi"/>
              <w:noProof/>
              <w:sz w:val="22"/>
              <w:lang w:eastAsia="es-HN"/>
            </w:rPr>
          </w:pPr>
          <w:hyperlink w:anchor="_Toc489525766" w:history="1">
            <w:r>
              <w:rPr>
                <w:rStyle w:val="Hipervnculo"/>
                <w:rFonts w:ascii="Times New Roman" w:hAnsi="Times New Roman" w:cs="Times New Roman"/>
                <w:noProof/>
              </w:rPr>
              <w:t>A3.</w:t>
            </w:r>
            <w:r>
              <w:rPr>
                <w:rFonts w:asciiTheme="minorHAnsi" w:eastAsiaTheme="minorEastAsia" w:hAnsiTheme="minorHAnsi" w:cstheme="minorBidi"/>
                <w:noProof/>
                <w:sz w:val="22"/>
                <w:lang w:eastAsia="es-HN"/>
              </w:rPr>
              <w:tab/>
            </w:r>
            <w:r>
              <w:rPr>
                <w:rStyle w:val="Hipervnculo"/>
                <w:rFonts w:ascii="Times New Roman" w:hAnsi="Times New Roman" w:cs="Times New Roman"/>
                <w:noProof/>
              </w:rPr>
              <w:t>Mapa de referencia de la ubicación del proyecto</w:t>
            </w:r>
            <w:r>
              <w:rPr>
                <w:noProof/>
                <w:webHidden/>
              </w:rPr>
              <w:tab/>
            </w:r>
            <w:r>
              <w:rPr>
                <w:noProof/>
                <w:webHidden/>
              </w:rPr>
              <w:fldChar w:fldCharType="begin"/>
            </w:r>
            <w:r>
              <w:rPr>
                <w:noProof/>
                <w:webHidden/>
              </w:rPr>
              <w:instrText xml:space="preserve"> PAGEREF _Toc489525766 \h </w:instrText>
            </w:r>
            <w:r>
              <w:rPr>
                <w:noProof/>
                <w:webHidden/>
              </w:rPr>
            </w:r>
            <w:r>
              <w:rPr>
                <w:noProof/>
                <w:webHidden/>
              </w:rPr>
              <w:fldChar w:fldCharType="separate"/>
            </w:r>
            <w:r>
              <w:rPr>
                <w:noProof/>
                <w:webHidden/>
              </w:rPr>
              <w:t>11</w:t>
            </w:r>
            <w:r>
              <w:rPr>
                <w:noProof/>
                <w:webHidden/>
              </w:rPr>
              <w:fldChar w:fldCharType="end"/>
            </w:r>
          </w:hyperlink>
        </w:p>
        <w:p>
          <w:pPr>
            <w:rPr>
              <w:rFonts w:ascii="Times New Roman" w:hAnsi="Times New Roman" w:cs="Times New Roman"/>
              <w:sz w:val="22"/>
            </w:rPr>
          </w:pPr>
          <w:r>
            <w:rPr>
              <w:rFonts w:ascii="Times New Roman" w:hAnsi="Times New Roman" w:cs="Times New Roman"/>
              <w:b/>
              <w:bCs/>
              <w:sz w:val="22"/>
              <w:lang w:val="es-ES"/>
            </w:rPr>
            <w:fldChar w:fldCharType="end"/>
          </w:r>
        </w:p>
      </w:sdtContent>
    </w:sdt>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sz w:val="32"/>
        </w:rPr>
      </w:pPr>
    </w:p>
    <w:p>
      <w:pPr>
        <w:rPr>
          <w:rFonts w:ascii="Times New Roman" w:hAnsi="Times New Roman" w:cs="Times New Roman"/>
          <w:sz w:val="32"/>
        </w:rPr>
      </w:pPr>
    </w:p>
    <w:p>
      <w:pPr>
        <w:rPr>
          <w:rFonts w:ascii="Times New Roman" w:hAnsi="Times New Roman" w:cs="Times New Roman"/>
          <w:sz w:val="32"/>
        </w:rPr>
      </w:pPr>
    </w:p>
    <w:p>
      <w:pPr>
        <w:rPr>
          <w:rFonts w:ascii="Times New Roman" w:hAnsi="Times New Roman" w:cs="Times New Roman"/>
          <w:sz w:val="32"/>
        </w:rPr>
      </w:pPr>
    </w:p>
    <w:p>
      <w:pPr>
        <w:rPr>
          <w:rFonts w:ascii="Times New Roman" w:hAnsi="Times New Roman" w:cs="Times New Roman"/>
          <w:sz w:val="32"/>
        </w:rPr>
      </w:pPr>
    </w:p>
    <w:p>
      <w:pPr>
        <w:rPr>
          <w:rFonts w:ascii="Times New Roman" w:hAnsi="Times New Roman" w:cs="Times New Roman"/>
          <w:sz w:val="32"/>
        </w:rPr>
      </w:pPr>
    </w:p>
    <w:p>
      <w:pPr>
        <w:pStyle w:val="Citadestacada"/>
        <w:pBdr>
          <w:top w:val="single" w:sz="4" w:space="10" w:color="auto"/>
          <w:bottom w:val="single" w:sz="4" w:space="10" w:color="auto"/>
        </w:pBdr>
        <w:spacing w:before="240" w:after="240"/>
        <w:ind w:left="0" w:right="1152"/>
        <w:jc w:val="left"/>
        <w:outlineLvl w:val="0"/>
        <w:rPr>
          <w:bCs w:val="0"/>
          <w:color w:val="auto"/>
          <w:sz w:val="24"/>
          <w:szCs w:val="22"/>
          <w:lang w:val="es-HN" w:bidi="ar-SA"/>
        </w:rPr>
        <w:sectPr>
          <w:pgSz w:w="12240" w:h="15840"/>
          <w:pgMar w:top="1417" w:right="1701" w:bottom="1417" w:left="1701" w:header="708" w:footer="708" w:gutter="0"/>
          <w:cols w:space="708"/>
          <w:docGrid w:linePitch="360"/>
        </w:sectPr>
      </w:pPr>
      <w:bookmarkStart w:id="0" w:name="_Toc347323516"/>
    </w:p>
    <w:p>
      <w:pPr>
        <w:pStyle w:val="Ttulo1"/>
        <w:rPr>
          <w:b/>
          <w:sz w:val="28"/>
        </w:rPr>
      </w:pPr>
      <w:bookmarkStart w:id="1" w:name="_Toc489525752"/>
      <w:bookmarkEnd w:id="0"/>
      <w:r>
        <w:rPr>
          <w:b/>
          <w:sz w:val="28"/>
        </w:rPr>
        <w:lastRenderedPageBreak/>
        <w:t>RESUMEN EJECUTIVO</w:t>
      </w:r>
      <w:bookmarkEnd w:id="1"/>
    </w:p>
    <w:p>
      <w:pPr>
        <w:tabs>
          <w:tab w:val="left" w:pos="8505"/>
          <w:tab w:val="left" w:pos="8789"/>
        </w:tabs>
        <w:spacing w:after="120" w:line="240" w:lineRule="auto"/>
        <w:ind w:right="335"/>
        <w:jc w:val="both"/>
        <w:rPr>
          <w:rFonts w:ascii="Times New Roman" w:hAnsi="Times New Roman" w:cs="Times New Roman"/>
          <w:sz w:val="22"/>
        </w:rPr>
      </w:pPr>
      <w:r>
        <w:rPr>
          <w:rFonts w:ascii="Times New Roman" w:hAnsi="Times New Roman" w:cs="Times New Roman"/>
          <w:sz w:val="22"/>
        </w:rPr>
        <w:t xml:space="preserve">El presente documento presenta el análisis técnico-financiero del proyecto denominado </w:t>
      </w:r>
      <w:r>
        <w:rPr>
          <w:rFonts w:ascii="Times New Roman" w:hAnsi="Times New Roman" w:cs="Times New Roman"/>
          <w:b/>
          <w:i/>
          <w:sz w:val="22"/>
        </w:rPr>
        <w:t>Línea de Transmisión “San Pedro Solar Sur-San Buenaventura” en 138-230 kV</w:t>
      </w:r>
      <w:r>
        <w:rPr>
          <w:rFonts w:ascii="Times New Roman" w:hAnsi="Times New Roman" w:cs="Times New Roman"/>
          <w:sz w:val="22"/>
        </w:rPr>
        <w:t>, bajo criterios de calidad y confiabilidad normalizados por ENEE.</w:t>
      </w:r>
    </w:p>
    <w:p>
      <w:pPr>
        <w:tabs>
          <w:tab w:val="left" w:pos="8505"/>
          <w:tab w:val="left" w:pos="8789"/>
        </w:tabs>
        <w:spacing w:after="120" w:line="240" w:lineRule="auto"/>
        <w:ind w:right="335"/>
        <w:jc w:val="both"/>
        <w:rPr>
          <w:rFonts w:ascii="Times New Roman" w:hAnsi="Times New Roman" w:cs="Times New Roman"/>
          <w:sz w:val="22"/>
        </w:rPr>
      </w:pPr>
      <w:r>
        <w:rPr>
          <w:rFonts w:ascii="Times New Roman" w:hAnsi="Times New Roman" w:cs="Times New Roman"/>
          <w:sz w:val="22"/>
        </w:rPr>
        <w:t>El proyecto favorecerá a las centrales de generación solar fotovoltaicos que se localizan en la zona sur del país, dado que ampliará la capacidad de transmisión de la región norte, lo que permitirá la transmisión de flujos de potencia y energía asociada proveniente de las centrales y futuros proyectos fotovoltaicos hacia la zona norte del país; asimismo ayudará a aliviar las cargas en los transformadores de la Subestación “Progreso” lo que redundará en una mayor confiabilidad y seguridad del servicio de suministro de energía eléctrica en el país.</w:t>
      </w:r>
    </w:p>
    <w:p>
      <w:pPr>
        <w:tabs>
          <w:tab w:val="left" w:pos="8505"/>
          <w:tab w:val="left" w:pos="8789"/>
        </w:tabs>
        <w:spacing w:after="120" w:line="240" w:lineRule="auto"/>
        <w:ind w:right="335"/>
        <w:jc w:val="both"/>
        <w:rPr>
          <w:rFonts w:ascii="Times New Roman" w:hAnsi="Times New Roman" w:cs="Times New Roman"/>
          <w:sz w:val="22"/>
        </w:rPr>
      </w:pPr>
      <w:r>
        <w:rPr>
          <w:rFonts w:ascii="Times New Roman" w:hAnsi="Times New Roman" w:cs="Times New Roman"/>
          <w:sz w:val="22"/>
        </w:rPr>
        <w:t>El proyecto consiste en (1) la sustitución de un circuito o línea existente de transmisión (LT) “Rio Lindo-San Pedro Sula Sur” en 138 kV, (2) la construcción de una LT en 230 kV “San Pedro Sula Sur-San Buenaventura”, (3) la Ampliación de las bahías de la Subestación San Pedro Sula Sur en 138 kV y 230 kV para (a) la recepción de la futura LT “SPSS-SBV” y (b) la instalación de dos transformadores de potencia una capacidad nominal de 150/120/90 MVA, en 230/138 kV cada uno, y (4) la ampliación del lado de 230 kV de la subestación San Buenaventura con una nueva bahía en arreglo de interruptor y medio para una salida de línea hacia la Subestación San Pedro Sula Sur.</w:t>
      </w:r>
    </w:p>
    <w:p>
      <w:pPr>
        <w:tabs>
          <w:tab w:val="left" w:pos="8505"/>
          <w:tab w:val="left" w:pos="8789"/>
        </w:tabs>
        <w:spacing w:after="120" w:line="240" w:lineRule="auto"/>
        <w:ind w:right="335"/>
        <w:jc w:val="both"/>
        <w:rPr>
          <w:rFonts w:ascii="Times New Roman" w:hAnsi="Times New Roman" w:cs="Times New Roman"/>
          <w:sz w:val="22"/>
        </w:rPr>
      </w:pPr>
      <w:r>
        <w:rPr>
          <w:rFonts w:ascii="Times New Roman" w:hAnsi="Times New Roman" w:cs="Times New Roman"/>
          <w:sz w:val="22"/>
        </w:rPr>
        <w:t>Ambos circuitos de transmisión de 138 kV y 230 kV se tenderán sobre una misma infraestructura, aprovechando la servidumbre existente de la línea de transmisión “Rio Lindo-San Pedro Sula Sur”.</w:t>
      </w:r>
    </w:p>
    <w:p>
      <w:pPr>
        <w:tabs>
          <w:tab w:val="left" w:pos="8505"/>
          <w:tab w:val="left" w:pos="8789"/>
        </w:tabs>
        <w:spacing w:after="120" w:line="240" w:lineRule="auto"/>
        <w:ind w:right="335"/>
        <w:jc w:val="both"/>
        <w:rPr>
          <w:rFonts w:ascii="Times New Roman" w:hAnsi="Times New Roman" w:cs="Times New Roman"/>
          <w:sz w:val="22"/>
        </w:rPr>
      </w:pPr>
      <w:r>
        <w:rPr>
          <w:rFonts w:ascii="Times New Roman" w:hAnsi="Times New Roman" w:cs="Times New Roman"/>
          <w:sz w:val="22"/>
        </w:rPr>
        <w:t>En general, el SIN requiere de la implementación del proyecto para su correcto funcionamiento en el corto plazo (2019).</w:t>
      </w:r>
    </w:p>
    <w:p>
      <w:pPr>
        <w:pStyle w:val="Ttulo1"/>
        <w:rPr>
          <w:b/>
          <w:sz w:val="28"/>
        </w:rPr>
      </w:pPr>
      <w:bookmarkStart w:id="2" w:name="_Toc489525753"/>
      <w:r>
        <w:rPr>
          <w:b/>
          <w:sz w:val="28"/>
        </w:rPr>
        <w:t>OBJETIVOS ESPECÍFICOS DEL PROYECTO</w:t>
      </w:r>
      <w:bookmarkEnd w:id="2"/>
    </w:p>
    <w:p>
      <w:pPr>
        <w:pStyle w:val="Prrafodelista"/>
        <w:numPr>
          <w:ilvl w:val="0"/>
          <w:numId w:val="4"/>
        </w:numPr>
        <w:tabs>
          <w:tab w:val="left" w:pos="8789"/>
        </w:tabs>
        <w:spacing w:after="120" w:line="240" w:lineRule="auto"/>
        <w:ind w:left="714" w:hanging="357"/>
        <w:jc w:val="both"/>
        <w:rPr>
          <w:rFonts w:ascii="Times New Roman" w:hAnsi="Times New Roman" w:cs="Times New Roman"/>
          <w:sz w:val="22"/>
        </w:rPr>
      </w:pPr>
      <w:r>
        <w:rPr>
          <w:rFonts w:ascii="Times New Roman" w:hAnsi="Times New Roman" w:cs="Times New Roman"/>
          <w:sz w:val="22"/>
        </w:rPr>
        <w:t>Ampliar la capacidad de transmisión de la zona norte del país.</w:t>
      </w:r>
    </w:p>
    <w:p>
      <w:pPr>
        <w:pStyle w:val="Prrafodelista"/>
        <w:numPr>
          <w:ilvl w:val="0"/>
          <w:numId w:val="4"/>
        </w:numPr>
        <w:tabs>
          <w:tab w:val="left" w:pos="8789"/>
        </w:tabs>
        <w:spacing w:after="120" w:line="240" w:lineRule="auto"/>
        <w:ind w:left="714" w:hanging="357"/>
        <w:jc w:val="both"/>
        <w:rPr>
          <w:rFonts w:ascii="Times New Roman" w:hAnsi="Times New Roman" w:cs="Times New Roman"/>
          <w:sz w:val="22"/>
        </w:rPr>
      </w:pPr>
      <w:r>
        <w:rPr>
          <w:rFonts w:ascii="Times New Roman" w:hAnsi="Times New Roman" w:cs="Times New Roman"/>
          <w:sz w:val="22"/>
        </w:rPr>
        <w:t>Aprovechar la capacidad de producción de potencia y energía de las centrales y proyectos de generación solar-fotovoltaicos localizados en la zona sur del país.</w:t>
      </w:r>
    </w:p>
    <w:p>
      <w:pPr>
        <w:pStyle w:val="Prrafodelista"/>
        <w:numPr>
          <w:ilvl w:val="0"/>
          <w:numId w:val="4"/>
        </w:numPr>
        <w:tabs>
          <w:tab w:val="left" w:pos="8789"/>
        </w:tabs>
        <w:spacing w:after="120" w:line="240" w:lineRule="auto"/>
        <w:ind w:left="714" w:hanging="357"/>
        <w:jc w:val="both"/>
        <w:rPr>
          <w:rFonts w:ascii="Times New Roman" w:hAnsi="Times New Roman" w:cs="Times New Roman"/>
          <w:sz w:val="22"/>
        </w:rPr>
      </w:pPr>
      <w:r>
        <w:rPr>
          <w:rFonts w:ascii="Times New Roman" w:hAnsi="Times New Roman" w:cs="Times New Roman"/>
          <w:sz w:val="22"/>
        </w:rPr>
        <w:t>Mejorar la calidad, seguridad, y confiabilidad del servicio de suministro de energía eléctrica.</w:t>
      </w:r>
    </w:p>
    <w:p>
      <w:pPr>
        <w:pStyle w:val="Prrafodelista"/>
        <w:numPr>
          <w:ilvl w:val="0"/>
          <w:numId w:val="4"/>
        </w:numPr>
        <w:tabs>
          <w:tab w:val="left" w:pos="8789"/>
        </w:tabs>
        <w:spacing w:after="120" w:line="240" w:lineRule="auto"/>
        <w:ind w:left="714" w:hanging="357"/>
        <w:jc w:val="both"/>
        <w:rPr>
          <w:rFonts w:ascii="Times New Roman" w:hAnsi="Times New Roman" w:cs="Times New Roman"/>
          <w:sz w:val="22"/>
        </w:rPr>
      </w:pPr>
      <w:r>
        <w:rPr>
          <w:rFonts w:ascii="Times New Roman" w:hAnsi="Times New Roman" w:cs="Times New Roman"/>
          <w:sz w:val="22"/>
        </w:rPr>
        <w:t>Satisfacer apropiadamente la demanda incremental nacional.</w:t>
      </w:r>
    </w:p>
    <w:p>
      <w:pPr>
        <w:pStyle w:val="Ttulo1"/>
        <w:rPr>
          <w:b/>
          <w:sz w:val="28"/>
        </w:rPr>
      </w:pPr>
      <w:bookmarkStart w:id="3" w:name="_Toc489525754"/>
      <w:r>
        <w:rPr>
          <w:b/>
          <w:sz w:val="28"/>
        </w:rPr>
        <w:t>ANALISIS TÉCNICO</w:t>
      </w:r>
      <w:bookmarkEnd w:id="3"/>
    </w:p>
    <w:p>
      <w:pPr>
        <w:rPr>
          <w:rFonts w:ascii="Times New Roman" w:hAnsi="Times New Roman" w:cs="Times New Roman"/>
          <w:sz w:val="22"/>
        </w:rPr>
      </w:pPr>
      <w:r>
        <w:rPr>
          <w:rFonts w:ascii="Times New Roman" w:hAnsi="Times New Roman" w:cs="Times New Roman"/>
          <w:sz w:val="22"/>
        </w:rPr>
        <w:t>A continuación, se muestran los criterios técnicos y resultados obtenidos del análisis técnico de los flujos de potencia en estado estable:</w:t>
      </w:r>
    </w:p>
    <w:p>
      <w:pPr>
        <w:pStyle w:val="Ttulo2"/>
        <w:spacing w:before="240"/>
        <w:rPr>
          <w:rFonts w:ascii="Times New Roman" w:hAnsi="Times New Roman" w:cs="Times New Roman"/>
          <w:color w:val="000000" w:themeColor="text1"/>
          <w:sz w:val="24"/>
        </w:rPr>
      </w:pPr>
      <w:bookmarkStart w:id="4" w:name="_Toc489444768"/>
      <w:bookmarkStart w:id="5" w:name="_Toc489525755"/>
      <w:r>
        <w:rPr>
          <w:rFonts w:ascii="Times New Roman" w:hAnsi="Times New Roman" w:cs="Times New Roman"/>
          <w:color w:val="000000" w:themeColor="text1"/>
          <w:sz w:val="24"/>
        </w:rPr>
        <w:t>CRITERIOS TÉCNICOS</w:t>
      </w:r>
      <w:bookmarkEnd w:id="4"/>
      <w:bookmarkEnd w:id="5"/>
    </w:p>
    <w:p>
      <w:pPr>
        <w:pStyle w:val="Textoindependiente"/>
        <w:tabs>
          <w:tab w:val="left" w:pos="8789"/>
        </w:tabs>
        <w:spacing w:line="240" w:lineRule="auto"/>
        <w:jc w:val="both"/>
        <w:rPr>
          <w:rFonts w:ascii="Times New Roman" w:eastAsiaTheme="majorEastAsia" w:hAnsi="Times New Roman"/>
          <w:i w:val="0"/>
          <w:iCs w:val="0"/>
          <w:sz w:val="22"/>
          <w:szCs w:val="22"/>
          <w:lang w:val="es-HN" w:bidi="ar-SA"/>
        </w:rPr>
      </w:pPr>
      <w:r>
        <w:rPr>
          <w:rFonts w:ascii="Times New Roman" w:eastAsiaTheme="majorEastAsia" w:hAnsi="Times New Roman"/>
          <w:i w:val="0"/>
          <w:iCs w:val="0"/>
          <w:sz w:val="22"/>
          <w:szCs w:val="22"/>
          <w:lang w:val="es-HN" w:bidi="ar-SA"/>
        </w:rPr>
        <w:t>Para la evaluación de los efectos técnicos, se utilizó como herramienta de Análisis de Sistemas de Potencia el programa llamado “</w:t>
      </w:r>
      <w:r>
        <w:rPr>
          <w:rFonts w:ascii="Times New Roman" w:eastAsiaTheme="majorEastAsia" w:hAnsi="Times New Roman"/>
          <w:b/>
          <w:i w:val="0"/>
          <w:iCs w:val="0"/>
          <w:sz w:val="22"/>
          <w:szCs w:val="22"/>
          <w:lang w:val="es-HN" w:bidi="ar-SA"/>
        </w:rPr>
        <w:t>DigSilent Power Factory</w:t>
      </w:r>
      <w:r>
        <w:rPr>
          <w:rFonts w:ascii="Times New Roman" w:eastAsiaTheme="majorEastAsia" w:hAnsi="Times New Roman"/>
          <w:i w:val="0"/>
          <w:iCs w:val="0"/>
          <w:sz w:val="22"/>
          <w:szCs w:val="22"/>
          <w:lang w:val="es-HN" w:bidi="ar-SA"/>
        </w:rPr>
        <w:t xml:space="preserve">”; programa empleado por la empresa </w:t>
      </w:r>
      <w:r>
        <w:rPr>
          <w:rFonts w:ascii="Times New Roman" w:eastAsiaTheme="majorEastAsia" w:hAnsi="Times New Roman"/>
          <w:b/>
          <w:i w:val="0"/>
          <w:iCs w:val="0"/>
          <w:sz w:val="22"/>
          <w:szCs w:val="22"/>
          <w:lang w:val="es-HN" w:bidi="ar-SA"/>
        </w:rPr>
        <w:t>ENEE</w:t>
      </w:r>
      <w:r>
        <w:rPr>
          <w:rFonts w:ascii="Times New Roman" w:eastAsiaTheme="majorEastAsia" w:hAnsi="Times New Roman"/>
          <w:i w:val="0"/>
          <w:iCs w:val="0"/>
          <w:sz w:val="22"/>
          <w:szCs w:val="22"/>
          <w:lang w:val="es-HN" w:bidi="ar-SA"/>
        </w:rPr>
        <w:t xml:space="preserve"> en los análisis técnicos del SIN, de acuerdo a los siguientes criterios técnicos:</w:t>
      </w:r>
    </w:p>
    <w:p>
      <w:pPr>
        <w:pStyle w:val="Prrafodelista"/>
        <w:numPr>
          <w:ilvl w:val="0"/>
          <w:numId w:val="34"/>
        </w:numPr>
        <w:spacing w:after="120" w:line="240" w:lineRule="auto"/>
        <w:jc w:val="both"/>
        <w:rPr>
          <w:rFonts w:ascii="Times New Roman" w:hAnsi="Times New Roman" w:cs="Times New Roman"/>
          <w:sz w:val="22"/>
        </w:rPr>
      </w:pPr>
      <w:r>
        <w:rPr>
          <w:rFonts w:ascii="Times New Roman" w:hAnsi="Times New Roman" w:cs="Times New Roman"/>
          <w:sz w:val="22"/>
        </w:rPr>
        <w:t>Las condiciones de demanda y generación son las que se determinaron por la empresa ENEE.</w:t>
      </w:r>
    </w:p>
    <w:p>
      <w:pPr>
        <w:pStyle w:val="Prrafodelista"/>
        <w:numPr>
          <w:ilvl w:val="0"/>
          <w:numId w:val="34"/>
        </w:numPr>
        <w:spacing w:after="120" w:line="240" w:lineRule="auto"/>
        <w:jc w:val="both"/>
        <w:rPr>
          <w:rFonts w:ascii="Times New Roman" w:hAnsi="Times New Roman" w:cs="Times New Roman"/>
          <w:sz w:val="22"/>
        </w:rPr>
      </w:pPr>
      <w:r>
        <w:rPr>
          <w:rFonts w:ascii="Times New Roman" w:hAnsi="Times New Roman" w:cs="Times New Roman"/>
          <w:sz w:val="22"/>
        </w:rPr>
        <w:t xml:space="preserve">Escenarios de demanda y generación considerados: máxima, media y mínima del SIN en las estaciones “seca y húmeda”. La estación seca implica que las centrales hidroeléctricas </w:t>
      </w:r>
      <w:r>
        <w:rPr>
          <w:rFonts w:ascii="Times New Roman" w:hAnsi="Times New Roman" w:cs="Times New Roman"/>
          <w:sz w:val="22"/>
        </w:rPr>
        <w:lastRenderedPageBreak/>
        <w:t>tienen menor disponibilidad de generación y por lo tanto es necesario disponer de más generación térmica.</w:t>
      </w:r>
    </w:p>
    <w:p>
      <w:pPr>
        <w:pStyle w:val="Prrafodelista"/>
        <w:numPr>
          <w:ilvl w:val="0"/>
          <w:numId w:val="34"/>
        </w:numPr>
        <w:spacing w:after="120" w:line="240" w:lineRule="auto"/>
        <w:jc w:val="both"/>
        <w:rPr>
          <w:rFonts w:ascii="Times New Roman" w:hAnsi="Times New Roman" w:cs="Times New Roman"/>
          <w:sz w:val="22"/>
        </w:rPr>
      </w:pPr>
      <w:r>
        <w:rPr>
          <w:rFonts w:ascii="Times New Roman" w:hAnsi="Times New Roman" w:cs="Times New Roman"/>
          <w:sz w:val="22"/>
        </w:rPr>
        <w:t>Los niveles de tensión en barras aceptados deben estar entre 0.95 y 1.05 p.u., en condiciones normales de operación; y hasta 1.10 p.u. en condiciones de emergencia.</w:t>
      </w:r>
    </w:p>
    <w:p>
      <w:pPr>
        <w:pStyle w:val="Prrafodelista"/>
        <w:numPr>
          <w:ilvl w:val="0"/>
          <w:numId w:val="34"/>
        </w:numPr>
        <w:spacing w:after="120" w:line="240" w:lineRule="auto"/>
        <w:jc w:val="both"/>
        <w:rPr>
          <w:rFonts w:ascii="Times New Roman" w:hAnsi="Times New Roman" w:cs="Times New Roman"/>
          <w:sz w:val="22"/>
        </w:rPr>
      </w:pPr>
      <w:r>
        <w:rPr>
          <w:rFonts w:ascii="Times New Roman" w:hAnsi="Times New Roman" w:cs="Times New Roman"/>
          <w:sz w:val="22"/>
        </w:rPr>
        <w:t>Los niveles de carga máximos para los componentes de líneas y transformadores de transmisión y distribución no deben ser mayor al 100% de la capacidad de su límite térmico, en condiciones normales de operación; y hasta 110% en condiciones de emergencia.</w:t>
      </w:r>
    </w:p>
    <w:p>
      <w:pPr>
        <w:pStyle w:val="Ttulo2"/>
        <w:spacing w:before="240"/>
        <w:rPr>
          <w:rFonts w:ascii="Times New Roman" w:hAnsi="Times New Roman" w:cs="Times New Roman"/>
          <w:color w:val="000000" w:themeColor="text1"/>
          <w:sz w:val="24"/>
        </w:rPr>
      </w:pPr>
      <w:bookmarkStart w:id="6" w:name="_Toc489444769"/>
      <w:bookmarkStart w:id="7" w:name="_Toc489525756"/>
      <w:r>
        <w:rPr>
          <w:rFonts w:ascii="Times New Roman" w:hAnsi="Times New Roman" w:cs="Times New Roman"/>
          <w:color w:val="000000" w:themeColor="text1"/>
          <w:sz w:val="24"/>
        </w:rPr>
        <w:t>CASOS DE ESTUDIO</w:t>
      </w:r>
      <w:bookmarkEnd w:id="6"/>
      <w:bookmarkEnd w:id="7"/>
    </w:p>
    <w:p>
      <w:pPr>
        <w:spacing w:after="120" w:line="240" w:lineRule="auto"/>
        <w:jc w:val="both"/>
        <w:rPr>
          <w:rFonts w:ascii="Times New Roman" w:hAnsi="Times New Roman" w:cs="Times New Roman"/>
          <w:sz w:val="22"/>
        </w:rPr>
      </w:pPr>
      <w:r>
        <w:rPr>
          <w:rFonts w:ascii="Times New Roman" w:hAnsi="Times New Roman" w:cs="Times New Roman"/>
          <w:sz w:val="22"/>
        </w:rPr>
        <w:t>El Estudio de Flujos de Potencia fue llevado a cabo para determinar los posibles beneficios y problemas técnicos en el SIN</w:t>
      </w:r>
      <w:r>
        <w:rPr>
          <w:rFonts w:ascii="Times New Roman" w:hAnsi="Times New Roman" w:cs="Times New Roman"/>
          <w:b/>
          <w:sz w:val="22"/>
        </w:rPr>
        <w:t xml:space="preserve"> </w:t>
      </w:r>
      <w:r>
        <w:rPr>
          <w:rFonts w:ascii="Times New Roman" w:hAnsi="Times New Roman" w:cs="Times New Roman"/>
          <w:sz w:val="22"/>
        </w:rPr>
        <w:t>que podrían ser producto de la entrada en operación del proyecto seleccionado, bajo condiciones normales de operación. Se realizaron flujos de potencia para los siguientes casos de estudio:</w:t>
      </w:r>
    </w:p>
    <w:p>
      <w:pPr>
        <w:spacing w:after="120" w:line="240" w:lineRule="auto"/>
        <w:jc w:val="both"/>
        <w:rPr>
          <w:rFonts w:ascii="Times New Roman" w:hAnsi="Times New Roman" w:cs="Times New Roman"/>
          <w:sz w:val="22"/>
        </w:rPr>
      </w:pPr>
      <w:r>
        <w:rPr>
          <w:rFonts w:ascii="Times New Roman" w:hAnsi="Times New Roman" w:cs="Times New Roman"/>
          <w:sz w:val="22"/>
        </w:rPr>
        <w:t>Cuadro No. 1</w:t>
      </w:r>
      <w:r>
        <w:rPr>
          <w:rFonts w:ascii="Times New Roman" w:hAnsi="Times New Roman" w:cs="Times New Roman"/>
          <w:sz w:val="22"/>
        </w:rPr>
        <w:tab/>
        <w:t>Casos de Estudio para la evaluación técnica</w:t>
      </w:r>
    </w:p>
    <w:p>
      <w:pPr>
        <w:spacing w:after="120" w:line="240" w:lineRule="auto"/>
        <w:jc w:val="center"/>
        <w:rPr>
          <w:rFonts w:ascii="Times New Roman" w:hAnsi="Times New Roman" w:cs="Times New Roman"/>
          <w:sz w:val="22"/>
        </w:rPr>
      </w:pPr>
      <w:r>
        <w:rPr>
          <w:noProof/>
          <w:lang w:eastAsia="es-HN"/>
        </w:rPr>
        <w:drawing>
          <wp:inline distT="0" distB="0" distL="0" distR="0">
            <wp:extent cx="3892884" cy="10440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884" cy="1044000"/>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Los casos de estudio se modelaron para las estaciones verano e invierno, con tres escalones de demanda (máxima, media, y mínima), en las situaciones con y sin proyecto, en el periodo 2017- 2024.</w:t>
      </w:r>
    </w:p>
    <w:p>
      <w:pPr>
        <w:pStyle w:val="Ttulo2"/>
        <w:spacing w:before="240"/>
        <w:rPr>
          <w:rFonts w:ascii="Times New Roman" w:hAnsi="Times New Roman" w:cs="Times New Roman"/>
          <w:color w:val="000000" w:themeColor="text1"/>
          <w:sz w:val="24"/>
        </w:rPr>
      </w:pPr>
      <w:bookmarkStart w:id="8" w:name="_Toc489525757"/>
      <w:r>
        <w:rPr>
          <w:rFonts w:ascii="Times New Roman" w:hAnsi="Times New Roman" w:cs="Times New Roman"/>
          <w:color w:val="000000" w:themeColor="text1"/>
          <w:sz w:val="24"/>
        </w:rPr>
        <w:t>ALTERNATIVAS DE SOLUCION PROPUESTAS</w:t>
      </w:r>
      <w:bookmarkEnd w:id="8"/>
    </w:p>
    <w:p>
      <w:pPr>
        <w:spacing w:after="120" w:line="240" w:lineRule="auto"/>
        <w:jc w:val="both"/>
        <w:rPr>
          <w:rFonts w:ascii="Times New Roman" w:hAnsi="Times New Roman" w:cs="Times New Roman"/>
          <w:sz w:val="22"/>
        </w:rPr>
      </w:pPr>
      <w:r>
        <w:rPr>
          <w:rFonts w:ascii="Times New Roman" w:hAnsi="Times New Roman" w:cs="Times New Roman"/>
          <w:sz w:val="22"/>
        </w:rPr>
        <w:t>A continuación, la descripción de la alternativa de solución No. 1 del proyecto:</w:t>
      </w:r>
    </w:p>
    <w:p>
      <w:pPr>
        <w:pStyle w:val="Prrafodelista"/>
        <w:numPr>
          <w:ilvl w:val="0"/>
          <w:numId w:val="30"/>
        </w:numPr>
        <w:spacing w:after="120" w:line="240" w:lineRule="auto"/>
        <w:jc w:val="both"/>
        <w:rPr>
          <w:rFonts w:ascii="Times New Roman" w:hAnsi="Times New Roman" w:cs="Times New Roman"/>
          <w:sz w:val="22"/>
        </w:rPr>
      </w:pPr>
      <w:r>
        <w:rPr>
          <w:rFonts w:ascii="Times New Roman" w:hAnsi="Times New Roman" w:cs="Times New Roman"/>
          <w:sz w:val="22"/>
        </w:rPr>
        <w:t>Construcción de una nueva línea de transmisión en doble terna, utilizando la servidumbre actual de la línea “Rio Lindo-San Pedro Sula Sur”: la primera terna corresponde a la sustitución de las Líneas de Transmisión existentes de “Rio Lindo-Villanueva” y “Villanueva-San Pedro Sula Sur” en 138 kV por circuitos simples de características similares; mientras que la segunda terna consiste en la instalación de un doble circuito 230 kV entre las subestaciones de San Pedro Sula Sur y San Buenaventura, con una longitud estimada de 48 km, doble conductor por fase, cable 477 MCM, abreviada como “</w:t>
      </w:r>
      <w:r>
        <w:rPr>
          <w:rFonts w:ascii="Times New Roman" w:hAnsi="Times New Roman" w:cs="Times New Roman"/>
          <w:b/>
          <w:i/>
          <w:sz w:val="22"/>
        </w:rPr>
        <w:t>SPSS-SBV</w:t>
      </w:r>
      <w:r>
        <w:rPr>
          <w:rFonts w:ascii="Times New Roman" w:hAnsi="Times New Roman" w:cs="Times New Roman"/>
          <w:sz w:val="22"/>
        </w:rPr>
        <w:t>”.</w:t>
      </w:r>
    </w:p>
    <w:p>
      <w:pPr>
        <w:pStyle w:val="Prrafodelista"/>
        <w:numPr>
          <w:ilvl w:val="0"/>
          <w:numId w:val="30"/>
        </w:numPr>
        <w:spacing w:after="120" w:line="240" w:lineRule="auto"/>
        <w:jc w:val="both"/>
        <w:rPr>
          <w:rFonts w:ascii="Times New Roman" w:hAnsi="Times New Roman" w:cs="Times New Roman"/>
          <w:sz w:val="22"/>
        </w:rPr>
      </w:pPr>
      <w:r>
        <w:rPr>
          <w:rFonts w:ascii="Times New Roman" w:hAnsi="Times New Roman" w:cs="Times New Roman"/>
          <w:sz w:val="22"/>
        </w:rPr>
        <w:t>La ampliación de la subestación de San Pedro Sula Sur con una y media bahías de 230 kV en arreglo de interruptor y medio y una bahía completa en 138 kV en interruptor y medio, para la salida de la futura Línea de Transmisión “San Pedro Sula Sur-San Buenaventura” y la instalación de dos transformadores de potencia con una capacidad nominal de 150 MVA cada uno, en 230/138 kV.</w:t>
      </w:r>
    </w:p>
    <w:p>
      <w:pPr>
        <w:pStyle w:val="Prrafodelista"/>
        <w:numPr>
          <w:ilvl w:val="0"/>
          <w:numId w:val="30"/>
        </w:numPr>
        <w:spacing w:after="120" w:line="240" w:lineRule="auto"/>
        <w:jc w:val="both"/>
        <w:rPr>
          <w:rFonts w:ascii="Times New Roman" w:hAnsi="Times New Roman" w:cs="Times New Roman"/>
          <w:sz w:val="22"/>
        </w:rPr>
      </w:pPr>
      <w:r>
        <w:rPr>
          <w:rFonts w:ascii="Times New Roman" w:hAnsi="Times New Roman" w:cs="Times New Roman"/>
          <w:sz w:val="22"/>
        </w:rPr>
        <w:t>La ampliación de la subestación de San Buenaventura con una bahía completa en 230 kV en arreglo de interruptor y medio para recepción de la Línea de Transmisión “San Pedro Sula Sur-San Buenaventura”.</w:t>
      </w:r>
    </w:p>
    <w:p>
      <w:pPr>
        <w:spacing w:after="120" w:line="240" w:lineRule="auto"/>
        <w:jc w:val="both"/>
        <w:rPr>
          <w:rFonts w:ascii="Times New Roman" w:hAnsi="Times New Roman" w:cs="Times New Roman"/>
          <w:sz w:val="22"/>
        </w:rPr>
      </w:pPr>
      <w:r>
        <w:rPr>
          <w:rFonts w:ascii="Times New Roman" w:hAnsi="Times New Roman" w:cs="Times New Roman"/>
          <w:sz w:val="22"/>
        </w:rPr>
        <w:t>Y para la alternativa de solución No. 2:</w:t>
      </w:r>
    </w:p>
    <w:p>
      <w:pPr>
        <w:pStyle w:val="Prrafodelista"/>
        <w:numPr>
          <w:ilvl w:val="0"/>
          <w:numId w:val="37"/>
        </w:numPr>
        <w:spacing w:after="120" w:line="240" w:lineRule="auto"/>
        <w:jc w:val="both"/>
        <w:rPr>
          <w:rFonts w:ascii="Times New Roman" w:hAnsi="Times New Roman" w:cs="Times New Roman"/>
          <w:sz w:val="22"/>
        </w:rPr>
      </w:pPr>
      <w:r>
        <w:rPr>
          <w:rFonts w:ascii="Times New Roman" w:hAnsi="Times New Roman" w:cs="Times New Roman"/>
          <w:sz w:val="22"/>
        </w:rPr>
        <w:t>Construcción de una línea de transmisión 230 kV en arreglo de doble terna, doble conductor por fase, cable 477 MCM, con una longitud estimada de 48 km, entre la subestación existente de San Pedro Sula Sur y la futura de Nueva Progreso.</w:t>
      </w:r>
    </w:p>
    <w:p>
      <w:pPr>
        <w:pStyle w:val="Prrafodelista"/>
        <w:numPr>
          <w:ilvl w:val="0"/>
          <w:numId w:val="37"/>
        </w:numPr>
        <w:spacing w:after="120" w:line="240" w:lineRule="auto"/>
        <w:jc w:val="both"/>
        <w:rPr>
          <w:rFonts w:ascii="Times New Roman" w:hAnsi="Times New Roman" w:cs="Times New Roman"/>
          <w:sz w:val="22"/>
        </w:rPr>
      </w:pPr>
      <w:r>
        <w:rPr>
          <w:rFonts w:ascii="Times New Roman" w:hAnsi="Times New Roman" w:cs="Times New Roman"/>
          <w:sz w:val="22"/>
        </w:rPr>
        <w:lastRenderedPageBreak/>
        <w:t>La ampliación de la subestación de San Pedro Sula Sur con una y media bahías de 230 kV en arreglo de interruptor y medio y una bahía completa en 138 kV en interruptor y medio, para la conexión de la futura Línea de Transmisión “San Pedro Sula Sur-Nueva Progreso” y la instalación de dos transformadores de potencia con una capacidad nominal de 150 MVA cada uno, en 230/138 kV.</w:t>
      </w:r>
    </w:p>
    <w:p>
      <w:pPr>
        <w:pStyle w:val="Prrafodelista"/>
        <w:numPr>
          <w:ilvl w:val="0"/>
          <w:numId w:val="37"/>
        </w:numPr>
        <w:spacing w:after="120" w:line="240" w:lineRule="auto"/>
        <w:jc w:val="both"/>
        <w:rPr>
          <w:rFonts w:ascii="Times New Roman" w:hAnsi="Times New Roman" w:cs="Times New Roman"/>
          <w:sz w:val="22"/>
        </w:rPr>
      </w:pPr>
      <w:r>
        <w:rPr>
          <w:rFonts w:ascii="Times New Roman" w:hAnsi="Times New Roman" w:cs="Times New Roman"/>
          <w:sz w:val="22"/>
        </w:rPr>
        <w:t>La construcción de una subestación de maniobras denominada “Nueva Progreso” con una y media bahías 230 kV en arreglo de interruptor y medio, para la apertura de la línea de transmisión existente L603 y recepción de la futura línea de transmisión “San Pedro Sula Sur-Nueva Progreso”.</w:t>
      </w:r>
    </w:p>
    <w:p>
      <w:pPr>
        <w:pStyle w:val="Ttulo2"/>
        <w:spacing w:before="240"/>
        <w:rPr>
          <w:rFonts w:ascii="Times New Roman" w:hAnsi="Times New Roman" w:cs="Times New Roman"/>
          <w:color w:val="000000" w:themeColor="text1"/>
          <w:sz w:val="24"/>
        </w:rPr>
      </w:pPr>
      <w:bookmarkStart w:id="9" w:name="_Toc489525758"/>
      <w:r>
        <w:rPr>
          <w:rFonts w:ascii="Times New Roman" w:hAnsi="Times New Roman" w:cs="Times New Roman"/>
          <w:color w:val="000000" w:themeColor="text1"/>
          <w:sz w:val="24"/>
        </w:rPr>
        <w:t>FLUJOS DE POTENCIA A TRAVES DE LAS FUTURAS LÍNEAS DE TRANSMISIÓN</w:t>
      </w:r>
      <w:bookmarkEnd w:id="9"/>
    </w:p>
    <w:p>
      <w:pPr>
        <w:spacing w:after="120" w:line="240" w:lineRule="auto"/>
        <w:jc w:val="both"/>
        <w:rPr>
          <w:rFonts w:ascii="Times New Roman" w:hAnsi="Times New Roman" w:cs="Times New Roman"/>
          <w:sz w:val="22"/>
        </w:rPr>
      </w:pPr>
      <w:r>
        <w:rPr>
          <w:rFonts w:ascii="Times New Roman" w:hAnsi="Times New Roman" w:cs="Times New Roman"/>
          <w:sz w:val="22"/>
        </w:rPr>
        <w:t xml:space="preserve">A continuación, los resultados de los flujos de carga a través de la futura línea de transmisión “San Pedro Sula Sur-San Buenaventura”, considerada en la alternativa de solución No. 1: </w:t>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2</w:t>
      </w:r>
      <w:r>
        <w:rPr>
          <w:rFonts w:ascii="Times New Roman" w:hAnsi="Times New Roman" w:cs="Times New Roman"/>
          <w:sz w:val="22"/>
        </w:rPr>
        <w:tab/>
        <w:t>Resultados de los flujos de carga a través del proyecto – Año 2017</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3</w:t>
      </w:r>
      <w:r>
        <w:rPr>
          <w:rFonts w:ascii="Times New Roman" w:hAnsi="Times New Roman" w:cs="Times New Roman"/>
          <w:sz w:val="22"/>
        </w:rPr>
        <w:tab/>
        <w:t>Resultados de los flujos de carga a través del proyecto – Año 2021</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4</w:t>
      </w:r>
      <w:r>
        <w:rPr>
          <w:rFonts w:ascii="Times New Roman" w:hAnsi="Times New Roman" w:cs="Times New Roman"/>
          <w:sz w:val="22"/>
        </w:rPr>
        <w:tab/>
        <w:t>Resultados de los flujos de carga a través del proyecto – Año 2024</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A continuación, los resultados de los flujos de carga a través de la futura línea de transmisión “San Pedro Sula Sur-Nueva Progreso”, considerada en la alternativa de solución No. 2:</w:t>
      </w:r>
    </w:p>
    <w:p>
      <w:pPr>
        <w:keepNext/>
        <w:spacing w:after="120" w:line="240" w:lineRule="auto"/>
        <w:jc w:val="both"/>
        <w:rPr>
          <w:rFonts w:ascii="Times New Roman" w:hAnsi="Times New Roman" w:cs="Times New Roman"/>
          <w:sz w:val="22"/>
        </w:rPr>
      </w:pPr>
      <w:r>
        <w:rPr>
          <w:rFonts w:ascii="Times New Roman" w:hAnsi="Times New Roman" w:cs="Times New Roman"/>
          <w:sz w:val="22"/>
        </w:rPr>
        <w:lastRenderedPageBreak/>
        <w:t>Cuadro No. 5</w:t>
      </w:r>
      <w:r>
        <w:rPr>
          <w:rFonts w:ascii="Times New Roman" w:hAnsi="Times New Roman" w:cs="Times New Roman"/>
          <w:sz w:val="22"/>
        </w:rPr>
        <w:tab/>
        <w:t>Resultados de los flujos de carga a través del proyecto – Año 2017</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 xml:space="preserve"> Cuadro No. 6</w:t>
      </w:r>
      <w:r>
        <w:rPr>
          <w:rFonts w:ascii="Times New Roman" w:hAnsi="Times New Roman" w:cs="Times New Roman"/>
          <w:sz w:val="22"/>
        </w:rPr>
        <w:tab/>
        <w:t>Resultados de los flujos de carga a través del proyecto – Año 2021</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7</w:t>
      </w:r>
      <w:r>
        <w:rPr>
          <w:rFonts w:ascii="Times New Roman" w:hAnsi="Times New Roman" w:cs="Times New Roman"/>
          <w:sz w:val="22"/>
        </w:rPr>
        <w:tab/>
        <w:t>Resultados de los flujos de carga a través del proyecto – Año 2024</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21671"/>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421671"/>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Los flujos de carga muestran que la potencia activa y su energía asociada se transmitirán en un sentido tal que se inyectarán en el nodo de 230 kV de la Subestación de San Buenaventura o Nueva Progreso y se retirarán en el nodo de 138 kV la Subestación San Pedro Sula Sur.</w:t>
      </w:r>
    </w:p>
    <w:p>
      <w:pPr>
        <w:spacing w:after="120" w:line="240" w:lineRule="auto"/>
        <w:jc w:val="both"/>
        <w:rPr>
          <w:rFonts w:ascii="Times New Roman" w:hAnsi="Times New Roman" w:cs="Times New Roman"/>
          <w:sz w:val="22"/>
        </w:rPr>
      </w:pPr>
      <w:r>
        <w:rPr>
          <w:rFonts w:ascii="Times New Roman" w:hAnsi="Times New Roman" w:cs="Times New Roman"/>
          <w:sz w:val="22"/>
        </w:rPr>
        <w:t>Para el cálculo del costo de transmisión de energía eléctrica en alta tensión, a través de las futuras líneas de transmisión 230 kV “SPSS-San Buenaventura” y “SPSS-Nueva Progreso”, se utilizó el Costo Unitario Monómico del Servicio de Transmisión en Alta Tensión vigente (0.3072 L/kWh o su equivalente 12.9321 US$/MWh). Ver Anexo A4.</w:t>
      </w:r>
    </w:p>
    <w:p>
      <w:pPr>
        <w:pStyle w:val="Ttulo2"/>
        <w:spacing w:before="240"/>
        <w:rPr>
          <w:rFonts w:ascii="Times New Roman" w:hAnsi="Times New Roman" w:cs="Times New Roman"/>
          <w:color w:val="000000" w:themeColor="text1"/>
          <w:sz w:val="24"/>
        </w:rPr>
      </w:pPr>
      <w:bookmarkStart w:id="10" w:name="_Toc347323524"/>
      <w:bookmarkStart w:id="11" w:name="_Toc489525759"/>
      <w:r>
        <w:rPr>
          <w:rFonts w:ascii="Times New Roman" w:hAnsi="Times New Roman" w:cs="Times New Roman"/>
          <w:color w:val="000000" w:themeColor="text1"/>
          <w:sz w:val="24"/>
        </w:rPr>
        <w:t>PÉRDIDAS TÉCNICAS</w:t>
      </w:r>
      <w:bookmarkEnd w:id="10"/>
      <w:r>
        <w:rPr>
          <w:rFonts w:ascii="Times New Roman" w:hAnsi="Times New Roman" w:cs="Times New Roman"/>
          <w:color w:val="000000" w:themeColor="text1"/>
          <w:sz w:val="24"/>
        </w:rPr>
        <w:t xml:space="preserve"> EN EL SIN</w:t>
      </w:r>
      <w:bookmarkEnd w:id="11"/>
    </w:p>
    <w:p>
      <w:pPr>
        <w:spacing w:after="120" w:line="240" w:lineRule="auto"/>
        <w:jc w:val="both"/>
        <w:rPr>
          <w:rFonts w:ascii="Times New Roman" w:hAnsi="Times New Roman" w:cs="Times New Roman"/>
          <w:sz w:val="22"/>
        </w:rPr>
      </w:pPr>
      <w:r>
        <w:rPr>
          <w:rFonts w:ascii="Times New Roman" w:hAnsi="Times New Roman" w:cs="Times New Roman"/>
          <w:sz w:val="22"/>
        </w:rPr>
        <w:t xml:space="preserve">A continuación, se presentan los resultados obtenidos de las pérdidas eléctricas en el </w:t>
      </w:r>
      <w:r>
        <w:rPr>
          <w:rFonts w:ascii="Times New Roman" w:hAnsi="Times New Roman" w:cs="Times New Roman"/>
          <w:b/>
          <w:sz w:val="22"/>
        </w:rPr>
        <w:t xml:space="preserve">SIN </w:t>
      </w:r>
      <w:r>
        <w:rPr>
          <w:rFonts w:ascii="Times New Roman" w:hAnsi="Times New Roman" w:cs="Times New Roman"/>
          <w:sz w:val="22"/>
        </w:rPr>
        <w:t>para los casos y escenarios considerados de la alternativa No 1:</w:t>
      </w:r>
    </w:p>
    <w:p>
      <w:pPr>
        <w:keepNext/>
        <w:spacing w:after="120" w:line="240" w:lineRule="auto"/>
        <w:jc w:val="both"/>
        <w:rPr>
          <w:rFonts w:ascii="Times New Roman" w:hAnsi="Times New Roman" w:cs="Times New Roman"/>
          <w:sz w:val="22"/>
        </w:rPr>
      </w:pPr>
      <w:r>
        <w:rPr>
          <w:rFonts w:ascii="Times New Roman" w:hAnsi="Times New Roman" w:cs="Times New Roman"/>
          <w:sz w:val="22"/>
        </w:rPr>
        <w:lastRenderedPageBreak/>
        <w:t>Cuadro No. 8</w:t>
      </w:r>
      <w:r>
        <w:rPr>
          <w:rFonts w:ascii="Times New Roman" w:hAnsi="Times New Roman" w:cs="Times New Roman"/>
          <w:sz w:val="22"/>
        </w:rPr>
        <w:tab/>
        <w:t>Resultados de los flujos de carga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95768"/>
            <wp:effectExtent l="0" t="0" r="762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495768"/>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9</w:t>
      </w:r>
      <w:r>
        <w:rPr>
          <w:rFonts w:ascii="Times New Roman" w:hAnsi="Times New Roman" w:cs="Times New Roman"/>
          <w:sz w:val="22"/>
        </w:rPr>
        <w:tab/>
        <w:t>Pérdidas eléctricas ponderadas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95768"/>
            <wp:effectExtent l="0" t="0" r="762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495768"/>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10</w:t>
      </w:r>
      <w:r>
        <w:rPr>
          <w:rFonts w:ascii="Times New Roman" w:hAnsi="Times New Roman" w:cs="Times New Roman"/>
          <w:sz w:val="22"/>
        </w:rPr>
        <w:tab/>
        <w:t>Energía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356527"/>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356527"/>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11</w:t>
      </w:r>
      <w:r>
        <w:rPr>
          <w:rFonts w:ascii="Times New Roman" w:hAnsi="Times New Roman" w:cs="Times New Roman"/>
          <w:sz w:val="22"/>
        </w:rPr>
        <w:tab/>
        <w:t>Costo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356527"/>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356527"/>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12</w:t>
      </w:r>
      <w:r>
        <w:rPr>
          <w:rFonts w:ascii="Times New Roman" w:hAnsi="Times New Roman" w:cs="Times New Roman"/>
          <w:sz w:val="22"/>
        </w:rPr>
        <w:tab/>
        <w:t>Resultados de la evaluación de mínimo costo de las perdidas eléctricas incrementales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469866"/>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69866"/>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 xml:space="preserve">A continuación, se presentan los resultados obtenidos de las pérdidas eléctricas en el </w:t>
      </w:r>
      <w:r>
        <w:rPr>
          <w:rFonts w:ascii="Times New Roman" w:hAnsi="Times New Roman" w:cs="Times New Roman"/>
          <w:b/>
          <w:sz w:val="22"/>
        </w:rPr>
        <w:t xml:space="preserve">SIN </w:t>
      </w:r>
      <w:r>
        <w:rPr>
          <w:rFonts w:ascii="Times New Roman" w:hAnsi="Times New Roman" w:cs="Times New Roman"/>
          <w:sz w:val="22"/>
        </w:rPr>
        <w:t>para los casos y escenarios considerados de la alternativa No 2:</w:t>
      </w:r>
    </w:p>
    <w:p>
      <w:pPr>
        <w:keepNext/>
        <w:spacing w:after="120" w:line="240" w:lineRule="auto"/>
        <w:jc w:val="both"/>
        <w:rPr>
          <w:rFonts w:ascii="Times New Roman" w:hAnsi="Times New Roman" w:cs="Times New Roman"/>
          <w:sz w:val="22"/>
        </w:rPr>
      </w:pPr>
      <w:r>
        <w:rPr>
          <w:rFonts w:ascii="Times New Roman" w:hAnsi="Times New Roman" w:cs="Times New Roman"/>
          <w:sz w:val="22"/>
        </w:rPr>
        <w:lastRenderedPageBreak/>
        <w:t>Cuadro No. 13</w:t>
      </w:r>
      <w:r>
        <w:rPr>
          <w:rFonts w:ascii="Times New Roman" w:hAnsi="Times New Roman" w:cs="Times New Roman"/>
          <w:sz w:val="22"/>
        </w:rPr>
        <w:tab/>
        <w:t>Resultados de los flujos de carga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96265"/>
            <wp:effectExtent l="0" t="0" r="762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496265"/>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14</w:t>
      </w:r>
      <w:r>
        <w:rPr>
          <w:rFonts w:ascii="Times New Roman" w:hAnsi="Times New Roman" w:cs="Times New Roman"/>
          <w:sz w:val="22"/>
        </w:rPr>
        <w:tab/>
        <w:t>Pérdidas eléctricas ponderadas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496265"/>
            <wp:effectExtent l="0" t="0" r="762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496265"/>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15</w:t>
      </w:r>
      <w:r>
        <w:rPr>
          <w:rFonts w:ascii="Times New Roman" w:hAnsi="Times New Roman" w:cs="Times New Roman"/>
          <w:sz w:val="22"/>
        </w:rPr>
        <w:tab/>
        <w:t>Energía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3561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356190"/>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16</w:t>
      </w:r>
      <w:r>
        <w:rPr>
          <w:rFonts w:ascii="Times New Roman" w:hAnsi="Times New Roman" w:cs="Times New Roman"/>
          <w:sz w:val="22"/>
        </w:rPr>
        <w:tab/>
        <w:t>Costo de las pérdidas eléctricas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13561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356190"/>
                    </a:xfrm>
                    <a:prstGeom prst="rect">
                      <a:avLst/>
                    </a:prstGeom>
                    <a:noFill/>
                    <a:ln>
                      <a:noFill/>
                    </a:ln>
                  </pic:spPr>
                </pic:pic>
              </a:graphicData>
            </a:graphic>
          </wp:inline>
        </w:drawing>
      </w:r>
    </w:p>
    <w:p>
      <w:pPr>
        <w:keepNext/>
        <w:spacing w:after="120" w:line="240" w:lineRule="auto"/>
        <w:jc w:val="both"/>
        <w:rPr>
          <w:rFonts w:ascii="Times New Roman" w:hAnsi="Times New Roman" w:cs="Times New Roman"/>
          <w:sz w:val="22"/>
        </w:rPr>
      </w:pPr>
      <w:r>
        <w:rPr>
          <w:rFonts w:ascii="Times New Roman" w:hAnsi="Times New Roman" w:cs="Times New Roman"/>
          <w:sz w:val="22"/>
        </w:rPr>
        <w:t>Cuadro No. 17</w:t>
      </w:r>
      <w:r>
        <w:rPr>
          <w:rFonts w:ascii="Times New Roman" w:hAnsi="Times New Roman" w:cs="Times New Roman"/>
          <w:sz w:val="22"/>
        </w:rPr>
        <w:tab/>
        <w:t>Resultados de la evaluación de mínimo costo de las perdidas eléctricas incrementales en el SIN</w:t>
      </w:r>
    </w:p>
    <w:p>
      <w:pPr>
        <w:spacing w:after="120" w:line="240" w:lineRule="auto"/>
        <w:jc w:val="both"/>
        <w:rPr>
          <w:rFonts w:ascii="Times New Roman" w:hAnsi="Times New Roman" w:cs="Times New Roman"/>
          <w:sz w:val="22"/>
        </w:rPr>
      </w:pPr>
      <w:r>
        <w:rPr>
          <w:noProof/>
          <w:lang w:eastAsia="es-HN"/>
        </w:rPr>
        <w:drawing>
          <wp:inline distT="0" distB="0" distL="0" distR="0">
            <wp:extent cx="5612130" cy="467961"/>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67961"/>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 xml:space="preserve">De acuerdo a los resultados de las pérdidas eléctricas incrementales en el SIN, éstas producirían un beneficio, dado que con la inclusión del proyecto al SIN las pérdidas eléctricas incrementales se </w:t>
      </w:r>
      <w:r>
        <w:rPr>
          <w:rFonts w:ascii="Times New Roman" w:hAnsi="Times New Roman" w:cs="Times New Roman"/>
          <w:sz w:val="22"/>
        </w:rPr>
        <w:lastRenderedPageBreak/>
        <w:t>reducen, produciendo un valor presente neto al año 2017 de 48.742 millones de dólares americanos en el caso de la alternativa de solución No. 1, y de US$ 27.669 millones para la alternativa de solución No. 2.</w:t>
      </w:r>
    </w:p>
    <w:p>
      <w:pPr>
        <w:spacing w:after="120" w:line="240" w:lineRule="auto"/>
        <w:jc w:val="both"/>
        <w:rPr>
          <w:rFonts w:ascii="Times New Roman" w:hAnsi="Times New Roman" w:cs="Times New Roman"/>
          <w:sz w:val="22"/>
        </w:rPr>
      </w:pPr>
      <w:r>
        <w:rPr>
          <w:rFonts w:ascii="Times New Roman" w:hAnsi="Times New Roman" w:cs="Times New Roman"/>
          <w:sz w:val="22"/>
        </w:rPr>
        <w:t>Para el cálculo del coste de las pérdidas eléctricas se utilizó como referencia el Costo Marginal promedio de Corto Plazo de la Energía Pura actualizada al año 2017 (60.44 US$/MWh). Ver anexo A5.</w:t>
      </w:r>
    </w:p>
    <w:p>
      <w:pPr>
        <w:pStyle w:val="Ttulo1"/>
        <w:rPr>
          <w:b/>
          <w:sz w:val="28"/>
        </w:rPr>
      </w:pPr>
      <w:bookmarkStart w:id="12" w:name="_Toc347323525"/>
      <w:bookmarkStart w:id="13" w:name="_Toc489525760"/>
      <w:r>
        <w:rPr>
          <w:b/>
          <w:sz w:val="28"/>
        </w:rPr>
        <w:t>COSTOS DE INVERSIÓN</w:t>
      </w:r>
      <w:bookmarkEnd w:id="12"/>
      <w:bookmarkEnd w:id="13"/>
    </w:p>
    <w:p>
      <w:pPr>
        <w:spacing w:after="120" w:line="240" w:lineRule="auto"/>
        <w:jc w:val="both"/>
        <w:rPr>
          <w:rFonts w:ascii="Times New Roman" w:hAnsi="Times New Roman" w:cs="Times New Roman"/>
          <w:sz w:val="22"/>
        </w:rPr>
      </w:pPr>
      <w:r>
        <w:rPr>
          <w:rFonts w:ascii="Times New Roman" w:hAnsi="Times New Roman" w:cs="Times New Roman"/>
          <w:sz w:val="22"/>
        </w:rPr>
        <w:t>Los costos de inversión de las alternativas de solución fueron actualizados y provistos por la División de Ingeniería C.S. de ENEE, y para la alternativa de solución No. 1 son los siguientes:</w:t>
      </w:r>
    </w:p>
    <w:p>
      <w:pPr>
        <w:spacing w:after="120" w:line="240" w:lineRule="auto"/>
        <w:jc w:val="both"/>
        <w:rPr>
          <w:rFonts w:ascii="Times New Roman" w:hAnsi="Times New Roman" w:cs="Times New Roman"/>
          <w:sz w:val="22"/>
        </w:rPr>
      </w:pPr>
      <w:r>
        <w:rPr>
          <w:rFonts w:ascii="Times New Roman" w:hAnsi="Times New Roman" w:cs="Times New Roman"/>
          <w:sz w:val="22"/>
        </w:rPr>
        <w:t>Cuadro No. 18</w:t>
      </w:r>
      <w:r>
        <w:rPr>
          <w:rFonts w:ascii="Times New Roman" w:hAnsi="Times New Roman" w:cs="Times New Roman"/>
          <w:sz w:val="22"/>
        </w:rPr>
        <w:tab/>
        <w:t>Costos estimados de inversión de las obras del proyecto de la Alternativa No. 1</w:t>
      </w:r>
    </w:p>
    <w:p>
      <w:pPr>
        <w:spacing w:after="120" w:line="240" w:lineRule="auto"/>
        <w:jc w:val="center"/>
        <w:rPr>
          <w:rFonts w:ascii="Times New Roman" w:hAnsi="Times New Roman" w:cs="Times New Roman"/>
          <w:sz w:val="22"/>
        </w:rPr>
      </w:pPr>
      <w:r>
        <w:rPr>
          <w:noProof/>
          <w:lang w:eastAsia="es-HN"/>
        </w:rPr>
        <w:drawing>
          <wp:inline distT="0" distB="0" distL="0" distR="0">
            <wp:extent cx="5612130" cy="10938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093890"/>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 xml:space="preserve">Los costos de inversión identificados para las obras del proyecto ascienden a 35,594,943.89 </w:t>
      </w:r>
      <w:bookmarkStart w:id="14" w:name="_Toc347323527"/>
      <w:r>
        <w:rPr>
          <w:rFonts w:ascii="Times New Roman" w:hAnsi="Times New Roman" w:cs="Times New Roman"/>
          <w:sz w:val="22"/>
        </w:rPr>
        <w:t>dólares americanos.</w:t>
      </w:r>
    </w:p>
    <w:p>
      <w:pPr>
        <w:spacing w:after="120" w:line="240" w:lineRule="auto"/>
        <w:jc w:val="both"/>
        <w:rPr>
          <w:rFonts w:ascii="Times New Roman" w:hAnsi="Times New Roman" w:cs="Times New Roman"/>
          <w:sz w:val="22"/>
        </w:rPr>
      </w:pPr>
      <w:r>
        <w:rPr>
          <w:rFonts w:ascii="Times New Roman" w:hAnsi="Times New Roman" w:cs="Times New Roman"/>
          <w:sz w:val="22"/>
        </w:rPr>
        <w:t>Y los costos de inversión del proyecto en la alternativa No. 2 son los siguientes:</w:t>
      </w:r>
    </w:p>
    <w:p>
      <w:pPr>
        <w:spacing w:after="120" w:line="240" w:lineRule="auto"/>
        <w:jc w:val="both"/>
        <w:rPr>
          <w:rFonts w:ascii="Times New Roman" w:hAnsi="Times New Roman" w:cs="Times New Roman"/>
          <w:sz w:val="22"/>
        </w:rPr>
      </w:pPr>
      <w:r>
        <w:rPr>
          <w:rFonts w:ascii="Times New Roman" w:hAnsi="Times New Roman" w:cs="Times New Roman"/>
          <w:sz w:val="22"/>
        </w:rPr>
        <w:t>Cuadro No. 19</w:t>
      </w:r>
      <w:r>
        <w:rPr>
          <w:rFonts w:ascii="Times New Roman" w:hAnsi="Times New Roman" w:cs="Times New Roman"/>
          <w:sz w:val="22"/>
        </w:rPr>
        <w:tab/>
        <w:t>Costos estimados de inversión de las obras del proyecto de la Alternativa No. 2</w:t>
      </w:r>
    </w:p>
    <w:p>
      <w:pPr>
        <w:spacing w:after="120" w:line="240" w:lineRule="auto"/>
        <w:jc w:val="center"/>
        <w:rPr>
          <w:rFonts w:ascii="Times New Roman" w:hAnsi="Times New Roman" w:cs="Times New Roman"/>
          <w:sz w:val="22"/>
        </w:rPr>
      </w:pPr>
      <w:r>
        <w:rPr>
          <w:noProof/>
          <w:lang w:eastAsia="es-HN"/>
        </w:rPr>
        <w:drawing>
          <wp:inline distT="0" distB="0" distL="0" distR="0">
            <wp:extent cx="5612130" cy="916596"/>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916596"/>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Para la alternativa de solución No. 2 los costos estimados de inversión del proyecto ascienden a 35,636,519.24 dólares americanos.</w:t>
      </w:r>
    </w:p>
    <w:p>
      <w:pPr>
        <w:pStyle w:val="Ttulo1"/>
        <w:rPr>
          <w:b/>
          <w:sz w:val="28"/>
        </w:rPr>
      </w:pPr>
      <w:bookmarkStart w:id="15" w:name="_Toc489525761"/>
      <w:r>
        <w:rPr>
          <w:b/>
          <w:sz w:val="28"/>
        </w:rPr>
        <w:t>EVALUACION FINANCIERA</w:t>
      </w:r>
      <w:bookmarkEnd w:id="15"/>
    </w:p>
    <w:p>
      <w:pPr>
        <w:spacing w:after="120" w:line="240" w:lineRule="auto"/>
        <w:jc w:val="both"/>
        <w:rPr>
          <w:rFonts w:ascii="Times New Roman" w:hAnsi="Times New Roman" w:cs="Times New Roman"/>
          <w:sz w:val="22"/>
        </w:rPr>
      </w:pPr>
      <w:r>
        <w:rPr>
          <w:rFonts w:ascii="Times New Roman" w:hAnsi="Times New Roman" w:cs="Times New Roman"/>
          <w:sz w:val="22"/>
        </w:rPr>
        <w:t>Para la evaluación de mínimo costo de las obras identificadas del proyecto se utilizó una tasa de descuento del 12 %, un horizonte de 30 años, y una taza del 3 % para la componente de Operación y Mantenimiento; a partir del año 2024 el beneficio de las pérdidas incrementales se mantienen constantes.</w:t>
      </w:r>
    </w:p>
    <w:p>
      <w:pPr>
        <w:spacing w:after="120" w:line="240" w:lineRule="auto"/>
        <w:jc w:val="both"/>
        <w:rPr>
          <w:rFonts w:ascii="Times New Roman" w:hAnsi="Times New Roman" w:cs="Times New Roman"/>
          <w:sz w:val="22"/>
        </w:rPr>
      </w:pPr>
      <w:r>
        <w:rPr>
          <w:rFonts w:ascii="Times New Roman" w:hAnsi="Times New Roman" w:cs="Times New Roman"/>
          <w:sz w:val="22"/>
        </w:rPr>
        <w:t>Cuadro No. 20</w:t>
      </w:r>
      <w:r>
        <w:rPr>
          <w:rFonts w:ascii="Times New Roman" w:hAnsi="Times New Roman" w:cs="Times New Roman"/>
          <w:sz w:val="22"/>
        </w:rPr>
        <w:tab/>
        <w:t>Resultados del análisis de la evaluación financiera para la alternativa de solución No 1:</w:t>
      </w:r>
    </w:p>
    <w:p>
      <w:pPr>
        <w:spacing w:after="120" w:line="240" w:lineRule="auto"/>
        <w:jc w:val="both"/>
        <w:rPr>
          <w:rFonts w:ascii="Times New Roman" w:hAnsi="Times New Roman" w:cs="Times New Roman"/>
          <w:sz w:val="22"/>
        </w:rPr>
      </w:pPr>
      <w:r>
        <w:rPr>
          <w:noProof/>
          <w:lang w:eastAsia="es-HN"/>
        </w:rPr>
        <w:lastRenderedPageBreak/>
        <w:drawing>
          <wp:inline distT="0" distB="0" distL="0" distR="0">
            <wp:extent cx="5612130" cy="1375021"/>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375021"/>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Cuadro No. 21</w:t>
      </w:r>
      <w:r>
        <w:rPr>
          <w:rFonts w:ascii="Times New Roman" w:hAnsi="Times New Roman" w:cs="Times New Roman"/>
          <w:sz w:val="22"/>
        </w:rPr>
        <w:tab/>
        <w:t>Resultados del análisis de la evaluación financiera para la alternativa de solución No 2:</w:t>
      </w:r>
    </w:p>
    <w:p>
      <w:pPr>
        <w:spacing w:after="120" w:line="240" w:lineRule="auto"/>
        <w:jc w:val="both"/>
        <w:rPr>
          <w:rFonts w:ascii="Times New Roman" w:hAnsi="Times New Roman" w:cs="Times New Roman"/>
          <w:sz w:val="22"/>
        </w:rPr>
      </w:pPr>
      <w:r>
        <w:rPr>
          <w:noProof/>
          <w:lang w:eastAsia="es-HN"/>
        </w:rPr>
        <w:drawing>
          <wp:inline distT="0" distB="0" distL="0" distR="0">
            <wp:extent cx="5612130" cy="1376238"/>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376238"/>
                    </a:xfrm>
                    <a:prstGeom prst="rect">
                      <a:avLst/>
                    </a:prstGeom>
                    <a:noFill/>
                    <a:ln>
                      <a:noFill/>
                    </a:ln>
                  </pic:spPr>
                </pic:pic>
              </a:graphicData>
            </a:graphic>
          </wp:inline>
        </w:drawing>
      </w:r>
    </w:p>
    <w:p>
      <w:pPr>
        <w:spacing w:after="120" w:line="240" w:lineRule="auto"/>
        <w:jc w:val="both"/>
        <w:rPr>
          <w:rFonts w:ascii="Times New Roman" w:hAnsi="Times New Roman" w:cs="Times New Roman"/>
          <w:sz w:val="22"/>
        </w:rPr>
      </w:pPr>
      <w:r>
        <w:rPr>
          <w:rFonts w:ascii="Times New Roman" w:hAnsi="Times New Roman" w:cs="Times New Roman"/>
          <w:sz w:val="22"/>
        </w:rPr>
        <w:t xml:space="preserve">Para la alternativa de solución No. 1, los resultados del análisis de la evaluación financiera muestran un valor presente neto de </w:t>
      </w:r>
      <w:r>
        <w:rPr>
          <w:rFonts w:ascii="Times New Roman" w:hAnsi="Times New Roman" w:cs="Times New Roman"/>
          <w:b/>
          <w:i/>
          <w:sz w:val="22"/>
        </w:rPr>
        <w:t>120.163 millones de dólares americanos</w:t>
      </w:r>
      <w:r>
        <w:rPr>
          <w:rFonts w:ascii="Times New Roman" w:hAnsi="Times New Roman" w:cs="Times New Roman"/>
          <w:sz w:val="22"/>
        </w:rPr>
        <w:t>, y un período de recuperación de la inversión de 8 años; y para la alternativa de solución No. 2 el VPN es de 74.612 millones de US$ con un periodo de recuperación de la inversión de 9 años.</w:t>
      </w:r>
    </w:p>
    <w:p>
      <w:pPr>
        <w:pStyle w:val="Ttulo1"/>
        <w:rPr>
          <w:b/>
          <w:sz w:val="28"/>
        </w:rPr>
      </w:pPr>
      <w:bookmarkStart w:id="16" w:name="_Toc489525762"/>
      <w:r>
        <w:rPr>
          <w:b/>
          <w:sz w:val="28"/>
        </w:rPr>
        <w:t>CONCLUSI</w:t>
      </w:r>
      <w:bookmarkEnd w:id="14"/>
      <w:r>
        <w:rPr>
          <w:b/>
          <w:sz w:val="28"/>
        </w:rPr>
        <w:t>ONES Y RECOMENDACIONES</w:t>
      </w:r>
      <w:bookmarkEnd w:id="16"/>
    </w:p>
    <w:p>
      <w:pPr>
        <w:pStyle w:val="Prrafodelista"/>
        <w:numPr>
          <w:ilvl w:val="0"/>
          <w:numId w:val="36"/>
        </w:numPr>
        <w:spacing w:after="120" w:line="240" w:lineRule="auto"/>
        <w:jc w:val="both"/>
        <w:rPr>
          <w:rFonts w:ascii="Times New Roman" w:hAnsi="Times New Roman" w:cs="Times New Roman"/>
          <w:sz w:val="22"/>
        </w:rPr>
      </w:pPr>
      <w:bookmarkStart w:id="17" w:name="_Toc347323528"/>
      <w:r>
        <w:rPr>
          <w:rFonts w:ascii="Times New Roman" w:hAnsi="Times New Roman" w:cs="Times New Roman"/>
          <w:sz w:val="22"/>
        </w:rPr>
        <w:t>Desde el punto de vista técnico, las dos alternativas de solución estudiadas resultaron ser factibles.</w:t>
      </w:r>
    </w:p>
    <w:p>
      <w:pPr>
        <w:pStyle w:val="Prrafodelista"/>
        <w:numPr>
          <w:ilvl w:val="0"/>
          <w:numId w:val="36"/>
        </w:numPr>
        <w:spacing w:after="120" w:line="240" w:lineRule="auto"/>
        <w:jc w:val="both"/>
        <w:rPr>
          <w:rFonts w:ascii="Times New Roman" w:hAnsi="Times New Roman" w:cs="Times New Roman"/>
          <w:sz w:val="22"/>
        </w:rPr>
      </w:pPr>
      <w:r>
        <w:rPr>
          <w:rFonts w:ascii="Times New Roman" w:hAnsi="Times New Roman" w:cs="Times New Roman"/>
          <w:sz w:val="22"/>
        </w:rPr>
        <w:t>Desde el punto de vista del análisis financiero, se recomienda la implementación de la alternativa de solución No. 1 (Construcción de la Línea de transmisión “San Pedro Sula Sur-San Buenaventura” y sus obras asociadas), dado que representa la mejor opción de rentabilidad, con un valor presente neto estimado de 120.163 millones de dólares americanos, y un periodo de recuperación de la inversión de hasta 8 años.</w:t>
      </w:r>
    </w:p>
    <w:p>
      <w:pPr>
        <w:pStyle w:val="Prrafodelista"/>
        <w:numPr>
          <w:ilvl w:val="0"/>
          <w:numId w:val="36"/>
        </w:numPr>
        <w:spacing w:after="120" w:line="240" w:lineRule="auto"/>
        <w:jc w:val="both"/>
        <w:rPr>
          <w:rFonts w:ascii="Times New Roman" w:hAnsi="Times New Roman" w:cs="Times New Roman"/>
          <w:sz w:val="22"/>
        </w:rPr>
      </w:pPr>
      <w:r>
        <w:rPr>
          <w:rFonts w:ascii="Times New Roman" w:hAnsi="Times New Roman" w:cs="Times New Roman"/>
          <w:sz w:val="22"/>
        </w:rPr>
        <w:t>Como segunda mejor opción, se recomienda la implementación de la segunda alternativa de solución consistente en la construcción de la Línea de Transmisión “San Pedro Sula Sur-Nueva Progreso” y sus obras asociadas.</w:t>
      </w:r>
    </w:p>
    <w:p>
      <w:pPr>
        <w:spacing w:after="120" w:line="240" w:lineRule="auto"/>
        <w:jc w:val="both"/>
        <w:rPr>
          <w:rFonts w:ascii="Times New Roman" w:hAnsi="Times New Roman" w:cs="Times New Roman"/>
          <w:sz w:val="22"/>
        </w:rPr>
        <w:sectPr>
          <w:footerReference w:type="default" r:id="rId31"/>
          <w:pgSz w:w="12240" w:h="15840"/>
          <w:pgMar w:top="1417" w:right="1701" w:bottom="1417" w:left="1701" w:header="708" w:footer="708" w:gutter="0"/>
          <w:pgNumType w:start="1"/>
          <w:cols w:space="708"/>
          <w:docGrid w:linePitch="360"/>
        </w:sectPr>
      </w:pPr>
    </w:p>
    <w:p>
      <w:pPr>
        <w:pStyle w:val="Citadestacada"/>
        <w:pBdr>
          <w:top w:val="single" w:sz="4" w:space="10" w:color="auto"/>
          <w:bottom w:val="single" w:sz="4" w:space="0" w:color="auto"/>
        </w:pBdr>
        <w:spacing w:after="0" w:line="360" w:lineRule="auto"/>
        <w:ind w:left="0" w:right="1151"/>
        <w:outlineLvl w:val="0"/>
        <w:rPr>
          <w:rFonts w:ascii="Times New Roman" w:hAnsi="Times New Roman" w:cs="Times New Roman"/>
          <w:bCs w:val="0"/>
          <w:color w:val="auto"/>
          <w:sz w:val="32"/>
          <w:szCs w:val="22"/>
          <w:lang w:val="es-HN" w:bidi="ar-SA"/>
        </w:rPr>
      </w:pPr>
      <w:bookmarkStart w:id="18" w:name="_Toc489525763"/>
      <w:r>
        <w:rPr>
          <w:rFonts w:ascii="Times New Roman" w:hAnsi="Times New Roman" w:cs="Times New Roman"/>
          <w:bCs w:val="0"/>
          <w:color w:val="auto"/>
          <w:sz w:val="32"/>
          <w:szCs w:val="22"/>
          <w:lang w:val="es-HN" w:bidi="ar-SA"/>
        </w:rPr>
        <w:lastRenderedPageBreak/>
        <w:t>ANEXO</w:t>
      </w:r>
      <w:bookmarkEnd w:id="17"/>
      <w:bookmarkEnd w:id="18"/>
    </w:p>
    <w:p>
      <w:pPr>
        <w:pStyle w:val="Ttulo2"/>
        <w:rPr>
          <w:rFonts w:ascii="Times New Roman" w:hAnsi="Times New Roman" w:cs="Times New Roman"/>
          <w:b w:val="0"/>
          <w:color w:val="000000" w:themeColor="text1"/>
          <w:sz w:val="22"/>
        </w:rPr>
      </w:pPr>
      <w:bookmarkStart w:id="19" w:name="_Toc489525764"/>
      <w:r>
        <w:rPr>
          <w:rFonts w:ascii="Times New Roman" w:hAnsi="Times New Roman" w:cs="Times New Roman"/>
          <w:b w:val="0"/>
          <w:color w:val="000000" w:themeColor="text1"/>
          <w:sz w:val="22"/>
        </w:rPr>
        <w:t>A1.</w:t>
      </w:r>
      <w:r>
        <w:rPr>
          <w:rFonts w:ascii="Times New Roman" w:hAnsi="Times New Roman" w:cs="Times New Roman"/>
          <w:b w:val="0"/>
          <w:color w:val="000000" w:themeColor="text1"/>
          <w:sz w:val="22"/>
        </w:rPr>
        <w:tab/>
        <w:t>Diagrama Unifilar del proyecto para la Alternativa de Solución No. 1</w:t>
      </w:r>
      <w:bookmarkEnd w:id="19"/>
    </w:p>
    <w:p>
      <w:pPr>
        <w:spacing w:after="120" w:line="360" w:lineRule="auto"/>
        <w:jc w:val="center"/>
        <w:rPr>
          <w:rFonts w:ascii="Times New Roman" w:hAnsi="Times New Roman" w:cs="Times New Roman"/>
          <w:sz w:val="22"/>
        </w:rPr>
      </w:pPr>
      <w:r>
        <w:rPr>
          <w:noProof/>
          <w:lang w:eastAsia="es-HN"/>
        </w:rPr>
        <w:drawing>
          <wp:inline distT="0" distB="0" distL="0" distR="0">
            <wp:extent cx="6607230" cy="44280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07230" cy="4428000"/>
                    </a:xfrm>
                    <a:prstGeom prst="rect">
                      <a:avLst/>
                    </a:prstGeom>
                  </pic:spPr>
                </pic:pic>
              </a:graphicData>
            </a:graphic>
          </wp:inline>
        </w:drawing>
      </w:r>
    </w:p>
    <w:p>
      <w:pPr>
        <w:spacing w:after="0" w:line="240" w:lineRule="auto"/>
        <w:jc w:val="center"/>
        <w:rPr>
          <w:rFonts w:ascii="Times New Roman" w:hAnsi="Times New Roman" w:cs="Times New Roman"/>
          <w:sz w:val="20"/>
        </w:rPr>
      </w:pPr>
      <w:r>
        <w:rPr>
          <w:rFonts w:ascii="Times New Roman" w:hAnsi="Times New Roman" w:cs="Times New Roman"/>
          <w:sz w:val="20"/>
        </w:rPr>
        <w:t>Fuente: División de Ingeniería C.S. de ENEE</w:t>
      </w:r>
    </w:p>
    <w:p>
      <w:pPr>
        <w:pStyle w:val="Ttulo2"/>
        <w:rPr>
          <w:rFonts w:ascii="Times New Roman" w:hAnsi="Times New Roman" w:cs="Times New Roman"/>
          <w:b w:val="0"/>
          <w:color w:val="000000" w:themeColor="text1"/>
          <w:sz w:val="22"/>
        </w:rPr>
      </w:pPr>
      <w:bookmarkStart w:id="20" w:name="_Toc489525765"/>
      <w:r>
        <w:rPr>
          <w:rFonts w:ascii="Times New Roman" w:hAnsi="Times New Roman" w:cs="Times New Roman"/>
          <w:b w:val="0"/>
          <w:color w:val="000000" w:themeColor="text1"/>
          <w:sz w:val="22"/>
        </w:rPr>
        <w:lastRenderedPageBreak/>
        <w:t>A2.</w:t>
      </w:r>
      <w:r>
        <w:rPr>
          <w:rFonts w:ascii="Times New Roman" w:hAnsi="Times New Roman" w:cs="Times New Roman"/>
          <w:b w:val="0"/>
          <w:color w:val="000000" w:themeColor="text1"/>
          <w:sz w:val="22"/>
        </w:rPr>
        <w:tab/>
        <w:t>Diagrama Unifilar preliminar del proyecto correspondiente a la alternativa de solución No. 2</w:t>
      </w:r>
      <w:bookmarkEnd w:id="20"/>
    </w:p>
    <w:p>
      <w:pPr>
        <w:spacing w:after="0" w:line="240" w:lineRule="auto"/>
        <w:jc w:val="center"/>
        <w:rPr>
          <w:rFonts w:ascii="Times New Roman" w:hAnsi="Times New Roman" w:cs="Times New Roman"/>
          <w:sz w:val="20"/>
        </w:rPr>
      </w:pPr>
    </w:p>
    <w:p>
      <w:pPr>
        <w:spacing w:after="0" w:line="240" w:lineRule="auto"/>
        <w:jc w:val="center"/>
        <w:rPr>
          <w:rFonts w:ascii="Times New Roman" w:hAnsi="Times New Roman" w:cs="Times New Roman"/>
          <w:sz w:val="20"/>
        </w:rPr>
      </w:pPr>
      <w:r>
        <w:rPr>
          <w:noProof/>
          <w:lang w:eastAsia="es-HN"/>
        </w:rPr>
        <w:drawing>
          <wp:inline distT="0" distB="0" distL="0" distR="0">
            <wp:extent cx="6851273" cy="3168000"/>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1273" cy="3168000"/>
                    </a:xfrm>
                    <a:prstGeom prst="rect">
                      <a:avLst/>
                    </a:prstGeom>
                  </pic:spPr>
                </pic:pic>
              </a:graphicData>
            </a:graphic>
          </wp:inline>
        </w:drawing>
      </w:r>
    </w:p>
    <w:p>
      <w:pPr>
        <w:pStyle w:val="Ttulo2"/>
        <w:rPr>
          <w:rFonts w:ascii="Times New Roman" w:hAnsi="Times New Roman" w:cs="Times New Roman"/>
          <w:b w:val="0"/>
          <w:color w:val="000000" w:themeColor="text1"/>
          <w:sz w:val="22"/>
        </w:rPr>
      </w:pPr>
      <w:bookmarkStart w:id="21" w:name="_Toc489525766"/>
      <w:r>
        <w:rPr>
          <w:rFonts w:ascii="Times New Roman" w:hAnsi="Times New Roman" w:cs="Times New Roman"/>
          <w:b w:val="0"/>
          <w:color w:val="000000" w:themeColor="text1"/>
          <w:sz w:val="22"/>
        </w:rPr>
        <w:lastRenderedPageBreak/>
        <w:t>A3.</w:t>
      </w:r>
      <w:r>
        <w:rPr>
          <w:rFonts w:ascii="Times New Roman" w:hAnsi="Times New Roman" w:cs="Times New Roman"/>
          <w:b w:val="0"/>
          <w:color w:val="000000" w:themeColor="text1"/>
          <w:sz w:val="22"/>
        </w:rPr>
        <w:tab/>
        <w:t>Mapa de referencia de la ubicación del proyecto</w:t>
      </w:r>
      <w:bookmarkEnd w:id="21"/>
    </w:p>
    <w:p>
      <w:pPr>
        <w:spacing w:after="0" w:line="240" w:lineRule="auto"/>
        <w:jc w:val="center"/>
        <w:rPr>
          <w:rFonts w:ascii="Times New Roman" w:hAnsi="Times New Roman" w:cs="Times New Roman"/>
          <w:sz w:val="20"/>
        </w:rPr>
      </w:pPr>
      <w:r>
        <w:rPr>
          <w:noProof/>
          <w:lang w:eastAsia="es-HN"/>
        </w:rPr>
        <w:drawing>
          <wp:inline distT="0" distB="0" distL="0" distR="0">
            <wp:extent cx="6277149" cy="4320000"/>
            <wp:effectExtent l="0" t="0" r="952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7149" cy="4320000"/>
                    </a:xfrm>
                    <a:prstGeom prst="rect">
                      <a:avLst/>
                    </a:prstGeom>
                  </pic:spPr>
                </pic:pic>
              </a:graphicData>
            </a:graphic>
          </wp:inline>
        </w:drawing>
      </w:r>
    </w:p>
    <w:p>
      <w:pPr>
        <w:spacing w:after="0" w:line="240" w:lineRule="auto"/>
        <w:jc w:val="center"/>
        <w:rPr>
          <w:rFonts w:ascii="Times New Roman" w:hAnsi="Times New Roman" w:cs="Times New Roman"/>
          <w:sz w:val="20"/>
        </w:rPr>
      </w:pPr>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pStyle w:val="Ttulo2"/>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lastRenderedPageBreak/>
        <w:t>A4.</w:t>
      </w:r>
      <w:r>
        <w:rPr>
          <w:rFonts w:ascii="Times New Roman" w:hAnsi="Times New Roman" w:cs="Times New Roman"/>
          <w:b w:val="0"/>
          <w:color w:val="000000" w:themeColor="text1"/>
          <w:sz w:val="22"/>
        </w:rPr>
        <w:tab/>
        <w:t>Costos Unitarios del Servicio vigente (Extracto de la memoria de cálculo del pliego tarifario vigente)</w:t>
      </w:r>
      <w:bookmarkStart w:id="22" w:name="_GoBack"/>
      <w:bookmarkEnd w:id="22"/>
    </w:p>
    <w:p>
      <w:r>
        <w:rPr>
          <w:noProof/>
          <w:lang w:eastAsia="es-HN"/>
        </w:rPr>
        <w:drawing>
          <wp:inline distT="0" distB="0" distL="0" distR="0">
            <wp:extent cx="8257540" cy="4214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7540" cy="4214107"/>
                    </a:xfrm>
                    <a:prstGeom prst="rect">
                      <a:avLst/>
                    </a:prstGeom>
                    <a:noFill/>
                    <a:ln>
                      <a:noFill/>
                    </a:ln>
                  </pic:spPr>
                </pic:pic>
              </a:graphicData>
            </a:graphic>
          </wp:inline>
        </w:drawing>
      </w:r>
    </w:p>
    <w:p/>
    <w:p/>
    <w:p>
      <w:pPr>
        <w:spacing w:after="0" w:line="240" w:lineRule="auto"/>
        <w:rPr>
          <w:rFonts w:ascii="Times New Roman" w:hAnsi="Times New Roman" w:cs="Times New Roman"/>
          <w:sz w:val="20"/>
        </w:rPr>
      </w:pPr>
    </w:p>
    <w:p>
      <w:pPr>
        <w:spacing w:after="0" w:line="240" w:lineRule="auto"/>
        <w:rPr>
          <w:rFonts w:ascii="Times New Roman" w:hAnsi="Times New Roman" w:cs="Times New Roman"/>
          <w:sz w:val="20"/>
        </w:rPr>
      </w:pPr>
    </w:p>
    <w:p>
      <w:pPr>
        <w:pStyle w:val="Ttulo2"/>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lastRenderedPageBreak/>
        <w:t>A5.</w:t>
      </w:r>
      <w:r>
        <w:rPr>
          <w:rFonts w:ascii="Times New Roman" w:hAnsi="Times New Roman" w:cs="Times New Roman"/>
          <w:b w:val="0"/>
          <w:color w:val="000000" w:themeColor="text1"/>
          <w:sz w:val="22"/>
        </w:rPr>
        <w:tab/>
        <w:t>Resumen del Costo Marginal de Corto Plazo 2017</w:t>
      </w:r>
    </w:p>
    <w:p>
      <w:r>
        <w:rPr>
          <w:noProof/>
          <w:lang w:eastAsia="es-HN"/>
        </w:rPr>
        <w:drawing>
          <wp:inline distT="0" distB="0" distL="0" distR="0">
            <wp:extent cx="4574094" cy="50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4094" cy="5040000"/>
                    </a:xfrm>
                    <a:prstGeom prst="rect">
                      <a:avLst/>
                    </a:prstGeom>
                  </pic:spPr>
                </pic:pic>
              </a:graphicData>
            </a:graphic>
          </wp:inline>
        </w:drawing>
      </w:r>
    </w:p>
    <w:p>
      <w:r>
        <w:rPr>
          <w:noProof/>
          <w:lang w:eastAsia="es-HN"/>
        </w:rPr>
        <w:lastRenderedPageBreak/>
        <w:drawing>
          <wp:inline distT="0" distB="0" distL="0" distR="0">
            <wp:extent cx="4983951" cy="4680000"/>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83951" cy="4680000"/>
                    </a:xfrm>
                    <a:prstGeom prst="rect">
                      <a:avLst/>
                    </a:prstGeom>
                  </pic:spPr>
                </pic:pic>
              </a:graphicData>
            </a:graphic>
          </wp:inline>
        </w:drawing>
      </w:r>
    </w:p>
    <w:p/>
    <w:sectPr>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Piedepgina"/>
      <w:jc w:val="center"/>
    </w:pPr>
  </w:p>
  <w:p>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123173"/>
      <w:docPartObj>
        <w:docPartGallery w:val="Page Numbers (Bottom of Page)"/>
        <w:docPartUnique/>
      </w:docPartObj>
    </w:sdtPr>
    <w:sdtContent>
      <w:p>
        <w:pPr>
          <w:pStyle w:val="Piedepgina"/>
          <w:jc w:val="center"/>
        </w:pPr>
        <w:r>
          <w:fldChar w:fldCharType="begin"/>
        </w:r>
        <w:r>
          <w:instrText>PAGE   \* MERGEFORMAT</w:instrText>
        </w:r>
        <w:r>
          <w:fldChar w:fldCharType="separate"/>
        </w:r>
        <w:r>
          <w:rPr>
            <w:noProof/>
            <w:lang w:val="es-ES"/>
          </w:rPr>
          <w:t>12</w:t>
        </w:r>
        <w:r>
          <w:fldChar w:fldCharType="end"/>
        </w:r>
      </w:p>
    </w:sdtContent>
  </w:sdt>
  <w:p>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BB29B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E2072"/>
    <w:multiLevelType w:val="hybridMultilevel"/>
    <w:tmpl w:val="D83AC5F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42954EF"/>
    <w:multiLevelType w:val="hybridMultilevel"/>
    <w:tmpl w:val="FE28CAB8"/>
    <w:lvl w:ilvl="0" w:tplc="B1B4FA12">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45E3AC5"/>
    <w:multiLevelType w:val="hybridMultilevel"/>
    <w:tmpl w:val="A84CDDC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7C661A4"/>
    <w:multiLevelType w:val="hybridMultilevel"/>
    <w:tmpl w:val="7884FA48"/>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E807877"/>
    <w:multiLevelType w:val="hybridMultilevel"/>
    <w:tmpl w:val="94809B6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F096FA8"/>
    <w:multiLevelType w:val="hybridMultilevel"/>
    <w:tmpl w:val="898C663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2840EF2"/>
    <w:multiLevelType w:val="hybridMultilevel"/>
    <w:tmpl w:val="F8DCA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66D77"/>
    <w:multiLevelType w:val="hybridMultilevel"/>
    <w:tmpl w:val="6EBEDA2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8732D95"/>
    <w:multiLevelType w:val="hybridMultilevel"/>
    <w:tmpl w:val="BCF4670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B485C75"/>
    <w:multiLevelType w:val="hybridMultilevel"/>
    <w:tmpl w:val="9F36633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C227B81"/>
    <w:multiLevelType w:val="hybridMultilevel"/>
    <w:tmpl w:val="7884FA48"/>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1CBF7413"/>
    <w:multiLevelType w:val="hybridMultilevel"/>
    <w:tmpl w:val="FE28CAB8"/>
    <w:lvl w:ilvl="0" w:tplc="B1B4FA12">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1F7F724C"/>
    <w:multiLevelType w:val="hybridMultilevel"/>
    <w:tmpl w:val="17544A54"/>
    <w:lvl w:ilvl="0" w:tplc="480A000F">
      <w:start w:val="1"/>
      <w:numFmt w:val="decimal"/>
      <w:lvlText w:val="%1."/>
      <w:lvlJc w:val="left"/>
      <w:pPr>
        <w:ind w:left="720" w:hanging="18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D4E3CBE"/>
    <w:multiLevelType w:val="hybridMultilevel"/>
    <w:tmpl w:val="F25C71E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ED15479"/>
    <w:multiLevelType w:val="hybridMultilevel"/>
    <w:tmpl w:val="DBEA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63CAD"/>
    <w:multiLevelType w:val="hybridMultilevel"/>
    <w:tmpl w:val="F8602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3BF6B1D"/>
    <w:multiLevelType w:val="hybridMultilevel"/>
    <w:tmpl w:val="14AA226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3DFB74E3"/>
    <w:multiLevelType w:val="hybridMultilevel"/>
    <w:tmpl w:val="028C192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EB31F7F"/>
    <w:multiLevelType w:val="hybridMultilevel"/>
    <w:tmpl w:val="F85465F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98B1A12"/>
    <w:multiLevelType w:val="hybridMultilevel"/>
    <w:tmpl w:val="D64CA6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0A34262"/>
    <w:multiLevelType w:val="hybridMultilevel"/>
    <w:tmpl w:val="D09C9FC4"/>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54BC05E0"/>
    <w:multiLevelType w:val="hybridMultilevel"/>
    <w:tmpl w:val="2612D77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7D851E3"/>
    <w:multiLevelType w:val="hybridMultilevel"/>
    <w:tmpl w:val="757C90E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AE36EA5"/>
    <w:multiLevelType w:val="hybridMultilevel"/>
    <w:tmpl w:val="F8602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C834E24"/>
    <w:multiLevelType w:val="hybridMultilevel"/>
    <w:tmpl w:val="06ECD66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5E524B33"/>
    <w:multiLevelType w:val="hybridMultilevel"/>
    <w:tmpl w:val="FE28CAB8"/>
    <w:lvl w:ilvl="0" w:tplc="B1B4FA12">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F352EA1"/>
    <w:multiLevelType w:val="hybridMultilevel"/>
    <w:tmpl w:val="75EAEF0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00145E5"/>
    <w:multiLevelType w:val="hybridMultilevel"/>
    <w:tmpl w:val="64707F24"/>
    <w:lvl w:ilvl="0" w:tplc="D7742CF0">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08D487C"/>
    <w:multiLevelType w:val="hybridMultilevel"/>
    <w:tmpl w:val="FE28CAB8"/>
    <w:lvl w:ilvl="0" w:tplc="B1B4FA12">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1471F5F"/>
    <w:multiLevelType w:val="hybridMultilevel"/>
    <w:tmpl w:val="4E6AC442"/>
    <w:lvl w:ilvl="0" w:tplc="48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61C33DB0"/>
    <w:multiLevelType w:val="hybridMultilevel"/>
    <w:tmpl w:val="7884FA48"/>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2BC0C0C"/>
    <w:multiLevelType w:val="hybridMultilevel"/>
    <w:tmpl w:val="AF665C96"/>
    <w:lvl w:ilvl="0" w:tplc="480A0013">
      <w:start w:val="1"/>
      <w:numFmt w:val="upperRoman"/>
      <w:lvlText w:val="%1."/>
      <w:lvlJc w:val="right"/>
      <w:pPr>
        <w:ind w:left="720" w:hanging="18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A51736A"/>
    <w:multiLevelType w:val="hybridMultilevel"/>
    <w:tmpl w:val="D64CA6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70F410CB"/>
    <w:multiLevelType w:val="hybridMultilevel"/>
    <w:tmpl w:val="FBFEE23E"/>
    <w:lvl w:ilvl="0" w:tplc="B1B4FA12">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7A7E0986"/>
    <w:multiLevelType w:val="hybridMultilevel"/>
    <w:tmpl w:val="75EAEF0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AD344B1"/>
    <w:multiLevelType w:val="hybridMultilevel"/>
    <w:tmpl w:val="F3301CC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3"/>
  </w:num>
  <w:num w:numId="2">
    <w:abstractNumId w:val="15"/>
  </w:num>
  <w:num w:numId="3">
    <w:abstractNumId w:val="36"/>
  </w:num>
  <w:num w:numId="4">
    <w:abstractNumId w:val="25"/>
  </w:num>
  <w:num w:numId="5">
    <w:abstractNumId w:val="7"/>
  </w:num>
  <w:num w:numId="6">
    <w:abstractNumId w:val="9"/>
  </w:num>
  <w:num w:numId="7">
    <w:abstractNumId w:val="5"/>
  </w:num>
  <w:num w:numId="8">
    <w:abstractNumId w:val="23"/>
  </w:num>
  <w:num w:numId="9">
    <w:abstractNumId w:val="1"/>
  </w:num>
  <w:num w:numId="10">
    <w:abstractNumId w:val="8"/>
  </w:num>
  <w:num w:numId="11">
    <w:abstractNumId w:val="30"/>
  </w:num>
  <w:num w:numId="12">
    <w:abstractNumId w:val="6"/>
  </w:num>
  <w:num w:numId="13">
    <w:abstractNumId w:val="21"/>
  </w:num>
  <w:num w:numId="14">
    <w:abstractNumId w:val="0"/>
  </w:num>
  <w:num w:numId="15">
    <w:abstractNumId w:val="17"/>
  </w:num>
  <w:num w:numId="16">
    <w:abstractNumId w:val="28"/>
  </w:num>
  <w:num w:numId="17">
    <w:abstractNumId w:val="26"/>
  </w:num>
  <w:num w:numId="18">
    <w:abstractNumId w:val="12"/>
  </w:num>
  <w:num w:numId="19">
    <w:abstractNumId w:val="3"/>
  </w:num>
  <w:num w:numId="20">
    <w:abstractNumId w:val="34"/>
  </w:num>
  <w:num w:numId="21">
    <w:abstractNumId w:val="29"/>
  </w:num>
  <w:num w:numId="22">
    <w:abstractNumId w:val="2"/>
  </w:num>
  <w:num w:numId="23">
    <w:abstractNumId w:val="35"/>
  </w:num>
  <w:num w:numId="24">
    <w:abstractNumId w:val="24"/>
  </w:num>
  <w:num w:numId="25">
    <w:abstractNumId w:val="27"/>
  </w:num>
  <w:num w:numId="26">
    <w:abstractNumId w:val="16"/>
  </w:num>
  <w:num w:numId="27">
    <w:abstractNumId w:val="18"/>
  </w:num>
  <w:num w:numId="28">
    <w:abstractNumId w:val="22"/>
  </w:num>
  <w:num w:numId="29">
    <w:abstractNumId w:val="14"/>
  </w:num>
  <w:num w:numId="30">
    <w:abstractNumId w:val="31"/>
  </w:num>
  <w:num w:numId="31">
    <w:abstractNumId w:val="11"/>
  </w:num>
  <w:num w:numId="32">
    <w:abstractNumId w:val="32"/>
  </w:num>
  <w:num w:numId="33">
    <w:abstractNumId w:val="13"/>
  </w:num>
  <w:num w:numId="34">
    <w:abstractNumId w:val="20"/>
  </w:num>
  <w:num w:numId="35">
    <w:abstractNumId w:val="19"/>
  </w:num>
  <w:num w:numId="36">
    <w:abstractNumId w:val="1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5B1439-B641-4DC3-9E34-3985F320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ajorHAnsi" w:eastAsiaTheme="majorEastAsia" w:hAnsiTheme="majorHAnsi" w:cstheme="majorBidi"/>
      <w:sz w:val="24"/>
    </w:rPr>
  </w:style>
  <w:style w:type="paragraph" w:styleId="Ttulo1">
    <w:name w:val="heading 1"/>
    <w:basedOn w:val="Normal"/>
    <w:next w:val="Normal"/>
    <w:link w:val="Ttulo1Car"/>
    <w:uiPriority w:val="9"/>
    <w:qFormat/>
    <w:pPr>
      <w:spacing w:before="480" w:after="0"/>
      <w:contextualSpacing/>
      <w:outlineLvl w:val="0"/>
    </w:pPr>
    <w:rPr>
      <w:smallCaps/>
      <w:spacing w:val="5"/>
      <w:sz w:val="36"/>
      <w:szCs w:val="36"/>
    </w:rPr>
  </w:style>
  <w:style w:type="paragraph" w:styleId="Ttulo2">
    <w:name w:val="heading 2"/>
    <w:basedOn w:val="Normal"/>
    <w:next w:val="Normal"/>
    <w:link w:val="Ttulo2Car"/>
    <w:uiPriority w:val="9"/>
    <w:unhideWhenUsed/>
    <w:qFormat/>
    <w:pPr>
      <w:keepNext/>
      <w:keepLines/>
      <w:spacing w:before="200" w:after="0"/>
      <w:outlineLvl w:val="1"/>
    </w:pPr>
    <w:rPr>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pPr>
      <w:pBdr>
        <w:top w:val="dotted" w:sz="8" w:space="10" w:color="C0504D" w:themeColor="accent2"/>
        <w:bottom w:val="dotted" w:sz="8" w:space="10" w:color="C0504D" w:themeColor="accent2"/>
      </w:pBdr>
      <w:spacing w:line="300" w:lineRule="auto"/>
      <w:ind w:left="2160" w:right="2160"/>
      <w:jc w:val="center"/>
    </w:pPr>
    <w:rPr>
      <w:b/>
      <w:bCs/>
      <w:i/>
      <w:iCs/>
      <w:color w:val="C0504D" w:themeColor="accent2"/>
      <w:sz w:val="20"/>
      <w:szCs w:val="20"/>
      <w:lang w:val="en-US" w:bidi="en-US"/>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b/>
      <w:bCs/>
      <w:i/>
      <w:iCs/>
      <w:color w:val="C0504D" w:themeColor="accent2"/>
      <w:sz w:val="20"/>
      <w:szCs w:val="20"/>
      <w:lang w:val="en-US" w:bidi="en-US"/>
    </w:rPr>
  </w:style>
  <w:style w:type="character" w:customStyle="1" w:styleId="Ttulo1Car">
    <w:name w:val="Título 1 Car"/>
    <w:basedOn w:val="Fuentedeprrafopredeter"/>
    <w:link w:val="Ttulo1"/>
    <w:uiPriority w:val="9"/>
    <w:rPr>
      <w:rFonts w:asciiTheme="majorHAnsi" w:eastAsiaTheme="majorEastAsia" w:hAnsiTheme="majorHAnsi" w:cstheme="majorBidi"/>
      <w:smallCaps/>
      <w:spacing w:val="5"/>
      <w:sz w:val="36"/>
      <w:szCs w:val="36"/>
    </w:rPr>
  </w:style>
  <w:style w:type="paragraph" w:styleId="Prrafodelista">
    <w:name w:val="List Paragraph"/>
    <w:basedOn w:val="Normal"/>
    <w:uiPriority w:val="34"/>
    <w:qFormat/>
    <w:pPr>
      <w:ind w:left="720"/>
      <w:contextualSpacing/>
    </w:pPr>
  </w:style>
  <w:style w:type="paragraph" w:styleId="Textoindependiente">
    <w:name w:val="Body Text"/>
    <w:basedOn w:val="Normal"/>
    <w:link w:val="TextoindependienteCar"/>
    <w:uiPriority w:val="99"/>
    <w:unhideWhenUsed/>
    <w:pPr>
      <w:spacing w:after="120" w:line="288" w:lineRule="auto"/>
    </w:pPr>
    <w:rPr>
      <w:rFonts w:ascii="Calibri" w:eastAsia="Times New Roman" w:hAnsi="Calibri" w:cs="Times New Roman"/>
      <w:i/>
      <w:iCs/>
      <w:sz w:val="20"/>
      <w:szCs w:val="20"/>
      <w:lang w:val="en-US" w:bidi="en-US"/>
    </w:rPr>
  </w:style>
  <w:style w:type="character" w:customStyle="1" w:styleId="TextoindependienteCar">
    <w:name w:val="Texto independiente Car"/>
    <w:basedOn w:val="Fuentedeprrafopredeter"/>
    <w:link w:val="Textoindependiente"/>
    <w:uiPriority w:val="99"/>
    <w:rPr>
      <w:rFonts w:ascii="Calibri" w:eastAsia="Times New Roman" w:hAnsi="Calibri" w:cs="Times New Roman"/>
      <w:i/>
      <w:iCs/>
      <w:sz w:val="20"/>
      <w:szCs w:val="20"/>
      <w:lang w:val="en-US" w:bidi="en-US"/>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ajorEastAsia" w:hAnsi="Tahoma" w:cs="Tahoma"/>
      <w:sz w:val="16"/>
      <w:szCs w:val="16"/>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pPr>
      <w:keepNext/>
      <w:keepLines/>
      <w:contextualSpacing w:val="0"/>
      <w:outlineLvl w:val="9"/>
    </w:pPr>
    <w:rPr>
      <w:b/>
      <w:bCs/>
      <w:smallCaps w:val="0"/>
      <w:color w:val="365F91" w:themeColor="accent1" w:themeShade="BF"/>
      <w:spacing w:val="0"/>
      <w:sz w:val="28"/>
      <w:szCs w:val="28"/>
      <w:lang w:eastAsia="es-HN"/>
    </w:rPr>
  </w:style>
  <w:style w:type="paragraph" w:styleId="TDC1">
    <w:name w:val="toc 1"/>
    <w:basedOn w:val="Normal"/>
    <w:next w:val="Normal"/>
    <w:autoRedefine/>
    <w:uiPriority w:val="39"/>
    <w:unhideWhenUsed/>
    <w:pPr>
      <w:spacing w:after="100"/>
    </w:pPr>
  </w:style>
  <w:style w:type="character" w:styleId="Hipervnculo">
    <w:name w:val="Hyperlink"/>
    <w:basedOn w:val="Fuentedeprrafopredeter"/>
    <w:uiPriority w:val="99"/>
    <w:unhideWhenUsed/>
    <w:rPr>
      <w:color w:val="0000FF" w:themeColor="hyperlink"/>
      <w:u w:val="single"/>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Theme="majorHAnsi" w:eastAsiaTheme="majorEastAsia" w:hAnsiTheme="majorHAnsi" w:cstheme="majorBidi"/>
      <w:sz w:val="24"/>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Theme="majorHAnsi" w:eastAsiaTheme="majorEastAsia" w:hAnsiTheme="majorHAnsi" w:cstheme="majorBidi"/>
      <w:sz w:val="24"/>
    </w:rPr>
  </w:style>
  <w:style w:type="paragraph" w:customStyle="1" w:styleId="Espacio">
    <w:name w:val="Espacio"/>
    <w:basedOn w:val="Sinespaciado"/>
    <w:qFormat/>
    <w:pPr>
      <w:jc w:val="center"/>
    </w:pPr>
    <w:rPr>
      <w:rFonts w:ascii="Garamond" w:eastAsia="Calibri" w:hAnsi="Garamond" w:cs="Times New Roman"/>
      <w:caps/>
      <w:sz w:val="8"/>
    </w:rPr>
  </w:style>
  <w:style w:type="paragraph" w:styleId="Sinespaciado">
    <w:name w:val="No Spacing"/>
    <w:uiPriority w:val="1"/>
    <w:qFormat/>
    <w:pPr>
      <w:spacing w:after="0" w:line="240" w:lineRule="auto"/>
    </w:pPr>
    <w:rPr>
      <w:rFonts w:asciiTheme="majorHAnsi" w:eastAsiaTheme="majorEastAsia" w:hAnsiTheme="majorHAnsi" w:cstheme="majorBidi"/>
      <w:sz w:val="24"/>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Theme="majorHAnsi" w:eastAsiaTheme="majorEastAsia" w:hAnsiTheme="majorHAnsi" w:cstheme="majorBidi"/>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heme="majorHAnsi" w:eastAsiaTheme="majorEastAsia" w:hAnsiTheme="majorHAnsi" w:cstheme="majorBidi"/>
      <w:b/>
      <w:bCs/>
      <w:sz w:val="20"/>
      <w:szCs w:val="20"/>
    </w:rPr>
  </w:style>
  <w:style w:type="paragraph" w:styleId="Revisin">
    <w:name w:val="Revision"/>
    <w:hidden/>
    <w:uiPriority w:val="99"/>
    <w:semiHidden/>
    <w:pPr>
      <w:spacing w:after="0" w:line="240" w:lineRule="auto"/>
    </w:pPr>
    <w:rPr>
      <w:rFonts w:asciiTheme="majorHAnsi" w:eastAsiaTheme="majorEastAsia" w:hAnsiTheme="majorHAnsi" w:cstheme="majorBidi"/>
      <w:sz w:val="24"/>
    </w:rPr>
  </w:style>
  <w:style w:type="paragraph" w:styleId="Listaconvietas">
    <w:name w:val="List Bullet"/>
    <w:basedOn w:val="Normal"/>
    <w:uiPriority w:val="99"/>
    <w:unhideWhenUsed/>
    <w:pPr>
      <w:numPr>
        <w:numId w:val="14"/>
      </w:numPr>
      <w:contextualSpacing/>
    </w:p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color w:val="17365D" w:themeColor="text2" w:themeShade="BF"/>
      <w:spacing w:val="5"/>
      <w:kern w:val="28"/>
      <w:sz w:val="52"/>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TDC2">
    <w:name w:val="toc 2"/>
    <w:basedOn w:val="Normal"/>
    <w:next w:val="Normal"/>
    <w:autoRedefine/>
    <w:uiPriority w:val="39"/>
    <w:unhideWhenUse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4890">
      <w:bodyDiv w:val="1"/>
      <w:marLeft w:val="0"/>
      <w:marRight w:val="0"/>
      <w:marTop w:val="0"/>
      <w:marBottom w:val="0"/>
      <w:divBdr>
        <w:top w:val="none" w:sz="0" w:space="0" w:color="auto"/>
        <w:left w:val="none" w:sz="0" w:space="0" w:color="auto"/>
        <w:bottom w:val="none" w:sz="0" w:space="0" w:color="auto"/>
        <w:right w:val="none" w:sz="0" w:space="0" w:color="auto"/>
      </w:divBdr>
    </w:div>
    <w:div w:id="1048993947">
      <w:bodyDiv w:val="1"/>
      <w:marLeft w:val="0"/>
      <w:marRight w:val="0"/>
      <w:marTop w:val="0"/>
      <w:marBottom w:val="0"/>
      <w:divBdr>
        <w:top w:val="none" w:sz="0" w:space="0" w:color="auto"/>
        <w:left w:val="none" w:sz="0" w:space="0" w:color="auto"/>
        <w:bottom w:val="none" w:sz="0" w:space="0" w:color="auto"/>
        <w:right w:val="none" w:sz="0" w:space="0" w:color="auto"/>
      </w:divBdr>
    </w:div>
    <w:div w:id="110369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4480E-19F1-4719-B59A-00368B965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6576</TotalTime>
  <Pages>16</Pages>
  <Words>2177</Words>
  <Characters>11976</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ENEE</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jcgomez</dc:creator>
  <cp:lastModifiedBy>gerencia</cp:lastModifiedBy>
  <cp:revision>2070</cp:revision>
  <cp:lastPrinted>2014-08-21T20:23:00Z</cp:lastPrinted>
  <dcterms:created xsi:type="dcterms:W3CDTF">2013-03-24T15:57:00Z</dcterms:created>
  <dcterms:modified xsi:type="dcterms:W3CDTF">2017-10-11T14:47:00Z</dcterms:modified>
</cp:coreProperties>
</file>