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B" w:rsidRPr="0070035B" w:rsidRDefault="0070035B" w:rsidP="0070035B">
      <w:pPr>
        <w:keepNext/>
        <w:keepLines/>
        <w:pageBreakBefore/>
        <w:spacing w:after="360" w:line="252" w:lineRule="auto"/>
        <w:ind w:left="576" w:hanging="576"/>
        <w:jc w:val="both"/>
        <w:outlineLvl w:val="0"/>
        <w:rPr>
          <w:rFonts w:ascii="Arial" w:eastAsia="Times New Roman" w:hAnsi="Arial" w:cs="Times New Roman"/>
          <w:b/>
          <w:bCs/>
          <w:color w:val="0D408A"/>
          <w:sz w:val="40"/>
          <w:szCs w:val="28"/>
        </w:rPr>
      </w:pPr>
      <w:bookmarkStart w:id="0" w:name="_Toc194303927"/>
      <w:bookmarkStart w:id="1" w:name="_Toc436748248"/>
      <w:r w:rsidRPr="0070035B">
        <w:rPr>
          <w:rFonts w:ascii="Arial" w:eastAsia="Times New Roman" w:hAnsi="Arial" w:cs="Times New Roman"/>
          <w:b/>
          <w:bCs/>
          <w:color w:val="0D408A"/>
          <w:sz w:val="40"/>
          <w:szCs w:val="28"/>
        </w:rPr>
        <w:t>Annual Procurement Plan</w:t>
      </w:r>
      <w:bookmarkEnd w:id="0"/>
      <w:bookmarkEnd w:id="1"/>
      <w:r w:rsidRPr="0070035B">
        <w:rPr>
          <w:rFonts w:ascii="Arial" w:eastAsia="Times New Roman" w:hAnsi="Arial" w:cs="Times New Roman"/>
          <w:b/>
          <w:bCs/>
          <w:color w:val="0D408A"/>
          <w:sz w:val="40"/>
          <w:szCs w:val="28"/>
        </w:rPr>
        <w:t xml:space="preserve"> </w:t>
      </w:r>
    </w:p>
    <w:p w:rsidR="0070035B" w:rsidRPr="0070035B" w:rsidRDefault="0070035B" w:rsidP="0070035B">
      <w:pPr>
        <w:spacing w:after="120" w:line="252" w:lineRule="auto"/>
        <w:jc w:val="both"/>
        <w:rPr>
          <w:rFonts w:ascii="Arial" w:eastAsia="Calibri" w:hAnsi="Arial" w:cs="Times New Roman"/>
          <w:color w:val="262626"/>
          <w:szCs w:val="19"/>
        </w:rPr>
      </w:pPr>
      <w:r w:rsidRPr="0070035B">
        <w:rPr>
          <w:rFonts w:ascii="Arial" w:eastAsia="Calibri" w:hAnsi="Arial" w:cs="Times New Roman"/>
          <w:color w:val="262626"/>
          <w:szCs w:val="19"/>
        </w:rPr>
        <w:t xml:space="preserve">Table 6.1 Procurement Plan for the Period [January 1, 2016 through June 30, 2017]. </w:t>
      </w:r>
    </w:p>
    <w:p w:rsidR="0070035B" w:rsidRPr="0070035B" w:rsidRDefault="0070035B" w:rsidP="0070035B">
      <w:pPr>
        <w:spacing w:after="120" w:line="252" w:lineRule="auto"/>
        <w:jc w:val="both"/>
        <w:rPr>
          <w:rFonts w:ascii="Arial" w:eastAsia="Calibri" w:hAnsi="Arial" w:cs="Times New Roman"/>
          <w:b/>
          <w:bCs/>
          <w:color w:val="262626"/>
          <w:sz w:val="20"/>
          <w:szCs w:val="20"/>
        </w:rPr>
      </w:pPr>
      <w:r w:rsidRPr="0070035B">
        <w:rPr>
          <w:rFonts w:ascii="Arial" w:eastAsia="Calibri" w:hAnsi="Arial" w:cs="Times New Roman"/>
          <w:b/>
          <w:bCs/>
          <w:color w:val="262626"/>
          <w:sz w:val="20"/>
          <w:szCs w:val="20"/>
        </w:rPr>
        <w:t xml:space="preserve">Project:  </w:t>
      </w:r>
      <w:r w:rsidRPr="0070035B">
        <w:rPr>
          <w:rFonts w:ascii="Arial" w:eastAsia="Calibri" w:hAnsi="Arial" w:cs="Times New Roman"/>
          <w:color w:val="262626"/>
          <w:sz w:val="20"/>
          <w:szCs w:val="20"/>
        </w:rPr>
        <w:t>GOB/IDB Skills For the Future Program</w:t>
      </w:r>
    </w:p>
    <w:p w:rsidR="0070035B" w:rsidRPr="0070035B" w:rsidRDefault="0070035B" w:rsidP="0070035B">
      <w:pPr>
        <w:spacing w:after="120" w:line="252" w:lineRule="auto"/>
        <w:jc w:val="both"/>
        <w:rPr>
          <w:rFonts w:ascii="Arial" w:eastAsia="Calibri" w:hAnsi="Arial" w:cs="Times New Roman"/>
          <w:b/>
          <w:bCs/>
          <w:color w:val="262626"/>
          <w:sz w:val="20"/>
          <w:szCs w:val="20"/>
        </w:rPr>
      </w:pPr>
      <w:r w:rsidRPr="0070035B">
        <w:rPr>
          <w:rFonts w:ascii="Arial" w:eastAsia="Calibri" w:hAnsi="Arial" w:cs="Times New Roman"/>
          <w:b/>
          <w:bCs/>
          <w:color w:val="262626"/>
          <w:sz w:val="20"/>
          <w:szCs w:val="20"/>
        </w:rPr>
        <w:t xml:space="preserve">Project number:  BA: L1016 and Loan Contract number:  </w:t>
      </w:r>
      <w:r w:rsidRPr="0070035B">
        <w:rPr>
          <w:rFonts w:ascii="Arial" w:eastAsia="Calibri" w:hAnsi="Arial" w:cs="Times New Roman"/>
          <w:color w:val="262626"/>
          <w:sz w:val="20"/>
          <w:szCs w:val="20"/>
        </w:rPr>
        <w:t>2739/OC-BA</w:t>
      </w:r>
      <w:bookmarkStart w:id="2" w:name="_GoBack"/>
      <w:bookmarkEnd w:id="2"/>
    </w:p>
    <w:p w:rsidR="0070035B" w:rsidRPr="0070035B" w:rsidRDefault="0070035B" w:rsidP="0070035B">
      <w:pPr>
        <w:spacing w:after="120" w:line="252" w:lineRule="auto"/>
        <w:jc w:val="both"/>
        <w:rPr>
          <w:rFonts w:ascii="Arial" w:eastAsia="Calibri" w:hAnsi="Arial" w:cs="Times New Roman"/>
          <w:color w:val="262626"/>
          <w:sz w:val="20"/>
          <w:szCs w:val="20"/>
        </w:rPr>
      </w:pPr>
      <w:r w:rsidRPr="0070035B">
        <w:rPr>
          <w:rFonts w:ascii="Arial" w:eastAsia="Calibri" w:hAnsi="Arial" w:cs="Times New Roman"/>
          <w:b/>
          <w:bCs/>
          <w:color w:val="262626"/>
          <w:sz w:val="20"/>
          <w:szCs w:val="20"/>
        </w:rPr>
        <w:t xml:space="preserve">Period included in this Procurement Plan:  From:  </w:t>
      </w:r>
      <w:r w:rsidRPr="0070035B">
        <w:rPr>
          <w:rFonts w:ascii="Arial" w:eastAsia="Calibri" w:hAnsi="Arial" w:cs="Times New Roman"/>
          <w:color w:val="262626"/>
          <w:sz w:val="20"/>
          <w:szCs w:val="20"/>
        </w:rPr>
        <w:t>January 2016 until June 2017.</w:t>
      </w:r>
    </w:p>
    <w:tbl>
      <w:tblPr>
        <w:tblW w:w="515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904"/>
        <w:gridCol w:w="1083"/>
        <w:gridCol w:w="1162"/>
        <w:gridCol w:w="1083"/>
        <w:gridCol w:w="747"/>
        <w:gridCol w:w="913"/>
        <w:gridCol w:w="1498"/>
        <w:gridCol w:w="1249"/>
        <w:gridCol w:w="1332"/>
        <w:gridCol w:w="1411"/>
        <w:gridCol w:w="1083"/>
      </w:tblGrid>
      <w:tr w:rsidR="0070035B" w:rsidRPr="0070035B" w:rsidTr="007872D2">
        <w:trPr>
          <w:trHeight w:val="368"/>
          <w:tblHeader/>
        </w:trPr>
        <w:tc>
          <w:tcPr>
            <w:tcW w:w="161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 xml:space="preserve">Ref. No. </w:t>
            </w: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36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Description of and Category of Procurement Contract</w:t>
            </w:r>
          </w:p>
        </w:tc>
        <w:tc>
          <w:tcPr>
            <w:tcW w:w="300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Estimated cost in (US$)</w:t>
            </w:r>
          </w:p>
        </w:tc>
        <w:tc>
          <w:tcPr>
            <w:tcW w:w="322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 xml:space="preserve">Procurement method </w:t>
            </w: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0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lang w:val="fr-FR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lang w:val="fr-FR"/>
              </w:rPr>
              <w:t>Review (ex-ante or ex-post)</w:t>
            </w:r>
          </w:p>
        </w:tc>
        <w:tc>
          <w:tcPr>
            <w:tcW w:w="460" w:type="pct"/>
            <w:gridSpan w:val="2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Source of financing and percentage</w:t>
            </w:r>
          </w:p>
        </w:tc>
        <w:tc>
          <w:tcPr>
            <w:tcW w:w="415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 xml:space="preserve">Prequalification </w:t>
            </w: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vertAlign w:val="superscript"/>
              </w:rPr>
              <w:t>3</w:t>
            </w: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 xml:space="preserve"> (Yes/No)</w:t>
            </w:r>
          </w:p>
        </w:tc>
        <w:tc>
          <w:tcPr>
            <w:tcW w:w="715" w:type="pct"/>
            <w:gridSpan w:val="2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Estimated Dates</w:t>
            </w:r>
          </w:p>
        </w:tc>
        <w:tc>
          <w:tcPr>
            <w:tcW w:w="391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 xml:space="preserve">Status </w:t>
            </w: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vertAlign w:val="superscript"/>
              </w:rPr>
              <w:t>4</w:t>
            </w: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 xml:space="preserve"> (pending, in process, awarded, cancelled)</w:t>
            </w:r>
          </w:p>
        </w:tc>
        <w:tc>
          <w:tcPr>
            <w:tcW w:w="300" w:type="pct"/>
            <w:vMerge w:val="restart"/>
            <w:shd w:val="clear" w:color="auto" w:fill="F17427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Comments</w:t>
            </w:r>
          </w:p>
        </w:tc>
      </w:tr>
      <w:tr w:rsidR="0070035B" w:rsidRPr="0070035B" w:rsidTr="007872D2">
        <w:trPr>
          <w:trHeight w:val="629"/>
          <w:tblHeader/>
        </w:trPr>
        <w:tc>
          <w:tcPr>
            <w:tcW w:w="161" w:type="pct"/>
            <w:vMerge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1636" w:type="pct"/>
            <w:vMerge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79646" w:themeFill="accent6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IDB %</w:t>
            </w:r>
          </w:p>
        </w:tc>
        <w:tc>
          <w:tcPr>
            <w:tcW w:w="253" w:type="pct"/>
            <w:shd w:val="clear" w:color="auto" w:fill="F79646" w:themeFill="accent6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Local /</w:t>
            </w:r>
          </w:p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Other %</w:t>
            </w:r>
          </w:p>
        </w:tc>
        <w:tc>
          <w:tcPr>
            <w:tcW w:w="415" w:type="pct"/>
            <w:vMerge/>
            <w:shd w:val="clear" w:color="auto" w:fill="F79646" w:themeFill="accent6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79646" w:themeFill="accent6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Publication of specific procurement notice</w:t>
            </w:r>
          </w:p>
        </w:tc>
        <w:tc>
          <w:tcPr>
            <w:tcW w:w="369" w:type="pct"/>
            <w:shd w:val="clear" w:color="auto" w:fill="F79646" w:themeFill="accent6"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Completion Procurement Activities</w:t>
            </w:r>
          </w:p>
        </w:tc>
        <w:tc>
          <w:tcPr>
            <w:tcW w:w="391" w:type="pct"/>
            <w:vMerge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70035B" w:rsidRPr="0070035B" w:rsidRDefault="0070035B" w:rsidP="0070035B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242"/>
        </w:trPr>
        <w:tc>
          <w:tcPr>
            <w:tcW w:w="161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1636" w:type="pct"/>
            <w:shd w:val="clear" w:color="auto" w:fill="F79646" w:themeFill="accent6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 Bold" w:eastAsia="Calibri" w:hAnsi="Times New Roman Bold" w:cs="Times New Roman"/>
                <w:b/>
                <w:bCs/>
                <w:caps/>
                <w:color w:val="262626"/>
                <w:sz w:val="18"/>
                <w:szCs w:val="18"/>
              </w:rPr>
            </w:pPr>
            <w:r w:rsidRPr="0070035B">
              <w:rPr>
                <w:rFonts w:ascii="Times New Roman Bold" w:eastAsia="Calibri" w:hAnsi="Times New Roman Bold" w:cs="Times New Roman"/>
                <w:b/>
                <w:bCs/>
                <w:caps/>
                <w:color w:val="262626"/>
                <w:sz w:val="18"/>
                <w:szCs w:val="18"/>
              </w:rPr>
              <w:t>Goods</w:t>
            </w:r>
          </w:p>
        </w:tc>
        <w:tc>
          <w:tcPr>
            <w:tcW w:w="300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63"/>
        </w:trPr>
        <w:tc>
          <w:tcPr>
            <w:tcW w:w="16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1636" w:type="pct"/>
            <w:shd w:val="clear" w:color="auto" w:fill="D9D9D9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  <w:t xml:space="preserve">Component 3: Institutional Strengthening </w:t>
            </w: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95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1.1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Vendor for the supply of  Library equipment to Erdiston Teacher’s Training College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Shopping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3/31/2016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5/31/2016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58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1.4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Vendor for the supply of Library equipment to the Barbados Vocational Training Board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Shopping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10/6/2015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12/30/2015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224"/>
        </w:trPr>
        <w:tc>
          <w:tcPr>
            <w:tcW w:w="161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1636" w:type="pct"/>
            <w:shd w:val="clear" w:color="auto" w:fill="F79646" w:themeFill="accent6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 Bold" w:eastAsia="Calibri" w:hAnsi="Times New Roman Bold" w:cs="Times New Roman"/>
                <w:b/>
                <w:bCs/>
                <w:caps/>
                <w:color w:val="262626"/>
                <w:sz w:val="18"/>
                <w:szCs w:val="18"/>
                <w:highlight w:val="yellow"/>
              </w:rPr>
            </w:pPr>
            <w:r w:rsidRPr="0070035B">
              <w:rPr>
                <w:rFonts w:ascii="Times New Roman Bold" w:eastAsia="Calibri" w:hAnsi="Times New Roman Bold" w:cs="Times New Roman"/>
                <w:b/>
                <w:bCs/>
                <w:caps/>
                <w:color w:val="262626"/>
                <w:sz w:val="18"/>
                <w:szCs w:val="18"/>
              </w:rPr>
              <w:t xml:space="preserve">Consultant Services </w:t>
            </w:r>
          </w:p>
        </w:tc>
        <w:tc>
          <w:tcPr>
            <w:tcW w:w="300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22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253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415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46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69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91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shd w:val="clear" w:color="auto" w:fill="F79646" w:themeFill="accent6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</w:tr>
      <w:tr w:rsidR="0070035B" w:rsidRPr="0070035B" w:rsidTr="007872D2">
        <w:trPr>
          <w:trHeight w:val="55"/>
        </w:trPr>
        <w:tc>
          <w:tcPr>
            <w:tcW w:w="161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1636" w:type="pct"/>
            <w:shd w:val="clear" w:color="auto" w:fill="D9D9D9" w:themeFill="background1" w:themeFillShade="D9"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Component 1: Competency Based Training Fund</w:t>
            </w:r>
          </w:p>
        </w:tc>
        <w:tc>
          <w:tcPr>
            <w:tcW w:w="300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55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1.1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Administrative Officer for the CBTF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34,484.24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12/28/2015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2/29/2016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55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1.2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Administrative Assistant for the CBTF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22,969.92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12/28/2015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2/29/2016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55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1.3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Liaison Officer for the CBTF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44,091.24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3/31/2016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55"/>
        </w:trPr>
        <w:tc>
          <w:tcPr>
            <w:tcW w:w="16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2</w:t>
            </w:r>
          </w:p>
        </w:tc>
        <w:tc>
          <w:tcPr>
            <w:tcW w:w="1636" w:type="pct"/>
            <w:shd w:val="clear" w:color="auto" w:fill="D9D9D9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  <w:t>Component 2: Improving the Quality and Relevance of Primary, Secondary and Post-secondary Education</w:t>
            </w: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2.1</w:t>
            </w:r>
          </w:p>
        </w:tc>
        <w:tc>
          <w:tcPr>
            <w:tcW w:w="1636" w:type="pct"/>
            <w:shd w:val="clear" w:color="auto" w:fill="auto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Training for Heads of Departments of Secondary Schools in Core and Life Skill training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133,680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QCBS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9/30/2015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4/29/2016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63"/>
        </w:trPr>
        <w:tc>
          <w:tcPr>
            <w:tcW w:w="16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</w:t>
            </w:r>
          </w:p>
        </w:tc>
        <w:tc>
          <w:tcPr>
            <w:tcW w:w="1636" w:type="pct"/>
            <w:shd w:val="clear" w:color="auto" w:fill="D9D9D9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  <w:t xml:space="preserve">Component 3: Institutional Strengthening </w:t>
            </w: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526"/>
        </w:trPr>
        <w:tc>
          <w:tcPr>
            <w:tcW w:w="16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3.1</w:t>
            </w:r>
          </w:p>
        </w:tc>
        <w:tc>
          <w:tcPr>
            <w:tcW w:w="1636" w:type="pct"/>
            <w:shd w:val="clear" w:color="auto" w:fill="auto"/>
            <w:hideMark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Consulting Firm to Execute Business Development Plans for Post-Secondary Institutions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828,480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QCBS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4/22/2015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2/29/2016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04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Consulting firm to facilitate Institutional Policy Development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110,000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CQS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4/22/2015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6/17/2016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</w:tr>
      <w:tr w:rsidR="0070035B" w:rsidRPr="0070035B" w:rsidTr="007872D2">
        <w:trPr>
          <w:trHeight w:val="404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3.3.2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Consulting firm to supervise civil works at BCC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LCS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1/02/2016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5/31/2016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04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3.3.3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Consulting firm to supervise civil works at BVTB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LCS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1/02/2016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5/31/2016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296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3.3.4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Consulting firm to supervise civil works at SJPP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LCS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1/02/2016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5/31/2016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260"/>
        </w:trPr>
        <w:tc>
          <w:tcPr>
            <w:tcW w:w="16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 3.7</w:t>
            </w:r>
          </w:p>
        </w:tc>
        <w:tc>
          <w:tcPr>
            <w:tcW w:w="1636" w:type="pct"/>
            <w:shd w:val="clear" w:color="auto" w:fill="auto"/>
            <w:hideMark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Consultancy to assist with the enhancement of the LMIS-MLSD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50,000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02/09/2016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6/30/2016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76"/>
        </w:trPr>
        <w:tc>
          <w:tcPr>
            <w:tcW w:w="16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 3.11.1</w:t>
            </w:r>
          </w:p>
        </w:tc>
        <w:tc>
          <w:tcPr>
            <w:tcW w:w="1636" w:type="pct"/>
            <w:shd w:val="clear" w:color="auto" w:fill="auto"/>
            <w:hideMark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Education Specialist to deliver Training to Curriculum Officers of METI and Curriculum Specialists of Post-secondary (Long-Term Consultant)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133,680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2/28/2015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5/25/2016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76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3.11.2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Education Specialist to deliver Training to Curriculum Officers of METI and Curriculum Specialists of Post-secondary (Short-Term Consultant)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133,680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2/28/2015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5/25/2016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67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3.15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Consulting Firm to monitor and evaluation of student internship and Apprenticeship  programs at Post-Secondary Institutions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250,000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QCBS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1/18/2016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8/15/2016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59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3.16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Firm to conduct BVTB Pedagogy Training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184,615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QCBS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1/18/2016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8/15/2016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</w:tr>
      <w:tr w:rsidR="0070035B" w:rsidRPr="0070035B" w:rsidTr="007872D2">
        <w:trPr>
          <w:trHeight w:val="260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 xml:space="preserve">3.17 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Curriculum Specialist for the Samuel Jackman Prescod Polytechnic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40,750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10/06/2015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1/11/2016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Awarded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63"/>
        </w:trPr>
        <w:tc>
          <w:tcPr>
            <w:tcW w:w="16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4</w:t>
            </w:r>
          </w:p>
        </w:tc>
        <w:tc>
          <w:tcPr>
            <w:tcW w:w="1636" w:type="pct"/>
            <w:shd w:val="clear" w:color="auto" w:fill="D9D9D9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  <w:t xml:space="preserve">Component 4: Communication Campaign </w:t>
            </w: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50"/>
        </w:trPr>
        <w:tc>
          <w:tcPr>
            <w:tcW w:w="16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4.2</w:t>
            </w:r>
          </w:p>
        </w:tc>
        <w:tc>
          <w:tcPr>
            <w:tcW w:w="1636" w:type="pct"/>
            <w:shd w:val="clear" w:color="auto" w:fill="auto"/>
            <w:hideMark/>
          </w:tcPr>
          <w:p w:rsidR="0070035B" w:rsidRPr="0070035B" w:rsidRDefault="0070035B" w:rsidP="0070035B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Consultant Firm for execution of  overall Communications Campaign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 xml:space="preserve">290,000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QCBS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1/20//2014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12/15/2015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process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5</w:t>
            </w:r>
          </w:p>
        </w:tc>
        <w:tc>
          <w:tcPr>
            <w:tcW w:w="1636" w:type="pct"/>
            <w:shd w:val="clear" w:color="auto" w:fill="D9D9D9" w:themeFill="background1" w:themeFillShade="D9"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Program Execution</w:t>
            </w:r>
          </w:p>
        </w:tc>
        <w:tc>
          <w:tcPr>
            <w:tcW w:w="300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hideMark/>
          </w:tcPr>
          <w:p w:rsidR="0070035B" w:rsidRPr="0070035B" w:rsidRDefault="0070035B" w:rsidP="0070035B">
            <w:pPr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59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5.1.1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Project Officer for the Programme Coordinating Unit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37,750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8/31/2015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12/15/2015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Awarded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59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5.1.2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Senior Project Analyst for the Programme Coordinating Unit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34,424.82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1/4/2016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2/29/2016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41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5.1.3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Clerk/Typist for the Programme Coordinating Unit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21,986.10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SSS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2/4/2016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2/23/2016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41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5.2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Audit Consulting for the Skills for the Future Program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22,500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SSS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1/6/2016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4/1/2016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341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5.3.1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Individual Consultant to conduct Mid Term Evaluation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34,600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9/4/2015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2/29/2016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287"/>
        </w:trPr>
        <w:tc>
          <w:tcPr>
            <w:tcW w:w="16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5.3.2</w:t>
            </w:r>
          </w:p>
        </w:tc>
        <w:tc>
          <w:tcPr>
            <w:tcW w:w="1636" w:type="pct"/>
            <w:shd w:val="clear" w:color="auto" w:fill="auto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Individual Consultant to conduct Final Evaluation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100,000</w:t>
            </w:r>
          </w:p>
        </w:tc>
        <w:tc>
          <w:tcPr>
            <w:tcW w:w="322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ICQ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5/15/2016</w:t>
            </w:r>
          </w:p>
        </w:tc>
        <w:tc>
          <w:tcPr>
            <w:tcW w:w="369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8/30/2016</w:t>
            </w:r>
          </w:p>
        </w:tc>
        <w:tc>
          <w:tcPr>
            <w:tcW w:w="391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auto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215"/>
        </w:trPr>
        <w:tc>
          <w:tcPr>
            <w:tcW w:w="161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1636" w:type="pct"/>
            <w:shd w:val="clear" w:color="auto" w:fill="F79646" w:themeFill="accent6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WORKS</w:t>
            </w:r>
          </w:p>
        </w:tc>
        <w:tc>
          <w:tcPr>
            <w:tcW w:w="300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22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253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415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46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69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91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shd w:val="clear" w:color="auto" w:fill="F79646" w:themeFill="accent6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  <w:highlight w:val="yellow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</w:t>
            </w:r>
          </w:p>
        </w:tc>
        <w:tc>
          <w:tcPr>
            <w:tcW w:w="1636" w:type="pct"/>
            <w:shd w:val="clear" w:color="auto" w:fill="D9D9D9" w:themeFill="background1" w:themeFillShade="D9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  <w:t>Component 3: Institutional Strengthening</w:t>
            </w:r>
          </w:p>
        </w:tc>
        <w:tc>
          <w:tcPr>
            <w:tcW w:w="300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6.1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carry out physical upgrades to the Barbados Vocational Training Board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sz w:val="18"/>
                <w:szCs w:val="18"/>
              </w:rPr>
              <w:t>950,000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3/29/2016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6/15/2016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6.2.1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Supply and Mechanical installation of Air Conditioning Units</w:t>
            </w:r>
            <w:r w:rsidRPr="0070035B">
              <w:rPr>
                <w:rFonts w:ascii="Arial" w:eastAsia="Calibri" w:hAnsi="Arial" w:cs="Times New Roman"/>
                <w:color w:val="262626"/>
                <w:szCs w:val="19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at the Erdiston Teachers’ Training College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18,300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6/30/2015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12/18/2015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6.2.2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Electrical Rewiring</w:t>
            </w:r>
            <w:r w:rsidRPr="0070035B">
              <w:rPr>
                <w:rFonts w:ascii="Arial" w:eastAsia="Calibri" w:hAnsi="Arial" w:cs="Times New Roman"/>
                <w:color w:val="262626"/>
                <w:szCs w:val="19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at the Erdiston Teachers’ Training College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16,708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6/30/2015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11/18/2015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Awarded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6.2.3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Repairs to Fenestration Scope</w:t>
            </w:r>
            <w:r w:rsidRPr="0070035B">
              <w:rPr>
                <w:rFonts w:ascii="Arial" w:eastAsia="Calibri" w:hAnsi="Arial" w:cs="Times New Roman"/>
                <w:color w:val="262626"/>
                <w:szCs w:val="19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at the Erdiston Teachers’ Training College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88,313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6/30/2015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1/18/2016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Awarded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6.2.4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Repairs to the Roof</w:t>
            </w:r>
            <w:r w:rsidRPr="0070035B">
              <w:rPr>
                <w:rFonts w:ascii="Arial" w:eastAsia="Calibri" w:hAnsi="Arial" w:cs="Times New Roman"/>
                <w:color w:val="262626"/>
                <w:szCs w:val="19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at the Erdiston Teachers’ Training College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78,688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6/30/2015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11/26/2015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Awarded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6.2.5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provide network cabling solutions</w:t>
            </w:r>
            <w:r w:rsidRPr="0070035B">
              <w:rPr>
                <w:rFonts w:ascii="Arial" w:eastAsia="Calibri" w:hAnsi="Arial" w:cs="Times New Roman"/>
                <w:color w:val="262626"/>
                <w:szCs w:val="19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at the Erdiston Teachers’ Training College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47,992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6/30/2015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2/29/2016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In Progress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6.3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carry out physical upgrades to the Barbados Community College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590,000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3/29/2016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6/15/2016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2"/>
        </w:trPr>
        <w:tc>
          <w:tcPr>
            <w:tcW w:w="16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b/>
                <w:color w:val="262626"/>
                <w:sz w:val="18"/>
                <w:szCs w:val="18"/>
              </w:rPr>
              <w:t>6.4</w:t>
            </w:r>
          </w:p>
        </w:tc>
        <w:tc>
          <w:tcPr>
            <w:tcW w:w="1636" w:type="pct"/>
            <w:shd w:val="clear" w:color="auto" w:fill="FFFFFF" w:themeFill="background1"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Civil Works Contractor to carry out physical upgrades to the Samuel Jackman Prescod Polytechnic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590,000</w:t>
            </w:r>
          </w:p>
        </w:tc>
        <w:tc>
          <w:tcPr>
            <w:tcW w:w="322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PC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Ex-Ante</w:t>
            </w:r>
          </w:p>
        </w:tc>
        <w:tc>
          <w:tcPr>
            <w:tcW w:w="207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100</w:t>
            </w:r>
          </w:p>
        </w:tc>
        <w:tc>
          <w:tcPr>
            <w:tcW w:w="253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0</w:t>
            </w:r>
          </w:p>
        </w:tc>
        <w:tc>
          <w:tcPr>
            <w:tcW w:w="415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No</w:t>
            </w:r>
          </w:p>
        </w:tc>
        <w:tc>
          <w:tcPr>
            <w:tcW w:w="346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3/29/2016</w:t>
            </w:r>
          </w:p>
        </w:tc>
        <w:tc>
          <w:tcPr>
            <w:tcW w:w="369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4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6/15/2016</w:t>
            </w:r>
          </w:p>
        </w:tc>
        <w:tc>
          <w:tcPr>
            <w:tcW w:w="391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  <w:t>Pending</w:t>
            </w:r>
          </w:p>
        </w:tc>
        <w:tc>
          <w:tcPr>
            <w:tcW w:w="300" w:type="pct"/>
            <w:shd w:val="clear" w:color="auto" w:fill="FFFFFF" w:themeFill="background1"/>
            <w:noWrap/>
          </w:tcPr>
          <w:p w:rsidR="0070035B" w:rsidRPr="0070035B" w:rsidRDefault="0070035B" w:rsidP="0070035B">
            <w:pPr>
              <w:tabs>
                <w:tab w:val="left" w:pos="11178"/>
              </w:tabs>
              <w:spacing w:before="20" w:after="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8"/>
                <w:szCs w:val="18"/>
              </w:rPr>
            </w:pPr>
          </w:p>
        </w:tc>
      </w:tr>
      <w:tr w:rsidR="0070035B" w:rsidRPr="0070035B" w:rsidTr="007872D2">
        <w:trPr>
          <w:trHeight w:val="48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  <w:vertAlign w:val="superscript"/>
              </w:rPr>
              <w:t>1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 If there are a number of similar individual contracts to be executed in different places or at different times, these can be grouped together under a single heading, with an explanation in the comments column, indicating the average individual amount and the period during which the contracts would be executed. For example: an education Program that includes school construction might include an item labelled “School Construction” for an estimated cost of US$20 million and an explanation under the Comments column such as this: “This item encompasses some 200 contracts for school construction averaging US$100,000 each, to be awarded individually by the participating municipal governments over a three-year period between January 2006 and December 2008.”</w:t>
            </w:r>
          </w:p>
        </w:tc>
      </w:tr>
      <w:tr w:rsidR="0070035B" w:rsidRPr="0070035B" w:rsidTr="007872D2">
        <w:trPr>
          <w:trHeight w:val="184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  <w:vertAlign w:val="superscript"/>
              </w:rPr>
              <w:t>2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  <w:u w:val="single"/>
              </w:rPr>
              <w:t>Goods and Works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ICB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International competitive bidding;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LIB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limited international bidding;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NCB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national competitive bidding;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PC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price comparison;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DC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direct contracting;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FA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force account;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PSA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Procurement through specialized agencies;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PAs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Procurement agents;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IA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Inspection agents;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PLFI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Procurement in loans to financial intermediaries;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BOO/BOT/BOOT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Build, own, operate/build, operate, transfer/build, own, operate, transfer;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PBP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Performance-based procurement;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PLGB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Procurement under loans guaranteed by the Bank;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PCP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Community participation procurement;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  <w:u w:val="single"/>
              </w:rPr>
              <w:t>Consulting Firms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: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QCBS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Quality- and cost-based selection;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QBS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Quality-based selection;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FBS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Selection under a fixed budget;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LCS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Least-cost selection;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CQS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Selection based on the consultants’ qualifications;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SSS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: Single-source selection;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  <w:u w:val="single"/>
              </w:rPr>
              <w:t>Individual Consultants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: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ICQ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 Selection based on comparison of qualifications of national individual consultants; </w:t>
            </w:r>
            <w:r w:rsidRPr="0070035B">
              <w:rPr>
                <w:rFonts w:ascii="Times New Roman" w:eastAsia="Calibri" w:hAnsi="Times New Roman" w:cs="Times New Roman"/>
                <w:b/>
                <w:bCs/>
                <w:color w:val="262626"/>
                <w:sz w:val="14"/>
                <w:szCs w:val="14"/>
              </w:rPr>
              <w:t>QCII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>: Selection based on comparison of qualifications of international individual consultants.</w:t>
            </w:r>
          </w:p>
        </w:tc>
      </w:tr>
      <w:tr w:rsidR="0070035B" w:rsidRPr="0070035B" w:rsidTr="007872D2">
        <w:trPr>
          <w:trHeight w:val="5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70035B" w:rsidRPr="0070035B" w:rsidRDefault="0070035B" w:rsidP="0070035B">
            <w:pPr>
              <w:tabs>
                <w:tab w:val="left" w:pos="11178"/>
              </w:tabs>
              <w:spacing w:after="120" w:line="252" w:lineRule="auto"/>
              <w:jc w:val="both"/>
              <w:rPr>
                <w:rFonts w:ascii="Times New Roman" w:eastAsia="Calibri" w:hAnsi="Times New Roman" w:cs="Times New Roman"/>
                <w:color w:val="262626"/>
                <w:sz w:val="13"/>
                <w:szCs w:val="13"/>
              </w:rPr>
            </w:pPr>
            <w:r w:rsidRPr="0070035B">
              <w:rPr>
                <w:rFonts w:ascii="Times New Roman" w:eastAsia="Calibri" w:hAnsi="Times New Roman" w:cs="Times New Roman"/>
                <w:color w:val="262626"/>
                <w:sz w:val="13"/>
                <w:szCs w:val="13"/>
                <w:vertAlign w:val="superscript"/>
              </w:rPr>
              <w:t>3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3"/>
                <w:szCs w:val="13"/>
              </w:rPr>
              <w:t xml:space="preserve"> Applicable only to Goods and Works in case the new Policies apply. In the case of previous Policies, it is applicable to Goods, Works and Consulting Services. 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  <w:vertAlign w:val="superscript"/>
              </w:rPr>
              <w:t>4</w:t>
            </w:r>
            <w:r w:rsidRPr="0070035B">
              <w:rPr>
                <w:rFonts w:ascii="Times New Roman" w:eastAsia="Calibri" w:hAnsi="Times New Roman" w:cs="Times New Roman"/>
                <w:color w:val="262626"/>
                <w:sz w:val="14"/>
                <w:szCs w:val="14"/>
              </w:rPr>
              <w:t xml:space="preserve"> Column “Status” will be used for retroactive procurement and when updating the procurement plan.</w:t>
            </w:r>
          </w:p>
        </w:tc>
      </w:tr>
    </w:tbl>
    <w:p w:rsidR="0070035B" w:rsidRPr="0070035B" w:rsidRDefault="0070035B" w:rsidP="0070035B">
      <w:pPr>
        <w:spacing w:after="0" w:line="240" w:lineRule="auto"/>
        <w:jc w:val="both"/>
        <w:rPr>
          <w:rFonts w:ascii="Arial" w:eastAsia="Calibri" w:hAnsi="Arial" w:cs="Times New Roman"/>
          <w:color w:val="262626"/>
          <w:sz w:val="16"/>
          <w:szCs w:val="19"/>
        </w:rPr>
      </w:pPr>
    </w:p>
    <w:p w:rsidR="00E402B0" w:rsidRDefault="00E402B0"/>
    <w:sectPr w:rsidR="00E402B0" w:rsidSect="007003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B"/>
    <w:rsid w:val="0070035B"/>
    <w:rsid w:val="00E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40172834</IDBDocs_x0020_Number>
    <TaxCatchAll xmlns="9c571b2f-e523-4ab2-ba2e-09e151a03ef4">
      <Value>8</Value>
      <Value>7</Value>
    </TaxCatchAll>
    <Phase xmlns="9c571b2f-e523-4ab2-ba2e-09e151a03ef4" xsi:nil="true"/>
    <SISCOR_x0020_Number xmlns="9c571b2f-e523-4ab2-ba2e-09e151a03ef4" xsi:nil="true"/>
    <Division_x0020_or_x0020_Unit xmlns="9c571b2f-e523-4ab2-ba2e-09e151a03ef4">CCB/CBA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Administration</TermName>
          <TermId xmlns="http://schemas.microsoft.com/office/infopath/2007/PartnerControls">d8145667-6247-4db3-9e42-91a14331cc81</TermId>
        </TermInfo>
      </Terms>
    </o5138a91267540169645e33d09c9ddc6>
    <Approval_x0020_Number xmlns="9c571b2f-e523-4ab2-ba2e-09e151a03ef4">2739/OC-BA</Approval_x0020_Number>
    <Document_x0020_Author xmlns="9c571b2f-e523-4ab2-ba2e-09e151a03ef4">Boyce, Natasha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fd0e48b6a66848a9885f717e5bbf40c4>
    <Project_x0020_Number xmlns="9c571b2f-e523-4ab2-ba2e-09e151a03ef4">BA-L1016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WORD&lt;/APPLICATION&gt;&lt;USER_STAGE&gt;Procurement Plan&lt;/USER_STAGE&gt;&lt;PD_OBJ_TYPE&gt;0&lt;/PD_OBJ_TYPE&gt;&lt;MAKERECORD&gt;N&lt;/MAKERECORD&gt;&lt;PD_FILEPT_NO&gt;PO-BA-L1016-GS&lt;/PD_FILEPT_NO&gt;&lt;/Data&gt;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Procurement Plan FULL DOC</Identifier>
    <Disclosure_x0020_Activity xmlns="9c571b2f-e523-4ab2-ba2e-09e151a03ef4">Procurement Plan</Disclosure_x0020_Activity>
    <Webtopic xmlns="9c571b2f-e523-4ab2-ba2e-09e151a03ef4">ED-EDU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B9FB02551C2A2D49A1B6EFF8D1C26FFC" ma:contentTypeVersion="0" ma:contentTypeDescription="A content type to manage public (operations) IDB documents" ma:contentTypeScope="" ma:versionID="36d5369a91ef9978ef51ef7180c9d15d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eac78227aa40ebe0634e64f1b07ec9c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f10f793-ca0a-45d3-aa23-15b9e4b1309c}" ma:internalName="TaxCatchAll" ma:showField="CatchAllData" ma:web="bf1238c8-2e25-458e-83d0-1fd26af66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10f793-ca0a-45d3-aa23-15b9e4b1309c}" ma:internalName="TaxCatchAllLabel" ma:readOnly="true" ma:showField="CatchAllDataLabel" ma:web="bf1238c8-2e25-458e-83d0-1fd26af66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62B1E-CBFB-4448-BC3E-A44A9BE99BB9}"/>
</file>

<file path=customXml/itemProps2.xml><?xml version="1.0" encoding="utf-8"?>
<ds:datastoreItem xmlns:ds="http://schemas.openxmlformats.org/officeDocument/2006/customXml" ds:itemID="{AB5DDE27-2FC1-4288-8B97-0031E5EE73C6}"/>
</file>

<file path=customXml/itemProps3.xml><?xml version="1.0" encoding="utf-8"?>
<ds:datastoreItem xmlns:ds="http://schemas.openxmlformats.org/officeDocument/2006/customXml" ds:itemID="{F8F580C4-8DCC-4B9C-BAB1-8EB0CC1E6F6F}"/>
</file>

<file path=customXml/itemProps4.xml><?xml version="1.0" encoding="utf-8"?>
<ds:datastoreItem xmlns:ds="http://schemas.openxmlformats.org/officeDocument/2006/customXml" ds:itemID="{ECFAE91F-3372-4412-843D-8ADD1405FAEF}"/>
</file>

<file path=customXml/itemProps5.xml><?xml version="1.0" encoding="utf-8"?>
<ds:datastoreItem xmlns:ds="http://schemas.openxmlformats.org/officeDocument/2006/customXml" ds:itemID="{8FE54125-E17D-44AA-A53C-38E800A89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1152</Words>
  <Characters>6573</Characters>
  <Application>Microsoft Office Word</Application>
  <DocSecurity>0</DocSecurity>
  <Lines>54</Lines>
  <Paragraphs>15</Paragraphs>
  <ScaleCrop>false</ScaleCrop>
  <Company>Inter-American Development Bank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2739_OC-BA - Procurement Plan January 2016 to June 2017</dc:title>
  <dc:creator>IADB</dc:creator>
  <cp:lastModifiedBy>IADB</cp:lastModifiedBy>
  <cp:revision>2</cp:revision>
  <dcterms:created xsi:type="dcterms:W3CDTF">2016-03-10T15:42:00Z</dcterms:created>
  <dcterms:modified xsi:type="dcterms:W3CDTF">2016-03-10T15:42:00Z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0x01010046CF21643EE8D14686A648AA6DAD089200B9FB02551C2A2D49A1B6EFF8D1C26FFC</vt:lpwstr>
  </property>
  <property fmtid="{D5CDD505-2E9C-101B-9397-08002B2CF9AE}" pid="3" name="TaxKeyword">
    <vt:lpwstr/>
  </property>
  <property fmtid="{D5CDD505-2E9C-101B-9397-08002B2CF9AE}" pid="4" name="Function Operations IDB">
    <vt:lpwstr>8;#Goods and Services|5bfebf1b-9f1f-4411-b1dd-4c19b807b799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7;#Procurement Administration|d8145667-6247-4db3-9e42-91a14331cc81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7;#Procurement Administration|d8145667-6247-4db3-9e42-91a14331cc81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